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1"/>
          <w:szCs w:val="21"/>
        </w:rPr>
      </w:pPr>
    </w:p>
    <w:p>
      <w:pPr>
        <w:spacing w:line="501" w:lineRule="exact" w:before="0"/>
        <w:ind w:left="2092" w:right="209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西安环球印务股份有限公司</w:t>
      </w:r>
      <w:r>
        <w:rPr>
          <w:rFonts w:ascii="Microsoft JhengHei" w:hAnsi="Microsoft JhengHei" w:cs="Microsoft JhengHei" w:eastAsia="Microsoft JhengHei" w:hint="default"/>
          <w:sz w:val="36"/>
          <w:szCs w:val="36"/>
        </w:rPr>
      </w:r>
    </w:p>
    <w:p>
      <w:pPr>
        <w:spacing w:line="240" w:lineRule="auto" w:before="8"/>
        <w:rPr>
          <w:rFonts w:ascii="Microsoft JhengHei" w:hAnsi="Microsoft JhengHei" w:cs="Microsoft JhengHei" w:eastAsia="Microsoft JhengHei" w:hint="default"/>
          <w:b/>
          <w:bCs/>
          <w:sz w:val="25"/>
          <w:szCs w:val="25"/>
        </w:rPr>
      </w:pPr>
    </w:p>
    <w:p>
      <w:pPr>
        <w:pStyle w:val="Heading1"/>
        <w:spacing w:line="240" w:lineRule="auto"/>
        <w:ind w:left="2092" w:right="2093"/>
        <w:jc w:val="center"/>
        <w:rPr>
          <w:b w:val="0"/>
          <w:bCs w:val="0"/>
        </w:rPr>
      </w:pPr>
      <w:bookmarkStart w:name="_bookmark0" w:id="1"/>
      <w:bookmarkEnd w:id="1"/>
      <w:r>
        <w:rPr>
          <w:b w:val="0"/>
          <w:bCs w:val="0"/>
        </w:rPr>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年年度报告</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2"/>
          <w:szCs w:val="12"/>
        </w:rPr>
      </w:pPr>
    </w:p>
    <w:p>
      <w:pPr>
        <w:spacing w:line="612" w:lineRule="exact"/>
        <w:ind w:left="312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1"/>
          <w:sz w:val="20"/>
          <w:szCs w:val="20"/>
        </w:rPr>
        <w:drawing>
          <wp:inline distT="0" distB="0" distL="0" distR="0">
            <wp:extent cx="1455903" cy="38862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55903" cy="388620"/>
                    </a:xfrm>
                    <a:prstGeom prst="rect">
                      <a:avLst/>
                    </a:prstGeom>
                  </pic:spPr>
                </pic:pic>
              </a:graphicData>
            </a:graphic>
          </wp:inline>
        </w:drawing>
      </w:r>
      <w:r>
        <w:rPr>
          <w:rFonts w:ascii="Microsoft JhengHei" w:hAnsi="Microsoft JhengHei" w:cs="Microsoft JhengHei" w:eastAsia="Microsoft JhengHei" w:hint="default"/>
          <w:position w:val="-11"/>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8"/>
          <w:szCs w:val="28"/>
        </w:rPr>
      </w:pPr>
    </w:p>
    <w:p>
      <w:pPr>
        <w:spacing w:line="456" w:lineRule="exact" w:before="0"/>
        <w:ind w:left="2092" w:right="2092"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03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line="456" w:lineRule="exact"/>
        <w:jc w:val="center"/>
        <w:rPr>
          <w:rFonts w:ascii="Microsoft JhengHei" w:hAnsi="Microsoft JhengHei" w:cs="Microsoft JhengHei" w:eastAsia="Microsoft JhengHei" w:hint="default"/>
          <w:sz w:val="32"/>
          <w:szCs w:val="32"/>
        </w:rPr>
        <w:sectPr>
          <w:type w:val="continuous"/>
          <w:pgSz w:w="11910" w:h="16840"/>
          <w:pgMar w:top="1580" w:bottom="280" w:left="1680" w:right="1680"/>
        </w:sectPr>
      </w:pPr>
    </w:p>
    <w:p>
      <w:pPr>
        <w:spacing w:line="240" w:lineRule="auto" w:before="1"/>
        <w:rPr>
          <w:rFonts w:ascii="Microsoft JhengHei" w:hAnsi="Microsoft JhengHei" w:cs="Microsoft JhengHei" w:eastAsia="Microsoft JhengHei" w:hint="default"/>
          <w:b/>
          <w:bCs/>
          <w:sz w:val="29"/>
          <w:szCs w:val="29"/>
        </w:rPr>
      </w:pPr>
    </w:p>
    <w:p>
      <w:pPr>
        <w:pStyle w:val="Heading1"/>
        <w:spacing w:line="456" w:lineRule="exact"/>
        <w:ind w:left="2802" w:right="0"/>
        <w:jc w:val="left"/>
        <w:rPr>
          <w:b w:val="0"/>
          <w:bCs w:val="0"/>
        </w:rPr>
      </w:pPr>
      <w:bookmarkStart w:name="_bookmark1" w:id="2"/>
      <w:bookmarkEnd w:id="2"/>
      <w:r>
        <w:rPr>
          <w:b w:val="0"/>
          <w:bCs w:val="0"/>
        </w:rPr>
      </w:r>
      <w:r>
        <w:rPr/>
        <w:t>第一节 </w:t>
      </w:r>
      <w:r>
        <w:rPr>
          <w:spacing w:val="12"/>
        </w:rPr>
        <w:t> </w:t>
      </w:r>
      <w:r>
        <w:rPr/>
        <w:t>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2" w:right="25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2" w:right="251"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公司负责人李移岭、主管会计工作负责人林蔚及会计机构负责人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夏美莹声明：保证本年度报告中财务报告的真实、准确、完整。</w:t>
      </w:r>
      <w:r>
        <w:rPr>
          <w:rFonts w:ascii="Microsoft JhengHei" w:hAnsi="Microsoft JhengHei" w:cs="Microsoft JhengHei" w:eastAsia="Microsoft JhengHei" w:hint="default"/>
          <w:sz w:val="28"/>
          <w:szCs w:val="28"/>
        </w:rPr>
      </w:r>
    </w:p>
    <w:p>
      <w:pPr>
        <w:spacing w:line="307" w:lineRule="auto" w:before="133"/>
        <w:ind w:left="152" w:right="24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本报告已经公司第四届董事会第五次会议审议通过，所有董事均出席了本</w:t>
      </w:r>
      <w:r>
        <w:rPr>
          <w:rFonts w:ascii="Microsoft JhengHei" w:hAnsi="Microsoft JhengHei" w:cs="Microsoft JhengHei" w:eastAsia="Microsoft JhengHei" w:hint="default"/>
          <w:b/>
          <w:bCs/>
          <w:spacing w:val="2"/>
          <w:w w:val="100"/>
          <w:sz w:val="28"/>
          <w:szCs w:val="28"/>
        </w:rPr>
        <w:t> </w:t>
      </w:r>
      <w:r>
        <w:rPr>
          <w:rFonts w:ascii="Microsoft JhengHei" w:hAnsi="Microsoft JhengHei" w:cs="Microsoft JhengHei" w:eastAsia="Microsoft JhengHei" w:hint="default"/>
          <w:b/>
          <w:bCs/>
          <w:sz w:val="28"/>
          <w:szCs w:val="28"/>
        </w:rPr>
        <w:t>次董事会会议。</w:t>
      </w:r>
      <w:r>
        <w:rPr>
          <w:rFonts w:ascii="Microsoft JhengHei" w:hAnsi="Microsoft JhengHei" w:cs="Microsoft JhengHei" w:eastAsia="Microsoft JhengHei" w:hint="default"/>
          <w:sz w:val="28"/>
          <w:szCs w:val="28"/>
        </w:rPr>
      </w:r>
    </w:p>
    <w:p>
      <w:pPr>
        <w:spacing w:line="307" w:lineRule="auto" w:before="130"/>
        <w:ind w:left="152" w:right="256" w:firstLine="562"/>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本报告所涉及未来计划等前瞻性陈述，不构成公司对投资者的实质承诺，</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请投资者注意投资风险。</w:t>
      </w:r>
      <w:r>
        <w:rPr>
          <w:rFonts w:ascii="Microsoft JhengHei" w:hAnsi="Microsoft JhengHei" w:cs="Microsoft JhengHei" w:eastAsia="Microsoft JhengHei" w:hint="default"/>
          <w:sz w:val="28"/>
          <w:szCs w:val="28"/>
        </w:rPr>
      </w:r>
    </w:p>
    <w:p>
      <w:pPr>
        <w:spacing w:line="307" w:lineRule="auto" w:before="133"/>
        <w:ind w:left="152" w:right="0" w:firstLine="562"/>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公司在本报告第四节“经营情况讨论与分析”中“九、公司未来发展的展</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望”部分，详细描述了公司经营中可能存在的风险，敬请投资者关注相关内容。</w:t>
      </w:r>
      <w:r>
        <w:rPr>
          <w:rFonts w:ascii="Microsoft JhengHei" w:hAnsi="Microsoft JhengHei" w:cs="Microsoft JhengHei" w:eastAsia="Microsoft JhengHei" w:hint="default"/>
          <w:spacing w:val="-2"/>
          <w:sz w:val="28"/>
          <w:szCs w:val="28"/>
        </w:rPr>
      </w:r>
    </w:p>
    <w:p>
      <w:pPr>
        <w:spacing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公司计划不派发现金红利，不送红股，不以公积金转增股本。</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headerReference w:type="default" r:id="rId6"/>
          <w:footerReference w:type="default" r:id="rId7"/>
          <w:pgSz w:w="11910" w:h="16840"/>
          <w:pgMar w:header="852" w:footer="980" w:top="1500" w:bottom="1160" w:left="980" w:right="880"/>
          <w:pgNumType w:start="2"/>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8"/>
          <w:szCs w:val="18"/>
        </w:rPr>
      </w:pPr>
    </w:p>
    <w:p>
      <w:pPr>
        <w:spacing w:line="501" w:lineRule="exact" w:before="0"/>
        <w:ind w:left="657" w:right="657"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9"/>
        <w:rPr>
          <w:rFonts w:ascii="Microsoft JhengHei" w:hAnsi="Microsoft JhengHei" w:cs="Microsoft JhengHei" w:eastAsia="Microsoft JhengHei"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Arial" w:hAnsi="Arial" w:cs="Arial" w:eastAsia="Arial" w:hint="default"/>
              <w:b w:val="0"/>
              <w:bCs w:val="0"/>
            </w:rPr>
          </w:pPr>
          <w:r>
            <w:fldChar w:fldCharType="begin"/>
          </w:r>
          <w:r>
            <w:instrText>TOC \o "1-1" \h \z \u </w:instrText>
          </w:r>
          <w:r>
            <w:fldChar w:fldCharType="separate"/>
          </w:r>
          <w:hyperlink w:history="true" w:anchor="_bookmark0">
            <w:r>
              <w:rPr>
                <w:rFonts w:ascii="Arial" w:hAnsi="Arial" w:cs="Arial" w:eastAsia="Arial" w:hint="default"/>
              </w:rPr>
              <w:t>2017</w:t>
            </w:r>
            <w:r>
              <w:rPr>
                <w:rFonts w:ascii="Arial" w:hAnsi="Arial" w:cs="Arial" w:eastAsia="Arial" w:hint="default"/>
                <w:spacing w:val="-7"/>
              </w:rPr>
              <w:t> </w:t>
            </w:r>
            <w:r>
              <w:rPr/>
              <w:t>年年度报告</w:t>
            </w:r>
            <w:r>
              <w:rPr>
                <w:rFonts w:ascii="Arial" w:hAnsi="Arial" w:cs="Arial" w:eastAsia="Arial" w:hint="default"/>
              </w:rPr>
              <w:tab/>
              <w:t>1</w:t>
            </w:r>
            <w:r>
              <w:rPr>
                <w:rFonts w:ascii="Arial" w:hAnsi="Arial" w:cs="Arial" w:eastAsia="Arial" w:hint="default"/>
                <w:b w:val="0"/>
                <w:bCs w:val="0"/>
              </w:rPr>
            </w:r>
          </w:hyperlink>
        </w:p>
        <w:p>
          <w:pPr>
            <w:pStyle w:val="TOC1"/>
            <w:tabs>
              <w:tab w:pos="9783" w:val="right" w:leader="dot"/>
            </w:tabs>
            <w:spacing w:line="240" w:lineRule="auto" w:before="88"/>
            <w:ind w:right="0"/>
            <w:jc w:val="left"/>
            <w:rPr>
              <w:rFonts w:ascii="Arial" w:hAnsi="Arial" w:cs="Arial" w:eastAsia="Arial" w:hint="default"/>
              <w:b w:val="0"/>
              <w:bCs w:val="0"/>
            </w:rPr>
          </w:pPr>
          <w:hyperlink w:history="true" w:anchor="_bookmark1">
            <w:r>
              <w:rPr/>
              <w:t>第一节 </w:t>
            </w:r>
            <w:r>
              <w:rPr>
                <w:spacing w:val="2"/>
              </w:rPr>
              <w:t> </w:t>
            </w:r>
            <w:r>
              <w:rPr/>
              <w:t>重要提示、目录和释义</w:t>
            </w:r>
            <w:r>
              <w:rPr>
                <w:rFonts w:ascii="Arial" w:hAnsi="Arial" w:cs="Arial" w:eastAsia="Arial" w:hint="default"/>
              </w:rPr>
              <w:tab/>
              <w:t>2</w:t>
            </w:r>
            <w:r>
              <w:rPr>
                <w:rFonts w:ascii="Arial" w:hAnsi="Arial" w:cs="Arial" w:eastAsia="Arial" w:hint="default"/>
                <w:b w:val="0"/>
                <w:bCs w:val="0"/>
              </w:rPr>
            </w:r>
          </w:hyperlink>
        </w:p>
        <w:p>
          <w:pPr>
            <w:pStyle w:val="TOC1"/>
            <w:tabs>
              <w:tab w:pos="9783" w:val="right" w:leader="dot"/>
            </w:tabs>
            <w:spacing w:line="240" w:lineRule="auto"/>
            <w:ind w:right="0"/>
            <w:jc w:val="left"/>
            <w:rPr>
              <w:rFonts w:ascii="Arial" w:hAnsi="Arial" w:cs="Arial" w:eastAsia="Arial" w:hint="default"/>
              <w:b w:val="0"/>
              <w:bCs w:val="0"/>
            </w:rPr>
          </w:pPr>
          <w:hyperlink w:history="true" w:anchor="_bookmark2">
            <w:r>
              <w:rPr/>
              <w:t>第二节 </w:t>
            </w:r>
            <w:r>
              <w:rPr>
                <w:spacing w:val="2"/>
              </w:rPr>
              <w:t> </w:t>
            </w:r>
            <w:r>
              <w:rPr/>
              <w:t>公司简介和主要财务指标</w:t>
            </w:r>
            <w:r>
              <w:rPr>
                <w:rFonts w:ascii="Arial" w:hAnsi="Arial" w:cs="Arial" w:eastAsia="Arial" w:hint="default"/>
              </w:rPr>
              <w:tab/>
              <w:t>5</w:t>
            </w:r>
            <w:r>
              <w:rPr>
                <w:rFonts w:ascii="Arial" w:hAnsi="Arial" w:cs="Arial" w:eastAsia="Arial" w:hint="default"/>
                <w:b w:val="0"/>
                <w:bCs w:val="0"/>
              </w:rPr>
            </w:r>
          </w:hyperlink>
        </w:p>
        <w:p>
          <w:pPr>
            <w:pStyle w:val="TOC1"/>
            <w:tabs>
              <w:tab w:pos="9783" w:val="right" w:leader="dot"/>
            </w:tabs>
            <w:spacing w:line="240" w:lineRule="auto"/>
            <w:ind w:right="0"/>
            <w:jc w:val="left"/>
            <w:rPr>
              <w:rFonts w:ascii="Arial" w:hAnsi="Arial" w:cs="Arial" w:eastAsia="Arial" w:hint="default"/>
              <w:b w:val="0"/>
              <w:bCs w:val="0"/>
            </w:rPr>
          </w:pPr>
          <w:hyperlink w:history="true" w:anchor="_bookmark3">
            <w:r>
              <w:rPr/>
              <w:t>第三节 </w:t>
            </w:r>
            <w:r>
              <w:rPr>
                <w:spacing w:val="2"/>
              </w:rPr>
              <w:t> </w:t>
            </w:r>
            <w:r>
              <w:rPr/>
              <w:t>公司业务概要</w:t>
            </w:r>
            <w:r>
              <w:rPr>
                <w:rFonts w:ascii="Arial" w:hAnsi="Arial" w:cs="Arial" w:eastAsia="Arial" w:hint="default"/>
              </w:rPr>
              <w:tab/>
              <w:t>9</w:t>
            </w:r>
            <w:r>
              <w:rPr>
                <w:rFonts w:ascii="Arial" w:hAnsi="Arial" w:cs="Arial" w:eastAsia="Arial" w:hint="default"/>
                <w:b w:val="0"/>
                <w:bCs w:val="0"/>
              </w:rPr>
            </w:r>
          </w:hyperlink>
        </w:p>
        <w:p>
          <w:pPr>
            <w:pStyle w:val="TOC1"/>
            <w:tabs>
              <w:tab w:pos="9785" w:val="right" w:leader="dot"/>
            </w:tabs>
            <w:spacing w:line="240" w:lineRule="auto" w:before="88"/>
            <w:ind w:right="0"/>
            <w:jc w:val="left"/>
            <w:rPr>
              <w:rFonts w:ascii="Arial" w:hAnsi="Arial" w:cs="Arial" w:eastAsia="Arial" w:hint="default"/>
              <w:b w:val="0"/>
              <w:bCs w:val="0"/>
            </w:rPr>
          </w:pPr>
          <w:hyperlink w:history="true" w:anchor="_bookmark4">
            <w:r>
              <w:rPr/>
              <w:t>第四节 </w:t>
            </w:r>
            <w:r>
              <w:rPr>
                <w:spacing w:val="2"/>
              </w:rPr>
              <w:t> </w:t>
            </w:r>
            <w:r>
              <w:rPr/>
              <w:t>经营情况讨论与分析</w:t>
            </w:r>
            <w:r>
              <w:rPr>
                <w:rFonts w:ascii="Arial" w:hAnsi="Arial" w:cs="Arial" w:eastAsia="Arial" w:hint="default"/>
              </w:rPr>
              <w:tab/>
              <w:t>14</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5">
            <w:r>
              <w:rPr/>
              <w:t>第五节 </w:t>
            </w:r>
            <w:r>
              <w:rPr>
                <w:spacing w:val="2"/>
              </w:rPr>
              <w:t> </w:t>
            </w:r>
            <w:r>
              <w:rPr/>
              <w:t>重要事项</w:t>
            </w:r>
            <w:r>
              <w:rPr>
                <w:rFonts w:ascii="Arial" w:hAnsi="Arial" w:cs="Arial" w:eastAsia="Arial" w:hint="default"/>
              </w:rPr>
              <w:tab/>
              <w:t>34</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6">
            <w:r>
              <w:rPr/>
              <w:t>第六节 </w:t>
            </w:r>
            <w:r>
              <w:rPr>
                <w:spacing w:val="2"/>
              </w:rPr>
              <w:t> </w:t>
            </w:r>
            <w:r>
              <w:rPr/>
              <w:t>股份变动及股东情况</w:t>
            </w:r>
            <w:r>
              <w:rPr>
                <w:rFonts w:ascii="Arial" w:hAnsi="Arial" w:cs="Arial" w:eastAsia="Arial" w:hint="default"/>
              </w:rPr>
              <w:tab/>
              <w:t>51</w:t>
            </w:r>
            <w:r>
              <w:rPr>
                <w:rFonts w:ascii="Arial" w:hAnsi="Arial" w:cs="Arial" w:eastAsia="Arial" w:hint="default"/>
                <w:b w:val="0"/>
                <w:bCs w:val="0"/>
              </w:rPr>
            </w:r>
          </w:hyperlink>
        </w:p>
        <w:p>
          <w:pPr>
            <w:pStyle w:val="TOC1"/>
            <w:tabs>
              <w:tab w:pos="9785" w:val="right" w:leader="dot"/>
            </w:tabs>
            <w:spacing w:line="240" w:lineRule="auto" w:before="88"/>
            <w:ind w:right="0"/>
            <w:jc w:val="left"/>
            <w:rPr>
              <w:rFonts w:ascii="Arial" w:hAnsi="Arial" w:cs="Arial" w:eastAsia="Arial" w:hint="default"/>
              <w:b w:val="0"/>
              <w:bCs w:val="0"/>
            </w:rPr>
          </w:pPr>
          <w:hyperlink w:history="true" w:anchor="_bookmark7">
            <w:r>
              <w:rPr/>
              <w:t>第七节 </w:t>
            </w:r>
            <w:r>
              <w:rPr>
                <w:spacing w:val="2"/>
              </w:rPr>
              <w:t> </w:t>
            </w:r>
            <w:r>
              <w:rPr/>
              <w:t>优先股相关情况</w:t>
            </w:r>
            <w:r>
              <w:rPr>
                <w:rFonts w:ascii="Arial" w:hAnsi="Arial" w:cs="Arial" w:eastAsia="Arial" w:hint="default"/>
              </w:rPr>
              <w:tab/>
              <w:t>57</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8">
            <w:r>
              <w:rPr/>
              <w:t>第八节 </w:t>
            </w:r>
            <w:r>
              <w:rPr>
                <w:spacing w:val="2"/>
              </w:rPr>
              <w:t> </w:t>
            </w:r>
            <w:r>
              <w:rPr/>
              <w:t>董事、监事、高级管理人员和员工情况</w:t>
            </w:r>
            <w:r>
              <w:rPr>
                <w:rFonts w:ascii="Arial" w:hAnsi="Arial" w:cs="Arial" w:eastAsia="Arial" w:hint="default"/>
              </w:rPr>
              <w:tab/>
              <w:t>58</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9">
            <w:r>
              <w:rPr/>
              <w:t>第九节 </w:t>
            </w:r>
            <w:r>
              <w:rPr>
                <w:spacing w:val="2"/>
              </w:rPr>
              <w:t> </w:t>
            </w:r>
            <w:r>
              <w:rPr/>
              <w:t>公司治理</w:t>
            </w:r>
            <w:r>
              <w:rPr>
                <w:rFonts w:ascii="Arial" w:hAnsi="Arial" w:cs="Arial" w:eastAsia="Arial" w:hint="default"/>
              </w:rPr>
              <w:tab/>
              <w:t>63</w:t>
            </w:r>
            <w:r>
              <w:rPr>
                <w:rFonts w:ascii="Arial" w:hAnsi="Arial" w:cs="Arial" w:eastAsia="Arial" w:hint="default"/>
                <w:b w:val="0"/>
                <w:bCs w:val="0"/>
              </w:rPr>
            </w:r>
          </w:hyperlink>
        </w:p>
        <w:p>
          <w:pPr>
            <w:pStyle w:val="TOC1"/>
            <w:tabs>
              <w:tab w:pos="9785" w:val="right" w:leader="dot"/>
            </w:tabs>
            <w:spacing w:line="240" w:lineRule="auto" w:before="88"/>
            <w:ind w:right="0"/>
            <w:jc w:val="left"/>
            <w:rPr>
              <w:rFonts w:ascii="Arial" w:hAnsi="Arial" w:cs="Arial" w:eastAsia="Arial" w:hint="default"/>
              <w:b w:val="0"/>
              <w:bCs w:val="0"/>
            </w:rPr>
          </w:pPr>
          <w:hyperlink w:history="true" w:anchor="_bookmark10">
            <w:r>
              <w:rPr/>
              <w:t>第十节 </w:t>
            </w:r>
            <w:r>
              <w:rPr>
                <w:spacing w:val="2"/>
              </w:rPr>
              <w:t> </w:t>
            </w:r>
            <w:r>
              <w:rPr/>
              <w:t>公司债券相关情况</w:t>
            </w:r>
            <w:r>
              <w:rPr>
                <w:rFonts w:ascii="Arial" w:hAnsi="Arial" w:cs="Arial" w:eastAsia="Arial" w:hint="default"/>
              </w:rPr>
              <w:tab/>
              <w:t>71</w:t>
            </w:r>
            <w:r>
              <w:rPr>
                <w:rFonts w:ascii="Arial" w:hAnsi="Arial" w:cs="Arial" w:eastAsia="Arial" w:hint="default"/>
                <w:b w:val="0"/>
                <w:bCs w:val="0"/>
              </w:rPr>
            </w:r>
          </w:hyperlink>
        </w:p>
        <w:p>
          <w:pPr>
            <w:pStyle w:val="TOC1"/>
            <w:tabs>
              <w:tab w:pos="9785" w:val="right" w:leader="dot"/>
            </w:tabs>
            <w:spacing w:line="240" w:lineRule="auto"/>
            <w:ind w:right="0"/>
            <w:jc w:val="left"/>
            <w:rPr>
              <w:rFonts w:ascii="Arial" w:hAnsi="Arial" w:cs="Arial" w:eastAsia="Arial" w:hint="default"/>
              <w:b w:val="0"/>
              <w:bCs w:val="0"/>
            </w:rPr>
          </w:pPr>
          <w:hyperlink w:history="true" w:anchor="_bookmark11">
            <w:r>
              <w:rPr/>
              <w:t>第十一节</w:t>
            </w:r>
            <w:r>
              <w:rPr>
                <w:spacing w:val="59"/>
              </w:rPr>
              <w:t> </w:t>
            </w:r>
            <w:r>
              <w:rPr/>
              <w:t>财务报告</w:t>
            </w:r>
            <w:r>
              <w:rPr>
                <w:rFonts w:ascii="Arial" w:hAnsi="Arial" w:cs="Arial" w:eastAsia="Arial" w:hint="default"/>
              </w:rPr>
              <w:tab/>
              <w:t>72</w:t>
            </w:r>
            <w:r>
              <w:rPr>
                <w:rFonts w:ascii="Arial" w:hAnsi="Arial" w:cs="Arial" w:eastAsia="Arial" w:hint="default"/>
                <w:b w:val="0"/>
                <w:bCs w:val="0"/>
              </w:rPr>
            </w:r>
          </w:hyperlink>
        </w:p>
        <w:p>
          <w:pPr>
            <w:pStyle w:val="TOC1"/>
            <w:tabs>
              <w:tab w:pos="9783" w:val="right" w:leader="dot"/>
            </w:tabs>
            <w:spacing w:line="240" w:lineRule="auto"/>
            <w:ind w:right="0"/>
            <w:jc w:val="left"/>
            <w:rPr>
              <w:rFonts w:ascii="Arial" w:hAnsi="Arial" w:cs="Arial" w:eastAsia="Arial" w:hint="default"/>
              <w:b w:val="0"/>
              <w:bCs w:val="0"/>
            </w:rPr>
          </w:pPr>
          <w:hyperlink w:history="true" w:anchor="_bookmark12">
            <w:r>
              <w:rPr/>
              <w:t>第十二节</w:t>
            </w:r>
            <w:r>
              <w:rPr>
                <w:spacing w:val="59"/>
              </w:rPr>
              <w:t> </w:t>
            </w:r>
            <w:r>
              <w:rPr/>
              <w:t>备查文件目录</w:t>
            </w:r>
            <w:r>
              <w:rPr>
                <w:rFonts w:ascii="Arial" w:hAnsi="Arial" w:cs="Arial" w:eastAsia="Arial" w:hint="default"/>
              </w:rPr>
              <w:tab/>
              <w:t>180</w:t>
            </w:r>
            <w:r>
              <w:rPr>
                <w:rFonts w:ascii="Arial" w:hAnsi="Arial" w:cs="Arial" w:eastAsia="Arial" w:hint="default"/>
                <w:b w:val="0"/>
                <w:bCs w:val="0"/>
              </w:rPr>
            </w:r>
          </w:hyperlink>
        </w:p>
        <w:p>
          <w:pPr/>
          <w:r>
            <w:fldChar w:fldCharType="end"/>
          </w:r>
        </w:p>
      </w:sdtContent>
    </w:sdt>
    <w:p>
      <w:pPr>
        <w:spacing w:after="0"/>
        <w:sectPr>
          <w:pgSz w:w="11910" w:h="16840"/>
          <w:pgMar w:header="852" w:footer="980" w:top="1540" w:bottom="1160" w:left="980" w:right="980"/>
        </w:sectPr>
      </w:pPr>
    </w:p>
    <w:p>
      <w:pPr>
        <w:spacing w:before="1"/>
        <w:ind w:left="657" w:right="657" w:firstLine="0"/>
        <w:jc w:val="center"/>
        <w:rPr>
          <w:rFonts w:ascii="Microsoft JhengHei" w:hAnsi="Microsoft JhengHei" w:cs="Microsoft JhengHei" w:eastAsia="Microsoft JhengHei" w:hint="default"/>
          <w:sz w:val="32"/>
          <w:szCs w:val="32"/>
        </w:rPr>
      </w:pPr>
      <w:r>
        <w:rPr/>
        <w:pict>
          <v:group style="position:absolute;margin-left:55.200001pt;margin-top:2.208218pt;width:484.9pt;height:.1pt;mso-position-horizontal-relative:page;mso-position-vertical-relative:paragraph;z-index:-755752"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7"/>
          <w:szCs w:val="27"/>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环球印务、公司、本公司、发行人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西安环球印务股份有限公司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陕药集团、实际控制人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陕西医药控股集团有限责任公司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永旭创新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西安永旭创新服务有限公司，本公司子公司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永鑫包装</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陕西永鑫纸业包装有限公司，本公司子公司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天津环球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天津滨海环球印务有限公司，本公司子公司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西安德宝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西安德宝药用包装有限公司，本公司参股企业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2" w:footer="980" w:top="1500" w:bottom="116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7"/>
        <w:rPr>
          <w:rFonts w:ascii="Microsoft JhengHei" w:hAnsi="Microsoft JhengHei" w:cs="Microsoft JhengHei" w:eastAsia="Microsoft JhengHei" w:hint="default"/>
          <w:b/>
          <w:bCs/>
          <w:sz w:val="23"/>
          <w:szCs w:val="23"/>
        </w:rPr>
      </w:pPr>
    </w:p>
    <w:p>
      <w:pPr>
        <w:pStyle w:val="Heading1"/>
        <w:spacing w:line="456" w:lineRule="exact"/>
        <w:ind w:left="2642" w:right="0"/>
        <w:jc w:val="left"/>
        <w:rPr>
          <w:b w:val="0"/>
          <w:bCs w:val="0"/>
        </w:rPr>
      </w:pPr>
      <w:bookmarkStart w:name="_bookmark2" w:id="3"/>
      <w:bookmarkEnd w:id="3"/>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环球印务</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002799</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西安环球印务股份有限公司</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环球印务</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XI'AN GLOBAL PRINTING</w:t>
            </w:r>
            <w:r>
              <w:rPr>
                <w:rFonts w:ascii="Times New Roman"/>
                <w:spacing w:val="-17"/>
                <w:sz w:val="18"/>
              </w:rPr>
              <w:t> </w:t>
            </w:r>
            <w:r>
              <w:rPr>
                <w:rFonts w:ascii="Times New Roman"/>
                <w:spacing w:val="-3"/>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46"/>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2966"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XI'AN</w:t>
            </w:r>
            <w:r>
              <w:rPr>
                <w:rFonts w:ascii="Times New Roman"/>
                <w:spacing w:val="-5"/>
                <w:sz w:val="18"/>
              </w:rPr>
              <w:t> </w:t>
            </w:r>
            <w:r>
              <w:rPr>
                <w:rFonts w:ascii="Times New Roman"/>
                <w:sz w:val="18"/>
              </w:rPr>
              <w:t>GLOBAL</w:t>
            </w:r>
          </w:p>
        </w:tc>
        <w:tc>
          <w:tcPr>
            <w:tcW w:w="2154" w:type="dxa"/>
            <w:tcBorders>
              <w:top w:val="single" w:sz="4" w:space="0" w:color="000000"/>
              <w:left w:val="nil" w:sz="6" w:space="0" w:color="auto"/>
              <w:bottom w:val="single" w:sz="4" w:space="0" w:color="000000"/>
              <w:right w:val="nil" w:sz="6" w:space="0" w:color="auto"/>
            </w:tcBorders>
          </w:tcPr>
          <w:p>
            <w:pPr/>
          </w:p>
        </w:tc>
        <w:tc>
          <w:tcPr>
            <w:tcW w:w="2177" w:type="dxa"/>
            <w:tcBorders>
              <w:top w:val="single" w:sz="4" w:space="0" w:color="000000"/>
              <w:left w:val="nil" w:sz="6" w:space="0" w:color="auto"/>
              <w:bottom w:val="single" w:sz="4" w:space="0" w:color="000000"/>
              <w:right w:val="single" w:sz="4" w:space="0" w:color="000000"/>
            </w:tcBorders>
          </w:tcPr>
          <w:p>
            <w:pP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李移岭</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710075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710075</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www.globalprinting.cn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security@globalprinting.cn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屈颖君</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西安市高新区科技一路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029-68712188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029-68712188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029-88310756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029-88310756</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9">
              <w:r>
                <w:rPr>
                  <w:rFonts w:ascii="Times New Roman"/>
                  <w:sz w:val="18"/>
                </w:rPr>
                <w:t>security@globalprinting.cn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9">
              <w:r>
                <w:rPr>
                  <w:rFonts w:ascii="Times New Roman"/>
                  <w:sz w:val="18"/>
                </w:rPr>
                <w:t>security@globalprinting.cn</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after="0" w:line="240" w:lineRule="auto"/>
        <w:jc w:val="left"/>
        <w:rPr>
          <w:rFonts w:ascii="宋体" w:hAnsi="宋体" w:cs="宋体" w:eastAsia="宋体" w:hint="default"/>
          <w:sz w:val="18"/>
          <w:szCs w:val="18"/>
        </w:rPr>
        <w:sectPr>
          <w:pgSz w:w="11910" w:h="16840"/>
          <w:pgMar w:header="852" w:footer="980" w:top="1500" w:bottom="1160" w:left="980" w:right="980"/>
        </w:sectPr>
      </w:pPr>
    </w:p>
    <w:p>
      <w:pPr>
        <w:pStyle w:val="Heading2"/>
        <w:spacing w:line="355" w:lineRule="exact"/>
        <w:ind w:right="0"/>
        <w:jc w:val="left"/>
        <w:rPr>
          <w:b w:val="0"/>
          <w:bCs w:val="0"/>
        </w:rPr>
      </w:pPr>
      <w:r>
        <w:rPr/>
        <w:pict>
          <v:group style="position:absolute;margin-left:55.200001pt;margin-top:2.202064pt;width:484.9pt;height:.1pt;mso-position-horizontal-relative:page;mso-position-vertical-relative:paragraph;z-index:-755704" coordorigin="1104,44" coordsize="9698,2">
            <v:shape style="position:absolute;left:1104;top:44;width:9698;height:2" coordorigin="1104,44" coordsize="9698,0" path="m1104,44l10802,44e" filled="false" stroked="true" strokeweight=".72pt" strokecolor="#000000">
              <v:path arrowok="t"/>
            </v:shape>
            <w10:wrap type="none"/>
          </v:group>
        </w:pict>
      </w:r>
      <w:r>
        <w:rPr/>
        <w:t>四、注册变更情况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希格玛会计师事务所（特殊普通合伙）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西安市浐灞生态区浐灞大道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号商务中心二期五楼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511-512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杨树杰、王侠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广东省深圳市福田区益田路 江苏大厦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王炳全、盛培锋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438,211,497.30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387,502,466.93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400,003,693.52</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22,608,687.67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26,795,985.32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34,841,328.99</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21,089,329.53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22,658,445.14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34,709,675.00</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51,911,950.44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41,266,281.93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63,098,085.47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765,141,149.28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692,618,350.12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586,648,641.54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980" w:right="98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20"/>
        <w:gridCol w:w="1738"/>
        <w:gridCol w:w="1738"/>
        <w:gridCol w:w="1738"/>
        <w:gridCol w:w="1735"/>
      </w:tblGrid>
      <w:tr>
        <w:trPr>
          <w:trHeight w:val="728" w:hRule="exact"/>
        </w:trPr>
        <w:tc>
          <w:tcPr>
            <w:tcW w:w="262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81" w:right="0"/>
              <w:jc w:val="left"/>
              <w:rPr>
                <w:rFonts w:ascii="Times New Roman" w:hAnsi="Times New Roman" w:cs="Times New Roman" w:eastAsia="Times New Roman" w:hint="default"/>
                <w:sz w:val="18"/>
                <w:szCs w:val="18"/>
              </w:rPr>
            </w:pPr>
            <w:r>
              <w:rPr>
                <w:rFonts w:ascii="Times New Roman"/>
                <w:sz w:val="18"/>
              </w:rPr>
              <w:t>518,725,135.60</w:t>
            </w:r>
          </w:p>
        </w:tc>
        <w:tc>
          <w:tcPr>
            <w:tcW w:w="17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516,097,846.94</w:t>
            </w:r>
          </w:p>
        </w:tc>
        <w:tc>
          <w:tcPr>
            <w:tcW w:w="17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0.51%</w:t>
            </w:r>
          </w:p>
        </w:tc>
        <w:tc>
          <w:tcPr>
            <w:tcW w:w="173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318,877,333.27</w:t>
            </w:r>
          </w:p>
        </w:tc>
      </w:tr>
    </w:tbl>
    <w:p>
      <w:pPr>
        <w:spacing w:line="240" w:lineRule="auto" w:before="2"/>
        <w:rPr>
          <w:rFonts w:ascii="宋体" w:hAnsi="宋体" w:cs="宋体" w:eastAsia="宋体" w:hint="default"/>
          <w:sz w:val="27"/>
          <w:szCs w:val="27"/>
        </w:rPr>
      </w:pPr>
    </w:p>
    <w:p>
      <w:pPr>
        <w:spacing w:before="44"/>
        <w:ind w:left="112" w:right="385"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0.1507</w:t>
            </w:r>
          </w:p>
        </w:tc>
      </w:tr>
    </w:tbl>
    <w:p>
      <w:pPr>
        <w:spacing w:line="240" w:lineRule="auto" w:before="1"/>
        <w:rPr>
          <w:rFonts w:ascii="宋体" w:hAnsi="宋体" w:cs="宋体" w:eastAsia="宋体" w:hint="default"/>
          <w:sz w:val="18"/>
          <w:szCs w:val="18"/>
        </w:rPr>
      </w:pPr>
    </w:p>
    <w:p>
      <w:pPr>
        <w:pStyle w:val="Heading2"/>
        <w:spacing w:line="367" w:lineRule="exact"/>
        <w:ind w:left="112" w:right="385"/>
        <w:jc w:val="left"/>
        <w:rPr>
          <w:b w:val="0"/>
          <w:bCs w:val="0"/>
        </w:rPr>
      </w:pPr>
      <w:r>
        <w:rPr/>
        <w:t>七、境内外会计准则下会计数据差异</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left="112" w:right="385"/>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16"/>
          <w:szCs w:val="16"/>
        </w:rPr>
      </w:pPr>
    </w:p>
    <w:p>
      <w:pPr>
        <w:pStyle w:val="Heading3"/>
        <w:spacing w:line="240" w:lineRule="auto"/>
        <w:ind w:left="112" w:right="385"/>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2" w:footer="980" w:top="1500" w:bottom="1160" w:left="1020" w:right="1020"/>
        </w:sectPr>
      </w:pPr>
    </w:p>
    <w:p>
      <w:pPr>
        <w:spacing w:line="679" w:lineRule="auto" w:before="44"/>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pStyle w:val="Heading2"/>
        <w:spacing w:line="340" w:lineRule="exact"/>
        <w:ind w:left="112" w:right="-20"/>
        <w:jc w:val="left"/>
        <w:rPr>
          <w:b w:val="0"/>
          <w:bCs w:val="0"/>
        </w:rPr>
      </w:pPr>
      <w:r>
        <w:rPr/>
        <w:t>八、分季度主要财务指标</w:t>
      </w:r>
      <w:r>
        <w:rPr>
          <w:b w:val="0"/>
          <w:bCs w:val="0"/>
        </w:rPr>
      </w:r>
    </w:p>
    <w:p>
      <w:pPr>
        <w:spacing w:line="240" w:lineRule="auto" w:before="14"/>
        <w:rPr>
          <w:rFonts w:ascii="Microsoft JhengHei" w:hAnsi="Microsoft JhengHei" w:cs="Microsoft JhengHei" w:eastAsia="Microsoft JhengHei" w:hint="default"/>
          <w:b/>
          <w:bCs/>
          <w:sz w:val="22"/>
          <w:szCs w:val="22"/>
        </w:rPr>
      </w:pPr>
      <w:r>
        <w:rPr/>
        <w:br w:type="column"/>
      </w:r>
      <w:r>
        <w:rPr>
          <w:rFonts w:ascii="Microsoft JhengHei"/>
          <w:b/>
          <w:sz w:val="22"/>
        </w:rPr>
      </w: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1020" w:right="1020"/>
          <w:cols w:num="2" w:equalWidth="0">
            <w:col w:w="8213" w:space="707"/>
            <w:col w:w="950"/>
          </w:cols>
        </w:sectPr>
      </w:pPr>
    </w:p>
    <w:p>
      <w:pPr>
        <w:spacing w:line="240" w:lineRule="auto" w:before="0"/>
        <w:rPr>
          <w:rFonts w:ascii="宋体" w:hAnsi="宋体" w:cs="宋体" w:eastAsia="宋体" w:hint="default"/>
          <w:sz w:val="21"/>
          <w:szCs w:val="21"/>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105,726,713.91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115,637,338.69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102,981,547.47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113,865,897.23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6,078,140.82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6,875,190.56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2,503,464.91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7,151,891.38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6,078,589.36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6,583,848.56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2,331,246.18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6,095,645.43</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-10,845,212.33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16,090,246.06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10,640,490.76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36,026,425.95</w:t>
            </w:r>
          </w:p>
        </w:tc>
      </w:tr>
    </w:tbl>
    <w:p>
      <w:pPr>
        <w:spacing w:before="49"/>
        <w:ind w:left="112" w:right="385"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18"/>
          <w:szCs w:val="18"/>
        </w:rPr>
      </w:pPr>
    </w:p>
    <w:p>
      <w:pPr>
        <w:pStyle w:val="Heading2"/>
        <w:spacing w:line="240" w:lineRule="auto"/>
        <w:ind w:left="112" w:right="385"/>
        <w:jc w:val="left"/>
        <w:rPr>
          <w:b w:val="0"/>
          <w:bCs w:val="0"/>
        </w:rPr>
      </w:pPr>
      <w:r>
        <w:rPr/>
        <w:t>九、非经常性损益项目及金额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-1,114,287.69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-198,762.38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0" w:right="0"/>
              <w:jc w:val="left"/>
              <w:rPr>
                <w:rFonts w:ascii="Times New Roman" w:hAnsi="Times New Roman" w:cs="Times New Roman" w:eastAsia="Times New Roman" w:hint="default"/>
                <w:sz w:val="18"/>
                <w:szCs w:val="18"/>
              </w:rPr>
            </w:pPr>
            <w:r>
              <w:rPr>
                <w:rFonts w:ascii="Times New Roman"/>
                <w:sz w:val="18"/>
              </w:rPr>
              <w:t>-18,656.88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bl>
    <w:p>
      <w:pPr>
        <w:spacing w:after="0" w:line="240" w:lineRule="auto"/>
        <w:jc w:val="left"/>
        <w:rPr>
          <w:rFonts w:ascii="宋体" w:hAnsi="宋体" w:cs="宋体" w:eastAsia="宋体" w:hint="default"/>
          <w:sz w:val="18"/>
          <w:szCs w:val="18"/>
        </w:rPr>
        <w:sectPr>
          <w:type w:val="continuous"/>
          <w:pgSz w:w="11910" w:h="16840"/>
          <w:pgMar w:top="1580" w:bottom="280" w:left="1020" w:right="102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1040" w:hRule="exact"/>
        </w:trPr>
        <w:tc>
          <w:tcPr>
            <w:tcW w:w="329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2,849,756.00</w:t>
            </w:r>
          </w:p>
        </w:tc>
        <w:tc>
          <w:tcPr>
            <w:tcW w:w="15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5,025,971.00</w:t>
            </w:r>
          </w:p>
        </w:tc>
        <w:tc>
          <w:tcPr>
            <w:tcW w:w="15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171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13,933.46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36,866.81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42,903.25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328,602.03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726,535.25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38,592.38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-98,558.40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1,519,358.14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4,137,540.18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131,653.99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12" w:right="9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3"/>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12" w:right="9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852" w:footer="980" w:top="150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44"/>
        <w:ind w:right="658"/>
        <w:jc w:val="center"/>
        <w:rPr>
          <w:b w:val="0"/>
          <w:bCs w:val="0"/>
        </w:rPr>
      </w:pPr>
      <w:bookmarkStart w:name="_bookmark3" w:id="4"/>
      <w:bookmarkEnd w:id="4"/>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10"/>
        <w:rPr>
          <w:rFonts w:ascii="Microsoft JhengHei" w:hAnsi="Microsoft JhengHei" w:cs="Microsoft JhengHei" w:eastAsia="Microsoft JhengHei" w:hint="default"/>
          <w:b/>
          <w:bCs/>
          <w:sz w:val="17"/>
          <w:szCs w:val="17"/>
        </w:rPr>
      </w:pPr>
    </w:p>
    <w:p>
      <w:pPr>
        <w:spacing w:line="350" w:lineRule="auto" w:before="0"/>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（一）环球印务的主营业务发展：</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以医药包装为基石：环球印务作为专业的医药包装方案解决供应商，自成立以来始终致力于医药包</w:t>
      </w:r>
    </w:p>
    <w:p>
      <w:pPr>
        <w:pStyle w:val="BodyText"/>
        <w:spacing w:line="408" w:lineRule="auto" w:before="96"/>
        <w:ind w:left="0" w:right="124"/>
        <w:jc w:val="right"/>
      </w:pPr>
      <w:r>
        <w:rPr>
          <w:spacing w:val="-2"/>
        </w:rPr>
        <w:t>装领域深耕细作。在原折叠纸盒包装的基础上，公司在说明书、纸箱、药用铝管等领域均大力拓展，形成</w:t>
      </w:r>
      <w:r>
        <w:rPr>
          <w:spacing w:val="-85"/>
        </w:rPr>
        <w:t> </w:t>
      </w:r>
      <w:r>
        <w:rPr>
          <w:spacing w:val="-85"/>
        </w:rPr>
      </w:r>
      <w:r>
        <w:rPr>
          <w:spacing w:val="-2"/>
        </w:rPr>
        <w:t>整体包装营销模式，让医药企业在环球印务实现一站式采购，优化客户的供应链管理，为客户创造价值。</w:t>
      </w:r>
      <w:r>
        <w:rPr>
          <w:spacing w:val="-43"/>
        </w:rPr>
        <w:t> </w:t>
      </w:r>
      <w:r>
        <w:rPr>
          <w:spacing w:val="-43"/>
        </w:rPr>
      </w:r>
      <w:r>
        <w:rPr>
          <w:spacing w:val="-2"/>
        </w:rPr>
        <w:t>通过在医药包装领域的不懈努力，仍占据着国内医药折叠纸盒包装领域及药用铝管包装领域的领先地位。</w:t>
      </w:r>
      <w:r>
        <w:rPr>
          <w:spacing w:val="-49"/>
        </w:rPr>
        <w:t> </w:t>
      </w:r>
      <w:r>
        <w:rPr>
          <w:spacing w:val="-49"/>
        </w:rPr>
      </w:r>
      <w:r>
        <w:rPr>
          <w:rFonts w:ascii="宋体" w:hAnsi="宋体" w:cs="宋体" w:eastAsia="宋体" w:hint="default"/>
          <w:spacing w:val="-2"/>
        </w:rPr>
        <w:t>2.</w:t>
      </w:r>
      <w:r>
        <w:rPr>
          <w:spacing w:val="-2"/>
        </w:rPr>
        <w:t>积极拓展电子产品包装领域：</w:t>
      </w:r>
      <w:r>
        <w:rPr>
          <w:rFonts w:ascii="宋体" w:hAnsi="宋体" w:cs="宋体" w:eastAsia="宋体" w:hint="default"/>
          <w:spacing w:val="-2"/>
        </w:rPr>
        <w:t>2016</w:t>
      </w:r>
      <w:r>
        <w:rPr>
          <w:spacing w:val="-2"/>
        </w:rPr>
        <w:t>年公司即将电子产品包装作为公司业绩增长的下一个重要驱动，</w:t>
      </w:r>
      <w:r>
        <w:rPr>
          <w:w w:val="100"/>
        </w:rPr>
        <w:t> </w:t>
      </w:r>
      <w:r>
        <w:rPr>
          <w:spacing w:val="-2"/>
        </w:rPr>
        <w:t>随着</w:t>
      </w:r>
      <w:r>
        <w:rPr>
          <w:rFonts w:ascii="宋体" w:hAnsi="宋体" w:cs="宋体" w:eastAsia="宋体" w:hint="default"/>
          <w:spacing w:val="-2"/>
        </w:rPr>
        <w:t>2017</w:t>
      </w:r>
      <w:r>
        <w:rPr>
          <w:spacing w:val="-2"/>
        </w:rPr>
        <w:t>年在设备、人员、技术方面的日益完善，公司目前已与三星、中兴通讯等客户全面展开合作。作</w:t>
      </w:r>
      <w:r>
        <w:rPr>
          <w:spacing w:val="-85"/>
        </w:rPr>
        <w:t> </w:t>
      </w:r>
      <w:r>
        <w:rPr>
          <w:spacing w:val="-85"/>
        </w:rPr>
      </w:r>
      <w:r>
        <w:rPr>
          <w:spacing w:val="-2"/>
        </w:rPr>
        <w:t>为国家一带一路的起点城市，</w:t>
      </w:r>
      <w:r>
        <w:rPr>
          <w:rFonts w:ascii="宋体" w:hAnsi="宋体" w:cs="宋体" w:eastAsia="宋体" w:hint="default"/>
          <w:spacing w:val="-2"/>
        </w:rPr>
        <w:t>2017</w:t>
      </w:r>
      <w:r>
        <w:rPr>
          <w:spacing w:val="-2"/>
        </w:rPr>
        <w:t>年京东、阿里巴巴、腾讯等互联网巨头纷纷或落户西安或加大投资，西</w:t>
      </w:r>
      <w:r>
        <w:rPr>
          <w:spacing w:val="-83"/>
        </w:rPr>
        <w:t> </w:t>
      </w:r>
      <w:r>
        <w:rPr>
          <w:spacing w:val="-83"/>
        </w:rPr>
      </w:r>
      <w:r>
        <w:rPr>
          <w:spacing w:val="-2"/>
        </w:rPr>
        <w:t>安的电子产业集群正日渐形成，故公司也提前布局，以电子产业包装为发展契机，实现公司下一个发展战</w:t>
      </w:r>
    </w:p>
    <w:p>
      <w:pPr>
        <w:pStyle w:val="BodyText"/>
        <w:spacing w:line="240" w:lineRule="auto"/>
        <w:ind w:right="0"/>
        <w:jc w:val="left"/>
      </w:pPr>
      <w:r>
        <w:rPr/>
        <w:t>略目标。</w:t>
      </w:r>
    </w:p>
    <w:p>
      <w:pPr>
        <w:spacing w:line="240" w:lineRule="auto" w:before="10"/>
        <w:rPr>
          <w:rFonts w:ascii="宋体" w:hAnsi="宋体" w:cs="宋体" w:eastAsia="宋体" w:hint="default"/>
          <w:sz w:val="14"/>
          <w:szCs w:val="14"/>
        </w:rPr>
      </w:pPr>
    </w:p>
    <w:p>
      <w:pPr>
        <w:pStyle w:val="BodyText"/>
        <w:spacing w:line="408" w:lineRule="auto" w:before="0"/>
        <w:ind w:right="146" w:firstLine="420"/>
        <w:jc w:val="both"/>
      </w:pPr>
      <w:r>
        <w:rPr>
          <w:rFonts w:ascii="宋体" w:hAnsi="宋体" w:cs="宋体" w:eastAsia="宋体" w:hint="default"/>
          <w:spacing w:val="-2"/>
        </w:rPr>
        <w:t>3.</w:t>
      </w:r>
      <w:r>
        <w:rPr>
          <w:spacing w:val="-2"/>
        </w:rPr>
        <w:t>持续开拓消费品包装领域：随着国家消费升级、健康产业日益蓬勃发展，公司将持续开拓消费品包</w:t>
      </w:r>
      <w:r>
        <w:rPr>
          <w:w w:val="100"/>
        </w:rPr>
        <w:t> </w:t>
      </w:r>
      <w:r>
        <w:rPr/>
        <w:t>装领域。</w:t>
      </w:r>
    </w:p>
    <w:p>
      <w:pPr>
        <w:pStyle w:val="BodyText"/>
        <w:spacing w:line="408" w:lineRule="auto"/>
        <w:ind w:right="125" w:firstLine="420"/>
        <w:jc w:val="both"/>
      </w:pPr>
      <w:r>
        <w:rPr>
          <w:spacing w:val="-2"/>
        </w:rPr>
        <w:t>报告期内，公司经营模式未发生重大变化。公司一直积极关注本行业内上下游供应链管理，尝试在行</w:t>
      </w:r>
      <w:r>
        <w:rPr>
          <w:w w:val="100"/>
        </w:rPr>
        <w:t> </w:t>
      </w:r>
      <w:r>
        <w:rPr>
          <w:spacing w:val="-2"/>
        </w:rPr>
        <w:t>业供应链管理方面获得突破，提升经营效益。未来，公司将借助在医药包装行业的品牌优势及销售网络，</w:t>
      </w:r>
      <w:r>
        <w:rPr>
          <w:spacing w:val="-21"/>
        </w:rPr>
        <w:t> </w:t>
      </w:r>
      <w:r>
        <w:rPr>
          <w:spacing w:val="-21"/>
        </w:rPr>
      </w:r>
      <w:r>
        <w:rPr/>
        <w:t>积极拓展药品内包装材料领域，发挥市场协同效应，以期为客户创造更大价值。</w:t>
      </w:r>
    </w:p>
    <w:p>
      <w:pPr>
        <w:spacing w:line="240" w:lineRule="auto" w:before="3"/>
        <w:rPr>
          <w:rFonts w:ascii="宋体" w:hAnsi="宋体" w:cs="宋体" w:eastAsia="宋体" w:hint="default"/>
          <w:sz w:val="22"/>
          <w:szCs w:val="22"/>
        </w:rPr>
      </w:pPr>
    </w:p>
    <w:p>
      <w:pPr>
        <w:spacing w:line="350" w:lineRule="auto" w:before="0"/>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（二）行业发展与市场占有率</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公司作为传统医药包装企业，在医药包装领域始终占据领先地位。与国内知名的制药企业均保持</w:t>
      </w:r>
    </w:p>
    <w:p>
      <w:pPr>
        <w:pStyle w:val="BodyText"/>
        <w:spacing w:line="408" w:lineRule="auto" w:before="96"/>
        <w:ind w:right="148"/>
        <w:jc w:val="both"/>
      </w:pPr>
      <w:r>
        <w:rPr>
          <w:spacing w:val="-2"/>
        </w:rPr>
        <w:t>良好的合作关系，世界</w:t>
      </w:r>
      <w:r>
        <w:rPr>
          <w:rFonts w:ascii="宋体" w:hAnsi="宋体" w:cs="宋体" w:eastAsia="宋体" w:hint="default"/>
          <w:spacing w:val="-2"/>
        </w:rPr>
        <w:t>500</w:t>
      </w:r>
      <w:r>
        <w:rPr>
          <w:spacing w:val="-2"/>
        </w:rPr>
        <w:t>强中在华投资的制药企业（强生，辉瑞，罗氏，诺华，葛兰素史克，赛诺菲</w:t>
      </w:r>
      <w:r>
        <w:rPr>
          <w:rFonts w:ascii="宋体" w:hAnsi="宋体" w:cs="宋体" w:eastAsia="宋体" w:hint="default"/>
          <w:spacing w:val="-2"/>
        </w:rPr>
        <w:t>-</w:t>
      </w:r>
      <w:r>
        <w:rPr>
          <w:spacing w:val="-2"/>
        </w:rPr>
        <w:t>安</w:t>
      </w:r>
      <w:r>
        <w:rPr>
          <w:spacing w:val="-43"/>
        </w:rPr>
        <w:t> </w:t>
      </w:r>
      <w:r>
        <w:rPr>
          <w:spacing w:val="-2"/>
        </w:rPr>
        <w:t>万特，拜耳，阿斯利康，雅培，默克，礼来）中的</w:t>
      </w:r>
      <w:r>
        <w:rPr>
          <w:rFonts w:ascii="宋体" w:hAnsi="宋体" w:cs="宋体" w:eastAsia="宋体" w:hint="default"/>
          <w:spacing w:val="-2"/>
        </w:rPr>
        <w:t>65%</w:t>
      </w:r>
      <w:r>
        <w:rPr>
          <w:spacing w:val="-2"/>
        </w:rPr>
        <w:t>均与公司有合作，国内</w:t>
      </w:r>
      <w:r>
        <w:rPr>
          <w:rFonts w:ascii="宋体" w:hAnsi="宋体" w:cs="宋体" w:eastAsia="宋体" w:hint="default"/>
          <w:spacing w:val="-2"/>
        </w:rPr>
        <w:t>500</w:t>
      </w:r>
      <w:r>
        <w:rPr>
          <w:spacing w:val="-2"/>
        </w:rPr>
        <w:t>强企业中的制药企业与公</w:t>
      </w:r>
      <w:r>
        <w:rPr>
          <w:spacing w:val="-44"/>
        </w:rPr>
        <w:t> </w:t>
      </w:r>
      <w:r>
        <w:rPr>
          <w:spacing w:val="-44"/>
        </w:rPr>
      </w:r>
      <w:r>
        <w:rPr/>
        <w:t>司合作的占</w:t>
      </w:r>
      <w:r>
        <w:rPr>
          <w:rFonts w:ascii="宋体" w:hAnsi="宋体" w:cs="宋体" w:eastAsia="宋体" w:hint="default"/>
        </w:rPr>
        <w:t>50%</w:t>
      </w:r>
      <w:r>
        <w:rPr/>
        <w:t>。故作为公司主营业务的医药包装折叠纸盒也将迎来稳定的增长。</w:t>
      </w:r>
    </w:p>
    <w:p>
      <w:pPr>
        <w:spacing w:after="0" w:line="408" w:lineRule="auto"/>
        <w:jc w:val="both"/>
        <w:sectPr>
          <w:pgSz w:w="11910" w:h="16840"/>
          <w:pgMar w:header="852" w:footer="980" w:top="1500" w:bottom="1160" w:left="980" w:right="980"/>
        </w:sectPr>
      </w:pPr>
    </w:p>
    <w:p>
      <w:pPr>
        <w:spacing w:line="240" w:lineRule="auto" w:before="4"/>
        <w:rPr>
          <w:rFonts w:ascii="宋体" w:hAnsi="宋体" w:cs="宋体" w:eastAsia="宋体" w:hint="default"/>
          <w:sz w:val="8"/>
          <w:szCs w:val="8"/>
        </w:rPr>
      </w:pPr>
    </w:p>
    <w:p>
      <w:pPr>
        <w:spacing w:line="4875" w:lineRule="exact"/>
        <w:ind w:left="153" w:right="0" w:firstLine="0"/>
        <w:rPr>
          <w:rFonts w:ascii="宋体" w:hAnsi="宋体" w:cs="宋体" w:eastAsia="宋体" w:hint="default"/>
          <w:sz w:val="20"/>
          <w:szCs w:val="20"/>
        </w:rPr>
      </w:pPr>
      <w:r>
        <w:rPr>
          <w:rFonts w:ascii="宋体" w:hAnsi="宋体" w:cs="宋体" w:eastAsia="宋体" w:hint="default"/>
          <w:position w:val="-97"/>
          <w:sz w:val="20"/>
          <w:szCs w:val="20"/>
        </w:rPr>
        <w:drawing>
          <wp:inline distT="0" distB="0" distL="0" distR="0">
            <wp:extent cx="5277485" cy="30956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5277485" cy="3095625"/>
                    </a:xfrm>
                    <a:prstGeom prst="rect">
                      <a:avLst/>
                    </a:prstGeom>
                  </pic:spPr>
                </pic:pic>
              </a:graphicData>
            </a:graphic>
          </wp:inline>
        </w:drawing>
      </w:r>
      <w:r>
        <w:rPr>
          <w:rFonts w:ascii="宋体" w:hAnsi="宋体" w:cs="宋体" w:eastAsia="宋体" w:hint="default"/>
          <w:position w:val="-97"/>
          <w:sz w:val="20"/>
          <w:szCs w:val="20"/>
        </w:rPr>
      </w:r>
    </w:p>
    <w:p>
      <w:pPr>
        <w:spacing w:line="240" w:lineRule="auto" w:before="10"/>
        <w:rPr>
          <w:rFonts w:ascii="宋体" w:hAnsi="宋体" w:cs="宋体" w:eastAsia="宋体" w:hint="default"/>
          <w:sz w:val="6"/>
          <w:szCs w:val="6"/>
        </w:rPr>
      </w:pPr>
    </w:p>
    <w:p>
      <w:pPr>
        <w:pStyle w:val="BodyText"/>
        <w:spacing w:line="408" w:lineRule="auto" w:before="36"/>
        <w:ind w:right="0" w:firstLine="420"/>
        <w:jc w:val="left"/>
      </w:pPr>
      <w:r>
        <w:rPr/>
        <w:t>同时，公司大力布局电子产品包装产业及涉足消费品包装领域。自</w:t>
      </w:r>
      <w:r>
        <w:rPr>
          <w:rFonts w:ascii="宋体" w:hAnsi="宋体" w:cs="宋体" w:eastAsia="宋体" w:hint="default"/>
        </w:rPr>
        <w:t>2007</w:t>
      </w:r>
      <w:r>
        <w:rPr>
          <w:rFonts w:ascii="宋体" w:hAnsi="宋体" w:cs="宋体" w:eastAsia="宋体" w:hint="default"/>
          <w:spacing w:val="-3"/>
        </w:rPr>
        <w:t> </w:t>
      </w:r>
      <w:r>
        <w:rPr/>
        <w:t>年苹果发布第一代</w:t>
      </w:r>
      <w:r>
        <w:rPr>
          <w:rFonts w:ascii="宋体" w:hAnsi="宋体" w:cs="宋体" w:eastAsia="宋体" w:hint="default"/>
        </w:rPr>
        <w:t>iPhone</w:t>
      </w:r>
      <w:r>
        <w:rPr>
          <w:rFonts w:ascii="宋体" w:hAnsi="宋体" w:cs="宋体" w:eastAsia="宋体" w:hint="default"/>
          <w:w w:val="100"/>
        </w:rPr>
        <w:t> </w:t>
      </w:r>
      <w:r>
        <w:rPr>
          <w:spacing w:val="-2"/>
        </w:rPr>
        <w:t>以来，智能手机一直是电子行业主要增长驱动力，随着国产手机行业的日益成熟发展，目前国产手机的市</w:t>
      </w:r>
      <w:r>
        <w:rPr>
          <w:spacing w:val="-44"/>
        </w:rPr>
        <w:t> </w:t>
      </w:r>
      <w:r>
        <w:rPr>
          <w:spacing w:val="-44"/>
        </w:rPr>
      </w:r>
      <w:r>
        <w:rPr/>
        <w:t>场占有率已达到</w:t>
      </w:r>
      <w:r>
        <w:rPr>
          <w:rFonts w:ascii="宋体" w:hAnsi="宋体" w:cs="宋体" w:eastAsia="宋体" w:hint="default"/>
        </w:rPr>
        <w:t>76.8%</w:t>
      </w:r>
      <w:r>
        <w:rPr/>
        <w:t>，随着</w:t>
      </w:r>
      <w:r>
        <w:rPr>
          <w:rFonts w:ascii="宋体" w:hAnsi="宋体" w:cs="宋体" w:eastAsia="宋体" w:hint="default"/>
        </w:rPr>
        <w:t>5G</w:t>
      </w:r>
      <w:r>
        <w:rPr/>
        <w:t>时代的到来将再次推动智能终端等电子产品的升级发展，电子产品包装领</w:t>
      </w:r>
      <w:r>
        <w:rPr>
          <w:spacing w:val="-27"/>
        </w:rPr>
        <w:t> </w:t>
      </w:r>
      <w:r>
        <w:rPr>
          <w:spacing w:val="-27"/>
        </w:rPr>
      </w:r>
      <w:r>
        <w:rPr/>
        <w:t>域前景广阔，公司着眼于“西安高新区千亿级半导体产业集群”</w:t>
      </w:r>
      <w:r>
        <w:rPr>
          <w:spacing w:val="73"/>
        </w:rPr>
        <w:t> </w:t>
      </w:r>
      <w:r>
        <w:rPr/>
        <w:t>配套本地化，充分借助区位优势，与中</w:t>
      </w:r>
      <w:r>
        <w:rPr>
          <w:spacing w:val="-96"/>
        </w:rPr>
        <w:t> </w:t>
      </w:r>
      <w:r>
        <w:rPr>
          <w:spacing w:val="-96"/>
        </w:rPr>
      </w:r>
      <w:r>
        <w:rPr>
          <w:spacing w:val="-2"/>
        </w:rPr>
        <w:t>西部地区的电子厂商建立战略合作，为顾客提供更快捷的服务，目前已成为中西部地区电子产品包装领域</w:t>
      </w:r>
      <w:r>
        <w:rPr>
          <w:spacing w:val="-42"/>
        </w:rPr>
        <w:t> </w:t>
      </w:r>
      <w:r>
        <w:rPr>
          <w:spacing w:val="-42"/>
        </w:rPr>
      </w:r>
      <w:r>
        <w:rPr/>
        <w:t>的首选供应商。</w:t>
      </w:r>
    </w:p>
    <w:p>
      <w:pPr>
        <w:pStyle w:val="BodyText"/>
        <w:spacing w:line="403" w:lineRule="auto"/>
        <w:ind w:right="206" w:firstLine="420"/>
        <w:jc w:val="both"/>
      </w:pPr>
      <w:r>
        <w:rPr>
          <w:spacing w:val="-2"/>
        </w:rPr>
        <w:t>“当前，高新区正处于建设世界一流科技园区的新阶段。要实现突破式的发展，阶梯式的跃升，关键</w:t>
      </w:r>
      <w:r>
        <w:rPr>
          <w:w w:val="100"/>
        </w:rPr>
        <w:t> </w:t>
      </w:r>
      <w:r>
        <w:rPr>
          <w:spacing w:val="-2"/>
        </w:rPr>
        <w:t>在于把握机遇。高新区将围绕“聚焦‘三六九’，振兴大西安”的奋斗目标，实施“</w:t>
      </w:r>
      <w:r>
        <w:rPr>
          <w:rFonts w:ascii="宋体" w:hAnsi="宋体" w:cs="宋体" w:eastAsia="宋体" w:hint="default"/>
          <w:spacing w:val="-2"/>
        </w:rPr>
        <w:t>5882</w:t>
      </w:r>
      <w:r>
        <w:rPr>
          <w:spacing w:val="-2"/>
        </w:rPr>
        <w:t>”战略，启动三</w:t>
      </w:r>
      <w:r>
        <w:rPr>
          <w:spacing w:val="-39"/>
        </w:rPr>
        <w:t> </w:t>
      </w:r>
      <w:r>
        <w:rPr>
          <w:spacing w:val="-39"/>
        </w:rPr>
      </w:r>
      <w:r>
        <w:rPr>
          <w:spacing w:val="-2"/>
        </w:rPr>
        <w:t>次创业。“</w:t>
      </w:r>
      <w:r>
        <w:rPr>
          <w:rFonts w:ascii="宋体" w:hAnsi="宋体" w:cs="宋体" w:eastAsia="宋体" w:hint="default"/>
          <w:spacing w:val="-2"/>
        </w:rPr>
        <w:t>5882</w:t>
      </w:r>
      <w:r>
        <w:rPr>
          <w:spacing w:val="-2"/>
        </w:rPr>
        <w:t>”战略即围绕五大引领，实施八个百亿级强基工程、打造八个千亿级产业集群、实现两个</w:t>
      </w:r>
      <w:r>
        <w:rPr>
          <w:spacing w:val="-42"/>
        </w:rPr>
        <w:t> </w:t>
      </w:r>
      <w:r>
        <w:rPr>
          <w:spacing w:val="-42"/>
        </w:rPr>
      </w:r>
      <w:r>
        <w:rPr/>
        <w:t>万亿级目标，其中就包括百亿级战略性新兴产业基金工程，以及千亿级半导体产业集群。</w:t>
      </w:r>
      <w:r>
        <w:rPr>
          <w:spacing w:val="81"/>
        </w:rPr>
        <w:t> </w:t>
      </w:r>
      <w:r>
        <w:rPr/>
        <w:t>”</w:t>
      </w:r>
      <w:r>
        <w:rPr>
          <w:rFonts w:ascii="Times New Roman" w:hAnsi="Times New Roman" w:cs="Times New Roman" w:eastAsia="Times New Roman" w:hint="default"/>
        </w:rPr>
        <w:t>——</w:t>
      </w:r>
      <w:r>
        <w:rPr/>
        <w:t>摘自西</w:t>
      </w:r>
      <w:r>
        <w:rPr>
          <w:spacing w:val="-103"/>
        </w:rPr>
        <w:t> </w:t>
      </w:r>
      <w:r>
        <w:rPr>
          <w:spacing w:val="-103"/>
        </w:rPr>
      </w:r>
      <w:r>
        <w:rPr/>
        <w:t>安高新区管理委员会官方网站。</w:t>
      </w:r>
    </w:p>
    <w:p>
      <w:pPr>
        <w:pStyle w:val="BodyText"/>
        <w:spacing w:line="408" w:lineRule="auto" w:before="50"/>
        <w:ind w:right="0" w:firstLine="420"/>
        <w:jc w:val="left"/>
      </w:pPr>
      <w:r>
        <w:rPr>
          <w:spacing w:val="-5"/>
        </w:rPr>
        <w:t>消费品包装是公司将持续开拓的新业务领域。构建美好生活，全面实现小康是十九大开篇的重大目标。</w:t>
      </w:r>
      <w:r>
        <w:rPr>
          <w:w w:val="100"/>
        </w:rPr>
        <w:t> </w:t>
      </w:r>
      <w:r>
        <w:rPr/>
        <w:t>随着国民生活质量的不断提高，消费升级已是必然趋势，相关的消费品产业（大健康产品、食品、饮品、</w:t>
      </w:r>
      <w:r>
        <w:rPr>
          <w:spacing w:val="-3"/>
          <w:w w:val="100"/>
        </w:rPr>
        <w:t> </w:t>
      </w:r>
      <w:r>
        <w:rPr>
          <w:spacing w:val="-2"/>
        </w:rPr>
        <w:t>化妆品及其他快速消费品）必将蓬勃发展。公司的管理、营销、设备、技术、生产经验等都符合该领域的</w:t>
      </w:r>
      <w:r>
        <w:rPr>
          <w:spacing w:val="-41"/>
        </w:rPr>
        <w:t> </w:t>
      </w:r>
      <w:r>
        <w:rPr>
          <w:spacing w:val="-41"/>
        </w:rPr>
      </w:r>
      <w:r>
        <w:rPr/>
        <w:t>产品包装需求，未来公司将在全国范围内对该领域进行布局。</w:t>
      </w:r>
    </w:p>
    <w:p>
      <w:pPr>
        <w:spacing w:after="0" w:line="408" w:lineRule="auto"/>
        <w:jc w:val="left"/>
        <w:sectPr>
          <w:pgSz w:w="11910" w:h="16840"/>
          <w:pgMar w:header="852" w:footer="980" w:top="1500" w:bottom="1160" w:left="980" w:right="920"/>
        </w:sectPr>
      </w:pPr>
    </w:p>
    <w:p>
      <w:pPr>
        <w:pStyle w:val="Heading2"/>
        <w:spacing w:line="355" w:lineRule="exact"/>
        <w:ind w:right="0"/>
        <w:jc w:val="left"/>
        <w:rPr>
          <w:b w:val="0"/>
          <w:bCs w:val="0"/>
        </w:rPr>
      </w:pPr>
      <w:r>
        <w:rPr/>
        <w:pict>
          <v:group style="position:absolute;margin-left:55.200001pt;margin-top:2.202064pt;width:484.9pt;height:.1pt;mso-position-horizontal-relative:page;mso-position-vertical-relative:paragraph;z-index:-755656" coordorigin="1104,44" coordsize="9698,2">
            <v:shape style="position:absolute;left:1104;top:44;width:9698;height:2" coordorigin="1104,44" coordsize="9698,0" path="m1104,44l10802,44e" filled="false" stroked="true" strokeweight=".72pt" strokecolor="#000000">
              <v:path arrowok="t"/>
            </v:shape>
            <w10:wrap type="none"/>
          </v:group>
        </w:pict>
      </w:r>
      <w:r>
        <w:rPr/>
        <w:t>二、主要资产重大变化情况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408" w:lineRule="auto" w:before="0"/>
        <w:ind w:right="0" w:firstLine="420"/>
        <w:jc w:val="left"/>
      </w:pPr>
      <w:r>
        <w:rPr/>
        <w:t>期末余额占公司总资产</w:t>
      </w:r>
      <w:r>
        <w:rPr>
          <w:spacing w:val="-12"/>
        </w:rPr>
        <w:t> </w:t>
      </w:r>
      <w:r>
        <w:rPr>
          <w:rFonts w:ascii="宋体" w:hAnsi="宋体" w:cs="宋体" w:eastAsia="宋体" w:hint="default"/>
          <w:spacing w:val="-4"/>
        </w:rPr>
        <w:t>5%</w:t>
      </w:r>
      <w:r>
        <w:rPr>
          <w:spacing w:val="-4"/>
        </w:rPr>
        <w:t>以上的主要资产包括货币资金、应收账款、存货、长期股权投资、固定资产</w:t>
      </w:r>
      <w:r>
        <w:rPr>
          <w:w w:val="100"/>
        </w:rPr>
        <w:t> </w:t>
      </w:r>
      <w:r>
        <w:rPr/>
        <w:t>等。</w:t>
      </w: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6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13334.86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18.92%</w:t>
            </w:r>
            <w:r>
              <w:rPr>
                <w:rFonts w:ascii="宋体" w:hAnsi="宋体" w:cs="宋体" w:eastAsia="宋体" w:hint="default"/>
                <w:sz w:val="18"/>
                <w:szCs w:val="18"/>
              </w:rPr>
              <w:t>，增幅属正常范围内。</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12426.81 </w:t>
            </w:r>
            <w:r>
              <w:rPr>
                <w:rFonts w:ascii="宋体" w:hAnsi="宋体" w:cs="宋体" w:eastAsia="宋体" w:hint="default"/>
                <w:sz w:val="18"/>
                <w:szCs w:val="18"/>
              </w:rPr>
              <w:t>万元，增幅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2.02%</w:t>
            </w:r>
            <w:r>
              <w:rPr>
                <w:rFonts w:ascii="宋体" w:hAnsi="宋体" w:cs="宋体" w:eastAsia="宋体" w:hint="default"/>
                <w:sz w:val="18"/>
                <w:szCs w:val="18"/>
              </w:rPr>
              <w:t>，报告期无显著变动。</w:t>
            </w: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8695.44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27.92%</w:t>
            </w:r>
            <w:r>
              <w:rPr>
                <w:rFonts w:ascii="宋体" w:hAnsi="宋体" w:cs="宋体" w:eastAsia="宋体" w:hint="default"/>
                <w:sz w:val="18"/>
                <w:szCs w:val="18"/>
              </w:rPr>
              <w:t>，主要为原材料涨价及备货。</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26427.16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w:t>
            </w:r>
            <w:r>
              <w:rPr>
                <w:rFonts w:ascii="宋体" w:hAnsi="宋体" w:cs="宋体" w:eastAsia="宋体" w:hint="default"/>
                <w:sz w:val="18"/>
                <w:szCs w:val="18"/>
              </w:rPr>
              <w:t>，报告期无显著变动。</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2718.85 </w:t>
            </w:r>
            <w:r>
              <w:rPr>
                <w:rFonts w:ascii="宋体" w:hAnsi="宋体" w:cs="宋体" w:eastAsia="宋体" w:hint="default"/>
                <w:sz w:val="18"/>
                <w:szCs w:val="18"/>
              </w:rPr>
              <w:t>万元，降幅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w:t>
            </w:r>
            <w:r>
              <w:rPr>
                <w:rFonts w:ascii="宋体" w:hAnsi="宋体" w:cs="宋体" w:eastAsia="宋体" w:hint="default"/>
                <w:sz w:val="18"/>
                <w:szCs w:val="18"/>
              </w:rPr>
              <w:t>，报告期无显著变动。</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2291.54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万元，降幅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14.26%</w:t>
            </w:r>
            <w:r>
              <w:rPr>
                <w:rFonts w:ascii="宋体" w:hAnsi="宋体" w:cs="宋体" w:eastAsia="宋体" w:hint="default"/>
                <w:sz w:val="18"/>
                <w:szCs w:val="18"/>
              </w:rPr>
              <w:t>，增幅属正常范围内。</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6613.31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万元，增幅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62.49%</w:t>
            </w:r>
            <w:r>
              <w:rPr>
                <w:rFonts w:ascii="宋体" w:hAnsi="宋体" w:cs="宋体" w:eastAsia="宋体" w:hint="default"/>
                <w:sz w:val="18"/>
                <w:szCs w:val="18"/>
              </w:rPr>
              <w:t>，主要为报告期参股上海久旭环保科技股份有 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12"/>
        <w:rPr>
          <w:rFonts w:ascii="宋体" w:hAnsi="宋体" w:cs="宋体" w:eastAsia="宋体" w:hint="default"/>
          <w:sz w:val="20"/>
          <w:szCs w:val="20"/>
        </w:rPr>
      </w:pPr>
    </w:p>
    <w:p>
      <w:pPr>
        <w:pStyle w:val="Heading3"/>
        <w:spacing w:line="335" w:lineRule="exact"/>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三、核心竞争力分析</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08" w:lineRule="auto" w:before="0"/>
        <w:ind w:right="0" w:firstLine="480"/>
        <w:jc w:val="left"/>
      </w:pPr>
      <w:r>
        <w:rPr>
          <w:spacing w:val="-2"/>
        </w:rPr>
        <w:t>报告期内，公司紧密围绕主营业务，增效提质，并积极调整产业结构，促进各项改革措施有效落实，</w:t>
      </w:r>
      <w:r>
        <w:rPr>
          <w:w w:val="100"/>
        </w:rPr>
        <w:t> </w:t>
      </w:r>
      <w:r>
        <w:rPr/>
        <w:t>不断提高公司核心竞争力。公司竞争优势主要体现在以下几个方面：</w:t>
      </w:r>
    </w:p>
    <w:p>
      <w:pPr>
        <w:pStyle w:val="Heading3"/>
        <w:spacing w:line="345" w:lineRule="exact"/>
        <w:ind w:left="758" w:right="0"/>
        <w:jc w:val="left"/>
        <w:rPr>
          <w:b w:val="0"/>
          <w:bCs w:val="0"/>
        </w:rPr>
      </w:pPr>
      <w:r>
        <w:rPr>
          <w:rFonts w:ascii="Arial" w:hAnsi="Arial" w:cs="Arial" w:eastAsia="Arial" w:hint="default"/>
          <w:w w:val="105"/>
        </w:rPr>
        <w:t>1.</w:t>
      </w:r>
      <w:r>
        <w:rPr>
          <w:w w:val="105"/>
        </w:rPr>
        <w:t>品牌优势</w:t>
      </w:r>
      <w:r>
        <w:rPr>
          <w:b w:val="0"/>
          <w:bCs w:val="0"/>
          <w:w w:val="105"/>
        </w:rPr>
      </w:r>
    </w:p>
    <w:p>
      <w:pPr>
        <w:pStyle w:val="BodyText"/>
        <w:spacing w:line="408" w:lineRule="auto" w:before="169"/>
        <w:ind w:right="0" w:firstLine="420"/>
        <w:jc w:val="left"/>
      </w:pPr>
      <w:r>
        <w:rPr/>
        <w:t>公司自成立至今，一直深耕医药包装折叠纸盒和包装服务，基本实现了医药行业客户的全面覆</w:t>
      </w:r>
      <w:r>
        <w:rPr>
          <w:w w:val="100"/>
        </w:rPr>
        <w:t> </w:t>
      </w:r>
      <w:r>
        <w:rPr>
          <w:spacing w:val="-2"/>
        </w:rPr>
        <w:t>盖，其中的世界</w:t>
      </w:r>
      <w:r>
        <w:rPr>
          <w:rFonts w:ascii="宋体" w:hAnsi="宋体" w:cs="宋体" w:eastAsia="宋体" w:hint="default"/>
          <w:spacing w:val="-2"/>
        </w:rPr>
        <w:t>500</w:t>
      </w:r>
      <w:r>
        <w:rPr>
          <w:spacing w:val="-2"/>
        </w:rPr>
        <w:t>强企业中的</w:t>
      </w:r>
      <w:r>
        <w:rPr>
          <w:rFonts w:ascii="宋体" w:hAnsi="宋体" w:cs="宋体" w:eastAsia="宋体" w:hint="default"/>
          <w:spacing w:val="-2"/>
        </w:rPr>
        <w:t>13</w:t>
      </w:r>
      <w:r>
        <w:rPr>
          <w:spacing w:val="-2"/>
        </w:rPr>
        <w:t>家外资药企，有</w:t>
      </w:r>
      <w:r>
        <w:rPr>
          <w:rFonts w:ascii="宋体" w:hAnsi="宋体" w:cs="宋体" w:eastAsia="宋体" w:hint="default"/>
          <w:spacing w:val="-2"/>
        </w:rPr>
        <w:t>7</w:t>
      </w:r>
      <w:r>
        <w:rPr>
          <w:spacing w:val="-2"/>
        </w:rPr>
        <w:t>家与公司有长期稳固的业务合作关系，尤其在对全球知</w:t>
      </w:r>
      <w:r>
        <w:rPr>
          <w:spacing w:val="-40"/>
        </w:rPr>
        <w:t> </w:t>
      </w:r>
      <w:r>
        <w:rPr>
          <w:spacing w:val="-40"/>
        </w:rPr>
      </w:r>
      <w:r>
        <w:rPr>
          <w:spacing w:val="-2"/>
        </w:rPr>
        <w:t>名药企、国内医药纸盒产品高速自动包装线的供应中占据显著的市场地位。公司积极实施品牌战略，经过</w:t>
      </w:r>
      <w:r>
        <w:rPr>
          <w:spacing w:val="-42"/>
        </w:rPr>
        <w:t> </w:t>
      </w:r>
      <w:r>
        <w:rPr>
          <w:spacing w:val="-42"/>
        </w:rPr>
      </w:r>
      <w:r>
        <w:rPr>
          <w:spacing w:val="-2"/>
        </w:rPr>
        <w:t>多年的品牌经营与维护，树立了药企认知度高、专业突出的品牌形象。医药包装折叠纸盒系列产品被陕西</w:t>
      </w:r>
      <w:r>
        <w:rPr>
          <w:spacing w:val="-43"/>
        </w:rPr>
        <w:t> </w:t>
      </w:r>
      <w:r>
        <w:rPr>
          <w:spacing w:val="-43"/>
        </w:rPr>
      </w:r>
      <w:r>
        <w:rPr/>
        <w:t>省名牌办授予“陕西省名牌”称号；西安市名牌办授予“西安市名牌” 称号；</w:t>
      </w:r>
      <w:r>
        <w:rPr>
          <w:spacing w:val="-33"/>
        </w:rPr>
        <w:t> </w:t>
      </w:r>
      <w:r>
        <w:rPr/>
        <w:t>“环球印务”商标被陕西</w:t>
      </w:r>
      <w:r>
        <w:rPr>
          <w:w w:val="100"/>
        </w:rPr>
        <w:t> </w:t>
      </w:r>
      <w:r>
        <w:rPr/>
        <w:t>省工商局、西安市工商局授予“省著名商标”、“市著名商标”。</w:t>
      </w:r>
    </w:p>
    <w:p>
      <w:pPr>
        <w:pStyle w:val="Heading3"/>
        <w:spacing w:line="345" w:lineRule="exact"/>
        <w:ind w:left="729" w:right="0"/>
        <w:jc w:val="left"/>
        <w:rPr>
          <w:b w:val="0"/>
          <w:bCs w:val="0"/>
        </w:rPr>
      </w:pPr>
      <w:r>
        <w:rPr>
          <w:rFonts w:ascii="Arial" w:hAnsi="Arial" w:cs="Arial" w:eastAsia="Arial" w:hint="default"/>
          <w:w w:val="105"/>
        </w:rPr>
        <w:t>2.</w:t>
      </w:r>
      <w:r>
        <w:rPr>
          <w:w w:val="105"/>
        </w:rPr>
        <w:t>生产规模优势</w:t>
      </w:r>
      <w:r>
        <w:rPr>
          <w:b w:val="0"/>
          <w:bCs w:val="0"/>
          <w:w w:val="105"/>
        </w:rPr>
      </w:r>
    </w:p>
    <w:p>
      <w:pPr>
        <w:pStyle w:val="BodyText"/>
        <w:spacing w:line="408" w:lineRule="auto" w:before="169"/>
        <w:ind w:right="0" w:firstLine="526"/>
        <w:jc w:val="left"/>
      </w:pPr>
      <w:r>
        <w:rPr>
          <w:spacing w:val="-2"/>
        </w:rPr>
        <w:t>公司在医药折叠纸盒包装行业已经有多年的发展历史，通过区域化布局，以西安四个生产基地为主，</w:t>
      </w:r>
      <w:r>
        <w:rPr>
          <w:w w:val="100"/>
        </w:rPr>
        <w:t> </w:t>
      </w:r>
      <w:r>
        <w:rPr>
          <w:spacing w:val="-2"/>
        </w:rPr>
        <w:t>布局天津生产基地，具备快速响应市场和客户灾备计划管理的竞争优势。同时公司积极向产业供应链上下</w:t>
      </w:r>
    </w:p>
    <w:p>
      <w:pPr>
        <w:spacing w:after="0" w:line="408" w:lineRule="auto"/>
        <w:jc w:val="left"/>
        <w:sectPr>
          <w:pgSz w:w="11910" w:h="16840"/>
          <w:pgMar w:header="852" w:footer="980" w:top="150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59"/>
        <w:ind w:right="206"/>
        <w:jc w:val="both"/>
      </w:pPr>
      <w:r>
        <w:rPr>
          <w:spacing w:val="-2"/>
        </w:rPr>
        <w:t>游延伸，形成以医药包装折叠纸盒为主，药品说明书、标签，药用铝管、药用塑料内包材，以及外包装用</w:t>
      </w:r>
      <w:r>
        <w:rPr>
          <w:spacing w:val="-45"/>
        </w:rPr>
        <w:t> </w:t>
      </w:r>
      <w:r>
        <w:rPr>
          <w:spacing w:val="-45"/>
        </w:rPr>
      </w:r>
      <w:r>
        <w:rPr>
          <w:spacing w:val="-2"/>
        </w:rPr>
        <w:t>纸箱等产品。公司拥有海德堡、博斯特等全球领先生产设备和国内领先的规模化生产加工能力。公司生产</w:t>
      </w:r>
      <w:r>
        <w:rPr>
          <w:spacing w:val="-43"/>
        </w:rPr>
        <w:t> </w:t>
      </w:r>
      <w:r>
        <w:rPr>
          <w:spacing w:val="-43"/>
        </w:rPr>
      </w:r>
      <w:r>
        <w:rPr>
          <w:spacing w:val="-2"/>
        </w:rPr>
        <w:t>规模迅速发展壮大，大大提高了公司抵御风险的能力：首先，规模优势提高了公司在原纸等材料采购中的</w:t>
      </w:r>
      <w:r>
        <w:rPr>
          <w:spacing w:val="-43"/>
        </w:rPr>
        <w:t> </w:t>
      </w:r>
      <w:r>
        <w:rPr>
          <w:spacing w:val="-43"/>
        </w:rPr>
      </w:r>
      <w:r>
        <w:rPr>
          <w:spacing w:val="-2"/>
        </w:rPr>
        <w:t>议价能力，有利于控制和降低生产成本；其次，规模优势使公司研发、采购、生产、销售以及服务等各个</w:t>
      </w:r>
      <w:r>
        <w:rPr>
          <w:spacing w:val="-42"/>
        </w:rPr>
        <w:t> </w:t>
      </w:r>
      <w:r>
        <w:rPr>
          <w:spacing w:val="-42"/>
        </w:rPr>
      </w:r>
      <w:r>
        <w:rPr>
          <w:spacing w:val="-2"/>
        </w:rPr>
        <w:t>环节协同效应高，在快速满足客户需求上具有明显优势；第三，规模优势使得公司能够对客户可提供全面</w:t>
      </w:r>
      <w:r>
        <w:rPr>
          <w:spacing w:val="-44"/>
        </w:rPr>
        <w:t> </w:t>
      </w:r>
      <w:r>
        <w:rPr>
          <w:spacing w:val="-44"/>
        </w:rPr>
      </w:r>
      <w:r>
        <w:rPr/>
        <w:t>的药用包材系列产品，并满足药企集团化、区域化生产基地的供应保证。</w:t>
      </w:r>
    </w:p>
    <w:p>
      <w:pPr>
        <w:pStyle w:val="Heading3"/>
        <w:spacing w:line="345" w:lineRule="exact"/>
        <w:ind w:left="758" w:right="0"/>
        <w:jc w:val="left"/>
        <w:rPr>
          <w:b w:val="0"/>
          <w:bCs w:val="0"/>
        </w:rPr>
      </w:pPr>
      <w:r>
        <w:rPr>
          <w:rFonts w:ascii="Arial" w:hAnsi="Arial" w:cs="Arial" w:eastAsia="Arial" w:hint="default"/>
          <w:w w:val="105"/>
        </w:rPr>
        <w:t>3.</w:t>
      </w:r>
      <w:r>
        <w:rPr>
          <w:w w:val="105"/>
        </w:rPr>
        <w:t>技术、创新优势</w:t>
      </w:r>
      <w:r>
        <w:rPr>
          <w:b w:val="0"/>
          <w:bCs w:val="0"/>
          <w:w w:val="105"/>
        </w:rPr>
      </w:r>
    </w:p>
    <w:p>
      <w:pPr>
        <w:pStyle w:val="BodyText"/>
        <w:spacing w:line="408" w:lineRule="auto" w:before="169"/>
        <w:ind w:right="0" w:firstLine="394"/>
        <w:jc w:val="left"/>
      </w:pPr>
      <w:r>
        <w:rPr/>
        <w:t>公司作为医药包装折叠纸盒行业的标准制定者，以及防伪行业“十强”企业，在行业内具有技术研发</w:t>
      </w:r>
      <w:r>
        <w:rPr>
          <w:w w:val="100"/>
        </w:rPr>
        <w:t> </w:t>
      </w:r>
      <w:r>
        <w:rPr/>
        <w:t>和品牌效应的竞争优势。公司（含合并报表范围内子公司）新申请专利</w:t>
      </w:r>
      <w:r>
        <w:rPr>
          <w:rFonts w:ascii="宋体" w:hAnsi="宋体" w:cs="宋体" w:eastAsia="宋体" w:hint="default"/>
        </w:rPr>
        <w:t>11</w:t>
      </w:r>
      <w:r>
        <w:rPr/>
        <w:t>项，其中发明专利</w:t>
      </w:r>
      <w:r>
        <w:rPr>
          <w:rFonts w:ascii="宋体" w:hAnsi="宋体" w:cs="宋体" w:eastAsia="宋体" w:hint="default"/>
        </w:rPr>
        <w:t>1</w:t>
      </w:r>
      <w:r>
        <w:rPr/>
        <w:t>项，实用新</w:t>
      </w:r>
      <w:r>
        <w:rPr>
          <w:spacing w:val="-20"/>
        </w:rPr>
        <w:t> </w:t>
      </w:r>
      <w:r>
        <w:rPr>
          <w:spacing w:val="-20"/>
        </w:rPr>
      </w:r>
      <w:r>
        <w:rPr>
          <w:spacing w:val="-2"/>
        </w:rPr>
        <w:t>型专利</w:t>
      </w:r>
      <w:r>
        <w:rPr>
          <w:rFonts w:ascii="宋体" w:hAnsi="宋体" w:cs="宋体" w:eastAsia="宋体" w:hint="default"/>
          <w:spacing w:val="-2"/>
        </w:rPr>
        <w:t>10</w:t>
      </w:r>
      <w:r>
        <w:rPr>
          <w:spacing w:val="-2"/>
        </w:rPr>
        <w:t>项；截至本报告期末，公司（含合并报表范围内子公司）已累计获得专利授权</w:t>
      </w:r>
      <w:r>
        <w:rPr>
          <w:rFonts w:ascii="宋体" w:hAnsi="宋体" w:cs="宋体" w:eastAsia="宋体" w:hint="default"/>
          <w:spacing w:val="-2"/>
        </w:rPr>
        <w:t>50</w:t>
      </w:r>
      <w:r>
        <w:rPr>
          <w:spacing w:val="-2"/>
        </w:rPr>
        <w:t>项，其中发明专</w:t>
      </w:r>
      <w:r>
        <w:rPr>
          <w:spacing w:val="-37"/>
        </w:rPr>
        <w:t> </w:t>
      </w:r>
      <w:r>
        <w:rPr>
          <w:spacing w:val="-37"/>
        </w:rPr>
      </w:r>
      <w:r>
        <w:rPr/>
        <w:t>利</w:t>
      </w:r>
      <w:r>
        <w:rPr>
          <w:rFonts w:ascii="宋体" w:hAnsi="宋体" w:cs="宋体" w:eastAsia="宋体" w:hint="default"/>
        </w:rPr>
        <w:t>2</w:t>
      </w:r>
      <w:r>
        <w:rPr/>
        <w:t>项，外观设计</w:t>
      </w:r>
      <w:r>
        <w:rPr>
          <w:rFonts w:ascii="宋体" w:hAnsi="宋体" w:cs="宋体" w:eastAsia="宋体" w:hint="default"/>
        </w:rPr>
        <w:t>2</w:t>
      </w:r>
      <w:r>
        <w:rPr/>
        <w:t>项；已获得计算机软件著作权</w:t>
      </w:r>
      <w:r>
        <w:rPr>
          <w:rFonts w:ascii="宋体" w:hAnsi="宋体" w:cs="宋体" w:eastAsia="宋体" w:hint="default"/>
        </w:rPr>
        <w:t>9</w:t>
      </w:r>
      <w:r>
        <w:rPr/>
        <w:t>项，继续保持了行业中的领先地位。公司先后与北京北</w:t>
      </w:r>
      <w:r>
        <w:rPr>
          <w:spacing w:val="-24"/>
        </w:rPr>
        <w:t> </w:t>
      </w:r>
      <w:r>
        <w:rPr>
          <w:spacing w:val="-24"/>
        </w:rPr>
      </w:r>
      <w:r>
        <w:rPr>
          <w:spacing w:val="-2"/>
        </w:rPr>
        <w:t>大方正电子有限公司、北京大恒图像视觉有限公司、天津长荣印刷设备股份有限公司达成合作，有利于公</w:t>
      </w:r>
      <w:r>
        <w:rPr>
          <w:spacing w:val="-43"/>
        </w:rPr>
        <w:t> </w:t>
      </w:r>
      <w:r>
        <w:rPr>
          <w:spacing w:val="-43"/>
        </w:rPr>
      </w:r>
      <w:r>
        <w:rPr>
          <w:spacing w:val="-5"/>
        </w:rPr>
        <w:t>司生产研发技术的创新升级。基于公司的研发能力，围绕公司向电子消费品包装、大健康包装、食品包装、</w:t>
      </w:r>
      <w:r>
        <w:rPr>
          <w:spacing w:val="-10"/>
        </w:rPr>
        <w:t> </w:t>
      </w:r>
      <w:r>
        <w:rPr>
          <w:spacing w:val="-10"/>
        </w:rPr>
      </w:r>
      <w:r>
        <w:rPr>
          <w:spacing w:val="-2"/>
        </w:rPr>
        <w:t>化妆品包装等领域拓展的发展战略，公司在新市场领域的研发设计、生产技术方面取得了关键性突破，为</w:t>
      </w:r>
      <w:r>
        <w:rPr>
          <w:spacing w:val="-44"/>
        </w:rPr>
        <w:t> </w:t>
      </w:r>
      <w:r>
        <w:rPr>
          <w:spacing w:val="-44"/>
        </w:rPr>
      </w:r>
      <w:r>
        <w:rPr/>
        <w:t>大规模、批量化新市场领域的包装产品的生产取得了西北区域的先发优势。</w:t>
      </w:r>
    </w:p>
    <w:p>
      <w:pPr>
        <w:pStyle w:val="Heading3"/>
        <w:spacing w:line="345" w:lineRule="exact"/>
        <w:ind w:left="594" w:right="0"/>
        <w:jc w:val="left"/>
        <w:rPr>
          <w:b w:val="0"/>
          <w:bCs w:val="0"/>
        </w:rPr>
      </w:pPr>
      <w:r>
        <w:rPr>
          <w:rFonts w:ascii="Arial" w:hAnsi="Arial" w:cs="Arial" w:eastAsia="Arial" w:hint="default"/>
          <w:w w:val="105"/>
        </w:rPr>
        <w:t>4.</w:t>
      </w:r>
      <w:r>
        <w:rPr>
          <w:w w:val="105"/>
        </w:rPr>
        <w:t>管理优势</w:t>
      </w:r>
      <w:r>
        <w:rPr>
          <w:b w:val="0"/>
          <w:bCs w:val="0"/>
          <w:w w:val="105"/>
        </w:rPr>
      </w:r>
    </w:p>
    <w:p>
      <w:pPr>
        <w:pStyle w:val="BodyText"/>
        <w:spacing w:line="408" w:lineRule="auto" w:before="169"/>
        <w:ind w:left="212" w:right="0" w:firstLine="427"/>
        <w:jc w:val="left"/>
      </w:pPr>
      <w:r>
        <w:rPr>
          <w:spacing w:val="-4"/>
        </w:rPr>
        <w:t>随着公司的发展，凝聚了一批具有较高忠诚度、专业性和开拓性的高层经营管理团队、核心技术人员</w:t>
      </w:r>
      <w:r>
        <w:rPr>
          <w:w w:val="100"/>
        </w:rPr>
        <w:t> </w:t>
      </w:r>
      <w:r>
        <w:rPr/>
        <w:t>和市场销售人员，人才优势明显。经过多年的不断完善，公司建立了完善的新版</w:t>
      </w:r>
      <w:r>
        <w:rPr>
          <w:rFonts w:ascii="宋体" w:hAnsi="宋体" w:cs="宋体" w:eastAsia="宋体" w:hint="default"/>
        </w:rPr>
        <w:t>ISO</w:t>
      </w:r>
      <w:r>
        <w:rPr>
          <w:rFonts w:ascii="宋体" w:hAnsi="宋体" w:cs="宋体" w:eastAsia="宋体" w:hint="default"/>
          <w:spacing w:val="-6"/>
        </w:rPr>
        <w:t> </w:t>
      </w:r>
      <w:r>
        <w:rPr>
          <w:rFonts w:ascii="宋体" w:hAnsi="宋体" w:cs="宋体" w:eastAsia="宋体" w:hint="default"/>
        </w:rPr>
        <w:t>9001</w:t>
      </w:r>
      <w:r>
        <w:rPr/>
        <w:t>质量管理体系，</w:t>
      </w:r>
      <w:r>
        <w:rPr>
          <w:w w:val="100"/>
        </w:rPr>
        <w:t> </w:t>
      </w:r>
      <w:r>
        <w:rPr/>
        <w:t>以及</w:t>
      </w:r>
      <w:r>
        <w:rPr>
          <w:rFonts w:ascii="宋体" w:hAnsi="宋体" w:cs="宋体" w:eastAsia="宋体" w:hint="default"/>
        </w:rPr>
        <w:t>ISO</w:t>
      </w:r>
      <w:r>
        <w:rPr>
          <w:rFonts w:ascii="宋体" w:hAnsi="宋体" w:cs="宋体" w:eastAsia="宋体" w:hint="default"/>
          <w:spacing w:val="-22"/>
        </w:rPr>
        <w:t> </w:t>
      </w:r>
      <w:r>
        <w:rPr>
          <w:rFonts w:ascii="宋体" w:hAnsi="宋体" w:cs="宋体" w:eastAsia="宋体" w:hint="default"/>
          <w:spacing w:val="-6"/>
        </w:rPr>
        <w:t>14001</w:t>
      </w:r>
      <w:r>
        <w:rPr>
          <w:spacing w:val="-6"/>
        </w:rPr>
        <w:t>环境保护、</w:t>
      </w:r>
      <w:r>
        <w:rPr>
          <w:rFonts w:ascii="宋体" w:hAnsi="宋体" w:cs="宋体" w:eastAsia="宋体" w:hint="default"/>
          <w:spacing w:val="-6"/>
        </w:rPr>
        <w:t>OHSAS</w:t>
      </w:r>
      <w:r>
        <w:rPr>
          <w:rFonts w:ascii="宋体" w:hAnsi="宋体" w:cs="宋体" w:eastAsia="宋体" w:hint="default"/>
          <w:spacing w:val="-22"/>
        </w:rPr>
        <w:t> </w:t>
      </w:r>
      <w:r>
        <w:rPr>
          <w:rFonts w:ascii="宋体" w:hAnsi="宋体" w:cs="宋体" w:eastAsia="宋体" w:hint="default"/>
          <w:spacing w:val="-5"/>
        </w:rPr>
        <w:t>18001</w:t>
      </w:r>
      <w:r>
        <w:rPr>
          <w:spacing w:val="-5"/>
        </w:rPr>
        <w:t>职业健康安全管理体系，这三个管理体系通过了英国标准组织（</w:t>
      </w:r>
      <w:r>
        <w:rPr>
          <w:rFonts w:ascii="宋体" w:hAnsi="宋体" w:cs="宋体" w:eastAsia="宋体" w:hint="default"/>
          <w:spacing w:val="-5"/>
        </w:rPr>
        <w:t>BSI</w:t>
      </w:r>
      <w:r>
        <w:rPr>
          <w:spacing w:val="-5"/>
        </w:rPr>
        <w:t>）</w:t>
      </w:r>
      <w:r>
        <w:rPr>
          <w:spacing w:val="-91"/>
        </w:rPr>
        <w:t> </w:t>
      </w:r>
      <w:r>
        <w:rPr>
          <w:spacing w:val="-4"/>
        </w:rPr>
        <w:t>认证。并建立了 </w:t>
      </w:r>
      <w:r>
        <w:rPr>
          <w:spacing w:val="-3"/>
        </w:rPr>
        <w:t>“</w:t>
      </w:r>
      <w:r>
        <w:rPr>
          <w:rFonts w:ascii="宋体" w:hAnsi="宋体" w:cs="宋体" w:eastAsia="宋体" w:hint="default"/>
          <w:spacing w:val="-3"/>
        </w:rPr>
        <w:t>FSC-COC</w:t>
      </w:r>
      <w:r>
        <w:rPr>
          <w:spacing w:val="-3"/>
        </w:rPr>
        <w:t>”森林认证管理体系，在企业可持续发展方面取得了客户和政府部门的高度认</w:t>
      </w:r>
      <w:r>
        <w:rPr>
          <w:spacing w:val="-41"/>
        </w:rPr>
        <w:t> </w:t>
      </w:r>
      <w:r>
        <w:rPr>
          <w:spacing w:val="-41"/>
        </w:rPr>
      </w:r>
      <w:r>
        <w:rPr/>
        <w:t>可。</w:t>
      </w:r>
    </w:p>
    <w:p>
      <w:pPr>
        <w:pStyle w:val="BodyText"/>
        <w:spacing w:line="408" w:lineRule="auto"/>
        <w:ind w:left="212" w:right="0" w:firstLine="422"/>
        <w:jc w:val="left"/>
      </w:pPr>
      <w:r>
        <w:rPr>
          <w:spacing w:val="-6"/>
        </w:rPr>
        <w:t>公司搭建了一流的管理和技术服务系统集成的信息化平台，实现了销售管理、生产执行、供应链管理、</w:t>
      </w:r>
      <w:r>
        <w:rPr>
          <w:w w:val="100"/>
        </w:rPr>
        <w:t> </w:t>
      </w:r>
      <w:r>
        <w:rPr/>
        <w:t>质量管理、财务管理，以及人资、</w:t>
      </w:r>
      <w:r>
        <w:rPr>
          <w:rFonts w:ascii="宋体" w:hAnsi="宋体" w:cs="宋体" w:eastAsia="宋体" w:hint="default"/>
        </w:rPr>
        <w:t>OA</w:t>
      </w:r>
      <w:r>
        <w:rPr/>
        <w:t>办公等全平台信息共享的模式。借助该信息化共享平台，建立了</w:t>
      </w:r>
      <w:r>
        <w:rPr>
          <w:rFonts w:ascii="宋体" w:hAnsi="宋体" w:cs="宋体" w:eastAsia="宋体" w:hint="default"/>
        </w:rPr>
        <w:t>KPI</w:t>
      </w:r>
      <w:r>
        <w:rPr>
          <w:rFonts w:ascii="宋体" w:hAnsi="宋体" w:cs="宋体" w:eastAsia="宋体" w:hint="default"/>
          <w:w w:val="100"/>
        </w:rPr>
        <w:t> </w:t>
      </w:r>
      <w:r>
        <w:rPr>
          <w:spacing w:val="-2"/>
        </w:rPr>
        <w:t>指标管理体系，对股份公司、各子公司的财务数据、生产数据实时监控、量化考核，使得生产效率提高，</w:t>
      </w:r>
      <w:r>
        <w:rPr>
          <w:spacing w:val="-21"/>
        </w:rPr>
        <w:t> </w:t>
      </w:r>
      <w:r>
        <w:rPr>
          <w:spacing w:val="-21"/>
        </w:rPr>
      </w:r>
      <w:r>
        <w:rPr/>
        <w:t>质量管控提升，能够及时为客户提供优质的产品和服务，将推动公司业务不断增长。</w:t>
      </w:r>
    </w:p>
    <w:p>
      <w:pPr>
        <w:pStyle w:val="Heading3"/>
        <w:spacing w:line="345" w:lineRule="exact"/>
        <w:ind w:left="652" w:right="0"/>
        <w:jc w:val="left"/>
        <w:rPr>
          <w:b w:val="0"/>
          <w:bCs w:val="0"/>
        </w:rPr>
      </w:pPr>
      <w:r>
        <w:rPr>
          <w:rFonts w:ascii="Arial" w:hAnsi="Arial" w:cs="Arial" w:eastAsia="Arial" w:hint="default"/>
          <w:w w:val="105"/>
        </w:rPr>
        <w:t>5.</w:t>
      </w:r>
      <w:r>
        <w:rPr>
          <w:w w:val="105"/>
        </w:rPr>
        <w:t>市场竞争优势</w:t>
      </w:r>
      <w:r>
        <w:rPr>
          <w:b w:val="0"/>
          <w:bCs w:val="0"/>
          <w:w w:val="105"/>
        </w:rPr>
      </w:r>
    </w:p>
    <w:p>
      <w:pPr>
        <w:pStyle w:val="BodyText"/>
        <w:spacing w:line="408" w:lineRule="auto" w:before="169"/>
        <w:ind w:left="212" w:right="207" w:firstLine="420"/>
        <w:jc w:val="both"/>
      </w:pPr>
      <w:r>
        <w:rPr>
          <w:spacing w:val="-4"/>
        </w:rPr>
        <w:t>公司作为医药包装折叠纸盒行业的领先企业，在医药市场重点区域的市场布局已经显现成效，各生产</w:t>
      </w:r>
      <w:r>
        <w:rPr>
          <w:w w:val="100"/>
        </w:rPr>
        <w:t> </w:t>
      </w:r>
      <w:r>
        <w:rPr>
          <w:spacing w:val="-4"/>
        </w:rPr>
        <w:t>基地的产品基本覆盖了西北、西南、华东、华南、东北、华北、以及京津冀等区域该行业的规模品牌，具</w:t>
      </w:r>
      <w:r>
        <w:rPr>
          <w:spacing w:val="-14"/>
        </w:rPr>
        <w:t> </w:t>
      </w:r>
      <w:r>
        <w:rPr>
          <w:spacing w:val="-14"/>
        </w:rPr>
      </w:r>
      <w:r>
        <w:rPr>
          <w:spacing w:val="-4"/>
        </w:rPr>
        <w:t>备明显的区位竞争优势；同时，公司各生产基地的产品基本涵盖了客户外包材、内包材、说明书、包装箱</w:t>
      </w:r>
    </w:p>
    <w:p>
      <w:pPr>
        <w:spacing w:after="0" w:line="408" w:lineRule="auto"/>
        <w:jc w:val="both"/>
        <w:sectPr>
          <w:pgSz w:w="11910" w:h="16840"/>
          <w:pgMar w:header="852" w:footer="980" w:top="1500" w:bottom="1160" w:left="980" w:right="920"/>
        </w:sectPr>
      </w:pPr>
    </w:p>
    <w:p>
      <w:pPr>
        <w:pStyle w:val="BodyText"/>
        <w:spacing w:line="240" w:lineRule="auto" w:before="116"/>
        <w:ind w:left="212" w:right="0"/>
        <w:jc w:val="left"/>
      </w:pPr>
      <w:r>
        <w:rPr/>
        <w:t>等全系列包装材料，在客户优化供应链管理和集中采购管理中具备了明显的市场竞争优势。</w:t>
      </w:r>
    </w:p>
    <w:p>
      <w:pPr>
        <w:spacing w:after="0" w:line="240" w:lineRule="auto"/>
        <w:jc w:val="left"/>
        <w:sectPr>
          <w:pgSz w:w="11910" w:h="16840"/>
          <w:pgMar w:header="852" w:footer="980" w:top="1500" w:bottom="116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1"/>
        <w:spacing w:line="456" w:lineRule="exact"/>
        <w:ind w:left="2964" w:right="0"/>
        <w:jc w:val="left"/>
        <w:rPr>
          <w:b w:val="0"/>
          <w:bCs w:val="0"/>
        </w:rPr>
      </w:pPr>
      <w:bookmarkStart w:name="_bookmark4" w:id="5"/>
      <w:bookmarkEnd w:id="5"/>
      <w:r>
        <w:rPr>
          <w:b w:val="0"/>
          <w:bCs w:val="0"/>
        </w:rPr>
      </w:r>
      <w:r>
        <w:rPr/>
        <w:t>第四节 </w:t>
      </w:r>
      <w:r>
        <w:rPr>
          <w:spacing w:val="11"/>
        </w:rPr>
        <w:t> </w:t>
      </w:r>
      <w:r>
        <w:rPr/>
        <w:t>经营情况讨论与分析</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一、概述</w:t>
      </w:r>
      <w:r>
        <w:rPr>
          <w:b w:val="0"/>
          <w:bCs w:val="0"/>
        </w:rPr>
      </w:r>
    </w:p>
    <w:p>
      <w:pPr>
        <w:spacing w:line="240" w:lineRule="auto" w:before="10"/>
        <w:rPr>
          <w:rFonts w:ascii="Microsoft JhengHei" w:hAnsi="Microsoft JhengHei" w:cs="Microsoft JhengHei" w:eastAsia="Microsoft JhengHei" w:hint="default"/>
          <w:b/>
          <w:bCs/>
          <w:sz w:val="17"/>
          <w:szCs w:val="17"/>
        </w:rPr>
      </w:pPr>
    </w:p>
    <w:p>
      <w:pPr>
        <w:spacing w:line="350" w:lineRule="auto" w:before="0"/>
        <w:ind w:left="63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（一）国际国内经济形势概况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4"/>
          <w:sz w:val="21"/>
          <w:szCs w:val="21"/>
        </w:rPr>
        <w:t>2017</w:t>
      </w:r>
      <w:r>
        <w:rPr>
          <w:rFonts w:ascii="宋体" w:hAnsi="宋体" w:cs="宋体" w:eastAsia="宋体" w:hint="default"/>
          <w:spacing w:val="-4"/>
          <w:sz w:val="21"/>
          <w:szCs w:val="21"/>
        </w:rPr>
        <w:t>年，面对全球经济回暖和国内经济发展转型的背景，中国经济保持在合理的增长区间，体现出稳</w:t>
      </w:r>
    </w:p>
    <w:p>
      <w:pPr>
        <w:pStyle w:val="BodyText"/>
        <w:spacing w:line="408" w:lineRule="auto" w:before="96"/>
        <w:ind w:left="212" w:right="186"/>
        <w:jc w:val="both"/>
      </w:pPr>
      <w:r>
        <w:rPr>
          <w:spacing w:val="-4"/>
        </w:rPr>
        <w:t>中有进，稳中向好的整体态势。在</w:t>
      </w:r>
      <w:r>
        <w:rPr>
          <w:rFonts w:ascii="宋体" w:hAnsi="宋体" w:cs="宋体" w:eastAsia="宋体" w:hint="default"/>
          <w:spacing w:val="-4"/>
        </w:rPr>
        <w:t>2017</w:t>
      </w:r>
      <w:r>
        <w:rPr>
          <w:spacing w:val="-4"/>
        </w:rPr>
        <w:t>年中国经济增长平稳，经济结构持续优化，经济质量效益提升，外 贸明显转好，新产业、新动能持续发展壮大，物价保持平稳。但仍存在不少问题：国内经济增长的动力转</w:t>
      </w:r>
      <w:r>
        <w:rPr>
          <w:spacing w:val="-11"/>
        </w:rPr>
        <w:t> </w:t>
      </w:r>
      <w:r>
        <w:rPr>
          <w:spacing w:val="-11"/>
        </w:rPr>
      </w:r>
      <w:r>
        <w:rPr/>
        <w:t>换尚未完成，结构调整任务繁重，产能升级的挑战不少，保持经济稳定增长仍面临着严峻考验。</w:t>
      </w:r>
    </w:p>
    <w:p>
      <w:pPr>
        <w:pStyle w:val="BodyText"/>
        <w:spacing w:line="408" w:lineRule="auto"/>
        <w:ind w:left="212" w:right="187" w:firstLine="420"/>
        <w:jc w:val="both"/>
      </w:pPr>
      <w:r>
        <w:rPr>
          <w:spacing w:val="-4"/>
        </w:rPr>
        <w:t>工业经济喜忧参半。技术先进、环保达标和商品价格上涨的企业经营较好，其他环保停产、去产能的</w:t>
      </w:r>
      <w:r>
        <w:rPr>
          <w:w w:val="100"/>
        </w:rPr>
        <w:t> </w:t>
      </w:r>
      <w:r>
        <w:rPr>
          <w:spacing w:val="-4"/>
        </w:rPr>
        <w:t>企业、奢侈品行业、中小环保不达标企业、小作坊几乎全部停产，有一小半企业已经停工或倒闭。受上述</w:t>
      </w:r>
      <w:r>
        <w:rPr>
          <w:spacing w:val="-11"/>
        </w:rPr>
        <w:t> </w:t>
      </w:r>
      <w:r>
        <w:rPr>
          <w:spacing w:val="-11"/>
        </w:rPr>
      </w:r>
      <w:r>
        <w:rPr>
          <w:spacing w:val="-4"/>
        </w:rPr>
        <w:t>因素影响，公司面临上游受环保政策调控的造纸行业影响，纸张生产企业集体涨价，下游客户医药行业受</w:t>
      </w:r>
      <w:r>
        <w:rPr>
          <w:spacing w:val="-14"/>
        </w:rPr>
        <w:t> </w:t>
      </w:r>
      <w:r>
        <w:rPr>
          <w:spacing w:val="-14"/>
        </w:rPr>
      </w:r>
      <w:r>
        <w:rPr/>
        <w:t>医保政策、药品招标采购、大包装等影响，利润空间被进一步压缩。</w:t>
      </w:r>
    </w:p>
    <w:p>
      <w:pPr>
        <w:spacing w:line="240" w:lineRule="auto" w:before="5"/>
        <w:rPr>
          <w:rFonts w:ascii="宋体" w:hAnsi="宋体" w:cs="宋体" w:eastAsia="宋体" w:hint="default"/>
          <w:sz w:val="16"/>
          <w:szCs w:val="16"/>
        </w:rPr>
      </w:pPr>
    </w:p>
    <w:p>
      <w:pPr>
        <w:spacing w:line="300" w:lineRule="auto" w:before="0"/>
        <w:ind w:left="633" w:right="0" w:hanging="48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（二）报告期内公司战略及经营计划实施情况</w:t>
      </w:r>
      <w:r>
        <w:rPr>
          <w:rFonts w:ascii="Microsoft JhengHei" w:hAnsi="Microsoft JhengHei" w:cs="Microsoft JhengHei" w:eastAsia="Microsoft JhengHei" w:hint="default"/>
          <w:b/>
          <w:bCs/>
          <w:spacing w:val="-35"/>
          <w:sz w:val="21"/>
          <w:szCs w:val="21"/>
        </w:rPr>
        <w:t> </w:t>
      </w:r>
      <w:r>
        <w:rPr>
          <w:rFonts w:ascii="Microsoft JhengHei" w:hAnsi="Microsoft JhengHei" w:cs="Microsoft JhengHei" w:eastAsia="Microsoft JhengHei" w:hint="default"/>
          <w:b/>
          <w:bCs/>
          <w:spacing w:val="-35"/>
          <w:sz w:val="21"/>
          <w:szCs w:val="21"/>
        </w:rPr>
      </w:r>
      <w:r>
        <w:rPr>
          <w:rFonts w:ascii="宋体" w:hAnsi="宋体" w:cs="宋体" w:eastAsia="宋体" w:hint="default"/>
          <w:spacing w:val="-4"/>
          <w:sz w:val="21"/>
          <w:szCs w:val="21"/>
        </w:rPr>
        <w:t>公司将继续坚持“诚信为本，客户至上”的经营理念，以医药包装产品为核心业务，把握国际医药包</w:t>
      </w:r>
    </w:p>
    <w:p>
      <w:pPr>
        <w:pStyle w:val="BodyText"/>
        <w:spacing w:line="408" w:lineRule="auto" w:before="141"/>
        <w:ind w:left="212" w:right="0"/>
        <w:jc w:val="left"/>
      </w:pPr>
      <w:r>
        <w:rPr>
          <w:spacing w:val="-2"/>
        </w:rPr>
        <w:t>装行业发展方向，坚持自主创新，加强技术研发，以先进行业技术、工艺、管理为依托，倡导绿色环保、</w:t>
      </w:r>
      <w:r>
        <w:rPr>
          <w:spacing w:val="-21"/>
        </w:rPr>
        <w:t> </w:t>
      </w:r>
      <w:r>
        <w:rPr>
          <w:spacing w:val="-21"/>
        </w:rPr>
      </w:r>
      <w:r>
        <w:rPr>
          <w:spacing w:val="-4"/>
        </w:rPr>
        <w:t>清洁生产，不断丰富公司产品线，向高附加值产品领域拓展，以可持续发展为核心竞争力，保持公司在中</w:t>
      </w:r>
      <w:r>
        <w:rPr>
          <w:spacing w:val="-14"/>
        </w:rPr>
        <w:t> </w:t>
      </w:r>
      <w:r>
        <w:rPr>
          <w:spacing w:val="-14"/>
        </w:rPr>
      </w:r>
      <w:r>
        <w:rPr>
          <w:spacing w:val="-2"/>
        </w:rPr>
        <w:t>国药品包装行业的领先地位，使公司成为具备国际水平的专业医药包装产品供应商。经过近两年的努力，</w:t>
      </w:r>
      <w:r>
        <w:rPr>
          <w:spacing w:val="-21"/>
        </w:rPr>
        <w:t> </w:t>
      </w:r>
      <w:r>
        <w:rPr>
          <w:spacing w:val="-21"/>
        </w:rPr>
      </w:r>
      <w:r>
        <w:rPr>
          <w:spacing w:val="-3"/>
        </w:rPr>
        <w:t>公司现已成功拓展了电子品、大健康、化妆品、保健食品、瓦楞纸箱等业务领域。</w:t>
      </w:r>
      <w:r>
        <w:rPr>
          <w:rFonts w:ascii="宋体" w:hAnsi="宋体" w:cs="宋体" w:eastAsia="宋体" w:hint="default"/>
          <w:spacing w:val="-3"/>
        </w:rPr>
        <w:t>2017</w:t>
      </w:r>
      <w:r>
        <w:rPr>
          <w:spacing w:val="-3"/>
        </w:rPr>
        <w:t>年公司聚焦降本增</w:t>
      </w:r>
      <w:r>
        <w:rPr>
          <w:spacing w:val="-49"/>
        </w:rPr>
        <w:t> </w:t>
      </w:r>
      <w:r>
        <w:rPr>
          <w:spacing w:val="-49"/>
        </w:rPr>
      </w:r>
      <w:r>
        <w:rPr>
          <w:spacing w:val="-4"/>
        </w:rPr>
        <w:t>效，全面加强人力资源绩效管理，策划并建立信息化管理系统，并已取得阶段性成果。同时以进入资本市</w:t>
      </w:r>
      <w:r>
        <w:rPr>
          <w:spacing w:val="-14"/>
        </w:rPr>
        <w:t> </w:t>
      </w:r>
      <w:r>
        <w:rPr>
          <w:spacing w:val="-14"/>
        </w:rPr>
      </w:r>
      <w:r>
        <w:rPr/>
        <w:t>场为契机，实施项目带动战略，公司资本金规模进一步扩大，资本结构进一步优化。</w:t>
      </w:r>
    </w:p>
    <w:p>
      <w:pPr>
        <w:spacing w:line="240" w:lineRule="auto" w:before="5"/>
        <w:rPr>
          <w:rFonts w:ascii="宋体" w:hAnsi="宋体" w:cs="宋体" w:eastAsia="宋体" w:hint="default"/>
          <w:sz w:val="16"/>
          <w:szCs w:val="16"/>
        </w:rPr>
      </w:pPr>
    </w:p>
    <w:p>
      <w:pPr>
        <w:spacing w:line="300" w:lineRule="auto" w:before="0"/>
        <w:ind w:left="513" w:right="0" w:hanging="36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（三）报告期内总体经营情况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2017</w:t>
      </w:r>
      <w:r>
        <w:rPr>
          <w:rFonts w:ascii="宋体" w:hAnsi="宋体" w:cs="宋体" w:eastAsia="宋体" w:hint="default"/>
          <w:spacing w:val="-2"/>
          <w:sz w:val="21"/>
          <w:szCs w:val="21"/>
        </w:rPr>
        <w:t>年是公司“十三五”发展规划承上启下之年，是供给侧结构性改革的深化之年。公司紧密围绕年</w:t>
      </w:r>
    </w:p>
    <w:p>
      <w:pPr>
        <w:pStyle w:val="BodyText"/>
        <w:spacing w:line="408" w:lineRule="auto" w:before="140"/>
        <w:ind w:right="186"/>
        <w:jc w:val="both"/>
      </w:pPr>
      <w:r>
        <w:rPr>
          <w:spacing w:val="-3"/>
        </w:rPr>
        <w:t>初制订的“聚焦客户与产品，提升效率，提升竞争力”的经营策略，不断创新、优化结构、全面布局，公</w:t>
      </w:r>
      <w:r>
        <w:rPr>
          <w:spacing w:val="-5"/>
        </w:rPr>
        <w:t> </w:t>
      </w:r>
      <w:r>
        <w:rPr>
          <w:spacing w:val="-5"/>
        </w:rPr>
      </w:r>
      <w:r>
        <w:rPr>
          <w:spacing w:val="-2"/>
        </w:rPr>
        <w:t>司运营与管理效率进一步提高。公司经营团队在董事会年初确定的预算经营目标基础上，面对市场竞争压</w:t>
      </w:r>
      <w:r>
        <w:rPr>
          <w:spacing w:val="-43"/>
        </w:rPr>
        <w:t> </w:t>
      </w:r>
      <w:r>
        <w:rPr>
          <w:spacing w:val="-43"/>
        </w:rPr>
      </w:r>
      <w:r>
        <w:rPr>
          <w:spacing w:val="-2"/>
        </w:rPr>
        <w:t>力、原材料涨价以及人力成本不断上升等因素，在客户招标采购价格持续走低的困难情况下，和全体员工</w:t>
      </w:r>
      <w:r>
        <w:rPr>
          <w:spacing w:val="-44"/>
        </w:rPr>
        <w:t> </w:t>
      </w:r>
      <w:r>
        <w:rPr>
          <w:spacing w:val="-44"/>
        </w:rPr>
      </w:r>
      <w:r>
        <w:rPr/>
        <w:t>齐心协力，基本完成了全年经营目标。</w:t>
      </w:r>
    </w:p>
    <w:p>
      <w:pPr>
        <w:pStyle w:val="BodyText"/>
        <w:spacing w:line="240" w:lineRule="auto"/>
        <w:ind w:left="513" w:right="0"/>
        <w:jc w:val="left"/>
      </w:pPr>
      <w:r>
        <w:rPr/>
        <w:t>报告期内，公司重点做了以下工作：</w:t>
      </w:r>
    </w:p>
    <w:p>
      <w:pPr>
        <w:spacing w:after="0" w:line="240" w:lineRule="auto"/>
        <w:jc w:val="left"/>
        <w:sectPr>
          <w:pgSz w:w="11910" w:h="16840"/>
          <w:pgMar w:header="852" w:footer="980" w:top="1500" w:bottom="1160" w:left="980" w:right="940"/>
        </w:sectPr>
      </w:pPr>
    </w:p>
    <w:p>
      <w:pPr>
        <w:pStyle w:val="Heading3"/>
        <w:spacing w:line="240" w:lineRule="auto" w:before="49"/>
        <w:ind w:left="786" w:right="0"/>
        <w:jc w:val="left"/>
        <w:rPr>
          <w:b w:val="0"/>
          <w:bCs w:val="0"/>
        </w:rPr>
      </w:pPr>
      <w:r>
        <w:rPr>
          <w:rFonts w:ascii="Arial" w:hAnsi="Arial" w:cs="Arial" w:eastAsia="Arial" w:hint="default"/>
        </w:rPr>
        <w:t>1</w:t>
      </w:r>
      <w:r>
        <w:rPr/>
        <w:t>、营销方面</w:t>
      </w:r>
      <w:r>
        <w:rPr>
          <w:b w:val="0"/>
          <w:bCs w:val="0"/>
        </w:rPr>
      </w:r>
    </w:p>
    <w:p>
      <w:pPr>
        <w:pStyle w:val="BodyText"/>
        <w:spacing w:line="408" w:lineRule="auto" w:before="169"/>
        <w:ind w:right="242" w:firstLine="360"/>
        <w:jc w:val="both"/>
      </w:pPr>
      <w:r>
        <w:rPr>
          <w:rFonts w:ascii="宋体" w:hAnsi="宋体" w:cs="宋体" w:eastAsia="宋体" w:hint="default"/>
          <w:spacing w:val="-2"/>
        </w:rPr>
        <w:t>2017</w:t>
      </w:r>
      <w:r>
        <w:rPr>
          <w:spacing w:val="-2"/>
        </w:rPr>
        <w:t>年公司持续推动内部及权属企业间的资源整合，坚持做强医药包装市场，持续发展做大电子产品</w:t>
      </w:r>
      <w:r>
        <w:rPr>
          <w:w w:val="100"/>
        </w:rPr>
        <w:t> </w:t>
      </w:r>
      <w:r>
        <w:rPr/>
        <w:t>包装领域，进军大健康产品、食品、饮品、化妆品及其他快速消费品包装领域。</w:t>
      </w:r>
    </w:p>
    <w:p>
      <w:pPr>
        <w:pStyle w:val="BodyText"/>
        <w:spacing w:line="408" w:lineRule="auto"/>
        <w:ind w:right="242" w:firstLine="360"/>
        <w:jc w:val="both"/>
      </w:pPr>
      <w:r>
        <w:rPr>
          <w:spacing w:val="-2"/>
        </w:rPr>
        <w:t>做强医药包装工业，建立西安、天津和未来长三角地区三足鼎立的生产基地，能够快速反应市场，响</w:t>
      </w:r>
      <w:r>
        <w:rPr>
          <w:w w:val="100"/>
        </w:rPr>
        <w:t> </w:t>
      </w:r>
      <w:r>
        <w:rPr/>
        <w:t>应客户需要的市场布局。</w:t>
      </w:r>
    </w:p>
    <w:p>
      <w:pPr>
        <w:pStyle w:val="BodyText"/>
        <w:spacing w:line="408" w:lineRule="auto"/>
        <w:ind w:right="206" w:firstLine="360"/>
        <w:jc w:val="both"/>
      </w:pPr>
      <w:r>
        <w:rPr>
          <w:spacing w:val="-2"/>
        </w:rPr>
        <w:t>做大电子品包装市场，充分利用三星、中兴通讯等国际知名企业入驻西安高新区的市场契机，发挥地</w:t>
      </w:r>
      <w:r>
        <w:rPr>
          <w:w w:val="100"/>
        </w:rPr>
        <w:t> </w:t>
      </w:r>
      <w:r>
        <w:rPr>
          <w:spacing w:val="-2"/>
        </w:rPr>
        <w:t>缘优势，打造西北地区电子产品包装第一服务商。并且以优质客户为依托，全面进军全国电子产品包装市</w:t>
      </w:r>
      <w:r>
        <w:rPr>
          <w:spacing w:val="-43"/>
        </w:rPr>
        <w:t> </w:t>
      </w:r>
      <w:r>
        <w:rPr>
          <w:spacing w:val="-43"/>
        </w:rPr>
      </w:r>
      <w:r>
        <w:rPr/>
        <w:t>场。</w:t>
      </w:r>
    </w:p>
    <w:p>
      <w:pPr>
        <w:pStyle w:val="BodyText"/>
        <w:spacing w:line="408" w:lineRule="auto"/>
        <w:ind w:right="242" w:firstLine="360"/>
        <w:jc w:val="both"/>
      </w:pPr>
      <w:r>
        <w:rPr>
          <w:spacing w:val="-2"/>
        </w:rPr>
        <w:t>进军大健康产品、食品、饮品、化妆品及其他快速消费品包装市场，发挥投资拉动作用，壮大实力，</w:t>
      </w:r>
      <w:r>
        <w:rPr>
          <w:w w:val="100"/>
        </w:rPr>
        <w:t> </w:t>
      </w:r>
      <w:r>
        <w:rPr/>
        <w:t>引进先进管理，投入自动化、智能化设备，提高生产效率，扩大市场份额。</w:t>
      </w:r>
    </w:p>
    <w:p>
      <w:pPr>
        <w:spacing w:line="240" w:lineRule="auto" w:before="3"/>
        <w:rPr>
          <w:rFonts w:ascii="宋体" w:hAnsi="宋体" w:cs="宋体" w:eastAsia="宋体" w:hint="default"/>
          <w:sz w:val="22"/>
          <w:szCs w:val="22"/>
        </w:rPr>
      </w:pPr>
    </w:p>
    <w:p>
      <w:pPr>
        <w:pStyle w:val="BodyText"/>
        <w:spacing w:line="350" w:lineRule="auto" w:before="0"/>
        <w:ind w:left="573" w:right="0" w:firstLine="151"/>
        <w:jc w:val="left"/>
      </w:pPr>
      <w:r>
        <w:rPr>
          <w:rFonts w:ascii="Arial" w:hAnsi="Arial" w:cs="Arial" w:eastAsia="Arial" w:hint="default"/>
          <w:b/>
          <w:bCs/>
        </w:rPr>
        <w:t>2</w:t>
      </w:r>
      <w:r>
        <w:rPr>
          <w:rFonts w:ascii="Microsoft JhengHei" w:hAnsi="Microsoft JhengHei" w:cs="Microsoft JhengHei" w:eastAsia="Microsoft JhengHei" w:hint="default"/>
          <w:b/>
          <w:bCs/>
        </w:rPr>
        <w:t>、研发方面</w:t>
      </w:r>
      <w:r>
        <w:rPr>
          <w:rFonts w:ascii="Microsoft JhengHei" w:hAnsi="Microsoft JhengHei" w:cs="Microsoft JhengHei" w:eastAsia="Microsoft JhengHei" w:hint="default"/>
          <w:b/>
          <w:bCs/>
          <w:w w:val="100"/>
        </w:rPr>
        <w:t> </w:t>
      </w:r>
      <w:r>
        <w:rPr>
          <w:spacing w:val="-2"/>
        </w:rPr>
        <w:t>利用募集资金筹建研发中心，加强科技研发，提升创新动力。将科技创新，新技术、新工艺应用，知</w:t>
      </w:r>
    </w:p>
    <w:p>
      <w:pPr>
        <w:pStyle w:val="BodyText"/>
        <w:spacing w:line="408" w:lineRule="auto" w:before="96"/>
        <w:ind w:right="184"/>
        <w:jc w:val="right"/>
      </w:pPr>
      <w:r>
        <w:rPr>
          <w:spacing w:val="-2"/>
        </w:rPr>
        <w:t>识产权管理、人才孵化基地等战略工作职能进一步加强，将研发中心打造成为公司科技创新的前沿阵地。</w:t>
      </w:r>
      <w:r>
        <w:rPr>
          <w:spacing w:val="-53"/>
        </w:rPr>
        <w:t> </w:t>
      </w:r>
      <w:r>
        <w:rPr>
          <w:spacing w:val="-53"/>
        </w:rPr>
      </w:r>
      <w:r>
        <w:rPr>
          <w:spacing w:val="-2"/>
        </w:rPr>
        <w:t>公司实施信息化项目，既用一个统一的信息处理平台管理公司销售、生产、财务和物流等业务流程，</w:t>
      </w:r>
      <w:r>
        <w:rPr>
          <w:w w:val="100"/>
        </w:rPr>
        <w:t> </w:t>
      </w:r>
      <w:r>
        <w:rPr>
          <w:spacing w:val="-2"/>
        </w:rPr>
        <w:t>站在集团化管理的层面和高度上，通过</w:t>
      </w:r>
      <w:r>
        <w:rPr>
          <w:rFonts w:ascii="宋体" w:hAnsi="宋体" w:cs="宋体" w:eastAsia="宋体" w:hint="default"/>
          <w:spacing w:val="-2"/>
        </w:rPr>
        <w:t>ERP</w:t>
      </w:r>
      <w:r>
        <w:rPr>
          <w:spacing w:val="-2"/>
        </w:rPr>
        <w:t>、</w:t>
      </w:r>
      <w:r>
        <w:rPr>
          <w:rFonts w:ascii="宋体" w:hAnsi="宋体" w:cs="宋体" w:eastAsia="宋体" w:hint="default"/>
          <w:spacing w:val="-2"/>
        </w:rPr>
        <w:t>MES</w:t>
      </w:r>
      <w:r>
        <w:rPr>
          <w:spacing w:val="-2"/>
        </w:rPr>
        <w:t>、</w:t>
      </w:r>
      <w:r>
        <w:rPr>
          <w:rFonts w:ascii="宋体" w:hAnsi="宋体" w:cs="宋体" w:eastAsia="宋体" w:hint="default"/>
          <w:spacing w:val="-2"/>
        </w:rPr>
        <w:t>OA</w:t>
      </w:r>
      <w:r>
        <w:rPr>
          <w:spacing w:val="-2"/>
        </w:rPr>
        <w:t>等系统的开发，实现公司在市场、技术研发、生产计</w:t>
      </w:r>
      <w:r>
        <w:rPr>
          <w:spacing w:val="-83"/>
        </w:rPr>
        <w:t> </w:t>
      </w:r>
      <w:r>
        <w:rPr>
          <w:spacing w:val="-83"/>
        </w:rPr>
      </w:r>
      <w:r>
        <w:rPr>
          <w:spacing w:val="-2"/>
        </w:rPr>
        <w:t>划排程共享、生产信息实时呈现、仓储条码化管理、质量管理、财务电子审批、工资计算集成等业务流程</w:t>
      </w:r>
    </w:p>
    <w:p>
      <w:pPr>
        <w:pStyle w:val="BodyText"/>
        <w:spacing w:line="240" w:lineRule="auto"/>
        <w:ind w:right="0"/>
        <w:jc w:val="left"/>
      </w:pPr>
      <w:r>
        <w:rPr/>
        <w:t>操作，初步实现信息化与工业化的融合，为未来建设工业互联网平台打下基础。</w:t>
      </w:r>
    </w:p>
    <w:p>
      <w:pPr>
        <w:spacing w:line="240" w:lineRule="auto" w:before="0"/>
        <w:rPr>
          <w:rFonts w:ascii="宋体" w:hAnsi="宋体" w:cs="宋体" w:eastAsia="宋体" w:hint="default"/>
          <w:sz w:val="20"/>
          <w:szCs w:val="20"/>
        </w:rPr>
      </w:pPr>
    </w:p>
    <w:p>
      <w:pPr>
        <w:pStyle w:val="BodyText"/>
        <w:spacing w:line="350" w:lineRule="auto" w:before="176"/>
        <w:ind w:left="616" w:right="0" w:firstLine="112"/>
        <w:jc w:val="left"/>
      </w:pPr>
      <w:r>
        <w:rPr>
          <w:rFonts w:ascii="Arial" w:hAnsi="Arial" w:cs="Arial" w:eastAsia="Arial" w:hint="default"/>
          <w:b/>
          <w:bCs/>
        </w:rPr>
        <w:t>3</w:t>
      </w:r>
      <w:r>
        <w:rPr>
          <w:rFonts w:ascii="Microsoft JhengHei" w:hAnsi="Microsoft JhengHei" w:cs="Microsoft JhengHei" w:eastAsia="Microsoft JhengHei" w:hint="default"/>
          <w:b/>
          <w:bCs/>
        </w:rPr>
        <w:t>、生产方面</w:t>
      </w:r>
      <w:r>
        <w:rPr>
          <w:rFonts w:ascii="Microsoft JhengHei" w:hAnsi="Microsoft JhengHei" w:cs="Microsoft JhengHei" w:eastAsia="Microsoft JhengHei" w:hint="default"/>
          <w:b/>
          <w:bCs/>
          <w:w w:val="100"/>
        </w:rPr>
        <w:t> </w:t>
      </w:r>
      <w:r>
        <w:rPr>
          <w:spacing w:val="-3"/>
        </w:rPr>
        <w:t>公司持续推行“精益生产”理念，不断优化内部组织机构、人员管理体系、生产运行组织等，以科学</w:t>
      </w:r>
    </w:p>
    <w:p>
      <w:pPr>
        <w:pStyle w:val="BodyText"/>
        <w:spacing w:line="408" w:lineRule="auto" w:before="96"/>
        <w:ind w:left="255" w:right="213"/>
        <w:jc w:val="both"/>
      </w:pPr>
      <w:r>
        <w:rPr/>
        <w:t>合理的生产运营方式，提高公司适应市场不断变化的能力，通过调整生产组织架构、建立信息化工作流</w:t>
      </w:r>
      <w:r>
        <w:rPr>
          <w:spacing w:val="-28"/>
        </w:rPr>
        <w:t> </w:t>
      </w:r>
      <w:r>
        <w:rPr>
          <w:spacing w:val="-28"/>
        </w:rPr>
      </w:r>
      <w:r>
        <w:rPr/>
        <w:t>程、设备技改提高生产效率、减少等待浪费、加快生产过程的流动性，以“拉动式”进行生产组织，持</w:t>
      </w:r>
      <w:r>
        <w:rPr>
          <w:spacing w:val="-23"/>
        </w:rPr>
        <w:t> </w:t>
      </w:r>
      <w:r>
        <w:rPr>
          <w:spacing w:val="-23"/>
        </w:rPr>
      </w:r>
      <w:r>
        <w:rPr/>
        <w:t>续不断地进行各个生产管理环节的改善和提升，从而达到缩短生产周期，稳定产品质量，提高资源使用</w:t>
      </w:r>
      <w:r>
        <w:rPr>
          <w:spacing w:val="-25"/>
        </w:rPr>
        <w:t> </w:t>
      </w:r>
      <w:r>
        <w:rPr>
          <w:spacing w:val="-25"/>
        </w:rPr>
      </w:r>
      <w:r>
        <w:rPr/>
        <w:t>效率。</w:t>
      </w:r>
    </w:p>
    <w:p>
      <w:pPr>
        <w:spacing w:line="240" w:lineRule="auto" w:before="3"/>
        <w:rPr>
          <w:rFonts w:ascii="宋体" w:hAnsi="宋体" w:cs="宋体" w:eastAsia="宋体" w:hint="default"/>
          <w:sz w:val="22"/>
          <w:szCs w:val="22"/>
        </w:rPr>
      </w:pPr>
    </w:p>
    <w:p>
      <w:pPr>
        <w:pStyle w:val="BodyText"/>
        <w:spacing w:line="350" w:lineRule="auto" w:before="0"/>
        <w:ind w:left="513" w:right="0" w:firstLine="249"/>
        <w:jc w:val="left"/>
      </w:pPr>
      <w:r>
        <w:rPr>
          <w:rFonts w:ascii="Arial" w:hAnsi="Arial" w:cs="Arial" w:eastAsia="Arial" w:hint="default"/>
          <w:b/>
          <w:bCs/>
        </w:rPr>
        <w:t>4</w:t>
      </w:r>
      <w:r>
        <w:rPr>
          <w:rFonts w:ascii="Microsoft JhengHei" w:hAnsi="Microsoft JhengHei" w:cs="Microsoft JhengHei" w:eastAsia="Microsoft JhengHei" w:hint="default"/>
          <w:b/>
          <w:bCs/>
        </w:rPr>
        <w:t>、管理方面</w:t>
      </w:r>
      <w:r>
        <w:rPr>
          <w:rFonts w:ascii="Microsoft JhengHei" w:hAnsi="Microsoft JhengHei" w:cs="Microsoft JhengHei" w:eastAsia="Microsoft JhengHei" w:hint="default"/>
          <w:b/>
          <w:bCs/>
          <w:w w:val="100"/>
        </w:rPr>
        <w:t> </w:t>
      </w:r>
      <w:r>
        <w:rPr>
          <w:spacing w:val="-5"/>
        </w:rPr>
        <w:t>公司重新搭建人力资源管理框架，包含以《人力资源管理制度》、《</w:t>
      </w:r>
      <w:r>
        <w:rPr>
          <w:rFonts w:ascii="宋体" w:hAnsi="宋体" w:cs="宋体" w:eastAsia="宋体" w:hint="default"/>
          <w:spacing w:val="-5"/>
        </w:rPr>
        <w:t>SA8000</w:t>
      </w:r>
      <w:r>
        <w:rPr>
          <w:spacing w:val="-5"/>
        </w:rPr>
        <w:t>管理体系》、《</w:t>
      </w:r>
      <w:r>
        <w:rPr>
          <w:rFonts w:ascii="宋体" w:hAnsi="宋体" w:cs="宋体" w:eastAsia="宋体" w:hint="default"/>
          <w:spacing w:val="-5"/>
        </w:rPr>
        <w:t>QEO</w:t>
      </w:r>
      <w:r>
        <w:rPr>
          <w:spacing w:val="-5"/>
        </w:rPr>
        <w:t>体系》、</w:t>
      </w:r>
    </w:p>
    <w:p>
      <w:pPr>
        <w:pStyle w:val="BodyText"/>
        <w:spacing w:line="408" w:lineRule="auto" w:before="96"/>
        <w:ind w:right="0"/>
        <w:jc w:val="left"/>
      </w:pPr>
      <w:r>
        <w:rPr>
          <w:spacing w:val="-2"/>
        </w:rPr>
        <w:t>《</w:t>
      </w:r>
      <w:r>
        <w:rPr>
          <w:rFonts w:ascii="宋体" w:hAnsi="宋体" w:cs="宋体" w:eastAsia="宋体" w:hint="default"/>
          <w:spacing w:val="-2"/>
        </w:rPr>
        <w:t>ISMS</w:t>
      </w:r>
      <w:r>
        <w:rPr>
          <w:spacing w:val="-2"/>
        </w:rPr>
        <w:t>管理体系》为核心内容的人力资源管理体系。新体系建成后将更大程度提高人才招聘竞争优势，提</w:t>
      </w:r>
      <w:r>
        <w:rPr>
          <w:spacing w:val="-40"/>
        </w:rPr>
        <w:t> </w:t>
      </w:r>
      <w:r>
        <w:rPr>
          <w:spacing w:val="-40"/>
        </w:rPr>
      </w:r>
      <w:r>
        <w:rPr/>
        <w:t>高员工满意度，建立健全工作激励机制。</w:t>
      </w:r>
    </w:p>
    <w:p>
      <w:pPr>
        <w:spacing w:after="0" w:line="408" w:lineRule="auto"/>
        <w:jc w:val="left"/>
        <w:sectPr>
          <w:pgSz w:w="11910" w:h="16840"/>
          <w:pgMar w:header="852" w:footer="980" w:top="1500" w:bottom="1160" w:left="980" w:right="920"/>
        </w:sectPr>
      </w:pPr>
    </w:p>
    <w:p>
      <w:pPr>
        <w:pStyle w:val="BodyText"/>
        <w:spacing w:line="408" w:lineRule="auto" w:before="116"/>
        <w:ind w:right="124" w:firstLine="360"/>
        <w:jc w:val="both"/>
      </w:pPr>
      <w:r>
        <w:rPr/>
        <w:t>公司逐步实施集团化管控，设立以营销、采购、质量、生产、总经办、财务、审计法规、证券八大中</w:t>
      </w:r>
      <w:r>
        <w:rPr>
          <w:w w:val="100"/>
        </w:rPr>
        <w:t> </w:t>
      </w:r>
      <w:r>
        <w:rPr>
          <w:spacing w:val="-2"/>
        </w:rPr>
        <w:t>心为节点的业务模块垂直管理模式。该管理模式将以公司为核心，以八大中心为管理节点，垂直管理分、</w:t>
      </w:r>
      <w:r>
        <w:rPr>
          <w:spacing w:val="-20"/>
        </w:rPr>
        <w:t> </w:t>
      </w:r>
      <w:r>
        <w:rPr>
          <w:spacing w:val="-20"/>
        </w:rPr>
      </w:r>
      <w:r>
        <w:rPr>
          <w:spacing w:val="-2"/>
        </w:rPr>
        <w:t>子公司相对应业务模块，并且实行中心总监负责制，最大限度整合公司及分子公司的资源，提高管理运行</w:t>
      </w:r>
      <w:r>
        <w:rPr>
          <w:spacing w:val="-44"/>
        </w:rPr>
        <w:t> </w:t>
      </w:r>
      <w:r>
        <w:rPr>
          <w:spacing w:val="-44"/>
        </w:rPr>
      </w:r>
      <w:r>
        <w:rPr/>
        <w:t>效率，提升分、子公司管理水平。</w:t>
      </w:r>
    </w:p>
    <w:p>
      <w:pPr>
        <w:pStyle w:val="Heading3"/>
        <w:spacing w:line="345" w:lineRule="exact"/>
        <w:ind w:left="724" w:right="0"/>
        <w:jc w:val="left"/>
        <w:rPr>
          <w:b w:val="0"/>
          <w:bCs w:val="0"/>
        </w:rPr>
      </w:pPr>
      <w:r>
        <w:rPr>
          <w:rFonts w:ascii="Arial" w:hAnsi="Arial" w:cs="Arial" w:eastAsia="Arial" w:hint="default"/>
        </w:rPr>
        <w:t>5</w:t>
      </w:r>
      <w:r>
        <w:rPr/>
        <w:t>、管理体系</w:t>
      </w:r>
      <w:r>
        <w:rPr>
          <w:b w:val="0"/>
          <w:bCs w:val="0"/>
        </w:rPr>
      </w:r>
    </w:p>
    <w:p>
      <w:pPr>
        <w:pStyle w:val="BodyText"/>
        <w:spacing w:line="408" w:lineRule="auto" w:before="169"/>
        <w:ind w:right="148" w:firstLine="360"/>
        <w:jc w:val="both"/>
      </w:pPr>
      <w:r>
        <w:rPr>
          <w:rFonts w:ascii="宋体" w:hAnsi="宋体" w:cs="宋体" w:eastAsia="宋体" w:hint="default"/>
          <w:spacing w:val="-1"/>
        </w:rPr>
        <w:t>2017</w:t>
      </w:r>
      <w:r>
        <w:rPr>
          <w:spacing w:val="-1"/>
        </w:rPr>
        <w:t>年公司立项并建立</w:t>
      </w:r>
      <w:r>
        <w:rPr>
          <w:rFonts w:ascii="宋体" w:hAnsi="宋体" w:cs="宋体" w:eastAsia="宋体" w:hint="default"/>
          <w:spacing w:val="-1"/>
        </w:rPr>
        <w:t>FSC-COC</w:t>
      </w:r>
      <w:r>
        <w:rPr>
          <w:spacing w:val="-1"/>
        </w:rPr>
        <w:t>管理体系，编制</w:t>
      </w:r>
      <w:r>
        <w:rPr>
          <w:rFonts w:ascii="宋体" w:hAnsi="宋体" w:cs="宋体" w:eastAsia="宋体" w:hint="default"/>
          <w:spacing w:val="-1"/>
        </w:rPr>
        <w:t>FSC-COC</w:t>
      </w:r>
      <w:r>
        <w:rPr>
          <w:spacing w:val="-1"/>
        </w:rPr>
        <w:t>管理手册、运行</w:t>
      </w:r>
      <w:r>
        <w:rPr>
          <w:rFonts w:ascii="宋体" w:hAnsi="宋体" w:cs="宋体" w:eastAsia="宋体" w:hint="default"/>
          <w:spacing w:val="-1"/>
        </w:rPr>
        <w:t>SOP</w:t>
      </w:r>
      <w:r>
        <w:rPr>
          <w:spacing w:val="-1"/>
        </w:rPr>
        <w:t>，接受</w:t>
      </w:r>
      <w:r>
        <w:rPr>
          <w:rFonts w:ascii="宋体" w:hAnsi="宋体" w:cs="宋体" w:eastAsia="宋体" w:hint="default"/>
          <w:spacing w:val="-1"/>
        </w:rPr>
        <w:t>FSC-COC</w:t>
      </w:r>
      <w:r>
        <w:rPr>
          <w:spacing w:val="-1"/>
        </w:rPr>
        <w:t>产销监管链</w:t>
      </w:r>
      <w:r>
        <w:rPr>
          <w:w w:val="100"/>
        </w:rPr>
        <w:t> </w:t>
      </w:r>
      <w:r>
        <w:rPr/>
        <w:t>认证审核，审核通过并获批证书。</w:t>
      </w:r>
    </w:p>
    <w:p>
      <w:pPr>
        <w:pStyle w:val="Heading3"/>
        <w:spacing w:line="345" w:lineRule="exact"/>
        <w:ind w:left="784" w:right="0"/>
        <w:jc w:val="left"/>
        <w:rPr>
          <w:b w:val="0"/>
          <w:bCs w:val="0"/>
        </w:rPr>
      </w:pPr>
      <w:r>
        <w:rPr>
          <w:rFonts w:ascii="Arial" w:hAnsi="Arial" w:cs="Arial" w:eastAsia="Arial" w:hint="default"/>
        </w:rPr>
        <w:t>6</w:t>
      </w:r>
      <w:r>
        <w:rPr/>
        <w:t>、对外投资</w:t>
      </w:r>
      <w:r>
        <w:rPr>
          <w:b w:val="0"/>
          <w:bCs w:val="0"/>
        </w:rPr>
      </w:r>
    </w:p>
    <w:p>
      <w:pPr>
        <w:pStyle w:val="BodyText"/>
        <w:spacing w:line="408" w:lineRule="auto" w:before="170"/>
        <w:ind w:right="149" w:firstLine="360"/>
        <w:jc w:val="both"/>
      </w:pPr>
      <w:r>
        <w:rPr>
          <w:spacing w:val="-1"/>
        </w:rPr>
        <w:t>公司与吉宏股份（股票代码：</w:t>
      </w:r>
      <w:r>
        <w:rPr>
          <w:rFonts w:ascii="宋体" w:hAnsi="宋体" w:cs="宋体" w:eastAsia="宋体" w:hint="default"/>
          <w:spacing w:val="-1"/>
        </w:rPr>
        <w:t>002803</w:t>
      </w:r>
      <w:r>
        <w:rPr>
          <w:spacing w:val="-1"/>
        </w:rPr>
        <w:t>）强强联合，通过公司与吉宏的战略合作，利用两家公司优质的</w:t>
      </w:r>
      <w:r>
        <w:rPr>
          <w:w w:val="100"/>
        </w:rPr>
        <w:t> </w:t>
      </w:r>
      <w:r>
        <w:rPr/>
        <w:t>市场客户资源，及在包装行业的领先管理经验和优良的品牌度，整合资源，进一步拓展包装市场份额。</w:t>
      </w:r>
    </w:p>
    <w:p>
      <w:pPr>
        <w:pStyle w:val="Heading2"/>
        <w:spacing w:line="240" w:lineRule="auto" w:before="167"/>
        <w:ind w:right="0"/>
        <w:jc w:val="left"/>
        <w:rPr>
          <w:b w:val="0"/>
          <w:bCs w:val="0"/>
        </w:rPr>
      </w:pPr>
      <w:r>
        <w:rPr/>
        <w:t>二、主营业务分析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482" w:lineRule="auto" w:before="0"/>
        <w:ind w:left="152" w:right="54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3" w:lineRule="exact"/>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594"/>
        <w:gridCol w:w="1590"/>
        <w:gridCol w:w="1600"/>
        <w:gridCol w:w="1586"/>
        <w:gridCol w:w="1598"/>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438,211,497.30</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387,502,466.93</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造纸及纸制品业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435,377,478.53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99.35%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385,103,691.09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13.05%</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2,834,018.77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2,398,775.84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0.62%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18.14%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医药及其他纸盒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384,237,260.60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87.68%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337,551,234.29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87.11%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13.83%</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酒类食品彩盒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15,784,117.04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24,896,592.10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-36.60%</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35,356,100.89</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22,655,864.70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5.85%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56.06%</w:t>
            </w:r>
          </w:p>
        </w:tc>
      </w:tr>
      <w:tr>
        <w:trPr>
          <w:trHeight w:val="71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4"/>
              <w:jc w:val="left"/>
              <w:rPr>
                <w:rFonts w:ascii="宋体" w:hAnsi="宋体" w:cs="宋体" w:eastAsia="宋体" w:hint="default"/>
                <w:sz w:val="18"/>
                <w:szCs w:val="18"/>
              </w:rPr>
            </w:pPr>
            <w:r>
              <w:rPr>
                <w:rFonts w:ascii="宋体" w:hAnsi="宋体" w:cs="宋体" w:eastAsia="宋体" w:hint="default"/>
                <w:sz w:val="18"/>
                <w:szCs w:val="18"/>
              </w:rPr>
              <w:t>废纸销售及房屋租 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2,834,018.77</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2,398,775.84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18.14%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852" w:footer="980" w:top="1500" w:bottom="1160" w:left="980" w:right="9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16" w:hRule="exact"/>
        </w:trPr>
        <w:tc>
          <w:tcPr>
            <w:tcW w:w="15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141,590,843.16</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32.31%</w:t>
            </w:r>
          </w:p>
        </w:tc>
        <w:tc>
          <w:tcPr>
            <w:tcW w:w="15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121,131,149.78</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31.26%</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16.89%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46,523,566.18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37,875,809.06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22.83%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60,639,174.26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78,794,438.69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41,423,358.59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25,119,603.66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64.90%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33,227,154.41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18,424,348.96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80.34%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102,182,404.46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95,646,918.20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12,624,996.24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10,510,198.58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20.12%</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2" w:footer="980" w:top="1500" w:bottom="1160" w:left="1020" w:right="1020"/>
        </w:sectPr>
      </w:pPr>
    </w:p>
    <w:p>
      <w:pPr>
        <w:spacing w:line="350" w:lineRule="auto" w:before="44"/>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1020" w:right="1020"/>
          <w:cols w:num="2" w:equalWidth="0">
            <w:col w:w="3173" w:space="5747"/>
            <w:col w:w="95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造纸及纸制品业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435,377,478.53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351,550,737.72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医药及其他纸盒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384,237,260.60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297,407,106.27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141,590,843.16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114,256,297.83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46,523,566.18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39,136,973.07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60,639,174.26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49,283,273.74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102,182,404.46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77,644,143.88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14.75%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-5.24%</w:t>
            </w:r>
          </w:p>
        </w:tc>
      </w:tr>
    </w:tbl>
    <w:p>
      <w:pPr>
        <w:spacing w:before="49"/>
        <w:ind w:left="112" w:right="385"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41"/>
              <w:jc w:val="righ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医药及其他纸盒</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363,405.97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15.17%</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362,042.83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320,214.89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13.06%</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8,893.56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-13.29%</w:t>
            </w:r>
          </w:p>
        </w:tc>
      </w:tr>
      <w:tr>
        <w:trPr>
          <w:trHeight w:val="401"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480"/>
              <w:jc w:val="right"/>
              <w:rPr>
                <w:rFonts w:ascii="宋体" w:hAnsi="宋体" w:cs="宋体" w:eastAsia="宋体" w:hint="default"/>
                <w:sz w:val="18"/>
                <w:szCs w:val="18"/>
              </w:rPr>
            </w:pPr>
            <w:r>
              <w:rPr>
                <w:rFonts w:ascii="宋体" w:hAnsi="宋体" w:cs="宋体" w:eastAsia="宋体" w:hint="default"/>
                <w:sz w:val="18"/>
                <w:szCs w:val="18"/>
              </w:rPr>
              <w:t>酒类食品彩盒</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361.11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-36.96%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1020" w:right="10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98"/>
        <w:gridCol w:w="1582"/>
        <w:gridCol w:w="1604"/>
        <w:gridCol w:w="1596"/>
        <w:gridCol w:w="1594"/>
        <w:gridCol w:w="1594"/>
      </w:tblGrid>
      <w:tr>
        <w:trPr>
          <w:trHeight w:val="416" w:hRule="exact"/>
        </w:trPr>
        <w:tc>
          <w:tcPr>
            <w:tcW w:w="1598" w:type="dxa"/>
            <w:vMerge w:val="restart"/>
            <w:tcBorders>
              <w:top w:val="single" w:sz="10" w:space="0" w:color="000000"/>
              <w:left w:val="single" w:sz="4" w:space="0" w:color="000000"/>
              <w:right w:val="single" w:sz="4" w:space="0" w:color="000000"/>
            </w:tcBorders>
          </w:tcPr>
          <w:p>
            <w:pPr/>
          </w:p>
        </w:tc>
        <w:tc>
          <w:tcPr>
            <w:tcW w:w="158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54"/>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242.91</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365.24</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z w:val="18"/>
              </w:rPr>
              <w:t>-33.49%</w:t>
            </w:r>
          </w:p>
        </w:tc>
      </w:tr>
      <w:tr>
        <w:trPr>
          <w:trHeight w:val="401"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47.56%</w:t>
            </w:r>
          </w:p>
        </w:tc>
      </w:tr>
      <w:tr>
        <w:trPr>
          <w:trHeight w:val="403"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42.57%</w:t>
            </w:r>
          </w:p>
        </w:tc>
      </w:tr>
      <w:tr>
        <w:trPr>
          <w:trHeight w:val="401"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38.55%</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万平方米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17.78%</w:t>
            </w:r>
          </w:p>
        </w:tc>
      </w:tr>
    </w:tbl>
    <w:p>
      <w:pPr>
        <w:spacing w:before="49"/>
        <w:ind w:left="112" w:right="385"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pStyle w:val="BodyText"/>
        <w:spacing w:line="273" w:lineRule="auto" w:before="83"/>
        <w:ind w:left="112" w:right="0"/>
        <w:jc w:val="left"/>
      </w:pPr>
      <w:r>
        <w:rPr>
          <w:spacing w:val="-2"/>
        </w:rPr>
        <w:t>酒类食品彩盒业务销售量、生产量和库存量变动超过</w:t>
      </w:r>
      <w:r>
        <w:rPr/>
        <w:t> </w:t>
      </w:r>
      <w:r>
        <w:rPr>
          <w:rFonts w:ascii="宋体" w:hAnsi="宋体" w:cs="宋体" w:eastAsia="宋体" w:hint="default"/>
          <w:spacing w:val="-2"/>
        </w:rPr>
        <w:t>30%</w:t>
      </w:r>
      <w:r>
        <w:rPr>
          <w:spacing w:val="-2"/>
        </w:rPr>
        <w:t>的主要原因为：公司业务战略调整，停止与部分</w:t>
      </w:r>
      <w:r>
        <w:rPr>
          <w:spacing w:val="-69"/>
        </w:rPr>
        <w:t> </w:t>
      </w:r>
      <w:r>
        <w:rPr>
          <w:spacing w:val="-69"/>
        </w:rPr>
      </w:r>
      <w:r>
        <w:rPr/>
        <w:t>商贸客户的合作导致订单减少、生产减少。</w:t>
      </w:r>
    </w:p>
    <w:p>
      <w:pPr>
        <w:pStyle w:val="BodyText"/>
        <w:spacing w:line="240" w:lineRule="auto"/>
        <w:ind w:left="112" w:right="385"/>
        <w:jc w:val="left"/>
      </w:pPr>
      <w:r>
        <w:rPr>
          <w:spacing w:val="-2"/>
        </w:rPr>
        <w:t>瓦楞纸箱业务销售量、生产量变动超过</w:t>
      </w:r>
      <w:r>
        <w:rPr>
          <w:spacing w:val="22"/>
        </w:rPr>
        <w:t> </w:t>
      </w:r>
      <w:r>
        <w:rPr>
          <w:rFonts w:ascii="宋体" w:hAnsi="宋体" w:cs="宋体" w:eastAsia="宋体" w:hint="default"/>
          <w:spacing w:val="-2"/>
        </w:rPr>
        <w:t>30%</w:t>
      </w:r>
      <w:r>
        <w:rPr>
          <w:spacing w:val="-2"/>
        </w:rPr>
        <w:t>的主要原因为报告期内销售订单增加所致。</w:t>
      </w:r>
    </w:p>
    <w:p>
      <w:pPr>
        <w:spacing w:line="240" w:lineRule="auto" w:before="9"/>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2" w:footer="980" w:top="1500" w:bottom="1160" w:left="1020" w:right="1020"/>
        </w:sectPr>
      </w:pPr>
    </w:p>
    <w:p>
      <w:pPr>
        <w:spacing w:line="360" w:lineRule="auto"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行业和产品分类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1020" w:right="1020"/>
          <w:cols w:num="2" w:equalWidth="0">
            <w:col w:w="1373" w:space="7547"/>
            <w:col w:w="950"/>
          </w:cols>
        </w:sectPr>
      </w:pP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造纸及纸制品业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241,643,909.27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199,288,265.03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宋体" w:hAnsi="宋体" w:cs="宋体" w:eastAsia="宋体" w:hint="default"/>
                <w:sz w:val="18"/>
                <w:szCs w:val="18"/>
              </w:rPr>
              <w:t>造纸及纸制品业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46,646,389.77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41,480,239.40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12.45%</w:t>
            </w:r>
          </w:p>
        </w:tc>
      </w:tr>
    </w:tbl>
    <w:p>
      <w:pPr>
        <w:spacing w:before="49"/>
        <w:ind w:left="112" w:right="385"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医药及其他纸盒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205,251,981.65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177,892,307.63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z w:val="18"/>
              </w:rPr>
              <w:t>15.38%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医药及其他纸盒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40,018,108.35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35,539,810.90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酒类食品彩盒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1"/>
              <w:jc w:val="right"/>
              <w:rPr>
                <w:rFonts w:ascii="Times New Roman" w:hAnsi="Times New Roman" w:cs="Times New Roman" w:eastAsia="Times New Roman" w:hint="default"/>
                <w:sz w:val="18"/>
                <w:szCs w:val="18"/>
              </w:rPr>
            </w:pPr>
            <w:r>
              <w:rPr>
                <w:rFonts w:ascii="Times New Roman"/>
                <w:spacing w:val="-1"/>
                <w:sz w:val="18"/>
              </w:rPr>
              <w:t>8,003,490.58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10,139,810.38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酒类食品彩盒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3,468,904.03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3,311,150.90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23,575,490.04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11,256,147.02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瓦楞纸箱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3,159,377.39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2,629,277.60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20.16%</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580" w:bottom="280" w:left="1020" w:right="10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5608"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134,150,225.00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30.81%</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53,504,747.65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26,349,985.02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23,680,135.83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16,473,526.44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14,141,830.06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134,150,225.00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30.81%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184,416,385.89</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52.89%</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64,355,551.82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18.46%</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57,238,768.18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16.42%</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32,759,325.51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15,975,342.80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14,087,397.58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184,416,385.89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52.89%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5584"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29,137,507.28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23,627,357.83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28,165,079.42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24,702,611.31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2,700,887.60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6,428,322.04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-57.98%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主要为偿还部分贷款，利息支出减少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所致。</w:t>
            </w: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206" w:firstLine="360"/>
        <w:jc w:val="both"/>
      </w:pPr>
      <w:r>
        <w:rPr>
          <w:spacing w:val="-1"/>
        </w:rPr>
        <w:t>公司一贯重视技术研发和产品创新，注重研发投入，坚持以市场为导向，积极推进技术创新工作。报</w:t>
      </w:r>
      <w:r>
        <w:rPr>
          <w:w w:val="100"/>
        </w:rPr>
        <w:t> </w:t>
      </w:r>
      <w:r>
        <w:rPr>
          <w:spacing w:val="-2"/>
        </w:rPr>
        <w:t>告期内，公司研发投入主要围绕主营业务医药包装折叠纸盒、大健康产品包装纸盒，同时根据公司战略发</w:t>
      </w:r>
      <w:r>
        <w:rPr>
          <w:spacing w:val="-43"/>
        </w:rPr>
        <w:t> </w:t>
      </w:r>
      <w:r>
        <w:rPr>
          <w:spacing w:val="-43"/>
        </w:rPr>
      </w:r>
      <w:r>
        <w:rPr>
          <w:spacing w:val="-2"/>
        </w:rPr>
        <w:t>展规划方向，开发适用于现代物流服务的绿色智能包装产品，以及智能终端等其他电子产品包装等领域开</w:t>
      </w:r>
      <w:r>
        <w:rPr>
          <w:spacing w:val="-44"/>
        </w:rPr>
        <w:t> </w:t>
      </w:r>
      <w:r>
        <w:rPr>
          <w:spacing w:val="-44"/>
        </w:rPr>
      </w:r>
      <w:r>
        <w:rPr/>
        <w:t>展技术研发工作。</w:t>
      </w:r>
    </w:p>
    <w:p>
      <w:pPr>
        <w:pStyle w:val="BodyText"/>
        <w:spacing w:line="408" w:lineRule="auto"/>
        <w:ind w:right="0" w:firstLine="360"/>
        <w:jc w:val="left"/>
      </w:pPr>
      <w:r>
        <w:rPr>
          <w:spacing w:val="-3"/>
        </w:rPr>
        <w:t>（</w:t>
      </w:r>
      <w:r>
        <w:rPr>
          <w:rFonts w:ascii="宋体" w:hAnsi="宋体" w:cs="宋体" w:eastAsia="宋体" w:hint="default"/>
          <w:spacing w:val="-3"/>
        </w:rPr>
        <w:t>1</w:t>
      </w:r>
      <w:r>
        <w:rPr>
          <w:spacing w:val="-3"/>
        </w:rPr>
        <w:t>）在医药包装折叠纸盒新产品和技术研发方面，公司通过防伪折叠纸盒系列产品研制项目、可变数</w:t>
      </w:r>
      <w:r>
        <w:rPr>
          <w:w w:val="100"/>
        </w:rPr>
        <w:t> </w:t>
      </w:r>
      <w:r>
        <w:rPr>
          <w:spacing w:val="-2"/>
        </w:rPr>
        <w:t>码折叠纸盒系列产品研制项目等研发项目的实施，针对医药企业个性化的药品包装要求，尤其在适应于医</w:t>
      </w:r>
      <w:r>
        <w:rPr>
          <w:spacing w:val="-43"/>
        </w:rPr>
        <w:t> </w:t>
      </w:r>
      <w:r>
        <w:rPr>
          <w:spacing w:val="-43"/>
        </w:rPr>
      </w:r>
      <w:r>
        <w:rPr>
          <w:spacing w:val="-2"/>
        </w:rPr>
        <w:t>药企业高速自动包装流水线对高性能折叠纸盒的要求，在产品的外观、结构、生产工艺实现等展开研发工</w:t>
      </w:r>
      <w:r>
        <w:rPr>
          <w:spacing w:val="-44"/>
        </w:rPr>
        <w:t> </w:t>
      </w:r>
      <w:r>
        <w:rPr>
          <w:spacing w:val="-44"/>
        </w:rPr>
      </w:r>
      <w:r>
        <w:rPr>
          <w:spacing w:val="-5"/>
        </w:rPr>
        <w:t>作，并把高聚物防伪、全息定位烫、三维激光防伪、光化浮雕防伪、重离子微孔防伪、核径迹、微缩文字、</w:t>
      </w:r>
      <w:r>
        <w:rPr>
          <w:spacing w:val="-10"/>
        </w:rPr>
        <w:t> </w:t>
      </w:r>
      <w:r>
        <w:rPr>
          <w:spacing w:val="-10"/>
        </w:rPr>
      </w:r>
      <w:r>
        <w:rPr>
          <w:spacing w:val="-2"/>
        </w:rPr>
        <w:t>多层染色纸、版纹防伪、油墨防伪、镭射膜等防伪技术综合应用到包装产品的外观、结构中，以增强药品</w:t>
      </w:r>
      <w:r>
        <w:rPr>
          <w:spacing w:val="-43"/>
        </w:rPr>
        <w:t> </w:t>
      </w:r>
      <w:r>
        <w:rPr>
          <w:spacing w:val="-43"/>
        </w:rPr>
      </w:r>
      <w:r>
        <w:rPr/>
        <w:t>包装的防伪力度和防伪效果，提高药品包装的安全性，防止假冒药品危及患者的用药安全。</w:t>
      </w:r>
    </w:p>
    <w:p>
      <w:pPr>
        <w:pStyle w:val="BodyText"/>
        <w:spacing w:line="408" w:lineRule="auto"/>
        <w:ind w:right="206" w:firstLine="360"/>
        <w:jc w:val="both"/>
      </w:pPr>
      <w:r>
        <w:rPr>
          <w:spacing w:val="-1"/>
        </w:rPr>
        <w:t>针对政府对药品追溯监管的新要求，公司在已拥有的药品电子监管码喷印技术的基础上，针对医药企</w:t>
      </w:r>
      <w:r>
        <w:rPr>
          <w:w w:val="100"/>
        </w:rPr>
        <w:t> </w:t>
      </w:r>
      <w:r>
        <w:rPr>
          <w:spacing w:val="-2"/>
        </w:rPr>
        <w:t>业对自身药品可追溯的多样化需求，通过开发各类型可变数据码在纸盒表面喷印技术，实现对每件产品唯</w:t>
      </w:r>
      <w:r>
        <w:rPr>
          <w:spacing w:val="-41"/>
        </w:rPr>
        <w:t> </w:t>
      </w:r>
      <w:r>
        <w:rPr>
          <w:spacing w:val="-41"/>
        </w:rPr>
      </w:r>
      <w:r>
        <w:rPr>
          <w:spacing w:val="-3"/>
        </w:rPr>
        <w:t>一识别，追溯水平提高到最小包装销售单位，满足医药企业的药品在生产、流通、使用的各环节同时进行</w:t>
      </w:r>
      <w:r>
        <w:rPr>
          <w:spacing w:val="-5"/>
        </w:rPr>
        <w:t> </w:t>
      </w:r>
      <w:r>
        <w:rPr>
          <w:spacing w:val="-5"/>
        </w:rPr>
      </w:r>
      <w:r>
        <w:rPr/>
        <w:t>的实时动态信息共享与监控。</w:t>
      </w:r>
    </w:p>
    <w:p>
      <w:pPr>
        <w:pStyle w:val="BodyText"/>
        <w:spacing w:line="408" w:lineRule="auto"/>
        <w:ind w:right="206" w:firstLine="360"/>
        <w:jc w:val="both"/>
      </w:pPr>
      <w:r>
        <w:rPr>
          <w:spacing w:val="-3"/>
        </w:rPr>
        <w:t>（</w:t>
      </w:r>
      <w:r>
        <w:rPr>
          <w:rFonts w:ascii="宋体" w:hAnsi="宋体" w:cs="宋体" w:eastAsia="宋体" w:hint="default"/>
          <w:spacing w:val="-3"/>
        </w:rPr>
        <w:t>2</w:t>
      </w:r>
      <w:r>
        <w:rPr>
          <w:spacing w:val="-3"/>
        </w:rPr>
        <w:t>）在大健康产品包装纸盒新产品和技术研发方面，公司利用在医药包装折叠纸盒掌握的技术，针对</w:t>
      </w:r>
      <w:r>
        <w:rPr>
          <w:w w:val="100"/>
        </w:rPr>
        <w:t> </w:t>
      </w:r>
      <w:r>
        <w:rPr>
          <w:spacing w:val="-2"/>
        </w:rPr>
        <w:t>健字号保健食品、化妆品等这些大健康产品的包装要求外观新颖、结构个性，能吸引终端消费者眼球的特</w:t>
      </w:r>
      <w:r>
        <w:rPr>
          <w:spacing w:val="-45"/>
        </w:rPr>
        <w:t> </w:t>
      </w:r>
      <w:r>
        <w:rPr>
          <w:spacing w:val="-45"/>
        </w:rPr>
      </w:r>
      <w:r>
        <w:rPr>
          <w:spacing w:val="-2"/>
        </w:rPr>
        <w:t>点，在包装盒表面进行烫金、</w:t>
      </w:r>
      <w:r>
        <w:rPr>
          <w:rFonts w:ascii="宋体" w:hAnsi="宋体" w:cs="宋体" w:eastAsia="宋体" w:hint="default"/>
          <w:spacing w:val="-2"/>
        </w:rPr>
        <w:t>UV</w:t>
      </w:r>
      <w:r>
        <w:rPr>
          <w:spacing w:val="-2"/>
        </w:rPr>
        <w:t>光油、水性光油、丝网印刷、逆向上光、复膜、击凸等工艺处理，使其达</w:t>
      </w:r>
      <w:r>
        <w:rPr>
          <w:spacing w:val="-46"/>
        </w:rPr>
        <w:t> </w:t>
      </w:r>
      <w:r>
        <w:rPr>
          <w:spacing w:val="-46"/>
        </w:rPr>
      </w:r>
      <w:r>
        <w:rPr>
          <w:spacing w:val="-2"/>
        </w:rPr>
        <w:t>到某种特殊的视觉效果，以起到美观、保护、防伪等功能。现已在大健康产品包装领域赢得少部分客户的</w:t>
      </w:r>
      <w:r>
        <w:rPr>
          <w:spacing w:val="-47"/>
        </w:rPr>
        <w:t> </w:t>
      </w:r>
      <w:r>
        <w:rPr>
          <w:spacing w:val="-47"/>
        </w:rPr>
      </w:r>
      <w:r>
        <w:rPr/>
        <w:t>信赖，为公司进一步扩大大健康产品包装纸盒积累了技术储备。</w:t>
      </w:r>
    </w:p>
    <w:p>
      <w:pPr>
        <w:pStyle w:val="BodyText"/>
        <w:spacing w:line="240" w:lineRule="auto"/>
        <w:ind w:left="513" w:right="0"/>
        <w:jc w:val="left"/>
      </w:pPr>
      <w:r>
        <w:rPr>
          <w:spacing w:val="-3"/>
        </w:rPr>
        <w:t>（</w:t>
      </w:r>
      <w:r>
        <w:rPr>
          <w:rFonts w:ascii="宋体" w:hAnsi="宋体" w:cs="宋体" w:eastAsia="宋体" w:hint="default"/>
          <w:spacing w:val="-3"/>
        </w:rPr>
        <w:t>3</w:t>
      </w:r>
      <w:r>
        <w:rPr>
          <w:spacing w:val="-3"/>
        </w:rPr>
        <w:t>）在适用于现代物流服务的绿色智能包装产品技术研发方面，公司对运行多年的瓦楞板生产线进行</w:t>
      </w:r>
    </w:p>
    <w:p>
      <w:pPr>
        <w:spacing w:after="0" w:line="240" w:lineRule="auto"/>
        <w:jc w:val="left"/>
        <w:sectPr>
          <w:pgSz w:w="11910" w:h="16840"/>
          <w:pgMar w:header="852" w:footer="980" w:top="150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59"/>
        <w:ind w:right="206"/>
        <w:jc w:val="both"/>
      </w:pPr>
      <w:r>
        <w:rPr>
          <w:spacing w:val="-2"/>
        </w:rPr>
        <w:t>了技术改造，使其在产品的加工性能、效率方面均有大幅提升，具备了加工</w:t>
      </w:r>
      <w:r>
        <w:rPr>
          <w:rFonts w:ascii="宋体" w:hAnsi="宋体" w:cs="宋体" w:eastAsia="宋体" w:hint="default"/>
          <w:spacing w:val="-2"/>
        </w:rPr>
        <w:t>A</w:t>
      </w:r>
      <w:r>
        <w:rPr>
          <w:spacing w:val="-2"/>
        </w:rPr>
        <w:t>、</w:t>
      </w:r>
      <w:r>
        <w:rPr>
          <w:rFonts w:ascii="宋体" w:hAnsi="宋体" w:cs="宋体" w:eastAsia="宋体" w:hint="default"/>
          <w:spacing w:val="-2"/>
        </w:rPr>
        <w:t>B</w:t>
      </w:r>
      <w:r>
        <w:rPr>
          <w:spacing w:val="-2"/>
        </w:rPr>
        <w:t>、</w:t>
      </w:r>
      <w:r>
        <w:rPr>
          <w:rFonts w:ascii="宋体" w:hAnsi="宋体" w:cs="宋体" w:eastAsia="宋体" w:hint="default"/>
          <w:spacing w:val="-2"/>
        </w:rPr>
        <w:t>C</w:t>
      </w:r>
      <w:r>
        <w:rPr>
          <w:spacing w:val="-2"/>
        </w:rPr>
        <w:t>、</w:t>
      </w:r>
      <w:r>
        <w:rPr>
          <w:rFonts w:ascii="宋体" w:hAnsi="宋体" w:cs="宋体" w:eastAsia="宋体" w:hint="default"/>
          <w:spacing w:val="-2"/>
        </w:rPr>
        <w:t>E</w:t>
      </w:r>
      <w:r>
        <w:rPr>
          <w:spacing w:val="-2"/>
        </w:rPr>
        <w:t>、</w:t>
      </w:r>
      <w:r>
        <w:rPr>
          <w:rFonts w:ascii="宋体" w:hAnsi="宋体" w:cs="宋体" w:eastAsia="宋体" w:hint="default"/>
          <w:spacing w:val="-2"/>
        </w:rPr>
        <w:t>F</w:t>
      </w:r>
      <w:r>
        <w:rPr>
          <w:spacing w:val="-2"/>
        </w:rPr>
        <w:t>、</w:t>
      </w:r>
      <w:r>
        <w:rPr>
          <w:rFonts w:ascii="宋体" w:hAnsi="宋体" w:cs="宋体" w:eastAsia="宋体" w:hint="default"/>
          <w:spacing w:val="-2"/>
        </w:rPr>
        <w:t>G</w:t>
      </w:r>
      <w:r>
        <w:rPr>
          <w:spacing w:val="-2"/>
        </w:rPr>
        <w:t>楞型的单层</w:t>
      </w:r>
      <w:r>
        <w:rPr>
          <w:spacing w:val="-43"/>
        </w:rPr>
        <w:t> </w:t>
      </w:r>
      <w:r>
        <w:rPr>
          <w:spacing w:val="-43"/>
        </w:rPr>
      </w:r>
      <w:r>
        <w:rPr>
          <w:spacing w:val="-2"/>
        </w:rPr>
        <w:t>和双层瓦楞的能力，又满足环保的要求。并与厦门吉宏股份合作，共享瓦楞生产技术，通过适用于流水线</w:t>
      </w:r>
      <w:r>
        <w:rPr>
          <w:spacing w:val="-50"/>
        </w:rPr>
        <w:t> </w:t>
      </w:r>
      <w:r>
        <w:rPr>
          <w:spacing w:val="-50"/>
        </w:rPr>
      </w:r>
      <w:r>
        <w:rPr>
          <w:spacing w:val="-2"/>
        </w:rPr>
        <w:t>自动生产的微细瓦楞纸箱系列产品的研制项目的实施，在微细瓦楞生产工艺方面克服了对裱、模切、成型</w:t>
      </w:r>
      <w:r>
        <w:rPr>
          <w:spacing w:val="-43"/>
        </w:rPr>
        <w:t> </w:t>
      </w:r>
      <w:r>
        <w:rPr>
          <w:spacing w:val="-43"/>
        </w:rPr>
      </w:r>
      <w:r>
        <w:rPr/>
        <w:t>等工序的工艺难题，使得公司的微细瓦楞产品在结构上更适应于流水线自动生产。</w:t>
      </w:r>
    </w:p>
    <w:p>
      <w:pPr>
        <w:pStyle w:val="BodyText"/>
        <w:spacing w:line="408" w:lineRule="auto"/>
        <w:ind w:right="0" w:firstLine="360"/>
        <w:jc w:val="left"/>
      </w:pPr>
      <w:r>
        <w:rPr>
          <w:spacing w:val="-3"/>
        </w:rPr>
        <w:t>（</w:t>
      </w:r>
      <w:r>
        <w:rPr>
          <w:rFonts w:ascii="宋体" w:hAnsi="宋体" w:cs="宋体" w:eastAsia="宋体" w:hint="default"/>
          <w:spacing w:val="-3"/>
        </w:rPr>
        <w:t>4</w:t>
      </w:r>
      <w:r>
        <w:rPr>
          <w:spacing w:val="-3"/>
        </w:rPr>
        <w:t>）在智能终端等其他电子产品包装新产品和技术研发方面，公司紧紧抓住三星电子、中兴电子在西</w:t>
      </w:r>
      <w:r>
        <w:rPr>
          <w:w w:val="100"/>
        </w:rPr>
        <w:t> </w:t>
      </w:r>
      <w:r>
        <w:rPr>
          <w:spacing w:val="-2"/>
        </w:rPr>
        <w:t>安建电子产品生产基地的机遇，针对智能终端等其他电子产品对产品包装的外观精美、高抗震、多部件的</w:t>
      </w:r>
      <w:r>
        <w:rPr>
          <w:spacing w:val="-45"/>
        </w:rPr>
        <w:t> </w:t>
      </w:r>
      <w:r>
        <w:rPr>
          <w:spacing w:val="-45"/>
        </w:rPr>
      </w:r>
      <w:r>
        <w:rPr>
          <w:spacing w:val="-2"/>
        </w:rPr>
        <w:t>质量要求，公司积极引进技术人才，在新材料应用、盒型结构设计、自动化流水线上生产工艺等取得了关</w:t>
      </w:r>
      <w:r>
        <w:rPr>
          <w:spacing w:val="-47"/>
        </w:rPr>
        <w:t> </w:t>
      </w:r>
      <w:r>
        <w:rPr>
          <w:spacing w:val="-47"/>
        </w:rPr>
      </w:r>
      <w:r>
        <w:rPr>
          <w:spacing w:val="-2"/>
        </w:rPr>
        <w:t>键性突破。并且针对此类产品批次多、批量小、</w:t>
      </w:r>
      <w:r>
        <w:rPr>
          <w:rFonts w:ascii="宋体" w:hAnsi="宋体" w:cs="宋体" w:eastAsia="宋体" w:hint="default"/>
          <w:spacing w:val="-2"/>
        </w:rPr>
        <w:t>JIT</w:t>
      </w:r>
      <w:r>
        <w:rPr>
          <w:spacing w:val="-2"/>
        </w:rPr>
        <w:t>供货的特点，公司建立了一套完整的接单、设计研发、</w:t>
      </w:r>
      <w:r>
        <w:rPr>
          <w:spacing w:val="-38"/>
        </w:rPr>
        <w:t> </w:t>
      </w:r>
      <w:r>
        <w:rPr>
          <w:spacing w:val="-38"/>
        </w:rPr>
      </w:r>
      <w:r>
        <w:rPr>
          <w:spacing w:val="-2"/>
        </w:rPr>
        <w:t>生产、质量，以及库存管理和交付管理的供应链控制流程体系。该研发项目的持续实施，为公司在智能终</w:t>
      </w:r>
      <w:r>
        <w:rPr>
          <w:spacing w:val="-47"/>
        </w:rPr>
        <w:t> </w:t>
      </w:r>
      <w:r>
        <w:rPr>
          <w:spacing w:val="-47"/>
        </w:rPr>
      </w:r>
      <w:r>
        <w:rPr/>
        <w:t>端等其他电子产品包装等领域取得了西北地区的先发优势。</w:t>
      </w:r>
    </w:p>
    <w:p>
      <w:pPr>
        <w:pStyle w:val="BodyText"/>
        <w:spacing w:line="408" w:lineRule="auto" w:before="87"/>
        <w:ind w:right="0" w:firstLine="360"/>
        <w:jc w:val="left"/>
      </w:pPr>
      <w:r>
        <w:rPr/>
        <w:t>（</w:t>
      </w:r>
      <w:r>
        <w:rPr>
          <w:rFonts w:ascii="宋体" w:hAnsi="宋体" w:cs="宋体" w:eastAsia="宋体" w:hint="default"/>
        </w:rPr>
        <w:t>5</w:t>
      </w:r>
      <w:r>
        <w:rPr/>
        <w:t>）公司在原有的</w:t>
      </w:r>
      <w:r>
        <w:rPr>
          <w:rFonts w:ascii="宋体" w:hAnsi="宋体" w:cs="宋体" w:eastAsia="宋体" w:hint="default"/>
        </w:rPr>
        <w:t>ERP</w:t>
      </w:r>
      <w:r>
        <w:rPr/>
        <w:t>管理系统的基础上，开发升级了全新的信息化管理系统，该系统涵盖了公司及</w:t>
      </w:r>
      <w:r>
        <w:rPr>
          <w:w w:val="100"/>
        </w:rPr>
        <w:t> </w:t>
      </w:r>
      <w:r>
        <w:rPr>
          <w:spacing w:val="-2"/>
        </w:rPr>
        <w:t>子公司所有产品及各类生产的标准化，工作流程的标准化，借助</w:t>
      </w:r>
      <w:r>
        <w:rPr>
          <w:rFonts w:ascii="宋体" w:hAnsi="宋体" w:cs="宋体" w:eastAsia="宋体" w:hint="default"/>
          <w:spacing w:val="-2"/>
        </w:rPr>
        <w:t>ERP</w:t>
      </w:r>
      <w:r>
        <w:rPr>
          <w:spacing w:val="-2"/>
        </w:rPr>
        <w:t>和</w:t>
      </w:r>
      <w:r>
        <w:rPr>
          <w:rFonts w:ascii="宋体" w:hAnsi="宋体" w:cs="宋体" w:eastAsia="宋体" w:hint="default"/>
          <w:spacing w:val="-2"/>
        </w:rPr>
        <w:t>ESKO</w:t>
      </w:r>
      <w:r>
        <w:rPr>
          <w:spacing w:val="-2"/>
        </w:rPr>
        <w:t>印前工作流，全部实现数字化、</w:t>
      </w:r>
      <w:r>
        <w:rPr>
          <w:spacing w:val="-36"/>
        </w:rPr>
        <w:t> </w:t>
      </w:r>
      <w:r>
        <w:rPr>
          <w:spacing w:val="-36"/>
        </w:rPr>
      </w:r>
      <w:r>
        <w:rPr>
          <w:spacing w:val="-2"/>
        </w:rPr>
        <w:t>信息化管理。从印前到形成产品工艺、业务下单、生产安排、机台作业反馈、物料管控、成品管控、质量</w:t>
      </w:r>
      <w:r>
        <w:rPr>
          <w:spacing w:val="-47"/>
        </w:rPr>
        <w:t> </w:t>
      </w:r>
      <w:r>
        <w:rPr>
          <w:spacing w:val="-47"/>
        </w:rPr>
      </w:r>
      <w:r>
        <w:rPr/>
        <w:t>管控、财务结算和核算等，全部在系统内完成，形成了企业全数字化的工作流程。在生产相关环节，实施</w:t>
      </w:r>
      <w:r>
        <w:rPr>
          <w:w w:val="100"/>
        </w:rPr>
        <w:t> </w:t>
      </w:r>
      <w:r>
        <w:rPr>
          <w:spacing w:val="-2"/>
        </w:rPr>
        <w:t>了电脑配色系统、</w:t>
      </w:r>
      <w:r>
        <w:rPr>
          <w:rFonts w:ascii="宋体" w:hAnsi="宋体" w:cs="宋体" w:eastAsia="宋体" w:hint="default"/>
          <w:spacing w:val="-2"/>
        </w:rPr>
        <w:t>CTP</w:t>
      </w:r>
      <w:r>
        <w:rPr>
          <w:spacing w:val="-2"/>
        </w:rPr>
        <w:t>、</w:t>
      </w:r>
      <w:r>
        <w:rPr>
          <w:rFonts w:ascii="宋体" w:hAnsi="宋体" w:cs="宋体" w:eastAsia="宋体" w:hint="default"/>
          <w:spacing w:val="-2"/>
        </w:rPr>
        <w:t>GMG</w:t>
      </w:r>
      <w:r>
        <w:rPr>
          <w:spacing w:val="-2"/>
        </w:rPr>
        <w:t>色彩管理系统。该研发项目还在继续实施，预计</w:t>
      </w:r>
      <w:r>
        <w:rPr>
          <w:rFonts w:ascii="宋体" w:hAnsi="宋体" w:cs="宋体" w:eastAsia="宋体" w:hint="default"/>
          <w:spacing w:val="-2"/>
        </w:rPr>
        <w:t>2018</w:t>
      </w:r>
      <w:r>
        <w:rPr>
          <w:spacing w:val="-2"/>
        </w:rPr>
        <w:t>年可全面投运，届时将会</w:t>
      </w:r>
      <w:r>
        <w:rPr>
          <w:spacing w:val="-43"/>
        </w:rPr>
        <w:t> </w:t>
      </w:r>
      <w:r>
        <w:rPr>
          <w:spacing w:val="-43"/>
        </w:rPr>
      </w:r>
      <w:r>
        <w:rPr/>
        <w:t>给公司的全面管理带来办公效率的大幅提升。</w:t>
      </w:r>
    </w:p>
    <w:p>
      <w:pPr>
        <w:spacing w:line="240" w:lineRule="auto" w:before="7"/>
        <w:rPr>
          <w:rFonts w:ascii="宋体" w:hAnsi="宋体" w:cs="宋体" w:eastAsia="宋体" w:hint="default"/>
          <w:sz w:val="27"/>
          <w:szCs w:val="27"/>
        </w:rPr>
      </w:pPr>
    </w:p>
    <w:p>
      <w:pPr>
        <w:pStyle w:val="BodyText"/>
        <w:spacing w:line="240" w:lineRule="auto" w:before="0"/>
        <w:ind w:right="0"/>
        <w:jc w:val="both"/>
      </w:pPr>
      <w:r>
        <w:rPr/>
        <w:t>公司研发投入情况</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20,451,271.39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19,112,238.06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7.01%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-0.26%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5536"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480,331,113.06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502,783,847.38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428,419,162.62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461,517,565.45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51,911,950.44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41,266,281.93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25.80%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5,281,817.61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3,284,925.43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60.79%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63,103,982.82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42,918,174.98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47.03%</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-57,822,165.21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-39,633,249.55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123,563,814.20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289,278,921.47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-57.29%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92,457,142.84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234,658,540.00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-60.60%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31,106,671.36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54,620,381.47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25,196,456.59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56,253,413.85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-55.21%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40" w:lineRule="auto" w:before="115"/>
        <w:ind w:left="424" w:right="1927" w:hanging="272"/>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投资活动现金流入同比增长</w:t>
      </w:r>
      <w:r>
        <w:rPr>
          <w:rFonts w:ascii="Times New Roman" w:hAnsi="Times New Roman" w:cs="Times New Roman" w:eastAsia="Times New Roman" w:hint="default"/>
          <w:sz w:val="18"/>
          <w:szCs w:val="18"/>
        </w:rPr>
        <w:t>60.79%</w:t>
      </w:r>
      <w:r>
        <w:rPr>
          <w:rFonts w:ascii="宋体" w:hAnsi="宋体" w:cs="宋体" w:eastAsia="宋体" w:hint="default"/>
          <w:sz w:val="18"/>
          <w:szCs w:val="18"/>
        </w:rPr>
        <w:t>，主要系公司取得投资收益收到的现金较上年同期增加所致。</w:t>
      </w:r>
    </w:p>
    <w:p>
      <w:pPr>
        <w:spacing w:line="229" w:lineRule="exact" w:before="0"/>
        <w:ind w:left="424" w:right="0" w:firstLine="0"/>
        <w:jc w:val="left"/>
        <w:rPr>
          <w:rFonts w:ascii="宋体" w:hAnsi="宋体" w:cs="宋体" w:eastAsia="宋体" w:hint="default"/>
          <w:sz w:val="18"/>
          <w:szCs w:val="18"/>
        </w:rPr>
      </w:pPr>
      <w:r>
        <w:rPr>
          <w:rFonts w:ascii="宋体" w:hAnsi="宋体" w:cs="宋体" w:eastAsia="宋体" w:hint="default"/>
          <w:sz w:val="18"/>
          <w:szCs w:val="18"/>
        </w:rPr>
        <w:t>投资活动现金流出同比增长</w:t>
      </w:r>
      <w:r>
        <w:rPr>
          <w:rFonts w:ascii="Times New Roman" w:hAnsi="Times New Roman" w:cs="Times New Roman" w:eastAsia="Times New Roman" w:hint="default"/>
          <w:sz w:val="18"/>
          <w:szCs w:val="18"/>
        </w:rPr>
        <w:t>47.03%</w:t>
      </w:r>
      <w:r>
        <w:rPr>
          <w:rFonts w:ascii="宋体" w:hAnsi="宋体" w:cs="宋体" w:eastAsia="宋体" w:hint="default"/>
          <w:sz w:val="18"/>
          <w:szCs w:val="18"/>
        </w:rPr>
        <w:t>，主要系本公司与上海贵灵实业有限公司、上海久日投资管理有限公司共同出资设立</w:t>
      </w:r>
    </w:p>
    <w:p>
      <w:pPr>
        <w:spacing w:line="300" w:lineRule="auto" w:before="63"/>
        <w:ind w:left="424" w:right="2647" w:firstLine="0"/>
        <w:jc w:val="left"/>
        <w:rPr>
          <w:rFonts w:ascii="宋体" w:hAnsi="宋体" w:cs="宋体" w:eastAsia="宋体" w:hint="default"/>
          <w:sz w:val="18"/>
          <w:szCs w:val="18"/>
        </w:rPr>
      </w:pPr>
      <w:r>
        <w:rPr>
          <w:rFonts w:ascii="宋体" w:hAnsi="宋体" w:cs="宋体" w:eastAsia="宋体" w:hint="default"/>
          <w:sz w:val="18"/>
          <w:szCs w:val="18"/>
        </w:rPr>
        <w:t>上海久旭环保股份有限公司，本公司认缴出资</w:t>
      </w:r>
      <w:r>
        <w:rPr>
          <w:rFonts w:ascii="Times New Roman" w:hAnsi="Times New Roman" w:cs="Times New Roman" w:eastAsia="Times New Roman" w:hint="default"/>
          <w:sz w:val="18"/>
          <w:szCs w:val="18"/>
        </w:rPr>
        <w:t>2,500.00</w:t>
      </w:r>
      <w:r>
        <w:rPr>
          <w:rFonts w:ascii="宋体" w:hAnsi="宋体" w:cs="宋体" w:eastAsia="宋体" w:hint="default"/>
          <w:sz w:val="18"/>
          <w:szCs w:val="18"/>
        </w:rPr>
        <w:t>万元所致。 筹资活动现金流入同比减少</w:t>
      </w:r>
      <w:r>
        <w:rPr>
          <w:rFonts w:ascii="Times New Roman" w:hAnsi="Times New Roman" w:cs="Times New Roman" w:eastAsia="Times New Roman" w:hint="default"/>
          <w:sz w:val="18"/>
          <w:szCs w:val="18"/>
        </w:rPr>
        <w:t>57.29%</w:t>
      </w:r>
      <w:r>
        <w:rPr>
          <w:rFonts w:ascii="宋体" w:hAnsi="宋体" w:cs="宋体" w:eastAsia="宋体" w:hint="default"/>
          <w:sz w:val="18"/>
          <w:szCs w:val="18"/>
        </w:rPr>
        <w:t>，主要系公司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年上市收到募集资金所致。 筹资活动现金流出同比减少</w:t>
      </w:r>
      <w:r>
        <w:rPr>
          <w:rFonts w:ascii="Times New Roman" w:hAnsi="Times New Roman" w:cs="Times New Roman" w:eastAsia="Times New Roman" w:hint="default"/>
          <w:sz w:val="18"/>
          <w:szCs w:val="18"/>
        </w:rPr>
        <w:t>60.60%</w:t>
      </w:r>
      <w:r>
        <w:rPr>
          <w:rFonts w:ascii="宋体" w:hAnsi="宋体" w:cs="宋体" w:eastAsia="宋体" w:hint="default"/>
          <w:sz w:val="18"/>
          <w:szCs w:val="18"/>
        </w:rPr>
        <w:t>，主要系公司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年贷款减少，分配现金股利所致。</w:t>
      </w:r>
    </w:p>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三、非主营业务分析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2"/>
        <w:gridCol w:w="3059"/>
        <w:gridCol w:w="1450"/>
      </w:tblGrid>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31" w:right="86" w:hanging="540"/>
              <w:jc w:val="left"/>
              <w:rPr>
                <w:rFonts w:ascii="宋体" w:hAnsi="宋体" w:cs="宋体" w:eastAsia="宋体" w:hint="default"/>
                <w:sz w:val="18"/>
                <w:szCs w:val="18"/>
              </w:rPr>
            </w:pPr>
            <w:r>
              <w:rPr>
                <w:rFonts w:ascii="宋体" w:hAnsi="宋体" w:cs="宋体" w:eastAsia="宋体" w:hint="default"/>
                <w:sz w:val="18"/>
                <w:szCs w:val="18"/>
              </w:rPr>
              <w:t>是否具有可持续 性</w:t>
            </w:r>
          </w:p>
        </w:tc>
      </w:tr>
      <w:tr>
        <w:trPr>
          <w:trHeight w:val="394" w:hRule="exact"/>
        </w:trPr>
        <w:tc>
          <w:tcPr>
            <w:tcW w:w="1500" w:type="dxa"/>
            <w:tcBorders>
              <w:top w:val="nil" w:sz="6" w:space="0" w:color="auto"/>
              <w:left w:val="single" w:sz="4" w:space="0" w:color="000000"/>
              <w:bottom w:val="nil" w:sz="6" w:space="0" w:color="auto"/>
              <w:right w:val="single" w:sz="4" w:space="0" w:color="000000"/>
            </w:tcBorders>
            <w:shd w:val="clear" w:color="auto" w:fill="D2D2D2"/>
          </w:tcPr>
          <w:p>
            <w:pPr/>
          </w:p>
        </w:tc>
        <w:tc>
          <w:tcPr>
            <w:tcW w:w="19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占利润总额比例</w:t>
            </w:r>
          </w:p>
        </w:tc>
        <w:tc>
          <w:tcPr>
            <w:tcW w:w="3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450" w:type="dxa"/>
            <w:vMerge/>
            <w:tcBorders>
              <w:left w:val="single" w:sz="4" w:space="0" w:color="000000"/>
              <w:right w:val="single" w:sz="4" w:space="0" w:color="000000"/>
            </w:tcBorders>
            <w:shd w:val="clear" w:color="auto" w:fill="D2D2D2"/>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5,232,540.18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19.53%</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系按权益法计算的参股公司投资收益</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1,080,449.95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4.03%</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系按会计政策计提的各项减值</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66,991.47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0.25%</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系收到的非经营性补贴款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53,058.01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0.20%</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系子公司罚款支出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52" w:footer="980" w:top="1500" w:bottom="1160" w:left="980" w:right="980"/>
        </w:sectPr>
      </w:pPr>
    </w:p>
    <w:p>
      <w:pPr>
        <w:pStyle w:val="Heading2"/>
        <w:spacing w:line="355" w:lineRule="exact"/>
        <w:ind w:right="0"/>
        <w:jc w:val="left"/>
        <w:rPr>
          <w:b w:val="0"/>
          <w:bCs w:val="0"/>
        </w:rPr>
      </w:pPr>
      <w:r>
        <w:rPr/>
        <w:pict>
          <v:group style="position:absolute;margin-left:55.200001pt;margin-top:2.202064pt;width:484.9pt;height:.1pt;mso-position-horizontal-relative:page;mso-position-vertical-relative:paragraph;z-index:-755512" coordorigin="1104,44" coordsize="9698,2">
            <v:shape style="position:absolute;left:1104;top:44;width:9698;height:2" coordorigin="1104,44" coordsize="9698,0" path="m1104,44l10802,44e" filled="false" stroked="true" strokeweight=".72pt" strokecolor="#000000">
              <v:path arrowok="t"/>
            </v:shape>
            <w10:wrap type="none"/>
          </v:group>
        </w:pict>
      </w:r>
      <w:r>
        <w:rPr/>
        <w:t>四、资产及负债状况分析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94"/>
        <w:gridCol w:w="1045"/>
        <w:gridCol w:w="1195"/>
        <w:gridCol w:w="1064"/>
        <w:gridCol w:w="797"/>
        <w:gridCol w:w="2919"/>
      </w:tblGrid>
      <w:tr>
        <w:trPr>
          <w:trHeight w:val="379" w:hRule="exact"/>
        </w:trPr>
        <w:tc>
          <w:tcPr>
            <w:tcW w:w="134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46" w:type="dxa"/>
            <w:vMerge w:val="restart"/>
            <w:tcBorders>
              <w:top w:val="single" w:sz="13" w:space="0" w:color="FFFFFF"/>
              <w:left w:val="single" w:sz="4" w:space="0" w:color="000000"/>
              <w:right w:val="single" w:sz="4" w:space="0" w:color="000000"/>
            </w:tcBorders>
            <w:shd w:val="clear" w:color="auto" w:fill="D2D2D2"/>
          </w:tcPr>
          <w:p>
            <w:pPr/>
          </w:p>
        </w:tc>
        <w:tc>
          <w:tcPr>
            <w:tcW w:w="1194"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45"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27" w:right="6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5"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045"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133,348,582.02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112,129,883.14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124,268,146.32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121,803,633.90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86,954,430.60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67,977,715.10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66,133,080.25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40,698,958.40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264,271,572.23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254,847,488.12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22,915,440.57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26,728,130.11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121,992,465.89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66,181,907.04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19" w:type="dxa"/>
        <w:tblLayout w:type="fixed"/>
        <w:tblCellMar>
          <w:top w:w="0" w:type="dxa"/>
          <w:left w:w="0" w:type="dxa"/>
          <w:bottom w:w="0" w:type="dxa"/>
          <w:right w:w="0" w:type="dxa"/>
        </w:tblCellMar>
        <w:tblLook w:val="01E0"/>
      </w:tblPr>
      <w:tblGrid>
        <w:gridCol w:w="3836"/>
        <w:gridCol w:w="2806"/>
        <w:gridCol w:w="2773"/>
      </w:tblGrid>
      <w:tr>
        <w:trPr>
          <w:trHeight w:val="341" w:hRule="exact"/>
        </w:trPr>
        <w:tc>
          <w:tcPr>
            <w:tcW w:w="38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28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2806"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38"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Times New Roman" w:hAnsi="Times New Roman" w:cs="Times New Roman" w:eastAsia="Times New Roman" w:hint="default"/>
                <w:sz w:val="18"/>
                <w:szCs w:val="18"/>
              </w:rPr>
            </w:pPr>
            <w:r>
              <w:rPr>
                <w:rFonts w:ascii="Times New Roman"/>
                <w:spacing w:val="-1"/>
                <w:sz w:val="18"/>
              </w:rPr>
              <w:t>574,099.38</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4,351,857.09</w:t>
            </w:r>
          </w:p>
        </w:tc>
      </w:tr>
      <w:tr>
        <w:trPr>
          <w:trHeight w:val="341"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0"/>
              <w:jc w:val="right"/>
              <w:rPr>
                <w:rFonts w:ascii="Times New Roman" w:hAnsi="Times New Roman" w:cs="Times New Roman" w:eastAsia="Times New Roman" w:hint="default"/>
                <w:sz w:val="18"/>
                <w:szCs w:val="18"/>
              </w:rPr>
            </w:pPr>
            <w:r>
              <w:rPr>
                <w:rFonts w:ascii="Times New Roman"/>
                <w:spacing w:val="-1"/>
                <w:sz w:val="18"/>
              </w:rPr>
              <w:t>109,051.28</w:t>
            </w: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5,757,674.49</w:t>
            </w:r>
          </w:p>
        </w:tc>
      </w:tr>
      <w:tr>
        <w:trPr>
          <w:trHeight w:val="341"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806"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40,828,088.74</w:t>
            </w:r>
          </w:p>
        </w:tc>
      </w:tr>
      <w:tr>
        <w:trPr>
          <w:trHeight w:val="338"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2806" w:type="dxa"/>
            <w:tcBorders>
              <w:top w:val="single" w:sz="4" w:space="0" w:color="000000"/>
              <w:left w:val="single" w:sz="4" w:space="0" w:color="000000"/>
              <w:bottom w:val="single" w:sz="4" w:space="0" w:color="000000"/>
              <w:right w:val="single" w:sz="4" w:space="0" w:color="000000"/>
            </w:tcBorders>
          </w:tcPr>
          <w:p>
            <w:pPr/>
          </w:p>
        </w:tc>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6,224,585.12</w:t>
            </w:r>
          </w:p>
        </w:tc>
      </w:tr>
      <w:tr>
        <w:trPr>
          <w:trHeight w:val="341" w:hRule="exact"/>
        </w:trPr>
        <w:tc>
          <w:tcPr>
            <w:tcW w:w="383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05" w:lineRule="exact"/>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28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right="110"/>
              <w:jc w:val="right"/>
              <w:rPr>
                <w:rFonts w:ascii="Times New Roman" w:hAnsi="Times New Roman" w:cs="Times New Roman" w:eastAsia="Times New Roman" w:hint="default"/>
                <w:sz w:val="18"/>
                <w:szCs w:val="18"/>
              </w:rPr>
            </w:pPr>
            <w:r>
              <w:rPr>
                <w:rFonts w:ascii="Times New Roman"/>
                <w:spacing w:val="-1"/>
                <w:sz w:val="18"/>
              </w:rPr>
              <w:t>683,150.66</w:t>
            </w:r>
          </w:p>
        </w:tc>
        <w:tc>
          <w:tcPr>
            <w:tcW w:w="27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57,362,205.44</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5488"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4"/>
        <w:ind w:left="0" w:right="1233" w:firstLine="0"/>
        <w:jc w:val="right"/>
        <w:rPr>
          <w:rFonts w:ascii="宋体" w:hAnsi="宋体" w:cs="宋体" w:eastAsia="宋体" w:hint="default"/>
          <w:sz w:val="18"/>
          <w:szCs w:val="18"/>
        </w:rPr>
      </w:pPr>
      <w:r>
        <w:rPr/>
        <w:pict>
          <v:shape style="position:absolute;margin-left:290.049988pt;margin-top:-18.028301pt;width:115.2pt;height:30.7pt;mso-position-horizontal-relative:page;mso-position-vertical-relative:paragraph;z-index:1336" type="#_x0000_t75" stroked="false">
            <v:imagedata r:id="rId14" o:title=""/>
          </v:shape>
        </w:pict>
      </w:r>
      <w:r>
        <w:rPr>
          <w:rFonts w:ascii="宋体" w:hAnsi="宋体" w:cs="宋体" w:eastAsia="宋体" w:hint="default"/>
          <w:sz w:val="18"/>
          <w:szCs w:val="18"/>
        </w:rPr>
        <w:t>西安环球印务股份有限公司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06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2"/>
        <w:ind w:left="0" w:right="133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12"/>
          <w:footerReference w:type="default" r:id="rId13"/>
          <w:pgSz w:w="16840" w:h="11910" w:orient="landscape"/>
          <w:pgMar w:header="0" w:footer="0" w:top="760" w:bottom="280" w:left="340" w:right="20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line="316" w:lineRule="auto" w:before="0"/>
        <w:ind w:left="262" w:right="-20" w:hanging="89"/>
        <w:jc w:val="left"/>
        <w:rPr>
          <w:rFonts w:ascii="宋体" w:hAnsi="宋体" w:cs="宋体" w:eastAsia="宋体" w:hint="default"/>
          <w:sz w:val="18"/>
          <w:szCs w:val="18"/>
        </w:rPr>
      </w:pPr>
      <w:r>
        <w:rPr>
          <w:rFonts w:ascii="宋体" w:hAnsi="宋体" w:cs="宋体" w:eastAsia="宋体" w:hint="default"/>
          <w:sz w:val="18"/>
          <w:szCs w:val="18"/>
        </w:rPr>
        <w:t>被投资公 司名称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173" w:right="-20" w:firstLine="0"/>
        <w:jc w:val="left"/>
        <w:rPr>
          <w:rFonts w:ascii="宋体" w:hAnsi="宋体" w:cs="宋体" w:eastAsia="宋体" w:hint="default"/>
          <w:sz w:val="18"/>
          <w:szCs w:val="18"/>
        </w:rPr>
      </w:pPr>
      <w:r>
        <w:rPr>
          <w:rFonts w:ascii="宋体" w:hAnsi="宋体" w:cs="宋体" w:eastAsia="宋体" w:hint="default"/>
          <w:sz w:val="18"/>
          <w:szCs w:val="18"/>
        </w:rPr>
        <w:t>主要业务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line="196" w:lineRule="exact" w:before="0"/>
        <w:ind w:left="173" w:right="-20" w:firstLine="0"/>
        <w:jc w:val="left"/>
        <w:rPr>
          <w:rFonts w:ascii="宋体" w:hAnsi="宋体" w:cs="宋体" w:eastAsia="宋体" w:hint="default"/>
          <w:sz w:val="18"/>
          <w:szCs w:val="18"/>
        </w:rPr>
      </w:pPr>
      <w:r>
        <w:rPr>
          <w:rFonts w:ascii="宋体" w:hAnsi="宋体" w:cs="宋体" w:eastAsia="宋体" w:hint="default"/>
          <w:sz w:val="18"/>
          <w:szCs w:val="18"/>
        </w:rPr>
        <w:t>投资</w:t>
      </w:r>
    </w:p>
    <w:p>
      <w:pPr>
        <w:spacing w:line="156" w:lineRule="exact" w:before="0"/>
        <w:ind w:left="843" w:right="-20" w:firstLine="0"/>
        <w:jc w:val="left"/>
        <w:rPr>
          <w:rFonts w:ascii="宋体" w:hAnsi="宋体" w:cs="宋体" w:eastAsia="宋体" w:hint="default"/>
          <w:sz w:val="18"/>
          <w:szCs w:val="18"/>
        </w:rPr>
      </w:pPr>
      <w:r>
        <w:rPr>
          <w:rFonts w:ascii="宋体" w:hAnsi="宋体" w:cs="宋体" w:eastAsia="宋体" w:hint="default"/>
          <w:sz w:val="18"/>
          <w:szCs w:val="18"/>
        </w:rPr>
        <w:t>投资金额</w:t>
      </w:r>
    </w:p>
    <w:p>
      <w:pPr>
        <w:spacing w:line="196" w:lineRule="exact" w:before="0"/>
        <w:ind w:left="173" w:right="-20" w:firstLine="0"/>
        <w:jc w:val="left"/>
        <w:rPr>
          <w:rFonts w:ascii="宋体" w:hAnsi="宋体" w:cs="宋体" w:eastAsia="宋体" w:hint="default"/>
          <w:sz w:val="18"/>
          <w:szCs w:val="18"/>
        </w:rPr>
      </w:pPr>
      <w:r>
        <w:rPr>
          <w:rFonts w:ascii="宋体" w:hAnsi="宋体" w:cs="宋体" w:eastAsia="宋体" w:hint="default"/>
          <w:sz w:val="18"/>
          <w:szCs w:val="18"/>
        </w:rPr>
        <w:t>方式</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line="316" w:lineRule="auto" w:before="0"/>
        <w:ind w:left="173" w:right="-19" w:firstLine="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6"/>
          <w:sz w:val="18"/>
          <w:szCs w:val="18"/>
        </w:rPr>
        <w:t> </w:t>
      </w:r>
      <w:r>
        <w:rPr>
          <w:rFonts w:ascii="宋体" w:hAnsi="宋体" w:cs="宋体" w:eastAsia="宋体" w:hint="default"/>
          <w:sz w:val="18"/>
          <w:szCs w:val="18"/>
        </w:rPr>
        <w:t>资金</w:t>
      </w:r>
      <w:r>
        <w:rPr>
          <w:rFonts w:ascii="宋体" w:hAnsi="宋体" w:cs="宋体" w:eastAsia="宋体" w:hint="default"/>
          <w:sz w:val="18"/>
          <w:szCs w:val="18"/>
        </w:rPr>
        <w:t> 比例</w:t>
      </w:r>
      <w:r>
        <w:rPr>
          <w:rFonts w:ascii="宋体" w:hAnsi="宋体" w:cs="宋体" w:eastAsia="宋体" w:hint="default"/>
          <w:spacing w:val="-26"/>
          <w:sz w:val="18"/>
          <w:szCs w:val="18"/>
        </w:rPr>
        <w:t> </w:t>
      </w:r>
      <w:r>
        <w:rPr>
          <w:rFonts w:ascii="宋体" w:hAnsi="宋体" w:cs="宋体" w:eastAsia="宋体" w:hint="default"/>
          <w:sz w:val="18"/>
          <w:szCs w:val="18"/>
        </w:rPr>
        <w:t>来源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投资</w:t>
      </w:r>
    </w:p>
    <w:p>
      <w:pPr>
        <w:spacing w:line="156" w:lineRule="exact" w:before="0"/>
        <w:ind w:left="75" w:right="0" w:firstLine="0"/>
        <w:jc w:val="left"/>
        <w:rPr>
          <w:rFonts w:ascii="宋体" w:hAnsi="宋体" w:cs="宋体" w:eastAsia="宋体" w:hint="default"/>
          <w:sz w:val="18"/>
          <w:szCs w:val="18"/>
        </w:rPr>
      </w:pPr>
      <w:r>
        <w:rPr>
          <w:rFonts w:ascii="宋体" w:hAnsi="宋体" w:cs="宋体" w:eastAsia="宋体" w:hint="default"/>
          <w:sz w:val="18"/>
          <w:szCs w:val="18"/>
        </w:rPr>
        <w:t>合作方</w:t>
      </w: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期限</w:t>
      </w:r>
    </w:p>
    <w:p>
      <w:pPr>
        <w:spacing w:line="312" w:lineRule="exact" w:before="5"/>
        <w:ind w:left="695" w:right="525"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截至资 产负债</w:t>
      </w:r>
    </w:p>
    <w:p>
      <w:pPr>
        <w:tabs>
          <w:tab w:pos="1443" w:val="left" w:leader="none"/>
        </w:tabs>
        <w:spacing w:line="79" w:lineRule="exact" w:before="0"/>
        <w:ind w:left="168" w:right="0" w:firstLine="0"/>
        <w:jc w:val="center"/>
        <w:rPr>
          <w:rFonts w:ascii="宋体" w:hAnsi="宋体" w:cs="宋体" w:eastAsia="宋体" w:hint="default"/>
          <w:sz w:val="18"/>
          <w:szCs w:val="18"/>
        </w:rPr>
      </w:pPr>
      <w:r>
        <w:rPr/>
        <w:pict>
          <v:group style="position:absolute;margin-left:22.08pt;margin-top:-32.399994pt;width:801.6pt;height:424.65pt;mso-position-horizontal-relative:page;mso-position-vertical-relative:paragraph;z-index:-755416" coordorigin="442,-648" coordsize="16032,8493">
            <v:group style="position:absolute;left:451;top:-634;width:845;height:468" coordorigin="451,-634" coordsize="845,468">
              <v:shape style="position:absolute;left:451;top:-634;width:845;height:468" coordorigin="451,-634" coordsize="845,468" path="m451,-166l1296,-166,1296,-634,451,-634,451,-166xe" filled="true" fillcolor="#d2d2d2" stroked="false">
                <v:path arrowok="t"/>
                <v:fill type="solid"/>
              </v:shape>
            </v:group>
            <v:group style="position:absolute;left:463;top:-166;width:2;height:704" coordorigin="463,-166" coordsize="2,704">
              <v:shape style="position:absolute;left:463;top:-166;width:2;height:704" coordorigin="463,-166" coordsize="0,704" path="m463,-166l463,538e" filled="false" stroked="true" strokeweight="1.2pt" strokecolor="#d2d2d2">
                <v:path arrowok="t"/>
              </v:shape>
            </v:group>
            <v:group style="position:absolute;left:1284;top:-166;width:2;height:704" coordorigin="1284,-166" coordsize="2,704">
              <v:shape style="position:absolute;left:1284;top:-166;width:2;height:704" coordorigin="1284,-166" coordsize="0,704" path="m1284,-166l1284,538e" filled="false" stroked="true" strokeweight="1.2pt" strokecolor="#d2d2d2">
                <v:path arrowok="t"/>
              </v:shape>
            </v:group>
            <v:group style="position:absolute;left:451;top:538;width:845;height:468" coordorigin="451,538" coordsize="845,468">
              <v:shape style="position:absolute;left:451;top:538;width:845;height:468" coordorigin="451,538" coordsize="845,468" path="m451,1006l1296,1006,1296,538,451,538,451,1006xe" filled="true" fillcolor="#d2d2d2" stroked="false">
                <v:path arrowok="t"/>
                <v:fill type="solid"/>
              </v:shape>
            </v:group>
            <v:group style="position:absolute;left:475;top:-166;width:797;height:353" coordorigin="475,-166" coordsize="797,353">
              <v:shape style="position:absolute;left:475;top:-166;width:797;height:353" coordorigin="475,-166" coordsize="797,353" path="m475,187l1272,187,1272,-166,475,-166,475,187xe" filled="true" fillcolor="#d2d2d2" stroked="false">
                <v:path arrowok="t"/>
                <v:fill type="solid"/>
              </v:shape>
            </v:group>
            <v:group style="position:absolute;left:475;top:187;width:797;height:351" coordorigin="475,187" coordsize="797,351">
              <v:shape style="position:absolute;left:475;top:187;width:797;height:351" coordorigin="475,187" coordsize="797,351" path="m475,538l1272,538,1272,187,475,187,475,538xe" filled="true" fillcolor="#d2d2d2" stroked="false">
                <v:path arrowok="t"/>
                <v:fill type="solid"/>
              </v:shape>
            </v:group>
            <v:group style="position:absolute;left:1306;top:-634;width:3106;height:624" coordorigin="1306,-634" coordsize="3106,624">
              <v:shape style="position:absolute;left:1306;top:-634;width:3106;height:624" coordorigin="1306,-634" coordsize="3106,624" path="m1306,-10l4412,-10,4412,-634,1306,-634,1306,-10xe" filled="true" fillcolor="#d2d2d2" stroked="false">
                <v:path arrowok="t"/>
                <v:fill type="solid"/>
              </v:shape>
            </v:group>
            <v:group style="position:absolute;left:1318;top:-10;width:2;height:392" coordorigin="1318,-10" coordsize="2,392">
              <v:shape style="position:absolute;left:1318;top:-10;width:2;height:392" coordorigin="1318,-10" coordsize="0,392" path="m1318,-10l1318,382e" filled="false" stroked="true" strokeweight="1.2pt" strokecolor="#d2d2d2">
                <v:path arrowok="t"/>
              </v:shape>
            </v:group>
            <v:group style="position:absolute;left:4401;top:-10;width:2;height:392" coordorigin="4401,-10" coordsize="2,392">
              <v:shape style="position:absolute;left:4401;top:-10;width:2;height:392" coordorigin="4401,-10" coordsize="0,392" path="m4401,-10l4401,382e" filled="false" stroked="true" strokeweight="1.08pt" strokecolor="#d2d2d2">
                <v:path arrowok="t"/>
              </v:shape>
            </v:group>
            <v:group style="position:absolute;left:1306;top:382;width:3106;height:624" coordorigin="1306,382" coordsize="3106,624">
              <v:shape style="position:absolute;left:1306;top:382;width:3106;height:624" coordorigin="1306,382" coordsize="3106,624" path="m1306,1006l4412,1006,4412,382,1306,382,1306,1006xe" filled="true" fillcolor="#d2d2d2" stroked="false">
                <v:path arrowok="t"/>
                <v:fill type="solid"/>
              </v:shape>
            </v:group>
            <v:group style="position:absolute;left:1330;top:-10;width:3061;height:392" coordorigin="1330,-10" coordsize="3061,392">
              <v:shape style="position:absolute;left:1330;top:-10;width:3061;height:392" coordorigin="1330,-10" coordsize="3061,392" path="m1330,382l4390,382,4390,-10,1330,-10,1330,382xe" filled="true" fillcolor="#d2d2d2" stroked="false">
                <v:path arrowok="t"/>
                <v:fill type="solid"/>
              </v:shape>
            </v:group>
            <v:group style="position:absolute;left:4424;top:-634;width:557;height:468" coordorigin="4424,-634" coordsize="557,468">
              <v:shape style="position:absolute;left:4424;top:-634;width:557;height:468" coordorigin="4424,-634" coordsize="557,468" path="m4424,-166l4980,-166,4980,-634,4424,-634,4424,-166xe" filled="true" fillcolor="#d2d2d2" stroked="false">
                <v:path arrowok="t"/>
                <v:fill type="solid"/>
              </v:shape>
            </v:group>
            <v:group style="position:absolute;left:4434;top:-166;width:2;height:704" coordorigin="4434,-166" coordsize="2,704">
              <v:shape style="position:absolute;left:4434;top:-166;width:2;height:704" coordorigin="4434,-166" coordsize="0,704" path="m4434,-166l4434,538e" filled="false" stroked="true" strokeweight="1.08pt" strokecolor="#d2d2d2">
                <v:path arrowok="t"/>
              </v:shape>
            </v:group>
            <v:group style="position:absolute;left:4968;top:-166;width:2;height:704" coordorigin="4968,-166" coordsize="2,704">
              <v:shape style="position:absolute;left:4968;top:-166;width:2;height:704" coordorigin="4968,-166" coordsize="0,704" path="m4968,-166l4968,538e" filled="false" stroked="true" strokeweight="1.2pt" strokecolor="#d2d2d2">
                <v:path arrowok="t"/>
              </v:shape>
            </v:group>
            <v:group style="position:absolute;left:4424;top:538;width:557;height:468" coordorigin="4424,538" coordsize="557,468">
              <v:shape style="position:absolute;left:4424;top:538;width:557;height:468" coordorigin="4424,538" coordsize="557,468" path="m4424,1006l4980,1006,4980,538,4424,538,4424,1006xe" filled="true" fillcolor="#d2d2d2" stroked="false">
                <v:path arrowok="t"/>
                <v:fill type="solid"/>
              </v:shape>
            </v:group>
            <v:group style="position:absolute;left:4445;top:-166;width:512;height:353" coordorigin="4445,-166" coordsize="512,353">
              <v:shape style="position:absolute;left:4445;top:-166;width:512;height:353" coordorigin="4445,-166" coordsize="512,353" path="m4445,187l4956,187,4956,-166,4445,-166,4445,187xe" filled="true" fillcolor="#d2d2d2" stroked="false">
                <v:path arrowok="t"/>
                <v:fill type="solid"/>
              </v:shape>
            </v:group>
            <v:group style="position:absolute;left:4445;top:187;width:512;height:351" coordorigin="4445,187" coordsize="512,351">
              <v:shape style="position:absolute;left:4445;top:187;width:512;height:351" coordorigin="4445,187" coordsize="512,351" path="m4445,538l4956,538,4956,187,4445,187,4445,538xe" filled="true" fillcolor="#d2d2d2" stroked="false">
                <v:path arrowok="t"/>
                <v:fill type="solid"/>
              </v:shape>
            </v:group>
            <v:group style="position:absolute;left:4990;top:-634;width:1124;height:624" coordorigin="4990,-634" coordsize="1124,624">
              <v:shape style="position:absolute;left:4990;top:-634;width:1124;height:624" coordorigin="4990,-634" coordsize="1124,624" path="m4990,-10l6114,-10,6114,-634,4990,-634,4990,-10xe" filled="true" fillcolor="#d2d2d2" stroked="false">
                <v:path arrowok="t"/>
                <v:fill type="solid"/>
              </v:shape>
            </v:group>
            <v:group style="position:absolute;left:5001;top:-10;width:2;height:392" coordorigin="5001,-10" coordsize="2,392">
              <v:shape style="position:absolute;left:5001;top:-10;width:2;height:392" coordorigin="5001,-10" coordsize="0,392" path="m5001,-10l5001,382e" filled="false" stroked="true" strokeweight="1.08pt" strokecolor="#d2d2d2">
                <v:path arrowok="t"/>
              </v:shape>
            </v:group>
            <v:group style="position:absolute;left:6102;top:-10;width:2;height:392" coordorigin="6102,-10" coordsize="2,392">
              <v:shape style="position:absolute;left:6102;top:-10;width:2;height:392" coordorigin="6102,-10" coordsize="0,392" path="m6102,-10l6102,382e" filled="false" stroked="true" strokeweight="1.2pt" strokecolor="#d2d2d2">
                <v:path arrowok="t"/>
              </v:shape>
            </v:group>
            <v:group style="position:absolute;left:4990;top:382;width:1124;height:624" coordorigin="4990,382" coordsize="1124,624">
              <v:shape style="position:absolute;left:4990;top:382;width:1124;height:624" coordorigin="4990,382" coordsize="1124,624" path="m4990,1006l6114,1006,6114,382,4990,382,4990,1006xe" filled="true" fillcolor="#d2d2d2" stroked="false">
                <v:path arrowok="t"/>
                <v:fill type="solid"/>
              </v:shape>
            </v:group>
            <v:group style="position:absolute;left:5012;top:-10;width:1079;height:392" coordorigin="5012,-10" coordsize="1079,392">
              <v:shape style="position:absolute;left:5012;top:-10;width:1079;height:392" coordorigin="5012,-10" coordsize="1079,392" path="m5012,382l6090,382,6090,-10,5012,-10,5012,382xe" filled="true" fillcolor="#d2d2d2" stroked="false">
                <v:path arrowok="t"/>
                <v:fill type="solid"/>
              </v:shape>
            </v:group>
            <v:group style="position:absolute;left:6123;top:-634;width:416;height:468" coordorigin="6123,-634" coordsize="416,468">
              <v:shape style="position:absolute;left:6123;top:-634;width:416;height:468" coordorigin="6123,-634" coordsize="416,468" path="m6123,-166l6539,-166,6539,-634,6123,-634,6123,-166xe" filled="true" fillcolor="#d2d2d2" stroked="false">
                <v:path arrowok="t"/>
                <v:fill type="solid"/>
              </v:shape>
            </v:group>
            <v:group style="position:absolute;left:6135;top:-166;width:2;height:704" coordorigin="6135,-166" coordsize="2,704">
              <v:shape style="position:absolute;left:6135;top:-166;width:2;height:704" coordorigin="6135,-166" coordsize="0,704" path="m6135,-166l6135,538e" filled="false" stroked="true" strokeweight="1.2pt" strokecolor="#d2d2d2">
                <v:path arrowok="t"/>
              </v:shape>
            </v:group>
            <v:group style="position:absolute;left:6528;top:-166;width:2;height:704" coordorigin="6528,-166" coordsize="2,704">
              <v:shape style="position:absolute;left:6528;top:-166;width:2;height:704" coordorigin="6528,-166" coordsize="0,704" path="m6528,-166l6528,538e" filled="false" stroked="true" strokeweight="1.08pt" strokecolor="#d2d2d2">
                <v:path arrowok="t"/>
              </v:shape>
            </v:group>
            <v:group style="position:absolute;left:6123;top:538;width:416;height:468" coordorigin="6123,538" coordsize="416,468">
              <v:shape style="position:absolute;left:6123;top:538;width:416;height:468" coordorigin="6123,538" coordsize="416,468" path="m6123,1006l6539,1006,6539,538,6123,538,6123,1006xe" filled="true" fillcolor="#d2d2d2" stroked="false">
                <v:path arrowok="t"/>
                <v:fill type="solid"/>
              </v:shape>
            </v:group>
            <v:group style="position:absolute;left:6147;top:-166;width:370;height:353" coordorigin="6147,-166" coordsize="370,353">
              <v:shape style="position:absolute;left:6147;top:-166;width:370;height:353" coordorigin="6147,-166" coordsize="370,353" path="m6147,187l6517,187,6517,-166,6147,-166,6147,187xe" filled="true" fillcolor="#d2d2d2" stroked="false">
                <v:path arrowok="t"/>
                <v:fill type="solid"/>
              </v:shape>
            </v:group>
            <v:group style="position:absolute;left:6147;top:187;width:370;height:351" coordorigin="6147,187" coordsize="370,351">
              <v:shape style="position:absolute;left:6147;top:187;width:370;height:351" coordorigin="6147,187" coordsize="370,351" path="m6147,538l6517,538,6517,187,6147,187,6147,538xe" filled="true" fillcolor="#d2d2d2" stroked="false">
                <v:path arrowok="t"/>
                <v:fill type="solid"/>
              </v:shape>
            </v:group>
            <v:group style="position:absolute;left:6548;top:-634;width:418;height:468" coordorigin="6548,-634" coordsize="418,468">
              <v:shape style="position:absolute;left:6548;top:-634;width:418;height:468" coordorigin="6548,-634" coordsize="418,468" path="m6548,-166l6966,-166,6966,-634,6548,-634,6548,-166xe" filled="true" fillcolor="#d2d2d2" stroked="false">
                <v:path arrowok="t"/>
                <v:fill type="solid"/>
              </v:shape>
            </v:group>
            <v:group style="position:absolute;left:6560;top:-166;width:2;height:704" coordorigin="6560,-166" coordsize="2,704">
              <v:shape style="position:absolute;left:6560;top:-166;width:2;height:704" coordorigin="6560,-166" coordsize="0,704" path="m6560,-166l6560,538e" filled="false" stroked="true" strokeweight="1.2pt" strokecolor="#d2d2d2">
                <v:path arrowok="t"/>
              </v:shape>
            </v:group>
            <v:group style="position:absolute;left:6954;top:-166;width:2;height:704" coordorigin="6954,-166" coordsize="2,704">
              <v:shape style="position:absolute;left:6954;top:-166;width:2;height:704" coordorigin="6954,-166" coordsize="0,704" path="m6954,-166l6954,538e" filled="false" stroked="true" strokeweight="1.2pt" strokecolor="#d2d2d2">
                <v:path arrowok="t"/>
              </v:shape>
            </v:group>
            <v:group style="position:absolute;left:6548;top:538;width:418;height:468" coordorigin="6548,538" coordsize="418,468">
              <v:shape style="position:absolute;left:6548;top:538;width:418;height:468" coordorigin="6548,538" coordsize="418,468" path="m6548,1006l6966,1006,6966,538,6548,538,6548,1006xe" filled="true" fillcolor="#d2d2d2" stroked="false">
                <v:path arrowok="t"/>
                <v:fill type="solid"/>
              </v:shape>
            </v:group>
            <v:group style="position:absolute;left:6572;top:-166;width:370;height:353" coordorigin="6572,-166" coordsize="370,353">
              <v:shape style="position:absolute;left:6572;top:-166;width:370;height:353" coordorigin="6572,-166" coordsize="370,353" path="m6572,187l6942,187,6942,-166,6572,-166,6572,187xe" filled="true" fillcolor="#d2d2d2" stroked="false">
                <v:path arrowok="t"/>
                <v:fill type="solid"/>
              </v:shape>
            </v:group>
            <v:group style="position:absolute;left:6572;top:187;width:370;height:351" coordorigin="6572,187" coordsize="370,351">
              <v:shape style="position:absolute;left:6572;top:187;width:370;height:351" coordorigin="6572,187" coordsize="370,351" path="m6572,538l6942,538,6942,187,6572,187,6572,538xe" filled="true" fillcolor="#d2d2d2" stroked="false">
                <v:path arrowok="t"/>
                <v:fill type="solid"/>
              </v:shape>
            </v:group>
            <v:group style="position:absolute;left:6975;top:-634;width:699;height:624" coordorigin="6975,-634" coordsize="699,624">
              <v:shape style="position:absolute;left:6975;top:-634;width:699;height:624" coordorigin="6975,-634" coordsize="699,624" path="m6975,-10l7674,-10,7674,-634,6975,-634,6975,-10xe" filled="true" fillcolor="#d2d2d2" stroked="false">
                <v:path arrowok="t"/>
                <v:fill type="solid"/>
              </v:shape>
            </v:group>
            <v:group style="position:absolute;left:6986;top:-10;width:2;height:392" coordorigin="6986,-10" coordsize="2,392">
              <v:shape style="position:absolute;left:6986;top:-10;width:2;height:392" coordorigin="6986,-10" coordsize="0,392" path="m6986,-10l6986,382e" filled="false" stroked="true" strokeweight="1.08pt" strokecolor="#d2d2d2">
                <v:path arrowok="t"/>
              </v:shape>
            </v:group>
            <v:group style="position:absolute;left:7662;top:-10;width:2;height:392" coordorigin="7662,-10" coordsize="2,392">
              <v:shape style="position:absolute;left:7662;top:-10;width:2;height:392" coordorigin="7662,-10" coordsize="0,392" path="m7662,-10l7662,382e" filled="false" stroked="true" strokeweight="1.2pt" strokecolor="#d2d2d2">
                <v:path arrowok="t"/>
              </v:shape>
            </v:group>
            <v:group style="position:absolute;left:6975;top:382;width:699;height:624" coordorigin="6975,382" coordsize="699,624">
              <v:shape style="position:absolute;left:6975;top:382;width:699;height:624" coordorigin="6975,382" coordsize="699,624" path="m6975,1006l7674,1006,7674,382,6975,382,6975,1006xe" filled="true" fillcolor="#d2d2d2" stroked="false">
                <v:path arrowok="t"/>
                <v:fill type="solid"/>
              </v:shape>
            </v:group>
            <v:group style="position:absolute;left:6997;top:-10;width:653;height:392" coordorigin="6997,-10" coordsize="653,392">
              <v:shape style="position:absolute;left:6997;top:-10;width:653;height:392" coordorigin="6997,-10" coordsize="653,392" path="m6997,382l7650,382,7650,-10,6997,-10,6997,382xe" filled="true" fillcolor="#d2d2d2" stroked="false">
                <v:path arrowok="t"/>
                <v:fill type="solid"/>
              </v:shape>
            </v:group>
            <v:group style="position:absolute;left:7683;top:-634;width:557;height:468" coordorigin="7683,-634" coordsize="557,468">
              <v:shape style="position:absolute;left:7683;top:-634;width:557;height:468" coordorigin="7683,-634" coordsize="557,468" path="m7683,-166l8240,-166,8240,-634,7683,-634,7683,-166xe" filled="true" fillcolor="#d2d2d2" stroked="false">
                <v:path arrowok="t"/>
                <v:fill type="solid"/>
              </v:shape>
            </v:group>
            <v:group style="position:absolute;left:7694;top:-166;width:2;height:704" coordorigin="7694,-166" coordsize="2,704">
              <v:shape style="position:absolute;left:7694;top:-166;width:2;height:704" coordorigin="7694,-166" coordsize="0,704" path="m7694,-166l7694,538e" filled="false" stroked="true" strokeweight="1.08pt" strokecolor="#d2d2d2">
                <v:path arrowok="t"/>
              </v:shape>
            </v:group>
            <v:group style="position:absolute;left:8228;top:-166;width:2;height:704" coordorigin="8228,-166" coordsize="2,704">
              <v:shape style="position:absolute;left:8228;top:-166;width:2;height:704" coordorigin="8228,-166" coordsize="0,704" path="m8228,-166l8228,538e" filled="false" stroked="true" strokeweight="1.2pt" strokecolor="#d2d2d2">
                <v:path arrowok="t"/>
              </v:shape>
            </v:group>
            <v:group style="position:absolute;left:7683;top:538;width:557;height:468" coordorigin="7683,538" coordsize="557,468">
              <v:shape style="position:absolute;left:7683;top:538;width:557;height:468" coordorigin="7683,538" coordsize="557,468" path="m7683,1006l8240,1006,8240,538,7683,538,7683,1006xe" filled="true" fillcolor="#d2d2d2" stroked="false">
                <v:path arrowok="t"/>
                <v:fill type="solid"/>
              </v:shape>
            </v:group>
            <v:group style="position:absolute;left:7705;top:-166;width:512;height:353" coordorigin="7705,-166" coordsize="512,353">
              <v:shape style="position:absolute;left:7705;top:-166;width:512;height:353" coordorigin="7705,-166" coordsize="512,353" path="m7705,187l8216,187,8216,-166,7705,-166,7705,187xe" filled="true" fillcolor="#d2d2d2" stroked="false">
                <v:path arrowok="t"/>
                <v:fill type="solid"/>
              </v:shape>
            </v:group>
            <v:group style="position:absolute;left:7705;top:187;width:512;height:351" coordorigin="7705,187" coordsize="512,351">
              <v:shape style="position:absolute;left:7705;top:187;width:512;height:351" coordorigin="7705,187" coordsize="512,351" path="m7705,538l8216,538,8216,187,7705,187,7705,538xe" filled="true" fillcolor="#d2d2d2" stroked="false">
                <v:path arrowok="t"/>
                <v:fill type="solid"/>
              </v:shape>
            </v:group>
            <v:group style="position:absolute;left:8250;top:-634;width:557;height:468" coordorigin="8250,-634" coordsize="557,468">
              <v:shape style="position:absolute;left:8250;top:-634;width:557;height:468" coordorigin="8250,-634" coordsize="557,468" path="m8250,-166l8807,-166,8807,-634,8250,-634,8250,-166xe" filled="true" fillcolor="#d2d2d2" stroked="false">
                <v:path arrowok="t"/>
                <v:fill type="solid"/>
              </v:shape>
            </v:group>
            <v:group style="position:absolute;left:8262;top:-166;width:2;height:704" coordorigin="8262,-166" coordsize="2,704">
              <v:shape style="position:absolute;left:8262;top:-166;width:2;height:704" coordorigin="8262,-166" coordsize="0,704" path="m8262,-166l8262,538e" filled="false" stroked="true" strokeweight="1.2pt" strokecolor="#d2d2d2">
                <v:path arrowok="t"/>
              </v:shape>
            </v:group>
            <v:group style="position:absolute;left:8796;top:-166;width:2;height:704" coordorigin="8796,-166" coordsize="2,704">
              <v:shape style="position:absolute;left:8796;top:-166;width:2;height:704" coordorigin="8796,-166" coordsize="0,704" path="m8796,-166l8796,538e" filled="false" stroked="true" strokeweight="1.08pt" strokecolor="#d2d2d2">
                <v:path arrowok="t"/>
              </v:shape>
            </v:group>
            <v:group style="position:absolute;left:8250;top:538;width:557;height:468" coordorigin="8250,538" coordsize="557,468">
              <v:shape style="position:absolute;left:8250;top:538;width:557;height:468" coordorigin="8250,538" coordsize="557,468" path="m8250,1006l8807,1006,8807,538,8250,538,8250,1006xe" filled="true" fillcolor="#d2d2d2" stroked="false">
                <v:path arrowok="t"/>
                <v:fill type="solid"/>
              </v:shape>
            </v:group>
            <v:group style="position:absolute;left:8274;top:-166;width:512;height:353" coordorigin="8274,-166" coordsize="512,353">
              <v:shape style="position:absolute;left:8274;top:-166;width:512;height:353" coordorigin="8274,-166" coordsize="512,353" path="m8274,187l8785,187,8785,-166,8274,-166,8274,187xe" filled="true" fillcolor="#d2d2d2" stroked="false">
                <v:path arrowok="t"/>
                <v:fill type="solid"/>
              </v:shape>
            </v:group>
            <v:group style="position:absolute;left:8274;top:187;width:512;height:351" coordorigin="8274,187" coordsize="512,351">
              <v:shape style="position:absolute;left:8274;top:187;width:512;height:351" coordorigin="8274,187" coordsize="512,351" path="m8274,538l8785,538,8785,187,8274,187,8274,538xe" filled="true" fillcolor="#d2d2d2" stroked="false">
                <v:path arrowok="t"/>
                <v:fill type="solid"/>
              </v:shape>
            </v:group>
            <v:group style="position:absolute;left:8828;top:-634;width:2;height:1640" coordorigin="8828,-634" coordsize="2,1640">
              <v:shape style="position:absolute;left:8828;top:-634;width:2;height:1640" coordorigin="8828,-634" coordsize="0,1640" path="m8828,-634l8828,1006e" filled="false" stroked="true" strokeweight="1.2pt" strokecolor="#d2d2d2">
                <v:path arrowok="t"/>
              </v:shape>
            </v:group>
            <v:group style="position:absolute;left:9505;top:-634;width:2;height:1640" coordorigin="9505,-634" coordsize="2,1640">
              <v:shape style="position:absolute;left:9505;top:-634;width:2;height:1640" coordorigin="9505,-634" coordsize="0,1640" path="m9505,-634l9505,1006e" filled="false" stroked="true" strokeweight="1.2pt" strokecolor="#d2d2d2">
                <v:path arrowok="t"/>
              </v:shape>
            </v:group>
            <v:group style="position:absolute;left:8840;top:-634;width:654;height:353" coordorigin="8840,-634" coordsize="654,353">
              <v:shape style="position:absolute;left:8840;top:-634;width:654;height:353" coordorigin="8840,-634" coordsize="654,353" path="m8840,-281l9493,-281,9493,-634,8840,-634,8840,-281xe" filled="true" fillcolor="#d2d2d2" stroked="false">
                <v:path arrowok="t"/>
                <v:fill type="solid"/>
              </v:shape>
            </v:group>
            <v:group style="position:absolute;left:8840;top:-281;width:654;height:312" coordorigin="8840,-281" coordsize="654,312">
              <v:shape style="position:absolute;left:8840;top:-281;width:654;height:312" coordorigin="8840,-281" coordsize="654,312" path="m8840,31l9493,31,9493,-281,8840,-281,8840,31xe" filled="true" fillcolor="#d2d2d2" stroked="false">
                <v:path arrowok="t"/>
                <v:fill type="solid"/>
              </v:shape>
            </v:group>
            <v:group style="position:absolute;left:8840;top:31;width:654;height:312" coordorigin="8840,31" coordsize="654,312">
              <v:shape style="position:absolute;left:8840;top:31;width:654;height:312" coordorigin="8840,31" coordsize="654,312" path="m8840,343l9493,343,9493,31,8840,31,8840,343xe" filled="true" fillcolor="#d2d2d2" stroked="false">
                <v:path arrowok="t"/>
                <v:fill type="solid"/>
              </v:shape>
            </v:group>
            <v:group style="position:absolute;left:8840;top:343;width:654;height:312" coordorigin="8840,343" coordsize="654,312">
              <v:shape style="position:absolute;left:8840;top:343;width:654;height:312" coordorigin="8840,343" coordsize="654,312" path="m8840,655l9493,655,9493,343,8840,343,8840,655xe" filled="true" fillcolor="#d2d2d2" stroked="false">
                <v:path arrowok="t"/>
                <v:fill type="solid"/>
              </v:shape>
            </v:group>
            <v:group style="position:absolute;left:8840;top:655;width:654;height:351" coordorigin="8840,655" coordsize="654,351">
              <v:shape style="position:absolute;left:8840;top:655;width:654;height:351" coordorigin="8840,655" coordsize="654,351" path="m8840,1006l9493,1006,9493,655,8840,655,8840,1006xe" filled="true" fillcolor="#d2d2d2" stroked="false">
                <v:path arrowok="t"/>
                <v:fill type="solid"/>
              </v:shape>
            </v:group>
            <v:group style="position:absolute;left:9527;top:-634;width:557;height:468" coordorigin="9527,-634" coordsize="557,468">
              <v:shape style="position:absolute;left:9527;top:-634;width:557;height:468" coordorigin="9527,-634" coordsize="557,468" path="m9527,-166l10084,-166,10084,-634,9527,-634,9527,-166xe" filled="true" fillcolor="#d2d2d2" stroked="false">
                <v:path arrowok="t"/>
                <v:fill type="solid"/>
              </v:shape>
            </v:group>
            <v:group style="position:absolute;left:9538;top:-166;width:2;height:704" coordorigin="9538,-166" coordsize="2,704">
              <v:shape style="position:absolute;left:9538;top:-166;width:2;height:704" coordorigin="9538,-166" coordsize="0,704" path="m9538,-166l9538,538e" filled="false" stroked="true" strokeweight="1.08pt" strokecolor="#d2d2d2">
                <v:path arrowok="t"/>
              </v:shape>
            </v:group>
            <v:group style="position:absolute;left:10072;top:-166;width:2;height:704" coordorigin="10072,-166" coordsize="2,704">
              <v:shape style="position:absolute;left:10072;top:-166;width:2;height:704" coordorigin="10072,-166" coordsize="0,704" path="m10072,-166l10072,538e" filled="false" stroked="true" strokeweight="1.2pt" strokecolor="#d2d2d2">
                <v:path arrowok="t"/>
              </v:shape>
            </v:group>
            <v:group style="position:absolute;left:9527;top:538;width:557;height:468" coordorigin="9527,538" coordsize="557,468">
              <v:shape style="position:absolute;left:9527;top:538;width:557;height:468" coordorigin="9527,538" coordsize="557,468" path="m9527,1006l10084,1006,10084,538,9527,538,9527,1006xe" filled="true" fillcolor="#d2d2d2" stroked="false">
                <v:path arrowok="t"/>
                <v:fill type="solid"/>
              </v:shape>
            </v:group>
            <v:group style="position:absolute;left:9549;top:-166;width:512;height:353" coordorigin="9549,-166" coordsize="512,353">
              <v:shape style="position:absolute;left:9549;top:-166;width:512;height:353" coordorigin="9549,-166" coordsize="512,353" path="m9549,187l10060,187,10060,-166,9549,-166,9549,187xe" filled="true" fillcolor="#d2d2d2" stroked="false">
                <v:path arrowok="t"/>
                <v:fill type="solid"/>
              </v:shape>
            </v:group>
            <v:group style="position:absolute;left:9549;top:187;width:512;height:351" coordorigin="9549,187" coordsize="512,351">
              <v:shape style="position:absolute;left:9549;top:187;width:512;height:351" coordorigin="9549,187" coordsize="512,351" path="m9549,538l10060,538,10060,187,9549,187,9549,538xe" filled="true" fillcolor="#d2d2d2" stroked="false">
                <v:path arrowok="t"/>
                <v:fill type="solid"/>
              </v:shape>
            </v:group>
            <v:group style="position:absolute;left:10093;top:-634;width:1124;height:468" coordorigin="10093,-634" coordsize="1124,468">
              <v:shape style="position:absolute;left:10093;top:-634;width:1124;height:468" coordorigin="10093,-634" coordsize="1124,468" path="m10093,-166l11217,-166,11217,-634,10093,-634,10093,-166xe" filled="true" fillcolor="#d2d2d2" stroked="false">
                <v:path arrowok="t"/>
                <v:fill type="solid"/>
              </v:shape>
            </v:group>
            <v:group style="position:absolute;left:10105;top:-166;width:2;height:704" coordorigin="10105,-166" coordsize="2,704">
              <v:shape style="position:absolute;left:10105;top:-166;width:2;height:704" coordorigin="10105,-166" coordsize="0,704" path="m10105,-166l10105,538e" filled="false" stroked="true" strokeweight="1.2pt" strokecolor="#d2d2d2">
                <v:path arrowok="t"/>
              </v:shape>
            </v:group>
            <v:group style="position:absolute;left:11206;top:-166;width:2;height:704" coordorigin="11206,-166" coordsize="2,704">
              <v:shape style="position:absolute;left:11206;top:-166;width:2;height:704" coordorigin="11206,-166" coordsize="0,704" path="m11206,-166l11206,538e" filled="false" stroked="true" strokeweight="1.08pt" strokecolor="#d2d2d2">
                <v:path arrowok="t"/>
              </v:shape>
            </v:group>
            <v:group style="position:absolute;left:10093;top:538;width:1124;height:468" coordorigin="10093,538" coordsize="1124,468">
              <v:shape style="position:absolute;left:10093;top:538;width:1124;height:468" coordorigin="10093,538" coordsize="1124,468" path="m10093,1006l11217,1006,11217,538,10093,538,10093,1006xe" filled="true" fillcolor="#d2d2d2" stroked="false">
                <v:path arrowok="t"/>
                <v:fill type="solid"/>
              </v:shape>
            </v:group>
            <v:group style="position:absolute;left:10117;top:-166;width:1078;height:353" coordorigin="10117,-166" coordsize="1078,353">
              <v:shape style="position:absolute;left:10117;top:-166;width:1078;height:353" coordorigin="10117,-166" coordsize="1078,353" path="m10117,187l11195,187,11195,-166,10117,-166,10117,187xe" filled="true" fillcolor="#d2d2d2" stroked="false">
                <v:path arrowok="t"/>
                <v:fill type="solid"/>
              </v:shape>
            </v:group>
            <v:group style="position:absolute;left:10117;top:187;width:1078;height:351" coordorigin="10117,187" coordsize="1078,351">
              <v:shape style="position:absolute;left:10117;top:187;width:1078;height:351" coordorigin="10117,187" coordsize="1078,351" path="m10117,538l11195,538,11195,187,10117,187,10117,538xe" filled="true" fillcolor="#d2d2d2" stroked="false">
                <v:path arrowok="t"/>
                <v:fill type="solid"/>
              </v:shape>
            </v:group>
            <v:group style="position:absolute;left:11229;top:-634;width:413;height:468" coordorigin="11229,-634" coordsize="413,468">
              <v:shape style="position:absolute;left:11229;top:-634;width:413;height:468" coordorigin="11229,-634" coordsize="413,468" path="m11229,-166l11641,-166,11641,-634,11229,-634,11229,-166xe" filled="true" fillcolor="#d2d2d2" stroked="false">
                <v:path arrowok="t"/>
                <v:fill type="solid"/>
              </v:shape>
            </v:group>
            <v:group style="position:absolute;left:11239;top:-166;width:2;height:704" coordorigin="11239,-166" coordsize="2,704">
              <v:shape style="position:absolute;left:11239;top:-166;width:2;height:704" coordorigin="11239,-166" coordsize="0,704" path="m11239,-166l11239,538e" filled="false" stroked="true" strokeweight="1.08pt" strokecolor="#d2d2d2">
                <v:path arrowok="t"/>
              </v:shape>
            </v:group>
            <v:group style="position:absolute;left:11631;top:-166;width:2;height:704" coordorigin="11631,-166" coordsize="2,704">
              <v:shape style="position:absolute;left:11631;top:-166;width:2;height:704" coordorigin="11631,-166" coordsize="0,704" path="m11631,-166l11631,538e" filled="false" stroked="true" strokeweight="1.08pt" strokecolor="#d2d2d2">
                <v:path arrowok="t"/>
              </v:shape>
            </v:group>
            <v:group style="position:absolute;left:11229;top:538;width:413;height:468" coordorigin="11229,538" coordsize="413,468">
              <v:shape style="position:absolute;left:11229;top:538;width:413;height:468" coordorigin="11229,538" coordsize="413,468" path="m11229,1006l11641,1006,11641,538,11229,538,11229,1006xe" filled="true" fillcolor="#d2d2d2" stroked="false">
                <v:path arrowok="t"/>
                <v:fill type="solid"/>
              </v:shape>
            </v:group>
            <v:group style="position:absolute;left:11250;top:-166;width:370;height:353" coordorigin="11250,-166" coordsize="370,353">
              <v:shape style="position:absolute;left:11250;top:-166;width:370;height:353" coordorigin="11250,-166" coordsize="370,353" path="m11250,187l11620,187,11620,-166,11250,-166,11250,187xe" filled="true" fillcolor="#d2d2d2" stroked="false">
                <v:path arrowok="t"/>
                <v:fill type="solid"/>
              </v:shape>
            </v:group>
            <v:group style="position:absolute;left:11250;top:187;width:370;height:351" coordorigin="11250,187" coordsize="370,351">
              <v:shape style="position:absolute;left:11250;top:187;width:370;height:351" coordorigin="11250,187" coordsize="370,351" path="m11250,538l11620,538,11620,187,11250,187,11250,538xe" filled="true" fillcolor="#d2d2d2" stroked="false">
                <v:path arrowok="t"/>
                <v:fill type="solid"/>
              </v:shape>
            </v:group>
            <v:group style="position:absolute;left:11653;top:-634;width:983;height:468" coordorigin="11653,-634" coordsize="983,468">
              <v:shape style="position:absolute;left:11653;top:-634;width:983;height:468" coordorigin="11653,-634" coordsize="983,468" path="m11653,-166l12635,-166,12635,-634,11653,-634,11653,-166xe" filled="true" fillcolor="#d2d2d2" stroked="false">
                <v:path arrowok="t"/>
                <v:fill type="solid"/>
              </v:shape>
            </v:group>
            <v:group style="position:absolute;left:11664;top:-166;width:2;height:704" coordorigin="11664,-166" coordsize="2,704">
              <v:shape style="position:absolute;left:11664;top:-166;width:2;height:704" coordorigin="11664,-166" coordsize="0,704" path="m11664,-166l11664,538e" filled="false" stroked="true" strokeweight="1.08pt" strokecolor="#d2d2d2">
                <v:path arrowok="t"/>
              </v:shape>
            </v:group>
            <v:group style="position:absolute;left:12625;top:-166;width:2;height:704" coordorigin="12625,-166" coordsize="2,704">
              <v:shape style="position:absolute;left:12625;top:-166;width:2;height:704" coordorigin="12625,-166" coordsize="0,704" path="m12625,-166l12625,538e" filled="false" stroked="true" strokeweight="1.08pt" strokecolor="#d2d2d2">
                <v:path arrowok="t"/>
              </v:shape>
            </v:group>
            <v:group style="position:absolute;left:11653;top:538;width:983;height:468" coordorigin="11653,538" coordsize="983,468">
              <v:shape style="position:absolute;left:11653;top:538;width:983;height:468" coordorigin="11653,538" coordsize="983,468" path="m11653,1006l12635,1006,12635,538,11653,538,11653,1006xe" filled="true" fillcolor="#d2d2d2" stroked="false">
                <v:path arrowok="t"/>
                <v:fill type="solid"/>
              </v:shape>
            </v:group>
            <v:group style="position:absolute;left:11675;top:-166;width:939;height:353" coordorigin="11675,-166" coordsize="939,353">
              <v:shape style="position:absolute;left:11675;top:-166;width:939;height:353" coordorigin="11675,-166" coordsize="939,353" path="m11675,187l12614,187,12614,-166,11675,-166,11675,187xe" filled="true" fillcolor="#d2d2d2" stroked="false">
                <v:path arrowok="t"/>
                <v:fill type="solid"/>
              </v:shape>
            </v:group>
            <v:group style="position:absolute;left:11675;top:187;width:939;height:351" coordorigin="11675,187" coordsize="939,351">
              <v:shape style="position:absolute;left:11675;top:187;width:939;height:351" coordorigin="11675,187" coordsize="939,351" path="m11675,538l12614,538,12614,187,11675,187,11675,538xe" filled="true" fillcolor="#d2d2d2" stroked="false">
                <v:path arrowok="t"/>
                <v:fill type="solid"/>
              </v:shape>
            </v:group>
            <v:group style="position:absolute;left:12645;top:-634;width:3819;height:624" coordorigin="12645,-634" coordsize="3819,624">
              <v:shape style="position:absolute;left:12645;top:-634;width:3819;height:624" coordorigin="12645,-634" coordsize="3819,624" path="m12645,-10l16464,-10,16464,-634,12645,-634,12645,-10xe" filled="true" fillcolor="#d2d2d2" stroked="false">
                <v:path arrowok="t"/>
                <v:fill type="solid"/>
              </v:shape>
            </v:group>
            <v:group style="position:absolute;left:12657;top:-10;width:2;height:392" coordorigin="12657,-10" coordsize="2,392">
              <v:shape style="position:absolute;left:12657;top:-10;width:2;height:392" coordorigin="12657,-10" coordsize="0,392" path="m12657,-10l12657,382e" filled="false" stroked="true" strokeweight="1.2pt" strokecolor="#d2d2d2">
                <v:path arrowok="t"/>
              </v:shape>
            </v:group>
            <v:group style="position:absolute;left:16452;top:-10;width:2;height:392" coordorigin="16452,-10" coordsize="2,392">
              <v:shape style="position:absolute;left:16452;top:-10;width:2;height:392" coordorigin="16452,-10" coordsize="0,392" path="m16452,-10l16452,382e" filled="false" stroked="true" strokeweight="1.2pt" strokecolor="#d2d2d2">
                <v:path arrowok="t"/>
              </v:shape>
            </v:group>
            <v:group style="position:absolute;left:12645;top:382;width:3819;height:624" coordorigin="12645,382" coordsize="3819,624">
              <v:shape style="position:absolute;left:12645;top:382;width:3819;height:624" coordorigin="12645,382" coordsize="3819,624" path="m12645,1006l16464,1006,16464,382,12645,382,12645,1006xe" filled="true" fillcolor="#d2d2d2" stroked="false">
                <v:path arrowok="t"/>
                <v:fill type="solid"/>
              </v:shape>
            </v:group>
            <v:group style="position:absolute;left:12669;top:-10;width:3771;height:392" coordorigin="12669,-10" coordsize="3771,392">
              <v:shape style="position:absolute;left:12669;top:-10;width:3771;height:392" coordorigin="12669,-10" coordsize="3771,392" path="m12669,382l16440,382,16440,-10,12669,-10,12669,382xe" filled="true" fillcolor="#d2d2d2" stroked="false">
                <v:path arrowok="t"/>
                <v:fill type="solid"/>
              </v:shape>
            </v:group>
            <v:group style="position:absolute;left:451;top:-638;width:845;height:2" coordorigin="451,-638" coordsize="845,2">
              <v:shape style="position:absolute;left:451;top:-638;width:845;height:2" coordorigin="451,-638" coordsize="845,0" path="m451,-638l1296,-638e" filled="false" stroked="true" strokeweight=".48pt" strokecolor="#000000">
                <v:path arrowok="t"/>
              </v:shape>
            </v:group>
            <v:group style="position:absolute;left:1306;top:-638;width:3106;height:2" coordorigin="1306,-638" coordsize="3106,2">
              <v:shape style="position:absolute;left:1306;top:-638;width:3106;height:2" coordorigin="1306,-638" coordsize="3106,0" path="m1306,-638l4412,-638e" filled="false" stroked="true" strokeweight=".48pt" strokecolor="#000000">
                <v:path arrowok="t"/>
              </v:shape>
            </v:group>
            <v:group style="position:absolute;left:4421;top:-638;width:560;height:2" coordorigin="4421,-638" coordsize="560,2">
              <v:shape style="position:absolute;left:4421;top:-638;width:560;height:2" coordorigin="4421,-638" coordsize="560,0" path="m4421,-638l4980,-638e" filled="false" stroked="true" strokeweight=".48pt" strokecolor="#000000">
                <v:path arrowok="t"/>
              </v:shape>
            </v:group>
            <v:group style="position:absolute;left:4990;top:-638;width:1124;height:2" coordorigin="4990,-638" coordsize="1124,2">
              <v:shape style="position:absolute;left:4990;top:-638;width:1124;height:2" coordorigin="4990,-638" coordsize="1124,0" path="m4990,-638l6114,-638e" filled="false" stroked="true" strokeweight=".48pt" strokecolor="#000000">
                <v:path arrowok="t"/>
              </v:shape>
            </v:group>
            <v:group style="position:absolute;left:6123;top:-638;width:416;height:2" coordorigin="6123,-638" coordsize="416,2">
              <v:shape style="position:absolute;left:6123;top:-638;width:416;height:2" coordorigin="6123,-638" coordsize="416,0" path="m6123,-638l6539,-638e" filled="false" stroked="true" strokeweight=".48pt" strokecolor="#000000">
                <v:path arrowok="t"/>
              </v:shape>
            </v:group>
            <v:group style="position:absolute;left:6548;top:-638;width:418;height:2" coordorigin="6548,-638" coordsize="418,2">
              <v:shape style="position:absolute;left:6548;top:-638;width:418;height:2" coordorigin="6548,-638" coordsize="418,0" path="m6548,-638l6966,-638e" filled="false" stroked="true" strokeweight=".48pt" strokecolor="#000000">
                <v:path arrowok="t"/>
              </v:shape>
            </v:group>
            <v:group style="position:absolute;left:6975;top:-638;width:699;height:2" coordorigin="6975,-638" coordsize="699,2">
              <v:shape style="position:absolute;left:6975;top:-638;width:699;height:2" coordorigin="6975,-638" coordsize="699,0" path="m6975,-638l7674,-638e" filled="false" stroked="true" strokeweight=".48pt" strokecolor="#000000">
                <v:path arrowok="t"/>
              </v:shape>
            </v:group>
            <v:group style="position:absolute;left:7683;top:-638;width:557;height:2" coordorigin="7683,-638" coordsize="557,2">
              <v:shape style="position:absolute;left:7683;top:-638;width:557;height:2" coordorigin="7683,-638" coordsize="557,0" path="m7683,-638l8240,-638e" filled="false" stroked="true" strokeweight=".48pt" strokecolor="#000000">
                <v:path arrowok="t"/>
              </v:shape>
            </v:group>
            <v:group style="position:absolute;left:8250;top:-638;width:557;height:2" coordorigin="8250,-638" coordsize="557,2">
              <v:shape style="position:absolute;left:8250;top:-638;width:557;height:2" coordorigin="8250,-638" coordsize="557,0" path="m8250,-638l8807,-638e" filled="false" stroked="true" strokeweight=".48pt" strokecolor="#000000">
                <v:path arrowok="t"/>
              </v:shape>
            </v:group>
            <v:group style="position:absolute;left:8816;top:-638;width:702;height:2" coordorigin="8816,-638" coordsize="702,2">
              <v:shape style="position:absolute;left:8816;top:-638;width:702;height:2" coordorigin="8816,-638" coordsize="702,0" path="m8816,-638l9517,-638e" filled="false" stroked="true" strokeweight=".48pt" strokecolor="#000000">
                <v:path arrowok="t"/>
              </v:shape>
            </v:group>
            <v:group style="position:absolute;left:9527;top:-638;width:557;height:2" coordorigin="9527,-638" coordsize="557,2">
              <v:shape style="position:absolute;left:9527;top:-638;width:557;height:2" coordorigin="9527,-638" coordsize="557,0" path="m9527,-638l10084,-638e" filled="false" stroked="true" strokeweight=".48pt" strokecolor="#000000">
                <v:path arrowok="t"/>
              </v:shape>
            </v:group>
            <v:group style="position:absolute;left:10093;top:-638;width:1124;height:2" coordorigin="10093,-638" coordsize="1124,2">
              <v:shape style="position:absolute;left:10093;top:-638;width:1124;height:2" coordorigin="10093,-638" coordsize="1124,0" path="m10093,-638l11217,-638e" filled="false" stroked="true" strokeweight=".48pt" strokecolor="#000000">
                <v:path arrowok="t"/>
              </v:shape>
            </v:group>
            <v:group style="position:absolute;left:11226;top:-638;width:418;height:2" coordorigin="11226,-638" coordsize="418,2">
              <v:shape style="position:absolute;left:11226;top:-638;width:418;height:2" coordorigin="11226,-638" coordsize="418,0" path="m11226,-638l11644,-638e" filled="false" stroked="true" strokeweight=".48pt" strokecolor="#000000">
                <v:path arrowok="t"/>
              </v:shape>
            </v:group>
            <v:group style="position:absolute;left:11653;top:-638;width:983;height:2" coordorigin="11653,-638" coordsize="983,2">
              <v:shape style="position:absolute;left:11653;top:-638;width:983;height:2" coordorigin="11653,-638" coordsize="983,0" path="m11653,-638l12635,-638e" filled="false" stroked="true" strokeweight=".48pt" strokecolor="#000000">
                <v:path arrowok="t"/>
              </v:shape>
            </v:group>
            <v:group style="position:absolute;left:12645;top:-638;width:3819;height:2" coordorigin="12645,-638" coordsize="3819,2">
              <v:shape style="position:absolute;left:12645;top:-638;width:3819;height:2" coordorigin="12645,-638" coordsize="3819,0" path="m12645,-638l16464,-638e" filled="false" stroked="true" strokeweight=".48pt" strokecolor="#000000">
                <v:path arrowok="t"/>
              </v:shape>
            </v:group>
            <v:group style="position:absolute;left:451;top:1010;width:845;height:2" coordorigin="451,1010" coordsize="845,2">
              <v:shape style="position:absolute;left:451;top:1010;width:845;height:2" coordorigin="451,1010" coordsize="845,0" path="m451,1010l1296,1010e" filled="false" stroked="true" strokeweight=".48pt" strokecolor="#000000">
                <v:path arrowok="t"/>
              </v:shape>
            </v:group>
            <v:group style="position:absolute;left:1306;top:1010;width:3106;height:2" coordorigin="1306,1010" coordsize="3106,2">
              <v:shape style="position:absolute;left:1306;top:1010;width:3106;height:2" coordorigin="1306,1010" coordsize="3106,0" path="m1306,1010l4412,1010e" filled="false" stroked="true" strokeweight=".48pt" strokecolor="#000000">
                <v:path arrowok="t"/>
              </v:shape>
            </v:group>
            <v:group style="position:absolute;left:4421;top:1010;width:560;height:2" coordorigin="4421,1010" coordsize="560,2">
              <v:shape style="position:absolute;left:4421;top:1010;width:560;height:2" coordorigin="4421,1010" coordsize="560,0" path="m4421,1010l4980,1010e" filled="false" stroked="true" strokeweight=".48pt" strokecolor="#000000">
                <v:path arrowok="t"/>
              </v:shape>
            </v:group>
            <v:group style="position:absolute;left:4990;top:1010;width:1124;height:2" coordorigin="4990,1010" coordsize="1124,2">
              <v:shape style="position:absolute;left:4990;top:1010;width:1124;height:2" coordorigin="4990,1010" coordsize="1124,0" path="m4990,1010l6114,1010e" filled="false" stroked="true" strokeweight=".48pt" strokecolor="#000000">
                <v:path arrowok="t"/>
              </v:shape>
            </v:group>
            <v:group style="position:absolute;left:6123;top:1010;width:416;height:2" coordorigin="6123,1010" coordsize="416,2">
              <v:shape style="position:absolute;left:6123;top:1010;width:416;height:2" coordorigin="6123,1010" coordsize="416,0" path="m6123,1010l6539,1010e" filled="false" stroked="true" strokeweight=".48pt" strokecolor="#000000">
                <v:path arrowok="t"/>
              </v:shape>
            </v:group>
            <v:group style="position:absolute;left:6548;top:1010;width:418;height:2" coordorigin="6548,1010" coordsize="418,2">
              <v:shape style="position:absolute;left:6548;top:1010;width:418;height:2" coordorigin="6548,1010" coordsize="418,0" path="m6548,1010l6966,1010e" filled="false" stroked="true" strokeweight=".48pt" strokecolor="#000000">
                <v:path arrowok="t"/>
              </v:shape>
            </v:group>
            <v:group style="position:absolute;left:6975;top:1010;width:699;height:2" coordorigin="6975,1010" coordsize="699,2">
              <v:shape style="position:absolute;left:6975;top:1010;width:699;height:2" coordorigin="6975,1010" coordsize="699,0" path="m6975,1010l7674,1010e" filled="false" stroked="true" strokeweight=".48pt" strokecolor="#000000">
                <v:path arrowok="t"/>
              </v:shape>
            </v:group>
            <v:group style="position:absolute;left:7683;top:1010;width:557;height:2" coordorigin="7683,1010" coordsize="557,2">
              <v:shape style="position:absolute;left:7683;top:1010;width:557;height:2" coordorigin="7683,1010" coordsize="557,0" path="m7683,1010l8240,1010e" filled="false" stroked="true" strokeweight=".48pt" strokecolor="#000000">
                <v:path arrowok="t"/>
              </v:shape>
            </v:group>
            <v:group style="position:absolute;left:8250;top:1010;width:557;height:2" coordorigin="8250,1010" coordsize="557,2">
              <v:shape style="position:absolute;left:8250;top:1010;width:557;height:2" coordorigin="8250,1010" coordsize="557,0" path="m8250,1010l8807,1010e" filled="false" stroked="true" strokeweight=".48pt" strokecolor="#000000">
                <v:path arrowok="t"/>
              </v:shape>
            </v:group>
            <v:group style="position:absolute;left:8816;top:1010;width:702;height:2" coordorigin="8816,1010" coordsize="702,2">
              <v:shape style="position:absolute;left:8816;top:1010;width:702;height:2" coordorigin="8816,1010" coordsize="702,0" path="m8816,1010l9517,1010e" filled="false" stroked="true" strokeweight=".48pt" strokecolor="#000000">
                <v:path arrowok="t"/>
              </v:shape>
            </v:group>
            <v:group style="position:absolute;left:9527;top:1010;width:557;height:2" coordorigin="9527,1010" coordsize="557,2">
              <v:shape style="position:absolute;left:9527;top:1010;width:557;height:2" coordorigin="9527,1010" coordsize="557,0" path="m9527,1010l10084,1010e" filled="false" stroked="true" strokeweight=".48pt" strokecolor="#000000">
                <v:path arrowok="t"/>
              </v:shape>
            </v:group>
            <v:group style="position:absolute;left:10093;top:1010;width:1124;height:2" coordorigin="10093,1010" coordsize="1124,2">
              <v:shape style="position:absolute;left:10093;top:1010;width:1124;height:2" coordorigin="10093,1010" coordsize="1124,0" path="m10093,1010l11217,1010e" filled="false" stroked="true" strokeweight=".48pt" strokecolor="#000000">
                <v:path arrowok="t"/>
              </v:shape>
            </v:group>
            <v:group style="position:absolute;left:11226;top:1010;width:418;height:2" coordorigin="11226,1010" coordsize="418,2">
              <v:shape style="position:absolute;left:11226;top:1010;width:418;height:2" coordorigin="11226,1010" coordsize="418,0" path="m11226,1010l11644,1010e" filled="false" stroked="true" strokeweight=".48pt" strokecolor="#000000">
                <v:path arrowok="t"/>
              </v:shape>
            </v:group>
            <v:group style="position:absolute;left:11653;top:1010;width:983;height:2" coordorigin="11653,1010" coordsize="983,2">
              <v:shape style="position:absolute;left:11653;top:1010;width:983;height:2" coordorigin="11653,1010" coordsize="983,0" path="m11653,1010l12635,1010e" filled="false" stroked="true" strokeweight=".48pt" strokecolor="#000000">
                <v:path arrowok="t"/>
              </v:shape>
            </v:group>
            <v:group style="position:absolute;left:12645;top:1010;width:3819;height:2" coordorigin="12645,1010" coordsize="3819,2">
              <v:shape style="position:absolute;left:12645;top:1010;width:3819;height:2" coordorigin="12645,1010" coordsize="3819,0" path="m12645,1010l16464,1010e" filled="false" stroked="true" strokeweight=".48pt" strokecolor="#000000">
                <v:path arrowok="t"/>
              </v:shape>
            </v:group>
            <v:group style="position:absolute;left:451;top:4847;width:845;height:2" coordorigin="451,4847" coordsize="845,2">
              <v:shape style="position:absolute;left:451;top:4847;width:845;height:2" coordorigin="451,4847" coordsize="845,0" path="m451,4847l1296,4847e" filled="false" stroked="true" strokeweight=".48001pt" strokecolor="#000000">
                <v:path arrowok="t"/>
              </v:shape>
            </v:group>
            <v:group style="position:absolute;left:1306;top:4847;width:3106;height:2" coordorigin="1306,4847" coordsize="3106,2">
              <v:shape style="position:absolute;left:1306;top:4847;width:3106;height:2" coordorigin="1306,4847" coordsize="3106,0" path="m1306,4847l4412,4847e" filled="false" stroked="true" strokeweight=".48001pt" strokecolor="#000000">
                <v:path arrowok="t"/>
              </v:shape>
            </v:group>
            <v:group style="position:absolute;left:4421;top:4847;width:560;height:2" coordorigin="4421,4847" coordsize="560,2">
              <v:shape style="position:absolute;left:4421;top:4847;width:560;height:2" coordorigin="4421,4847" coordsize="560,0" path="m4421,4847l4980,4847e" filled="false" stroked="true" strokeweight=".48001pt" strokecolor="#000000">
                <v:path arrowok="t"/>
              </v:shape>
            </v:group>
            <v:group style="position:absolute;left:4990;top:4847;width:1124;height:2" coordorigin="4990,4847" coordsize="1124,2">
              <v:shape style="position:absolute;left:4990;top:4847;width:1124;height:2" coordorigin="4990,4847" coordsize="1124,0" path="m4990,4847l6114,4847e" filled="false" stroked="true" strokeweight=".48001pt" strokecolor="#000000">
                <v:path arrowok="t"/>
              </v:shape>
            </v:group>
            <v:group style="position:absolute;left:6123;top:4847;width:416;height:2" coordorigin="6123,4847" coordsize="416,2">
              <v:shape style="position:absolute;left:6123;top:4847;width:416;height:2" coordorigin="6123,4847" coordsize="416,0" path="m6123,4847l6539,4847e" filled="false" stroked="true" strokeweight=".48001pt" strokecolor="#000000">
                <v:path arrowok="t"/>
              </v:shape>
            </v:group>
            <v:group style="position:absolute;left:6548;top:4847;width:418;height:2" coordorigin="6548,4847" coordsize="418,2">
              <v:shape style="position:absolute;left:6548;top:4847;width:418;height:2" coordorigin="6548,4847" coordsize="418,0" path="m6548,4847l6966,4847e" filled="false" stroked="true" strokeweight=".48001pt" strokecolor="#000000">
                <v:path arrowok="t"/>
              </v:shape>
            </v:group>
            <v:group style="position:absolute;left:6975;top:4847;width:699;height:2" coordorigin="6975,4847" coordsize="699,2">
              <v:shape style="position:absolute;left:6975;top:4847;width:699;height:2" coordorigin="6975,4847" coordsize="699,0" path="m6975,4847l7674,4847e" filled="false" stroked="true" strokeweight=".48001pt" strokecolor="#000000">
                <v:path arrowok="t"/>
              </v:shape>
            </v:group>
            <v:group style="position:absolute;left:7683;top:4847;width:557;height:2" coordorigin="7683,4847" coordsize="557,2">
              <v:shape style="position:absolute;left:7683;top:4847;width:557;height:2" coordorigin="7683,4847" coordsize="557,0" path="m7683,4847l8240,4847e" filled="false" stroked="true" strokeweight=".48001pt" strokecolor="#000000">
                <v:path arrowok="t"/>
              </v:shape>
            </v:group>
            <v:group style="position:absolute;left:8250;top:4847;width:557;height:2" coordorigin="8250,4847" coordsize="557,2">
              <v:shape style="position:absolute;left:8250;top:4847;width:557;height:2" coordorigin="8250,4847" coordsize="557,0" path="m8250,4847l8807,4847e" filled="false" stroked="true" strokeweight=".48001pt" strokecolor="#000000">
                <v:path arrowok="t"/>
              </v:shape>
            </v:group>
            <v:group style="position:absolute;left:8816;top:4847;width:702;height:2" coordorigin="8816,4847" coordsize="702,2">
              <v:shape style="position:absolute;left:8816;top:4847;width:702;height:2" coordorigin="8816,4847" coordsize="702,0" path="m8816,4847l9517,4847e" filled="false" stroked="true" strokeweight=".48001pt" strokecolor="#000000">
                <v:path arrowok="t"/>
              </v:shape>
            </v:group>
            <v:group style="position:absolute;left:9527;top:4847;width:557;height:2" coordorigin="9527,4847" coordsize="557,2">
              <v:shape style="position:absolute;left:9527;top:4847;width:557;height:2" coordorigin="9527,4847" coordsize="557,0" path="m9527,4847l10084,4847e" filled="false" stroked="true" strokeweight=".48001pt" strokecolor="#000000">
                <v:path arrowok="t"/>
              </v:shape>
            </v:group>
            <v:group style="position:absolute;left:10093;top:4847;width:1124;height:2" coordorigin="10093,4847" coordsize="1124,2">
              <v:shape style="position:absolute;left:10093;top:4847;width:1124;height:2" coordorigin="10093,4847" coordsize="1124,0" path="m10093,4847l11217,4847e" filled="false" stroked="true" strokeweight=".48001pt" strokecolor="#000000">
                <v:path arrowok="t"/>
              </v:shape>
            </v:group>
            <v:group style="position:absolute;left:11226;top:4847;width:418;height:2" coordorigin="11226,4847" coordsize="418,2">
              <v:shape style="position:absolute;left:11226;top:4847;width:418;height:2" coordorigin="11226,4847" coordsize="418,0" path="m11226,4847l11644,4847e" filled="false" stroked="true" strokeweight=".48001pt" strokecolor="#000000">
                <v:path arrowok="t"/>
              </v:shape>
            </v:group>
            <v:group style="position:absolute;left:11653;top:4847;width:983;height:2" coordorigin="11653,4847" coordsize="983,2">
              <v:shape style="position:absolute;left:11653;top:4847;width:983;height:2" coordorigin="11653,4847" coordsize="983,0" path="m11653,4847l12635,4847e" filled="false" stroked="true" strokeweight=".48001pt" strokecolor="#000000">
                <v:path arrowok="t"/>
              </v:shape>
            </v:group>
            <v:group style="position:absolute;left:12645;top:4847;width:3819;height:2" coordorigin="12645,4847" coordsize="3819,2">
              <v:shape style="position:absolute;left:12645;top:4847;width:3819;height:2" coordorigin="12645,4847" coordsize="3819,0" path="m12645,4847l16464,4847e" filled="false" stroked="true" strokeweight=".48001pt" strokecolor="#000000">
                <v:path arrowok="t"/>
              </v:shape>
            </v:group>
            <v:group style="position:absolute;left:463;top:7437;width:2;height:394" coordorigin="463,7437" coordsize="2,394">
              <v:shape style="position:absolute;left:463;top:7437;width:2;height:394" coordorigin="463,7437" coordsize="0,394" path="m463,7437l463,7830e" filled="false" stroked="true" strokeweight="1.2pt" strokecolor="#d2d2d2">
                <v:path arrowok="t"/>
              </v:shape>
            </v:group>
            <v:group style="position:absolute;left:1284;top:7437;width:2;height:394" coordorigin="1284,7437" coordsize="2,394">
              <v:shape style="position:absolute;left:1284;top:7437;width:2;height:394" coordorigin="1284,7437" coordsize="0,394" path="m1284,7437l1284,7830e" filled="false" stroked="true" strokeweight="1.2pt" strokecolor="#d2d2d2">
                <v:path arrowok="t"/>
              </v:shape>
            </v:group>
            <v:group style="position:absolute;left:475;top:7437;width:797;height:394" coordorigin="475,7437" coordsize="797,394">
              <v:shape style="position:absolute;left:475;top:7437;width:797;height:394" coordorigin="475,7437" coordsize="797,394" path="m475,7830l1272,7830,1272,7437,475,7437,475,7830xe" filled="true" fillcolor="#d2d2d2" stroked="false">
                <v:path arrowok="t"/>
                <v:fill type="solid"/>
              </v:shape>
            </v:group>
            <v:group style="position:absolute;left:1318;top:7437;width:2;height:394" coordorigin="1318,7437" coordsize="2,394">
              <v:shape style="position:absolute;left:1318;top:7437;width:2;height:394" coordorigin="1318,7437" coordsize="0,394" path="m1318,7437l1318,7830e" filled="false" stroked="true" strokeweight="1.2pt" strokecolor="#d2d2d2">
                <v:path arrowok="t"/>
              </v:shape>
            </v:group>
            <v:group style="position:absolute;left:4401;top:7437;width:2;height:394" coordorigin="4401,7437" coordsize="2,394">
              <v:shape style="position:absolute;left:4401;top:7437;width:2;height:394" coordorigin="4401,7437" coordsize="0,394" path="m4401,7437l4401,7830e" filled="false" stroked="true" strokeweight="1.08pt" strokecolor="#d2d2d2">
                <v:path arrowok="t"/>
              </v:shape>
            </v:group>
            <v:group style="position:absolute;left:1330;top:7437;width:3061;height:394" coordorigin="1330,7437" coordsize="3061,394">
              <v:shape style="position:absolute;left:1330;top:7437;width:3061;height:394" coordorigin="1330,7437" coordsize="3061,394" path="m1330,7830l4390,7830,4390,7437,1330,7437,1330,7830xe" filled="true" fillcolor="#d2d2d2" stroked="false">
                <v:path arrowok="t"/>
                <v:fill type="solid"/>
              </v:shape>
            </v:group>
            <v:group style="position:absolute;left:4434;top:7437;width:2;height:394" coordorigin="4434,7437" coordsize="2,394">
              <v:shape style="position:absolute;left:4434;top:7437;width:2;height:394" coordorigin="4434,7437" coordsize="0,394" path="m4434,7437l4434,7830e" filled="false" stroked="true" strokeweight="1.08pt" strokecolor="#d2d2d2">
                <v:path arrowok="t"/>
              </v:shape>
            </v:group>
            <v:group style="position:absolute;left:4968;top:7437;width:2;height:394" coordorigin="4968,7437" coordsize="2,394">
              <v:shape style="position:absolute;left:4968;top:7437;width:2;height:394" coordorigin="4968,7437" coordsize="0,394" path="m4968,7437l4968,7830e" filled="false" stroked="true" strokeweight="1.2pt" strokecolor="#d2d2d2">
                <v:path arrowok="t"/>
              </v:shape>
            </v:group>
            <v:group style="position:absolute;left:4445;top:7437;width:512;height:394" coordorigin="4445,7437" coordsize="512,394">
              <v:shape style="position:absolute;left:4445;top:7437;width:512;height:394" coordorigin="4445,7437" coordsize="512,394" path="m4445,7830l4956,7830,4956,7437,4445,7437,4445,7830xe" filled="true" fillcolor="#d2d2d2" stroked="false">
                <v:path arrowok="t"/>
                <v:fill type="solid"/>
              </v:shape>
            </v:group>
            <v:group style="position:absolute;left:451;top:7432;width:845;height:2" coordorigin="451,7432" coordsize="845,2">
              <v:shape style="position:absolute;left:451;top:7432;width:845;height:2" coordorigin="451,7432" coordsize="845,0" path="m451,7432l1296,7432e" filled="false" stroked="true" strokeweight=".47998pt" strokecolor="#000000">
                <v:path arrowok="t"/>
              </v:shape>
            </v:group>
            <v:group style="position:absolute;left:1306;top:7432;width:3106;height:2" coordorigin="1306,7432" coordsize="3106,2">
              <v:shape style="position:absolute;left:1306;top:7432;width:3106;height:2" coordorigin="1306,7432" coordsize="3106,0" path="m1306,7432l4412,7432e" filled="false" stroked="true" strokeweight=".47998pt" strokecolor="#000000">
                <v:path arrowok="t"/>
              </v:shape>
            </v:group>
            <v:group style="position:absolute;left:4421;top:7432;width:560;height:2" coordorigin="4421,7432" coordsize="560,2">
              <v:shape style="position:absolute;left:4421;top:7432;width:560;height:2" coordorigin="4421,7432" coordsize="560,0" path="m4421,7432l4980,7432e" filled="false" stroked="true" strokeweight=".47998pt" strokecolor="#000000">
                <v:path arrowok="t"/>
              </v:shape>
            </v:group>
            <v:group style="position:absolute;left:6135;top:7437;width:2;height:394" coordorigin="6135,7437" coordsize="2,394">
              <v:shape style="position:absolute;left:6135;top:7437;width:2;height:394" coordorigin="6135,7437" coordsize="0,394" path="m6135,7437l6135,7830e" filled="false" stroked="true" strokeweight="1.2pt" strokecolor="#d2d2d2">
                <v:path arrowok="t"/>
              </v:shape>
            </v:group>
            <v:group style="position:absolute;left:6528;top:7437;width:2;height:394" coordorigin="6528,7437" coordsize="2,394">
              <v:shape style="position:absolute;left:6528;top:7437;width:2;height:394" coordorigin="6528,7437" coordsize="0,394" path="m6528,7437l6528,7830e" filled="false" stroked="true" strokeweight="1.08pt" strokecolor="#d2d2d2">
                <v:path arrowok="t"/>
              </v:shape>
            </v:group>
            <v:group style="position:absolute;left:6147;top:7437;width:370;height:394" coordorigin="6147,7437" coordsize="370,394">
              <v:shape style="position:absolute;left:6147;top:7437;width:370;height:394" coordorigin="6147,7437" coordsize="370,394" path="m6147,7830l6517,7830,6517,7437,6147,7437,6147,7830xe" filled="true" fillcolor="#d2d2d2" stroked="false">
                <v:path arrowok="t"/>
                <v:fill type="solid"/>
              </v:shape>
            </v:group>
            <v:group style="position:absolute;left:6560;top:7437;width:2;height:394" coordorigin="6560,7437" coordsize="2,394">
              <v:shape style="position:absolute;left:6560;top:7437;width:2;height:394" coordorigin="6560,7437" coordsize="0,394" path="m6560,7437l6560,7830e" filled="false" stroked="true" strokeweight="1.2pt" strokecolor="#d2d2d2">
                <v:path arrowok="t"/>
              </v:shape>
            </v:group>
            <v:group style="position:absolute;left:6954;top:7437;width:2;height:394" coordorigin="6954,7437" coordsize="2,394">
              <v:shape style="position:absolute;left:6954;top:7437;width:2;height:394" coordorigin="6954,7437" coordsize="0,394" path="m6954,7437l6954,7830e" filled="false" stroked="true" strokeweight="1.2pt" strokecolor="#d2d2d2">
                <v:path arrowok="t"/>
              </v:shape>
            </v:group>
            <v:group style="position:absolute;left:6572;top:7437;width:370;height:394" coordorigin="6572,7437" coordsize="370,394">
              <v:shape style="position:absolute;left:6572;top:7437;width:370;height:394" coordorigin="6572,7437" coordsize="370,394" path="m6572,7830l6942,7830,6942,7437,6572,7437,6572,7830xe" filled="true" fillcolor="#d2d2d2" stroked="false">
                <v:path arrowok="t"/>
                <v:fill type="solid"/>
              </v:shape>
            </v:group>
            <v:group style="position:absolute;left:6986;top:7437;width:2;height:394" coordorigin="6986,7437" coordsize="2,394">
              <v:shape style="position:absolute;left:6986;top:7437;width:2;height:394" coordorigin="6986,7437" coordsize="0,394" path="m6986,7437l6986,7830e" filled="false" stroked="true" strokeweight="1.08pt" strokecolor="#d2d2d2">
                <v:path arrowok="t"/>
              </v:shape>
            </v:group>
            <v:group style="position:absolute;left:7662;top:7437;width:2;height:394" coordorigin="7662,7437" coordsize="2,394">
              <v:shape style="position:absolute;left:7662;top:7437;width:2;height:394" coordorigin="7662,7437" coordsize="0,394" path="m7662,7437l7662,7830e" filled="false" stroked="true" strokeweight="1.2pt" strokecolor="#d2d2d2">
                <v:path arrowok="t"/>
              </v:shape>
            </v:group>
            <v:group style="position:absolute;left:6997;top:7437;width:653;height:394" coordorigin="6997,7437" coordsize="653,394">
              <v:shape style="position:absolute;left:6997;top:7437;width:653;height:394" coordorigin="6997,7437" coordsize="653,394" path="m6997,7830l7650,7830,7650,7437,6997,7437,6997,7830xe" filled="true" fillcolor="#d2d2d2" stroked="false">
                <v:path arrowok="t"/>
                <v:fill type="solid"/>
              </v:shape>
            </v:group>
            <v:group style="position:absolute;left:7694;top:7437;width:2;height:394" coordorigin="7694,7437" coordsize="2,394">
              <v:shape style="position:absolute;left:7694;top:7437;width:2;height:394" coordorigin="7694,7437" coordsize="0,394" path="m7694,7437l7694,7830e" filled="false" stroked="true" strokeweight="1.08pt" strokecolor="#d2d2d2">
                <v:path arrowok="t"/>
              </v:shape>
            </v:group>
            <v:group style="position:absolute;left:8228;top:7437;width:2;height:394" coordorigin="8228,7437" coordsize="2,394">
              <v:shape style="position:absolute;left:8228;top:7437;width:2;height:394" coordorigin="8228,7437" coordsize="0,394" path="m8228,7437l8228,7830e" filled="false" stroked="true" strokeweight="1.2pt" strokecolor="#d2d2d2">
                <v:path arrowok="t"/>
              </v:shape>
            </v:group>
            <v:group style="position:absolute;left:7705;top:7437;width:512;height:394" coordorigin="7705,7437" coordsize="512,394">
              <v:shape style="position:absolute;left:7705;top:7437;width:512;height:394" coordorigin="7705,7437" coordsize="512,394" path="m7705,7830l8216,7830,8216,7437,7705,7437,7705,7830xe" filled="true" fillcolor="#d2d2d2" stroked="false">
                <v:path arrowok="t"/>
                <v:fill type="solid"/>
              </v:shape>
            </v:group>
            <v:group style="position:absolute;left:4990;top:7432;width:1124;height:2" coordorigin="4990,7432" coordsize="1124,2">
              <v:shape style="position:absolute;left:4990;top:7432;width:1124;height:2" coordorigin="4990,7432" coordsize="1124,0" path="m4990,7432l6114,7432e" filled="false" stroked="true" strokeweight=".47998pt" strokecolor="#000000">
                <v:path arrowok="t"/>
              </v:shape>
            </v:group>
            <v:group style="position:absolute;left:6123;top:7432;width:416;height:2" coordorigin="6123,7432" coordsize="416,2">
              <v:shape style="position:absolute;left:6123;top:7432;width:416;height:2" coordorigin="6123,7432" coordsize="416,0" path="m6123,7432l6539,7432e" filled="false" stroked="true" strokeweight=".47998pt" strokecolor="#000000">
                <v:path arrowok="t"/>
              </v:shape>
            </v:group>
            <v:group style="position:absolute;left:6548;top:7432;width:418;height:2" coordorigin="6548,7432" coordsize="418,2">
              <v:shape style="position:absolute;left:6548;top:7432;width:418;height:2" coordorigin="6548,7432" coordsize="418,0" path="m6548,7432l6966,7432e" filled="false" stroked="true" strokeweight=".47998pt" strokecolor="#000000">
                <v:path arrowok="t"/>
              </v:shape>
            </v:group>
            <v:group style="position:absolute;left:6975;top:7432;width:699;height:2" coordorigin="6975,7432" coordsize="699,2">
              <v:shape style="position:absolute;left:6975;top:7432;width:699;height:2" coordorigin="6975,7432" coordsize="699,0" path="m6975,7432l7674,7432e" filled="false" stroked="true" strokeweight=".47998pt" strokecolor="#000000">
                <v:path arrowok="t"/>
              </v:shape>
            </v:group>
            <v:group style="position:absolute;left:7683;top:7432;width:557;height:2" coordorigin="7683,7432" coordsize="557,2">
              <v:shape style="position:absolute;left:7683;top:7432;width:557;height:2" coordorigin="7683,7432" coordsize="557,0" path="m7683,7432l8240,7432e" filled="false" stroked="true" strokeweight=".47998pt" strokecolor="#000000">
                <v:path arrowok="t"/>
              </v:shape>
            </v:group>
            <v:group style="position:absolute;left:8250;top:7432;width:557;height:2" coordorigin="8250,7432" coordsize="557,2">
              <v:shape style="position:absolute;left:8250;top:7432;width:557;height:2" coordorigin="8250,7432" coordsize="557,0" path="m8250,7432l8807,7432e" filled="false" stroked="true" strokeweight=".47998pt" strokecolor="#000000">
                <v:path arrowok="t"/>
              </v:shape>
            </v:group>
            <v:group style="position:absolute;left:8816;top:7432;width:702;height:2" coordorigin="8816,7432" coordsize="702,2">
              <v:shape style="position:absolute;left:8816;top:7432;width:702;height:2" coordorigin="8816,7432" coordsize="702,0" path="m8816,7432l9517,7432e" filled="false" stroked="true" strokeweight=".47998pt" strokecolor="#000000">
                <v:path arrowok="t"/>
              </v:shape>
            </v:group>
            <v:group style="position:absolute;left:9527;top:7432;width:557;height:2" coordorigin="9527,7432" coordsize="557,2">
              <v:shape style="position:absolute;left:9527;top:7432;width:557;height:2" coordorigin="9527,7432" coordsize="557,0" path="m9527,7432l10084,7432e" filled="false" stroked="true" strokeweight=".47998pt" strokecolor="#000000">
                <v:path arrowok="t"/>
              </v:shape>
            </v:group>
            <v:group style="position:absolute;left:10093;top:7432;width:1124;height:2" coordorigin="10093,7432" coordsize="1124,2">
              <v:shape style="position:absolute;left:10093;top:7432;width:1124;height:2" coordorigin="10093,7432" coordsize="1124,0" path="m10093,7432l11217,7432e" filled="false" stroked="true" strokeweight=".47998pt" strokecolor="#000000">
                <v:path arrowok="t"/>
              </v:shape>
            </v:group>
            <v:group style="position:absolute;left:11226;top:7432;width:418;height:2" coordorigin="11226,7432" coordsize="418,2">
              <v:shape style="position:absolute;left:11226;top:7432;width:418;height:2" coordorigin="11226,7432" coordsize="418,0" path="m11226,7432l11644,7432e" filled="false" stroked="true" strokeweight=".47998pt" strokecolor="#000000">
                <v:path arrowok="t"/>
              </v:shape>
            </v:group>
            <v:group style="position:absolute;left:11653;top:7432;width:983;height:2" coordorigin="11653,7432" coordsize="983,2">
              <v:shape style="position:absolute;left:11653;top:7432;width:983;height:2" coordorigin="11653,7432" coordsize="983,0" path="m11653,7432l12635,7432e" filled="false" stroked="true" strokeweight=".47998pt" strokecolor="#000000">
                <v:path arrowok="t"/>
              </v:shape>
            </v:group>
            <v:group style="position:absolute;left:12645;top:7432;width:3819;height:2" coordorigin="12645,7432" coordsize="3819,2">
              <v:shape style="position:absolute;left:12645;top:7432;width:3819;height:2" coordorigin="12645,7432" coordsize="3819,0" path="m12645,7432l16464,7432e" filled="false" stroked="true" strokeweight=".47998pt" strokecolor="#000000">
                <v:path arrowok="t"/>
              </v:shape>
            </v:group>
            <v:group style="position:absolute;left:446;top:-643;width:2;height:8484" coordorigin="446,-643" coordsize="2,8484">
              <v:shape style="position:absolute;left:446;top:-643;width:2;height:8484" coordorigin="446,-643" coordsize="0,8484" path="m446,-643l446,7840e" filled="false" stroked="true" strokeweight=".48pt" strokecolor="#000000">
                <v:path arrowok="t"/>
              </v:shape>
            </v:group>
            <v:group style="position:absolute;left:451;top:7835;width:845;height:2" coordorigin="451,7835" coordsize="845,2">
              <v:shape style="position:absolute;left:451;top:7835;width:845;height:2" coordorigin="451,7835" coordsize="845,0" path="m451,7835l1296,7835e" filled="false" stroked="true" strokeweight=".47998pt" strokecolor="#000000">
                <v:path arrowok="t"/>
              </v:shape>
            </v:group>
            <v:group style="position:absolute;left:1301;top:-643;width:2;height:8484" coordorigin="1301,-643" coordsize="2,8484">
              <v:shape style="position:absolute;left:1301;top:-643;width:2;height:8484" coordorigin="1301,-643" coordsize="0,8484" path="m1301,-643l1301,7840e" filled="false" stroked="true" strokeweight=".48pt" strokecolor="#000000">
                <v:path arrowok="t"/>
              </v:shape>
            </v:group>
            <v:group style="position:absolute;left:1306;top:7835;width:3106;height:2" coordorigin="1306,7835" coordsize="3106,2">
              <v:shape style="position:absolute;left:1306;top:7835;width:3106;height:2" coordorigin="1306,7835" coordsize="3106,0" path="m1306,7835l4412,7835e" filled="false" stroked="true" strokeweight=".47998pt" strokecolor="#000000">
                <v:path arrowok="t"/>
              </v:shape>
            </v:group>
            <v:group style="position:absolute;left:4416;top:-643;width:2;height:8484" coordorigin="4416,-643" coordsize="2,8484">
              <v:shape style="position:absolute;left:4416;top:-643;width:2;height:8484" coordorigin="4416,-643" coordsize="0,8484" path="m4416,-643l4416,7840e" filled="false" stroked="true" strokeweight=".48pt" strokecolor="#000000">
                <v:path arrowok="t"/>
              </v:shape>
            </v:group>
            <v:group style="position:absolute;left:4421;top:7835;width:560;height:2" coordorigin="4421,7835" coordsize="560,2">
              <v:shape style="position:absolute;left:4421;top:7835;width:560;height:2" coordorigin="4421,7835" coordsize="560,0" path="m4421,7835l4980,7835e" filled="false" stroked="true" strokeweight=".47998pt" strokecolor="#000000">
                <v:path arrowok="t"/>
              </v:shape>
            </v:group>
            <v:group style="position:absolute;left:4985;top:-643;width:2;height:8484" coordorigin="4985,-643" coordsize="2,8484">
              <v:shape style="position:absolute;left:4985;top:-643;width:2;height:8484" coordorigin="4985,-643" coordsize="0,8484" path="m4985,-643l4985,7840e" filled="false" stroked="true" strokeweight=".48pt" strokecolor="#000000">
                <v:path arrowok="t"/>
              </v:shape>
            </v:group>
            <v:group style="position:absolute;left:4990;top:7835;width:1124;height:2" coordorigin="4990,7835" coordsize="1124,2">
              <v:shape style="position:absolute;left:4990;top:7835;width:1124;height:2" coordorigin="4990,7835" coordsize="1124,0" path="m4990,7835l6114,7835e" filled="false" stroked="true" strokeweight=".47998pt" strokecolor="#000000">
                <v:path arrowok="t"/>
              </v:shape>
            </v:group>
            <v:group style="position:absolute;left:6119;top:-643;width:2;height:8484" coordorigin="6119,-643" coordsize="2,8484">
              <v:shape style="position:absolute;left:6119;top:-643;width:2;height:8484" coordorigin="6119,-643" coordsize="0,8484" path="m6119,-643l6119,7840e" filled="false" stroked="true" strokeweight=".48001pt" strokecolor="#000000">
                <v:path arrowok="t"/>
              </v:shape>
            </v:group>
            <v:group style="position:absolute;left:6123;top:7835;width:416;height:2" coordorigin="6123,7835" coordsize="416,2">
              <v:shape style="position:absolute;left:6123;top:7835;width:416;height:2" coordorigin="6123,7835" coordsize="416,0" path="m6123,7835l6539,7835e" filled="false" stroked="true" strokeweight=".47998pt" strokecolor="#000000">
                <v:path arrowok="t"/>
              </v:shape>
            </v:group>
            <v:group style="position:absolute;left:6543;top:-643;width:2;height:8484" coordorigin="6543,-643" coordsize="2,8484">
              <v:shape style="position:absolute;left:6543;top:-643;width:2;height:8484" coordorigin="6543,-643" coordsize="0,8484" path="m6543,-643l6543,7840e" filled="false" stroked="true" strokeweight=".47998pt" strokecolor="#000000">
                <v:path arrowok="t"/>
              </v:shape>
            </v:group>
            <v:group style="position:absolute;left:6548;top:7835;width:418;height:2" coordorigin="6548,7835" coordsize="418,2">
              <v:shape style="position:absolute;left:6548;top:7835;width:418;height:2" coordorigin="6548,7835" coordsize="418,0" path="m6548,7835l6966,7835e" filled="false" stroked="true" strokeweight=".47998pt" strokecolor="#000000">
                <v:path arrowok="t"/>
              </v:shape>
            </v:group>
            <v:group style="position:absolute;left:6971;top:-643;width:2;height:8484" coordorigin="6971,-643" coordsize="2,8484">
              <v:shape style="position:absolute;left:6971;top:-643;width:2;height:8484" coordorigin="6971,-643" coordsize="0,8484" path="m6971,-643l6971,7840e" filled="false" stroked="true" strokeweight=".48001pt" strokecolor="#000000">
                <v:path arrowok="t"/>
              </v:shape>
            </v:group>
            <v:group style="position:absolute;left:6975;top:7835;width:699;height:2" coordorigin="6975,7835" coordsize="699,2">
              <v:shape style="position:absolute;left:6975;top:7835;width:699;height:2" coordorigin="6975,7835" coordsize="699,0" path="m6975,7835l7674,7835e" filled="false" stroked="true" strokeweight=".47998pt" strokecolor="#000000">
                <v:path arrowok="t"/>
              </v:shape>
            </v:group>
            <v:group style="position:absolute;left:7679;top:-643;width:2;height:8484" coordorigin="7679,-643" coordsize="2,8484">
              <v:shape style="position:absolute;left:7679;top:-643;width:2;height:8484" coordorigin="7679,-643" coordsize="0,8484" path="m7679,-643l7679,7840e" filled="false" stroked="true" strokeweight=".48001pt" strokecolor="#000000">
                <v:path arrowok="t"/>
              </v:shape>
            </v:group>
            <v:group style="position:absolute;left:7683;top:7835;width:557;height:2" coordorigin="7683,7835" coordsize="557,2">
              <v:shape style="position:absolute;left:7683;top:7835;width:557;height:2" coordorigin="7683,7835" coordsize="557,0" path="m7683,7835l8240,7835e" filled="false" stroked="true" strokeweight=".47998pt" strokecolor="#000000">
                <v:path arrowok="t"/>
              </v:shape>
            </v:group>
            <v:group style="position:absolute;left:8245;top:-643;width:2;height:8484" coordorigin="8245,-643" coordsize="2,8484">
              <v:shape style="position:absolute;left:8245;top:-643;width:2;height:8484" coordorigin="8245,-643" coordsize="0,8484" path="m8245,-643l8245,7840e" filled="false" stroked="true" strokeweight=".48001pt" strokecolor="#000000">
                <v:path arrowok="t"/>
              </v:shape>
            </v:group>
            <v:group style="position:absolute;left:8250;top:7835;width:557;height:2" coordorigin="8250,7835" coordsize="557,2">
              <v:shape style="position:absolute;left:8250;top:7835;width:557;height:2" coordorigin="8250,7835" coordsize="557,0" path="m8250,7835l8807,7835e" filled="false" stroked="true" strokeweight=".47998pt" strokecolor="#000000">
                <v:path arrowok="t"/>
              </v:shape>
            </v:group>
            <v:group style="position:absolute;left:8811;top:-643;width:2;height:8484" coordorigin="8811,-643" coordsize="2,8484">
              <v:shape style="position:absolute;left:8811;top:-643;width:2;height:8484" coordorigin="8811,-643" coordsize="0,8484" path="m8811,-643l8811,7840e" filled="false" stroked="true" strokeweight=".48001pt" strokecolor="#000000">
                <v:path arrowok="t"/>
              </v:shape>
            </v:group>
            <v:group style="position:absolute;left:8816;top:7835;width:702;height:2" coordorigin="8816,7835" coordsize="702,2">
              <v:shape style="position:absolute;left:8816;top:7835;width:702;height:2" coordorigin="8816,7835" coordsize="702,0" path="m8816,7835l9517,7835e" filled="false" stroked="true" strokeweight=".47998pt" strokecolor="#000000">
                <v:path arrowok="t"/>
              </v:shape>
            </v:group>
            <v:group style="position:absolute;left:9522;top:-643;width:2;height:8484" coordorigin="9522,-643" coordsize="2,8484">
              <v:shape style="position:absolute;left:9522;top:-643;width:2;height:8484" coordorigin="9522,-643" coordsize="0,8484" path="m9522,-643l9522,7840e" filled="false" stroked="true" strokeweight=".47998pt" strokecolor="#000000">
                <v:path arrowok="t"/>
              </v:shape>
            </v:group>
            <v:group style="position:absolute;left:9527;top:7835;width:557;height:2" coordorigin="9527,7835" coordsize="557,2">
              <v:shape style="position:absolute;left:9527;top:7835;width:557;height:2" coordorigin="9527,7835" coordsize="557,0" path="m9527,7835l10084,7835e" filled="false" stroked="true" strokeweight=".47998pt" strokecolor="#000000">
                <v:path arrowok="t"/>
              </v:shape>
            </v:group>
            <v:group style="position:absolute;left:10089;top:-643;width:2;height:8484" coordorigin="10089,-643" coordsize="2,8484">
              <v:shape style="position:absolute;left:10089;top:-643;width:2;height:8484" coordorigin="10089,-643" coordsize="0,8484" path="m10089,-643l10089,7840e" filled="false" stroked="true" strokeweight=".47998pt" strokecolor="#000000">
                <v:path arrowok="t"/>
              </v:shape>
            </v:group>
            <v:group style="position:absolute;left:10093;top:7835;width:1124;height:2" coordorigin="10093,7835" coordsize="1124,2">
              <v:shape style="position:absolute;left:10093;top:7835;width:1124;height:2" coordorigin="10093,7835" coordsize="1124,0" path="m10093,7835l11217,7835e" filled="false" stroked="true" strokeweight=".47998pt" strokecolor="#000000">
                <v:path arrowok="t"/>
              </v:shape>
            </v:group>
            <v:group style="position:absolute;left:11221;top:-643;width:2;height:8484" coordorigin="11221,-643" coordsize="2,8484">
              <v:shape style="position:absolute;left:11221;top:-643;width:2;height:8484" coordorigin="11221,-643" coordsize="0,8484" path="m11221,-643l11221,7840e" filled="false" stroked="true" strokeweight=".47998pt" strokecolor="#000000">
                <v:path arrowok="t"/>
              </v:shape>
            </v:group>
            <v:group style="position:absolute;left:11226;top:7835;width:418;height:2" coordorigin="11226,7835" coordsize="418,2">
              <v:shape style="position:absolute;left:11226;top:7835;width:418;height:2" coordorigin="11226,7835" coordsize="418,0" path="m11226,7835l11644,7835e" filled="false" stroked="true" strokeweight=".47998pt" strokecolor="#000000">
                <v:path arrowok="t"/>
              </v:shape>
            </v:group>
            <v:group style="position:absolute;left:11649;top:-643;width:2;height:8484" coordorigin="11649,-643" coordsize="2,8484">
              <v:shape style="position:absolute;left:11649;top:-643;width:2;height:8484" coordorigin="11649,-643" coordsize="0,8484" path="m11649,-643l11649,7840e" filled="false" stroked="true" strokeweight=".47998pt" strokecolor="#000000">
                <v:path arrowok="t"/>
              </v:shape>
            </v:group>
            <v:group style="position:absolute;left:11653;top:7835;width:983;height:2" coordorigin="11653,7835" coordsize="983,2">
              <v:shape style="position:absolute;left:11653;top:7835;width:983;height:2" coordorigin="11653,7835" coordsize="983,0" path="m11653,7835l12635,7835e" filled="false" stroked="true" strokeweight=".47998pt" strokecolor="#000000">
                <v:path arrowok="t"/>
              </v:shape>
            </v:group>
            <v:group style="position:absolute;left:12640;top:-643;width:2;height:8484" coordorigin="12640,-643" coordsize="2,8484">
              <v:shape style="position:absolute;left:12640;top:-643;width:2;height:8484" coordorigin="12640,-643" coordsize="0,8484" path="m12640,-643l12640,7840e" filled="false" stroked="true" strokeweight=".47998pt" strokecolor="#000000">
                <v:path arrowok="t"/>
              </v:shape>
            </v:group>
            <v:group style="position:absolute;left:12645;top:7835;width:3819;height:2" coordorigin="12645,7835" coordsize="3819,2">
              <v:shape style="position:absolute;left:12645;top:7835;width:3819;height:2" coordorigin="12645,7835" coordsize="3819,0" path="m12645,7835l16464,7835e" filled="false" stroked="true" strokeweight=".47998pt" strokecolor="#000000">
                <v:path arrowok="t"/>
              </v:shape>
            </v:group>
            <v:group style="position:absolute;left:16469;top:-643;width:2;height:8484" coordorigin="16469,-643" coordsize="2,8484">
              <v:shape style="position:absolute;left:16469;top:-643;width:2;height:8484" coordorigin="16469,-643" coordsize="0,8484" path="m16469,-643l16469,7840e" filled="false" stroked="true" strokeweight=".47998pt" strokecolor="#000000">
                <v:path arrowok="t"/>
              </v:shape>
            </v:group>
            <w10:wrap type="none"/>
          </v:group>
        </w:pict>
      </w:r>
      <w:r>
        <w:rPr>
          <w:rFonts w:ascii="宋体" w:hAnsi="宋体" w:cs="宋体" w:eastAsia="宋体" w:hint="default"/>
          <w:sz w:val="18"/>
          <w:szCs w:val="18"/>
        </w:rPr>
        <w:t>产品</w:t>
        <w:tab/>
        <w:t>预计</w:t>
      </w:r>
    </w:p>
    <w:p>
      <w:pPr>
        <w:spacing w:line="156" w:lineRule="exact" w:before="0"/>
        <w:ind w:left="695" w:right="527" w:firstLine="0"/>
        <w:jc w:val="center"/>
        <w:rPr>
          <w:rFonts w:ascii="宋体" w:hAnsi="宋体" w:cs="宋体" w:eastAsia="宋体" w:hint="default"/>
          <w:sz w:val="18"/>
          <w:szCs w:val="18"/>
        </w:rPr>
      </w:pPr>
      <w:r>
        <w:rPr>
          <w:rFonts w:ascii="宋体" w:hAnsi="宋体" w:cs="宋体" w:eastAsia="宋体" w:hint="default"/>
          <w:sz w:val="18"/>
          <w:szCs w:val="18"/>
        </w:rPr>
        <w:t>表日的</w:t>
      </w:r>
    </w:p>
    <w:p>
      <w:pPr>
        <w:tabs>
          <w:tab w:pos="1443" w:val="left" w:leader="none"/>
        </w:tabs>
        <w:spacing w:line="156" w:lineRule="exact" w:before="0"/>
        <w:ind w:left="168" w:right="0" w:firstLine="0"/>
        <w:jc w:val="center"/>
        <w:rPr>
          <w:rFonts w:ascii="宋体" w:hAnsi="宋体" w:cs="宋体" w:eastAsia="宋体" w:hint="default"/>
          <w:sz w:val="18"/>
          <w:szCs w:val="18"/>
        </w:rPr>
      </w:pPr>
      <w:r>
        <w:rPr>
          <w:rFonts w:ascii="宋体" w:hAnsi="宋体" w:cs="宋体" w:eastAsia="宋体" w:hint="default"/>
          <w:sz w:val="18"/>
          <w:szCs w:val="18"/>
        </w:rPr>
        <w:t>类型</w:t>
        <w:tab/>
        <w:t>收益</w:t>
      </w:r>
    </w:p>
    <w:p>
      <w:pPr>
        <w:spacing w:line="196" w:lineRule="exact" w:before="0"/>
        <w:ind w:left="695" w:right="527" w:firstLine="0"/>
        <w:jc w:val="center"/>
        <w:rPr>
          <w:rFonts w:ascii="宋体" w:hAnsi="宋体" w:cs="宋体" w:eastAsia="宋体" w:hint="default"/>
          <w:sz w:val="18"/>
          <w:szCs w:val="18"/>
        </w:rPr>
      </w:pPr>
      <w:r>
        <w:rPr>
          <w:rFonts w:ascii="宋体" w:hAnsi="宋体" w:cs="宋体" w:eastAsia="宋体" w:hint="default"/>
          <w:sz w:val="18"/>
          <w:szCs w:val="18"/>
        </w:rPr>
        <w:t>进展情</w:t>
      </w:r>
    </w:p>
    <w:p>
      <w:pPr>
        <w:spacing w:before="76"/>
        <w:ind w:left="695" w:right="526" w:firstLine="0"/>
        <w:jc w:val="center"/>
        <w:rPr>
          <w:rFonts w:ascii="宋体" w:hAnsi="宋体" w:cs="宋体" w:eastAsia="宋体" w:hint="default"/>
          <w:sz w:val="18"/>
          <w:szCs w:val="18"/>
        </w:rPr>
      </w:pPr>
      <w:r>
        <w:rPr>
          <w:rFonts w:ascii="宋体" w:hAnsi="宋体" w:cs="宋体" w:eastAsia="宋体" w:hint="default"/>
          <w:sz w:val="18"/>
          <w:szCs w:val="18"/>
        </w:rPr>
        <w:t>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tabs>
          <w:tab w:pos="1222" w:val="left" w:leader="none"/>
        </w:tabs>
        <w:spacing w:line="316" w:lineRule="auto" w:before="0"/>
        <w:ind w:left="533" w:right="0" w:hanging="360"/>
        <w:jc w:val="left"/>
        <w:rPr>
          <w:rFonts w:ascii="宋体" w:hAnsi="宋体" w:cs="宋体" w:eastAsia="宋体" w:hint="default"/>
          <w:sz w:val="18"/>
          <w:szCs w:val="18"/>
        </w:rPr>
      </w:pPr>
      <w:r>
        <w:rPr>
          <w:rFonts w:ascii="宋体" w:hAnsi="宋体" w:cs="宋体" w:eastAsia="宋体" w:hint="default"/>
          <w:sz w:val="18"/>
          <w:szCs w:val="18"/>
        </w:rPr>
        <w:t>本期投资盈</w:t>
      </w:r>
      <w:r>
        <w:rPr>
          <w:rFonts w:ascii="宋体" w:hAnsi="宋体" w:cs="宋体" w:eastAsia="宋体" w:hint="default"/>
          <w:spacing w:val="58"/>
          <w:sz w:val="18"/>
          <w:szCs w:val="18"/>
        </w:rPr>
        <w:t> </w:t>
      </w:r>
      <w:r>
        <w:rPr>
          <w:rFonts w:ascii="宋体" w:hAnsi="宋体" w:cs="宋体" w:eastAsia="宋体" w:hint="default"/>
          <w:sz w:val="18"/>
          <w:szCs w:val="18"/>
        </w:rPr>
        <w:t>是否</w:t>
      </w:r>
      <w:r>
        <w:rPr>
          <w:rFonts w:ascii="宋体" w:hAnsi="宋体" w:cs="宋体" w:eastAsia="宋体" w:hint="default"/>
          <w:sz w:val="18"/>
          <w:szCs w:val="18"/>
        </w:rPr>
        <w:t> 亏</w:t>
        <w:tab/>
        <w:t>涉诉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127" w:right="-19" w:firstLine="0"/>
        <w:jc w:val="left"/>
        <w:rPr>
          <w:rFonts w:ascii="宋体" w:hAnsi="宋体" w:cs="宋体" w:eastAsia="宋体" w:hint="default"/>
          <w:sz w:val="18"/>
          <w:szCs w:val="18"/>
        </w:rPr>
      </w:pPr>
      <w:r>
        <w:rPr>
          <w:rFonts w:ascii="宋体" w:hAnsi="宋体" w:cs="宋体" w:eastAsia="宋体" w:hint="default"/>
          <w:sz w:val="18"/>
          <w:szCs w:val="18"/>
        </w:rPr>
        <w:t>披露日期</w:t>
      </w:r>
    </w:p>
    <w:p>
      <w:pPr>
        <w:spacing w:before="76"/>
        <w:ind w:left="127" w:right="-19" w:firstLine="0"/>
        <w:jc w:val="left"/>
        <w:rPr>
          <w:rFonts w:ascii="宋体" w:hAnsi="宋体" w:cs="宋体" w:eastAsia="宋体" w:hint="default"/>
          <w:sz w:val="18"/>
          <w:szCs w:val="18"/>
        </w:rPr>
      </w:pPr>
      <w:r>
        <w:rPr>
          <w:rFonts w:ascii="宋体" w:hAnsi="宋体" w:cs="宋体" w:eastAsia="宋体" w:hint="default"/>
          <w:sz w:val="18"/>
          <w:szCs w:val="18"/>
        </w:rPr>
        <w:t>（如有）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173" w:right="0" w:firstLine="0"/>
        <w:jc w:val="left"/>
        <w:rPr>
          <w:rFonts w:ascii="宋体" w:hAnsi="宋体" w:cs="宋体" w:eastAsia="宋体" w:hint="default"/>
          <w:sz w:val="18"/>
          <w:szCs w:val="18"/>
        </w:rPr>
      </w:pPr>
      <w:r>
        <w:rPr>
          <w:rFonts w:ascii="宋体" w:hAnsi="宋体" w:cs="宋体" w:eastAsia="宋体" w:hint="default"/>
          <w:sz w:val="18"/>
          <w:szCs w:val="18"/>
        </w:rPr>
        <w:t>披露索引（如有）</w:t>
      </w:r>
    </w:p>
    <w:p>
      <w:pPr>
        <w:spacing w:after="0"/>
        <w:jc w:val="left"/>
        <w:rPr>
          <w:rFonts w:ascii="宋体" w:hAnsi="宋体" w:cs="宋体" w:eastAsia="宋体" w:hint="default"/>
          <w:sz w:val="18"/>
          <w:szCs w:val="18"/>
        </w:rPr>
        <w:sectPr>
          <w:type w:val="continuous"/>
          <w:pgSz w:w="16840" w:h="11910" w:orient="landscape"/>
          <w:pgMar w:top="1580" w:bottom="280" w:left="340" w:right="200"/>
          <w:cols w:num="9" w:equalWidth="0">
            <w:col w:w="894" w:space="1091"/>
            <w:col w:w="894" w:space="1127"/>
            <w:col w:w="1564" w:space="69"/>
            <w:col w:w="959" w:space="40"/>
            <w:col w:w="1163" w:space="40"/>
            <w:col w:w="1804" w:space="49"/>
            <w:col w:w="1583" w:space="40"/>
            <w:col w:w="849" w:space="1156"/>
            <w:col w:w="297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580" w:bottom="280" w:left="340" w:right="20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spacing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上海久旭</w:t>
      </w:r>
    </w:p>
    <w:p>
      <w:pPr>
        <w:spacing w:line="316" w:lineRule="auto" w:before="44"/>
        <w:ind w:left="94"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从事环保、印务、计算机、网络信息、 通信、电子、生物、新媒体、生物、农 业科技专业领域内的技术开发、技术转 让、技术咨询、技术服务，计算机网络 工程、计算机系统集成、计算机软硬件</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line="316" w:lineRule="auto" w:before="0"/>
        <w:ind w:left="135" w:right="-12" w:firstLine="0"/>
        <w:jc w:val="left"/>
        <w:rPr>
          <w:rFonts w:ascii="宋体" w:hAnsi="宋体" w:cs="宋体" w:eastAsia="宋体" w:hint="default"/>
          <w:sz w:val="18"/>
          <w:szCs w:val="18"/>
        </w:rPr>
      </w:pPr>
      <w:r>
        <w:rPr>
          <w:rFonts w:ascii="宋体" w:hAnsi="宋体" w:cs="宋体" w:eastAsia="宋体" w:hint="default"/>
          <w:sz w:val="18"/>
          <w:szCs w:val="18"/>
        </w:rPr>
        <w:t>上海久 日投资 管理有</w:t>
      </w:r>
      <w:r>
        <w:rPr>
          <w:rFonts w:ascii="宋体" w:hAnsi="宋体" w:cs="宋体" w:eastAsia="宋体" w:hint="default"/>
          <w:spacing w:val="78"/>
          <w:sz w:val="18"/>
          <w:szCs w:val="18"/>
        </w:rPr>
        <w:t> </w:t>
      </w:r>
      <w:r>
        <w:rPr>
          <w:rFonts w:ascii="宋体" w:hAnsi="宋体" w:cs="宋体" w:eastAsia="宋体" w:hint="default"/>
          <w:sz w:val="18"/>
          <w:szCs w:val="18"/>
        </w:rPr>
        <w:t>与营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8"/>
        <w:ind w:left="135"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w:t>
      </w:r>
    </w:p>
    <w:p>
      <w:pPr>
        <w:spacing w:line="300" w:lineRule="atLeast" w:before="12"/>
        <w:ind w:left="135" w:right="102" w:firstLine="0"/>
        <w:jc w:val="left"/>
        <w:rPr>
          <w:rFonts w:ascii="宋体" w:hAnsi="宋体" w:cs="宋体" w:eastAsia="宋体" w:hint="default"/>
          <w:sz w:val="18"/>
          <w:szCs w:val="18"/>
        </w:rPr>
      </w:pPr>
      <w:r>
        <w:rPr>
          <w:rFonts w:ascii="宋体" w:hAnsi="宋体" w:cs="宋体" w:eastAsia="宋体" w:hint="default"/>
          <w:spacing w:val="-1"/>
          <w:sz w:val="18"/>
          <w:szCs w:val="18"/>
        </w:rPr>
        <w:t>（</w:t>
      </w: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）上的《关于与关联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方共同投资暨关联交易的公告》（公告编号</w:t>
      </w:r>
    </w:p>
    <w:p>
      <w:pPr>
        <w:spacing w:after="0" w:line="300" w:lineRule="atLeast"/>
        <w:jc w:val="left"/>
        <w:rPr>
          <w:rFonts w:ascii="宋体" w:hAnsi="宋体" w:cs="宋体" w:eastAsia="宋体" w:hint="default"/>
          <w:sz w:val="18"/>
          <w:szCs w:val="18"/>
        </w:rPr>
        <w:sectPr>
          <w:type w:val="continuous"/>
          <w:pgSz w:w="16840" w:h="11910" w:orient="landscape"/>
          <w:pgMar w:top="1580" w:bottom="280" w:left="340" w:right="200"/>
          <w:cols w:num="4" w:equalWidth="0">
            <w:col w:w="856" w:space="40"/>
            <w:col w:w="3155" w:space="2472"/>
            <w:col w:w="1204" w:space="4468"/>
            <w:col w:w="4105"/>
          </w:cols>
        </w:sectPr>
      </w:pPr>
    </w:p>
    <w:p>
      <w:pPr>
        <w:spacing w:line="156" w:lineRule="exact"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环保科技</w:t>
      </w:r>
    </w:p>
    <w:p>
      <w:pPr>
        <w:spacing w:line="156" w:lineRule="exact" w:before="0"/>
        <w:ind w:left="94"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开发与销售，计算机及辅助设备、电子</w:t>
      </w:r>
    </w:p>
    <w:p>
      <w:pPr>
        <w:tabs>
          <w:tab w:pos="625" w:val="left" w:leader="none"/>
        </w:tabs>
        <w:spacing w:line="212" w:lineRule="exact" w:before="76"/>
        <w:ind w:left="15" w:right="-8"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新设</w:t>
        <w:tab/>
      </w:r>
      <w:r>
        <w:rPr>
          <w:rFonts w:ascii="Times New Roman" w:hAnsi="Times New Roman" w:cs="Times New Roman" w:eastAsia="Times New Roman" w:hint="default"/>
          <w:spacing w:val="-1"/>
          <w:sz w:val="18"/>
          <w:szCs w:val="18"/>
        </w:rPr>
        <w:t>25,000,000.00</w:t>
      </w:r>
    </w:p>
    <w:p>
      <w:pPr>
        <w:spacing w:line="170" w:lineRule="exact" w:before="0"/>
        <w:ind w:left="73" w:right="-1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5.00 </w:t>
      </w:r>
      <w:r>
        <w:rPr>
          <w:rFonts w:ascii="宋体" w:hAnsi="宋体" w:cs="宋体" w:eastAsia="宋体" w:hint="default"/>
          <w:sz w:val="18"/>
          <w:szCs w:val="18"/>
        </w:rPr>
        <w:t>自有</w:t>
      </w:r>
      <w:r>
        <w:rPr>
          <w:rFonts w:ascii="宋体" w:hAnsi="宋体" w:cs="宋体" w:eastAsia="宋体" w:hint="default"/>
          <w:spacing w:val="-30"/>
          <w:sz w:val="18"/>
          <w:szCs w:val="18"/>
        </w:rPr>
        <w:t> </w:t>
      </w:r>
      <w:r>
        <w:rPr>
          <w:rFonts w:ascii="宋体" w:hAnsi="宋体" w:cs="宋体" w:eastAsia="宋体" w:hint="default"/>
          <w:sz w:val="18"/>
          <w:szCs w:val="18"/>
        </w:rPr>
        <w:t>限公司、业执</w:t>
      </w:r>
    </w:p>
    <w:p>
      <w:pPr>
        <w:tabs>
          <w:tab w:pos="701" w:val="left" w:leader="none"/>
          <w:tab w:pos="1561" w:val="left" w:leader="none"/>
        </w:tabs>
        <w:spacing w:line="156" w:lineRule="exact" w:before="0"/>
        <w:ind w:left="13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不适</w:t>
        <w:tab/>
        <w:t>已完成</w:t>
        <w:tab/>
        <w:t>不适</w:t>
      </w:r>
    </w:p>
    <w:p>
      <w:pPr>
        <w:spacing w:line="212" w:lineRule="exact" w:before="76"/>
        <w:ind w:left="135" w:right="-1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347.30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否</w:t>
      </w:r>
    </w:p>
    <w:p>
      <w:pPr>
        <w:spacing w:line="170" w:lineRule="exact" w:before="0"/>
        <w:ind w:left="135" w:right="-19"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spacing w:line="212" w:lineRule="exact" w:before="76"/>
        <w:ind w:left="135" w:right="102"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2017-031</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日在巨潮资讯网</w:t>
      </w:r>
    </w:p>
    <w:p>
      <w:pPr>
        <w:spacing w:after="0" w:line="212" w:lineRule="exact"/>
        <w:jc w:val="left"/>
        <w:rPr>
          <w:rFonts w:ascii="宋体" w:hAnsi="宋体" w:cs="宋体" w:eastAsia="宋体" w:hint="default"/>
          <w:sz w:val="18"/>
          <w:szCs w:val="18"/>
        </w:rPr>
        <w:sectPr>
          <w:type w:val="continuous"/>
          <w:pgSz w:w="16840" w:h="11910" w:orient="landscape"/>
          <w:pgMar w:top="1580" w:bottom="280" w:left="340" w:right="200"/>
          <w:cols w:num="8" w:equalWidth="0">
            <w:col w:w="856" w:space="40"/>
            <w:col w:w="3155" w:space="40"/>
            <w:col w:w="1660" w:space="40"/>
            <w:col w:w="1936" w:space="73"/>
            <w:col w:w="1922" w:space="505"/>
            <w:col w:w="865" w:space="109"/>
            <w:col w:w="949" w:space="45"/>
            <w:col w:w="4105"/>
          </w:cols>
        </w:sectPr>
      </w:pPr>
    </w:p>
    <w:p>
      <w:pPr>
        <w:spacing w:line="180" w:lineRule="exact"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股份有限</w:t>
      </w:r>
    </w:p>
    <w:p>
      <w:pPr>
        <w:spacing w:before="76"/>
        <w:ind w:left="135" w:right="-2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180" w:lineRule="exact" w:before="0"/>
        <w:ind w:left="94" w:right="-1" w:firstLine="0"/>
        <w:jc w:val="left"/>
        <w:rPr>
          <w:rFonts w:ascii="宋体" w:hAnsi="宋体" w:cs="宋体" w:eastAsia="宋体" w:hint="default"/>
          <w:sz w:val="18"/>
          <w:szCs w:val="18"/>
        </w:rPr>
      </w:pPr>
      <w:r>
        <w:rPr>
          <w:spacing w:val="-6"/>
        </w:rPr>
        <w:br w:type="column"/>
      </w:r>
      <w:r>
        <w:rPr>
          <w:rFonts w:ascii="宋体" w:hAnsi="宋体" w:cs="宋体" w:eastAsia="宋体" w:hint="default"/>
          <w:spacing w:val="-6"/>
          <w:sz w:val="18"/>
          <w:szCs w:val="18"/>
        </w:rPr>
        <w:t>产品、电线电缆、橡塑制品、金属材料、</w:t>
      </w:r>
    </w:p>
    <w:p>
      <w:pPr>
        <w:spacing w:line="319" w:lineRule="auto" w:before="76"/>
        <w:ind w:left="94" w:right="-19" w:firstLine="0"/>
        <w:jc w:val="left"/>
        <w:rPr>
          <w:rFonts w:ascii="宋体" w:hAnsi="宋体" w:cs="宋体" w:eastAsia="宋体" w:hint="default"/>
          <w:sz w:val="18"/>
          <w:szCs w:val="18"/>
        </w:rPr>
      </w:pPr>
      <w:r>
        <w:rPr>
          <w:rFonts w:ascii="宋体" w:hAnsi="宋体" w:cs="宋体" w:eastAsia="宋体" w:hint="default"/>
          <w:spacing w:val="-5"/>
          <w:sz w:val="18"/>
          <w:szCs w:val="18"/>
        </w:rPr>
        <w:t>矿产品的销售，智能化设备、通信设备、</w:t>
      </w:r>
      <w:r>
        <w:rPr>
          <w:rFonts w:ascii="宋体" w:hAnsi="宋体" w:cs="宋体" w:eastAsia="宋体" w:hint="default"/>
          <w:sz w:val="18"/>
          <w:szCs w:val="18"/>
        </w:rPr>
        <w:t> 电子设备、机电设备的安装、销售，商 </w:t>
      </w:r>
      <w:r>
        <w:rPr>
          <w:rFonts w:ascii="宋体" w:hAnsi="宋体" w:cs="宋体" w:eastAsia="宋体" w:hint="default"/>
          <w:spacing w:val="-5"/>
          <w:sz w:val="18"/>
          <w:szCs w:val="18"/>
        </w:rPr>
        <w:t>务咨询，从事货物及技术的进出口业务。</w:t>
      </w:r>
    </w:p>
    <w:p>
      <w:pPr>
        <w:spacing w:line="316" w:lineRule="auto" w:before="17"/>
        <w:ind w:left="94" w:right="71" w:firstLine="0"/>
        <w:jc w:val="left"/>
        <w:rPr>
          <w:rFonts w:ascii="宋体" w:hAnsi="宋体" w:cs="宋体" w:eastAsia="宋体" w:hint="default"/>
          <w:sz w:val="18"/>
          <w:szCs w:val="18"/>
        </w:rPr>
      </w:pPr>
      <w:r>
        <w:rPr>
          <w:rFonts w:ascii="宋体" w:hAnsi="宋体" w:cs="宋体" w:eastAsia="宋体" w:hint="default"/>
          <w:sz w:val="18"/>
          <w:szCs w:val="18"/>
        </w:rPr>
        <w:t>【依法须经批准的项目，经相关部门批 准后方可开展经营活动】</w:t>
      </w:r>
    </w:p>
    <w:p>
      <w:pPr>
        <w:tabs>
          <w:tab w:pos="2040" w:val="left" w:leader="none"/>
          <w:tab w:pos="2607" w:val="left" w:leader="none"/>
          <w:tab w:pos="3646" w:val="left" w:leader="none"/>
        </w:tabs>
        <w:spacing w:line="194" w:lineRule="exact" w:before="0"/>
        <w:ind w:left="135" w:right="-2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 </w:t>
      </w:r>
      <w:r>
        <w:rPr>
          <w:rFonts w:ascii="宋体" w:hAnsi="宋体" w:cs="宋体" w:eastAsia="宋体" w:hint="default"/>
          <w:sz w:val="18"/>
          <w:szCs w:val="18"/>
        </w:rPr>
        <w:t>资金 上海贵</w:t>
      </w:r>
      <w:r>
        <w:rPr>
          <w:rFonts w:ascii="宋体" w:hAnsi="宋体" w:cs="宋体" w:eastAsia="宋体" w:hint="default"/>
          <w:spacing w:val="60"/>
          <w:sz w:val="18"/>
          <w:szCs w:val="18"/>
        </w:rPr>
        <w:t> </w:t>
      </w:r>
      <w:r>
        <w:rPr>
          <w:rFonts w:ascii="宋体" w:hAnsi="宋体" w:cs="宋体" w:eastAsia="宋体" w:hint="default"/>
          <w:sz w:val="18"/>
          <w:szCs w:val="18"/>
        </w:rPr>
        <w:t>照一</w:t>
        <w:tab/>
        <w:t>用</w:t>
        <w:tab/>
        <w:t>出资</w:t>
        <w:tab/>
        <w:t>用</w:t>
      </w:r>
    </w:p>
    <w:p>
      <w:pPr>
        <w:spacing w:line="316" w:lineRule="auto" w:before="63"/>
        <w:ind w:left="763" w:right="2155" w:firstLine="0"/>
        <w:jc w:val="left"/>
        <w:rPr>
          <w:rFonts w:ascii="宋体" w:hAnsi="宋体" w:cs="宋体" w:eastAsia="宋体" w:hint="default"/>
          <w:sz w:val="18"/>
          <w:szCs w:val="18"/>
        </w:rPr>
      </w:pPr>
      <w:r>
        <w:rPr>
          <w:rFonts w:ascii="宋体" w:hAnsi="宋体" w:cs="宋体" w:eastAsia="宋体" w:hint="default"/>
          <w:sz w:val="18"/>
          <w:szCs w:val="18"/>
        </w:rPr>
        <w:t>灵实业</w:t>
      </w:r>
      <w:r>
        <w:rPr>
          <w:rFonts w:ascii="宋体" w:hAnsi="宋体" w:cs="宋体" w:eastAsia="宋体" w:hint="default"/>
          <w:spacing w:val="78"/>
          <w:sz w:val="18"/>
          <w:szCs w:val="18"/>
        </w:rPr>
        <w:t> </w:t>
      </w:r>
      <w:r>
        <w:rPr>
          <w:rFonts w:ascii="宋体" w:hAnsi="宋体" w:cs="宋体" w:eastAsia="宋体" w:hint="default"/>
          <w:sz w:val="18"/>
          <w:szCs w:val="18"/>
        </w:rPr>
        <w:t>致</w:t>
      </w:r>
      <w:r>
        <w:rPr>
          <w:rFonts w:ascii="宋体" w:hAnsi="宋体" w:cs="宋体" w:eastAsia="宋体" w:hint="default"/>
          <w:sz w:val="18"/>
          <w:szCs w:val="18"/>
        </w:rPr>
        <w:t> 有限公</w:t>
      </w:r>
    </w:p>
    <w:p>
      <w:pPr>
        <w:spacing w:before="19"/>
        <w:ind w:left="763" w:right="-20" w:firstLine="0"/>
        <w:jc w:val="left"/>
        <w:rPr>
          <w:rFonts w:ascii="宋体" w:hAnsi="宋体" w:cs="宋体" w:eastAsia="宋体" w:hint="default"/>
          <w:sz w:val="18"/>
          <w:szCs w:val="18"/>
        </w:rPr>
      </w:pPr>
      <w:r>
        <w:rPr>
          <w:rFonts w:ascii="宋体" w:hAnsi="宋体" w:cs="宋体" w:eastAsia="宋体" w:hint="default"/>
          <w:sz w:val="18"/>
          <w:szCs w:val="18"/>
        </w:rPr>
        <w:t>司</w:t>
      </w:r>
    </w:p>
    <w:p>
      <w:pPr>
        <w:spacing w:line="194" w:lineRule="exact" w:before="0"/>
        <w:ind w:left="135" w:right="-18"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09" w:lineRule="auto" w:before="100"/>
        <w:ind w:left="135" w:right="278" w:firstLine="0"/>
        <w:jc w:val="both"/>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w:t>
      </w:r>
      <w:hyperlink r:id="rId10">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）上的《关于与关联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方共同投资设立公司完成工商登记的公告》（公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告编号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2017-032</w:t>
      </w:r>
      <w:r>
        <w:rPr>
          <w:rFonts w:ascii="宋体" w:hAnsi="宋体" w:cs="宋体" w:eastAsia="宋体" w:hint="default"/>
          <w:sz w:val="18"/>
          <w:szCs w:val="18"/>
        </w:rPr>
        <w:t>）</w:t>
      </w:r>
    </w:p>
    <w:p>
      <w:pPr>
        <w:spacing w:after="0" w:line="309" w:lineRule="auto"/>
        <w:jc w:val="both"/>
        <w:rPr>
          <w:rFonts w:ascii="宋体" w:hAnsi="宋体" w:cs="宋体" w:eastAsia="宋体" w:hint="default"/>
          <w:sz w:val="18"/>
          <w:szCs w:val="18"/>
        </w:rPr>
        <w:sectPr>
          <w:type w:val="continuous"/>
          <w:pgSz w:w="16840" w:h="11910" w:orient="landscape"/>
          <w:pgMar w:top="1580" w:bottom="280" w:left="340" w:right="200"/>
          <w:cols w:num="5" w:equalWidth="0">
            <w:col w:w="856" w:space="40"/>
            <w:col w:w="3246" w:space="1752"/>
            <w:col w:w="3827" w:space="1479"/>
            <w:col w:w="769" w:space="225"/>
            <w:col w:w="4106"/>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spacing w:line="319" w:lineRule="auto" w:before="0"/>
        <w:ind w:left="135" w:right="0" w:firstLine="0"/>
        <w:jc w:val="both"/>
        <w:rPr>
          <w:rFonts w:ascii="宋体" w:hAnsi="宋体" w:cs="宋体" w:eastAsia="宋体" w:hint="default"/>
          <w:sz w:val="18"/>
          <w:szCs w:val="18"/>
        </w:rPr>
      </w:pPr>
      <w:r>
        <w:rPr>
          <w:rFonts w:ascii="宋体" w:hAnsi="宋体" w:cs="宋体" w:eastAsia="宋体" w:hint="default"/>
          <w:sz w:val="18"/>
          <w:szCs w:val="18"/>
        </w:rPr>
        <w:t>陕西永鑫 纸业包装 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tabs>
          <w:tab w:pos="3908" w:val="left" w:leader="none"/>
        </w:tabs>
        <w:spacing w:line="314" w:lineRule="auto" w:before="0"/>
        <w:ind w:left="94" w:right="0" w:firstLine="0"/>
        <w:jc w:val="left"/>
        <w:rPr>
          <w:rFonts w:ascii="宋体" w:hAnsi="宋体" w:cs="宋体" w:eastAsia="宋体" w:hint="default"/>
          <w:sz w:val="18"/>
          <w:szCs w:val="18"/>
        </w:rPr>
      </w:pPr>
      <w:r>
        <w:rPr>
          <w:rFonts w:ascii="宋体" w:hAnsi="宋体" w:cs="宋体" w:eastAsia="宋体" w:hint="default"/>
          <w:sz w:val="18"/>
          <w:szCs w:val="18"/>
        </w:rPr>
        <w:t>包装装潢设计、生产和加工各类包装材 料、包装制品，彩色印刷，高档纸板生 产，销售塑料零件和其它塑料制品，销</w:t>
      </w:r>
      <w:r>
        <w:rPr>
          <w:rFonts w:ascii="宋体" w:hAnsi="宋体" w:cs="宋体" w:eastAsia="宋体" w:hint="default"/>
          <w:spacing w:val="-35"/>
          <w:sz w:val="18"/>
          <w:szCs w:val="18"/>
        </w:rPr>
        <w:t> </w:t>
      </w:r>
      <w:r>
        <w:rPr>
          <w:rFonts w:ascii="宋体" w:hAnsi="宋体" w:cs="宋体" w:eastAsia="宋体" w:hint="default"/>
          <w:sz w:val="18"/>
          <w:szCs w:val="18"/>
        </w:rPr>
        <w:t>增资</w:t>
        <w:tab/>
      </w:r>
      <w:r>
        <w:rPr>
          <w:rFonts w:ascii="Times New Roman" w:hAnsi="Times New Roman" w:cs="Times New Roman" w:eastAsia="Times New Roman" w:hint="default"/>
          <w:sz w:val="18"/>
          <w:szCs w:val="18"/>
        </w:rPr>
        <w:t>8,080,000.00 </w:t>
      </w:r>
      <w:r>
        <w:rPr>
          <w:rFonts w:ascii="宋体" w:hAnsi="宋体" w:cs="宋体" w:eastAsia="宋体" w:hint="default"/>
          <w:spacing w:val="-11"/>
          <w:sz w:val="18"/>
          <w:szCs w:val="18"/>
        </w:rPr>
        <w:t>售自产产品。（依法须经批准的项目，经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相关部门批准后方可开展经营活动）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7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自有</w:t>
      </w:r>
    </w:p>
    <w:p>
      <w:pPr>
        <w:spacing w:before="63"/>
        <w:ind w:left="147"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6"/>
          <w:szCs w:val="26"/>
        </w:rPr>
      </w:pPr>
    </w:p>
    <w:p>
      <w:pPr>
        <w:spacing w:line="196" w:lineRule="exact" w:before="0"/>
        <w:ind w:left="24" w:right="0" w:firstLine="0"/>
        <w:jc w:val="left"/>
        <w:rPr>
          <w:rFonts w:ascii="宋体" w:hAnsi="宋体" w:cs="宋体" w:eastAsia="宋体" w:hint="default"/>
          <w:sz w:val="18"/>
          <w:szCs w:val="18"/>
        </w:rPr>
      </w:pPr>
      <w:r>
        <w:rPr>
          <w:rFonts w:ascii="宋体" w:hAnsi="宋体" w:cs="宋体" w:eastAsia="宋体" w:hint="default"/>
          <w:sz w:val="18"/>
          <w:szCs w:val="18"/>
        </w:rPr>
        <w:t>厦门吉</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与营</w:t>
      </w:r>
    </w:p>
    <w:p>
      <w:pPr>
        <w:spacing w:line="156" w:lineRule="exact" w:before="0"/>
        <w:ind w:left="24" w:right="0" w:firstLine="0"/>
        <w:jc w:val="left"/>
        <w:rPr>
          <w:rFonts w:ascii="宋体" w:hAnsi="宋体" w:cs="宋体" w:eastAsia="宋体" w:hint="default"/>
          <w:sz w:val="18"/>
          <w:szCs w:val="18"/>
        </w:rPr>
      </w:pPr>
      <w:r>
        <w:rPr>
          <w:rFonts w:ascii="宋体" w:hAnsi="宋体" w:cs="宋体" w:eastAsia="宋体" w:hint="default"/>
          <w:sz w:val="18"/>
          <w:szCs w:val="18"/>
        </w:rPr>
        <w:t>宏包装</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业执</w:t>
      </w:r>
    </w:p>
    <w:p>
      <w:pPr>
        <w:spacing w:line="156" w:lineRule="exact" w:before="0"/>
        <w:ind w:left="24" w:right="0" w:firstLine="0"/>
        <w:jc w:val="left"/>
        <w:rPr>
          <w:rFonts w:ascii="宋体" w:hAnsi="宋体" w:cs="宋体" w:eastAsia="宋体" w:hint="default"/>
          <w:sz w:val="18"/>
          <w:szCs w:val="18"/>
        </w:rPr>
      </w:pPr>
      <w:r>
        <w:rPr>
          <w:rFonts w:ascii="宋体" w:hAnsi="宋体" w:cs="宋体" w:eastAsia="宋体" w:hint="default"/>
          <w:sz w:val="18"/>
          <w:szCs w:val="18"/>
        </w:rPr>
        <w:t>科技股</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照一</w:t>
      </w:r>
    </w:p>
    <w:p>
      <w:pPr>
        <w:spacing w:line="156" w:lineRule="exact" w:before="0"/>
        <w:ind w:left="24" w:right="0" w:firstLine="0"/>
        <w:jc w:val="left"/>
        <w:rPr>
          <w:rFonts w:ascii="宋体" w:hAnsi="宋体" w:cs="宋体" w:eastAsia="宋体" w:hint="default"/>
          <w:sz w:val="18"/>
          <w:szCs w:val="18"/>
        </w:rPr>
      </w:pPr>
      <w:r>
        <w:rPr>
          <w:rFonts w:ascii="宋体" w:hAnsi="宋体" w:cs="宋体" w:eastAsia="宋体" w:hint="default"/>
          <w:sz w:val="18"/>
          <w:szCs w:val="18"/>
        </w:rPr>
        <w:t>份有限</w:t>
      </w:r>
    </w:p>
    <w:p>
      <w:pPr>
        <w:spacing w:line="156" w:lineRule="exact" w:before="0"/>
        <w:ind w:left="0" w:right="178" w:firstLine="0"/>
        <w:jc w:val="right"/>
        <w:rPr>
          <w:rFonts w:ascii="宋体" w:hAnsi="宋体" w:cs="宋体" w:eastAsia="宋体" w:hint="default"/>
          <w:sz w:val="18"/>
          <w:szCs w:val="18"/>
        </w:rPr>
      </w:pPr>
      <w:r>
        <w:rPr>
          <w:rFonts w:ascii="宋体" w:hAnsi="宋体" w:cs="宋体" w:eastAsia="宋体" w:hint="default"/>
          <w:sz w:val="18"/>
          <w:szCs w:val="18"/>
        </w:rPr>
        <w:t>致</w:t>
      </w:r>
    </w:p>
    <w:p>
      <w:pPr>
        <w:spacing w:line="196" w:lineRule="exact" w:before="0"/>
        <w:ind w:left="24" w:right="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tabs>
          <w:tab w:pos="701" w:val="left" w:leader="none"/>
        </w:tabs>
        <w:spacing w:line="319" w:lineRule="auto" w:before="0"/>
        <w:ind w:left="135" w:right="0" w:firstLine="0"/>
        <w:jc w:val="left"/>
        <w:rPr>
          <w:rFonts w:ascii="宋体" w:hAnsi="宋体" w:cs="宋体" w:eastAsia="宋体" w:hint="default"/>
          <w:sz w:val="18"/>
          <w:szCs w:val="18"/>
        </w:rPr>
      </w:pPr>
      <w:r>
        <w:rPr>
          <w:rFonts w:ascii="宋体" w:hAnsi="宋体" w:cs="宋体" w:eastAsia="宋体" w:hint="default"/>
          <w:sz w:val="18"/>
          <w:szCs w:val="18"/>
        </w:rPr>
        <w:t>不适</w:t>
        <w:tab/>
        <w:t>已完成 用</w:t>
        <w:tab/>
        <w:t>出资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line="196" w:lineRule="exact" w:before="0"/>
        <w:ind w:left="116" w:right="1349" w:firstLine="0"/>
        <w:jc w:val="center"/>
        <w:rPr>
          <w:rFonts w:ascii="宋体" w:hAnsi="宋体" w:cs="宋体" w:eastAsia="宋体" w:hint="default"/>
          <w:sz w:val="18"/>
          <w:szCs w:val="18"/>
        </w:rPr>
      </w:pPr>
      <w:r>
        <w:rPr>
          <w:rFonts w:ascii="宋体" w:hAnsi="宋体" w:cs="宋体" w:eastAsia="宋体" w:hint="default"/>
          <w:sz w:val="18"/>
          <w:szCs w:val="18"/>
        </w:rPr>
        <w:t>不适</w:t>
      </w:r>
    </w:p>
    <w:p>
      <w:pPr>
        <w:spacing w:line="163" w:lineRule="exact" w:before="0"/>
        <w:ind w:left="624" w:right="-1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-1,515,342.36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否</w:t>
      </w:r>
    </w:p>
    <w:p>
      <w:pPr>
        <w:spacing w:line="189" w:lineRule="exact" w:before="0"/>
        <w:ind w:left="116" w:right="1169" w:firstLine="0"/>
        <w:jc w:val="center"/>
        <w:rPr>
          <w:rFonts w:ascii="宋体" w:hAnsi="宋体" w:cs="宋体" w:eastAsia="宋体" w:hint="default"/>
          <w:sz w:val="18"/>
          <w:szCs w:val="18"/>
        </w:rPr>
      </w:pPr>
      <w:r>
        <w:rPr>
          <w:rFonts w:ascii="宋体" w:hAnsi="宋体" w:cs="宋体" w:eastAsia="宋体" w:hint="default"/>
          <w:sz w:val="18"/>
          <w:szCs w:val="18"/>
        </w:rPr>
        <w:t>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135"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spacing w:before="63"/>
        <w:ind w:left="135" w:right="-19"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before="110"/>
        <w:ind w:left="135" w:right="102"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w:t>
      </w:r>
    </w:p>
    <w:p>
      <w:pPr>
        <w:spacing w:line="302" w:lineRule="auto" w:before="63"/>
        <w:ind w:left="135" w:right="102" w:firstLine="0"/>
        <w:jc w:val="left"/>
        <w:rPr>
          <w:rFonts w:ascii="宋体" w:hAnsi="宋体" w:cs="宋体" w:eastAsia="宋体" w:hint="default"/>
          <w:sz w:val="18"/>
          <w:szCs w:val="18"/>
        </w:rPr>
      </w:pPr>
      <w:r>
        <w:rPr>
          <w:rFonts w:ascii="宋体" w:hAnsi="宋体" w:cs="宋体" w:eastAsia="宋体" w:hint="default"/>
          <w:sz w:val="18"/>
          <w:szCs w:val="18"/>
        </w:rPr>
        <w:t>（</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）上发布的《关于子公司增 </w:t>
      </w:r>
      <w:r>
        <w:rPr>
          <w:rFonts w:ascii="宋体" w:hAnsi="宋体" w:cs="宋体" w:eastAsia="宋体" w:hint="default"/>
          <w:spacing w:val="-8"/>
          <w:sz w:val="18"/>
          <w:szCs w:val="18"/>
        </w:rPr>
        <w:t>资扩股的公告》（公告编号：</w:t>
      </w:r>
      <w:r>
        <w:rPr>
          <w:rFonts w:ascii="Times New Roman" w:hAnsi="Times New Roman" w:cs="Times New Roman" w:eastAsia="Times New Roman" w:hint="default"/>
          <w:spacing w:val="-8"/>
          <w:sz w:val="18"/>
          <w:szCs w:val="18"/>
        </w:rPr>
        <w:t>2017-041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84"/>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 </w:t>
      </w:r>
      <w:r>
        <w:rPr>
          <w:rFonts w:ascii="宋体" w:hAnsi="宋体" w:cs="宋体" w:eastAsia="宋体" w:hint="default"/>
          <w:spacing w:val="-9"/>
          <w:sz w:val="18"/>
          <w:szCs w:val="18"/>
        </w:rPr>
        <w:t>上发布的《关于子公司增资扩股的进展公告》（公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告编号：</w:t>
      </w:r>
      <w:r>
        <w:rPr>
          <w:rFonts w:ascii="Times New Roman" w:hAnsi="Times New Roman" w:cs="Times New Roman" w:eastAsia="Times New Roman" w:hint="default"/>
          <w:spacing w:val="-7"/>
          <w:sz w:val="18"/>
          <w:szCs w:val="18"/>
        </w:rPr>
        <w:t>2017-049</w:t>
      </w:r>
      <w:r>
        <w:rPr>
          <w:rFonts w:ascii="宋体" w:hAnsi="宋体" w:cs="宋体" w:eastAsia="宋体" w:hint="default"/>
          <w:spacing w:val="-7"/>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w:t>
      </w:r>
      <w:r>
        <w:rPr>
          <w:rFonts w:ascii="宋体" w:hAnsi="宋体" w:cs="宋体" w:eastAsia="宋体" w:hint="default"/>
          <w:spacing w:val="-88"/>
          <w:sz w:val="18"/>
          <w:szCs w:val="18"/>
        </w:rPr>
        <w:t> </w:t>
      </w:r>
      <w:r>
        <w:rPr>
          <w:rFonts w:ascii="宋体" w:hAnsi="宋体" w:cs="宋体" w:eastAsia="宋体" w:hint="default"/>
          <w:sz w:val="18"/>
          <w:szCs w:val="18"/>
        </w:rPr>
        <w:t>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）上发布的《关于子 </w:t>
      </w:r>
      <w:r>
        <w:rPr>
          <w:rFonts w:ascii="宋体" w:hAnsi="宋体" w:cs="宋体" w:eastAsia="宋体" w:hint="default"/>
          <w:spacing w:val="-7"/>
          <w:sz w:val="18"/>
          <w:szCs w:val="18"/>
        </w:rPr>
        <w:t>公司增资扩股的进展公告》（公告编号</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2018-002</w:t>
      </w:r>
      <w:r>
        <w:rPr>
          <w:rFonts w:ascii="宋体" w:hAnsi="宋体" w:cs="宋体" w:eastAsia="宋体" w:hint="default"/>
          <w:spacing w:val="-1"/>
          <w:sz w:val="18"/>
          <w:szCs w:val="18"/>
        </w:rPr>
        <w:t>）</w:t>
      </w:r>
    </w:p>
    <w:p>
      <w:pPr>
        <w:spacing w:after="0" w:line="302" w:lineRule="auto"/>
        <w:jc w:val="left"/>
        <w:rPr>
          <w:rFonts w:ascii="宋体" w:hAnsi="宋体" w:cs="宋体" w:eastAsia="宋体" w:hint="default"/>
          <w:sz w:val="18"/>
          <w:szCs w:val="18"/>
        </w:rPr>
        <w:sectPr>
          <w:type w:val="continuous"/>
          <w:pgSz w:w="16840" w:h="11910" w:orient="landscape"/>
          <w:pgMar w:top="1580" w:bottom="280" w:left="340" w:right="200"/>
          <w:cols w:num="8" w:equalWidth="0">
            <w:col w:w="856" w:space="40"/>
            <w:col w:w="4855" w:space="40"/>
            <w:col w:w="803" w:space="40"/>
            <w:col w:w="1093" w:space="73"/>
            <w:col w:w="1242" w:space="184"/>
            <w:col w:w="1866" w:space="109"/>
            <w:col w:w="949" w:space="45"/>
            <w:col w:w="4105"/>
          </w:cols>
        </w:sectPr>
      </w:pPr>
    </w:p>
    <w:p>
      <w:pPr>
        <w:tabs>
          <w:tab w:pos="2458" w:val="left" w:leader="none"/>
          <w:tab w:pos="4299" w:val="left" w:leader="none"/>
          <w:tab w:pos="4714" w:val="left" w:leader="none"/>
          <w:tab w:pos="6356" w:val="left" w:leader="none"/>
          <w:tab w:pos="6923" w:val="left" w:leader="none"/>
          <w:tab w:pos="7559" w:val="left" w:leader="none"/>
          <w:tab w:pos="8128" w:val="left" w:leader="none"/>
          <w:tab w:pos="8766" w:val="left" w:leader="none"/>
          <w:tab w:pos="9849" w:val="left" w:leader="none"/>
          <w:tab w:pos="11742" w:val="left" w:leader="none"/>
          <w:tab w:pos="14153" w:val="left" w:leader="none"/>
        </w:tabs>
        <w:spacing w:before="99"/>
        <w:ind w:left="13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w:t>
        <w:tab/>
        <w:t>--</w:t>
        <w:tab/>
        <w:t>33,080,000.00  </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w:t>
        <w:tab/>
        <w:t>--</w:t>
        <w:tab/>
        <w:t>--</w:t>
        <w:tab/>
        <w:t>--</w:t>
        <w:tab/>
        <w:t>--</w:t>
        <w:tab/>
        <w:t>--</w:t>
        <w:tab/>
        <w:t>-1,514,995.06  </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w:t>
        <w:tab/>
        <w:t>--</w:t>
        <w:tab/>
        <w:t>--</w:t>
      </w:r>
    </w:p>
    <w:p>
      <w:pPr>
        <w:spacing w:line="240" w:lineRule="auto" w:before="9"/>
        <w:rPr>
          <w:rFonts w:ascii="Times New Roman" w:hAnsi="Times New Roman" w:cs="Times New Roman" w:eastAsia="Times New Roman" w:hint="default"/>
          <w:sz w:val="29"/>
          <w:szCs w:val="29"/>
        </w:rPr>
      </w:pPr>
    </w:p>
    <w:p>
      <w:pPr>
        <w:spacing w:before="76"/>
        <w:ind w:left="0" w:right="1233" w:firstLine="0"/>
        <w:jc w:val="right"/>
        <w:rPr>
          <w:rFonts w:ascii="Times New Roman" w:hAnsi="Times New Roman" w:cs="Times New Roman" w:eastAsia="Times New Roman" w:hint="default"/>
          <w:sz w:val="18"/>
          <w:szCs w:val="18"/>
        </w:rPr>
      </w:pPr>
      <w:r>
        <w:rPr>
          <w:rFonts w:ascii="Times New Roman"/>
          <w:sz w:val="18"/>
        </w:rPr>
        <w:t>25</w:t>
      </w:r>
    </w:p>
    <w:p>
      <w:pPr>
        <w:spacing w:after="0"/>
        <w:jc w:val="right"/>
        <w:rPr>
          <w:rFonts w:ascii="Times New Roman" w:hAnsi="Times New Roman" w:cs="Times New Roman" w:eastAsia="Times New Roman" w:hint="default"/>
          <w:sz w:val="18"/>
          <w:szCs w:val="18"/>
        </w:rPr>
        <w:sectPr>
          <w:type w:val="continuous"/>
          <w:pgSz w:w="16840" w:h="11910" w:orient="landscape"/>
          <w:pgMar w:top="1580" w:bottom="280" w:left="340" w:right="20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、报告期内正在进行的重大的非股权投资情况</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58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2,181.88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12,928.91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3,951.09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公司尚未 使用的募 集资金存 放于募集 资金专户 和用于暂 时性补充 流动资金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2,181.88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12,928.91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w w:val="95"/>
                <w:sz w:val="18"/>
              </w:rPr>
              <w:t>3,951.09</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521"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firstLine="360"/>
              <w:jc w:val="left"/>
              <w:rPr>
                <w:rFonts w:ascii="宋体" w:hAnsi="宋体" w:cs="宋体" w:eastAsia="宋体" w:hint="default"/>
                <w:sz w:val="18"/>
                <w:szCs w:val="18"/>
              </w:rPr>
            </w:pPr>
            <w:r>
              <w:rPr>
                <w:rFonts w:ascii="宋体" w:hAnsi="宋体" w:cs="宋体" w:eastAsia="宋体" w:hint="default"/>
                <w:spacing w:val="-2"/>
                <w:sz w:val="18"/>
                <w:szCs w:val="18"/>
              </w:rPr>
              <w:t>西安环球印务股份有限公司经中国证券监督管理委员会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证监许可［</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1012</w:t>
            </w:r>
            <w:r>
              <w:rPr>
                <w:rFonts w:ascii="Times New Roman" w:hAnsi="Times New Roman" w:cs="Times New Roman" w:eastAsia="Times New Roman" w:hint="default"/>
                <w:spacing w:val="34"/>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文核准，首次向社会公众公开发行</w:t>
            </w:r>
            <w:r>
              <w:rPr>
                <w:rFonts w:ascii="宋体" w:hAnsi="宋体" w:cs="宋体" w:eastAsia="宋体" w:hint="default"/>
                <w:sz w:val="18"/>
                <w:szCs w:val="18"/>
              </w:rPr>
              <w:t> 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日在深圳证券交易所上市，发行价格为每股人民币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共计募集资金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19,950.00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万元，扣除发行费用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3,070.00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万元后，募集资金净额为人民币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16,880.00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万元。希格玛会计师事务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所（特殊普通合伙）对公司本次公开发行股票的募集资金到位情况进行了审验，于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日出具了</w:t>
            </w:r>
            <w:r>
              <w:rPr>
                <w:rFonts w:ascii="Times New Roman" w:hAnsi="Times New Roman" w:cs="Times New Roman" w:eastAsia="Times New Roman" w:hint="default"/>
                <w:sz w:val="18"/>
                <w:szCs w:val="18"/>
              </w:rPr>
              <w:t>“</w:t>
            </w:r>
            <w:r>
              <w:rPr>
                <w:rFonts w:ascii="宋体" w:hAnsi="宋体" w:cs="宋体" w:eastAsia="宋体" w:hint="default"/>
                <w:sz w:val="18"/>
                <w:szCs w:val="18"/>
              </w:rPr>
              <w:t>希会验字</w:t>
            </w:r>
          </w:p>
          <w:p>
            <w:pPr>
              <w:pStyle w:val="TableParagraph"/>
              <w:spacing w:line="309" w:lineRule="auto" w:before="63"/>
              <w:ind w:left="24" w:right="19"/>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[2016]0046</w:t>
            </w:r>
            <w:r>
              <w:rPr>
                <w:rFonts w:ascii="Times New Roman" w:hAnsi="Times New Roman" w:cs="Times New Roman" w:eastAsia="Times New Roman" w:hint="default"/>
                <w:w w:val="9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《验资报告》，确认募集资金到账。为规范公司募集资金管理和使用，保护投资者权益，公司设立了相关募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集资金专项账户。募集资金到账后，已全部存放于募集资金专项账户内，并与保荐机构、存放募集资金的商业银行签署了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募集资金三方监管协议。截止报告期末，募集资金累计投入总额为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12,928.91 </w:t>
            </w:r>
            <w:r>
              <w:rPr>
                <w:rFonts w:ascii="宋体" w:hAnsi="宋体" w:cs="宋体" w:eastAsia="宋体" w:hint="default"/>
                <w:sz w:val="18"/>
                <w:szCs w:val="18"/>
              </w:rPr>
              <w:t>万元（含使用募集资金置换前期已预先投入</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的自筹资金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8,062.61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年度公司使用人民币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万元用于暂时性补充流动资金。截至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公司已将前述暂时补充流动资金的闲置募集资金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万元全部归还至募集资金专项账户。经公司第四届董事会第三次会</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议审议通过同意公司使用人民币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万元闲置募集资金暂时补充流动资金，报告期末募集资金账户余额为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（已含利息收入及手续费支出</w:t>
            </w:r>
            <w:r>
              <w:rPr>
                <w:rFonts w:ascii="宋体" w:hAnsi="宋体" w:cs="宋体" w:eastAsia="宋体" w:hint="default"/>
                <w:spacing w:val="-89"/>
                <w:sz w:val="18"/>
                <w:szCs w:val="18"/>
              </w:rPr>
              <w:t>）</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footerReference w:type="default" r:id="rId15"/>
          <w:pgSz w:w="11910" w:h="16840"/>
          <w:pgMar w:footer="980" w:header="0" w:top="1500" w:bottom="1160" w:left="980" w:right="980"/>
          <w:pgNumType w:start="26"/>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5368"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68"/>
        <w:gridCol w:w="782"/>
        <w:gridCol w:w="781"/>
        <w:gridCol w:w="780"/>
        <w:gridCol w:w="780"/>
        <w:gridCol w:w="780"/>
        <w:gridCol w:w="780"/>
        <w:gridCol w:w="780"/>
        <w:gridCol w:w="781"/>
        <w:gridCol w:w="780"/>
        <w:gridCol w:w="780"/>
      </w:tblGrid>
      <w:tr>
        <w:trPr>
          <w:trHeight w:val="1337"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66"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8"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、增资天津环球用于 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亿只药品包装 折叠纸盒项目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6,641.83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、西安环球药品电子 监管码赋码印刷配套 率提升及技改项目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4,438.41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4,438.41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4,357.52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、增资天津环球用于 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亿只药品包装 折叠纸盒电子监管码 配套项目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1,504.36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、研发中心建设项目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1,196.48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1,196.48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424.32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2,181.88</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12,928.91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2,181.88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12,928.91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项目尚在进行中，不存在未达到计划进度或预计收益的情况。</w:t>
            </w:r>
          </w:p>
        </w:tc>
      </w:tr>
      <w:tr>
        <w:trPr>
          <w:trHeight w:val="715"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713"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3"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06" w:hRule="exact"/>
        </w:trPr>
        <w:tc>
          <w:tcPr>
            <w:tcW w:w="1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3"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7" w:hRule="exact"/>
        </w:trPr>
        <w:tc>
          <w:tcPr>
            <w:tcW w:w="17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3" w:type="dxa"/>
            <w:gridSpan w:val="10"/>
            <w:vMerge/>
            <w:tcBorders>
              <w:left w:val="single" w:sz="10" w:space="0" w:color="D2D2D2"/>
              <w:bottom w:val="single" w:sz="4" w:space="0" w:color="000000"/>
              <w:right w:val="single" w:sz="4" w:space="0" w:color="000000"/>
            </w:tcBorders>
          </w:tcPr>
          <w:p>
            <w:pPr/>
          </w:p>
        </w:tc>
      </w:tr>
      <w:tr>
        <w:trPr>
          <w:trHeight w:val="509" w:hRule="exact"/>
        </w:trPr>
        <w:tc>
          <w:tcPr>
            <w:tcW w:w="1768" w:type="dxa"/>
            <w:vMerge/>
            <w:tcBorders>
              <w:left w:val="single" w:sz="4" w:space="0" w:color="000000"/>
              <w:bottom w:val="nil" w:sz="6" w:space="0" w:color="auto"/>
              <w:right w:val="single" w:sz="4" w:space="0" w:color="000000"/>
            </w:tcBorders>
            <w:shd w:val="clear" w:color="auto" w:fill="D2D2D2"/>
          </w:tcPr>
          <w:p>
            <w:pPr/>
          </w:p>
        </w:tc>
        <w:tc>
          <w:tcPr>
            <w:tcW w:w="7803"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20" w:right="0"/>
              <w:jc w:val="left"/>
              <w:rPr>
                <w:rFonts w:ascii="宋体" w:hAnsi="宋体" w:cs="宋体" w:eastAsia="宋体" w:hint="default"/>
                <w:sz w:val="18"/>
                <w:szCs w:val="18"/>
              </w:rPr>
            </w:pPr>
            <w:r>
              <w:rPr>
                <w:rFonts w:ascii="宋体" w:hAnsi="宋体" w:cs="宋体" w:eastAsia="宋体" w:hint="default"/>
                <w:sz w:val="18"/>
                <w:szCs w:val="18"/>
              </w:rPr>
              <w:t>报告期内公司未发生使用募集资金置换预先投入募投项目的情况；截止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10"/>
                <w:sz w:val="18"/>
                <w:szCs w:val="18"/>
              </w:rPr>
              <w:t>日，公司累</w:t>
            </w:r>
          </w:p>
          <w:p>
            <w:pPr>
              <w:pStyle w:val="TableParagraph"/>
              <w:spacing w:line="240" w:lineRule="auto" w:before="62"/>
              <w:ind w:left="20" w:right="0"/>
              <w:jc w:val="left"/>
              <w:rPr>
                <w:rFonts w:ascii="宋体" w:hAnsi="宋体" w:cs="宋体" w:eastAsia="宋体" w:hint="default"/>
                <w:sz w:val="18"/>
                <w:szCs w:val="18"/>
              </w:rPr>
            </w:pPr>
            <w:r>
              <w:rPr>
                <w:rFonts w:ascii="宋体" w:hAnsi="宋体" w:cs="宋体" w:eastAsia="宋体" w:hint="default"/>
                <w:sz w:val="18"/>
                <w:szCs w:val="18"/>
              </w:rPr>
              <w:t>计使用募集资金置换预先投入募投项目的金额为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8,062.61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206" w:hRule="exact"/>
        </w:trPr>
        <w:tc>
          <w:tcPr>
            <w:tcW w:w="1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3"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0" w:footer="980" w:top="15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44"/>
        <w:ind w:left="0" w:right="118" w:firstLine="0"/>
        <w:jc w:val="right"/>
        <w:rPr>
          <w:rFonts w:ascii="宋体" w:hAnsi="宋体" w:cs="宋体" w:eastAsia="宋体" w:hint="default"/>
          <w:sz w:val="18"/>
          <w:szCs w:val="18"/>
        </w:rPr>
      </w:pPr>
      <w:r>
        <w:rPr/>
        <w:pict>
          <v:shape style="position:absolute;margin-left:56.459999pt;margin-top:-85.948257pt;width:479.2pt;height:388.6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11" w:hRule="exact"/>
                    </w:trPr>
                    <w:tc>
                      <w:tcPr>
                        <w:tcW w:w="1770" w:type="dxa"/>
                        <w:vMerge w:val="restart"/>
                        <w:tcBorders>
                          <w:top w:val="single" w:sz="10"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1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年度公司使用人民币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4,500.00 </w:t>
                        </w:r>
                        <w:r>
                          <w:rPr>
                            <w:rFonts w:ascii="宋体" w:hAnsi="宋体" w:cs="宋体" w:eastAsia="宋体" w:hint="default"/>
                            <w:sz w:val="18"/>
                            <w:szCs w:val="18"/>
                          </w:rPr>
                          <w:t>万元用于暂时性补充流动资金。截至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已将前述暂时补充流动资金的闲置募集资金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万元全部归还至募集资金专项账户。</w:t>
                        </w: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日召开第四届董事会第三次会议，审议通过《关于使用部分募集资金暂时补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w:t>
                        </w:r>
                        <w:r>
                          <w:rPr>
                            <w:rFonts w:ascii="宋体" w:hAnsi="宋体" w:cs="宋体" w:eastAsia="宋体" w:hint="default"/>
                            <w:spacing w:val="2"/>
                            <w:sz w:val="18"/>
                            <w:szCs w:val="18"/>
                          </w:rPr>
                          <w:t>司</w:t>
                        </w:r>
                        <w:r>
                          <w:rPr>
                            <w:rFonts w:ascii="宋体" w:hAnsi="宋体" w:cs="宋体" w:eastAsia="宋体" w:hint="default"/>
                            <w:sz w:val="18"/>
                            <w:szCs w:val="18"/>
                          </w:rPr>
                          <w:t>继续使用人民币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万元闲</w:t>
                        </w:r>
                        <w:r>
                          <w:rPr>
                            <w:rFonts w:ascii="宋体" w:hAnsi="宋体" w:cs="宋体" w:eastAsia="宋体" w:hint="default"/>
                            <w:spacing w:val="-3"/>
                            <w:sz w:val="18"/>
                            <w:szCs w:val="18"/>
                          </w:rPr>
                          <w:t>置</w:t>
                        </w:r>
                        <w:r>
                          <w:rPr>
                            <w:rFonts w:ascii="宋体" w:hAnsi="宋体" w:cs="宋体" w:eastAsia="宋体" w:hint="default"/>
                            <w:sz w:val="18"/>
                            <w:szCs w:val="18"/>
                          </w:rPr>
                          <w:t>募集资金暂时补充流动资金，用于公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司与主营业务相关的生产经营等，使用期限自董事会审议批准之日起不超过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个月。公司监事会</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pacing w:val="-5"/>
                            <w:sz w:val="18"/>
                            <w:szCs w:val="18"/>
                          </w:rPr>
                          <w:t>独立董事、保荐机构发表了同意意见。公司已于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月底将人民币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万元募集资金转入公 司一般银行账户，用于暂时性补充流动资金。</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公司尚未使用的募集资金存放于募集资金专户和用于暂时性补充流动资金。</w:t>
                        </w:r>
                      </w:p>
                    </w:tc>
                  </w:tr>
                  <w:tr>
                    <w:trPr>
                      <w:trHeight w:val="36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、增资天津环球用于年产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亿只药品包装折叠纸盒电子监管码配套项目投资进度为</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44.73%</w:t>
                        </w:r>
                        <w:r>
                          <w:rPr>
                            <w:rFonts w:ascii="宋体" w:hAnsi="宋体" w:cs="宋体" w:eastAsia="宋体" w:hint="default"/>
                            <w:spacing w:val="-4"/>
                            <w:sz w:val="18"/>
                            <w:szCs w:val="18"/>
                          </w:rPr>
                          <w:t>，主要</w:t>
                        </w:r>
                        <w:r>
                          <w:rPr>
                            <w:rFonts w:ascii="宋体" w:hAnsi="宋体" w:cs="宋体" w:eastAsia="宋体" w:hint="default"/>
                            <w:sz w:val="18"/>
                            <w:szCs w:val="18"/>
                          </w:rPr>
                          <w:t>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月国家食品药品监督管理局出台了《关于推动食品药品生产经营者完善追溯体系的意 </w:t>
                        </w:r>
                        <w:r>
                          <w:rPr>
                            <w:rFonts w:ascii="宋体" w:hAnsi="宋体" w:cs="宋体" w:eastAsia="宋体" w:hint="default"/>
                            <w:spacing w:val="-5"/>
                            <w:sz w:val="18"/>
                            <w:szCs w:val="18"/>
                          </w:rPr>
                          <w:t>见》，意见中明确：药品生产经营企业应承担起药品追溯体系建设的主体责任，企业可运用信息技术</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建立自己的食品药品追溯体系，但各级食品药品监管部门不得强制要求食品药品生产经营者接受指</w:t>
                        </w:r>
                        <w:r>
                          <w:rPr>
                            <w:rFonts w:ascii="宋体" w:hAnsi="宋体" w:cs="宋体" w:eastAsia="宋体" w:hint="default"/>
                            <w:sz w:val="18"/>
                            <w:szCs w:val="18"/>
                          </w:rPr>
                          <w:t> 定的专业信息技术企业的追溯服务。因此药品生产经营企业可选择继续使用药品电子监管码进行药 品追溯，也可使用其他技术进行药品追溯，公司将依据不同企业的需求，逐步增加产能及对设备进 行更新换代，合理安排项目实施计划和进度。</w:t>
                        </w:r>
                      </w:p>
                      <w:p>
                        <w:pPr>
                          <w:pStyle w:val="TableParagraph"/>
                          <w:spacing w:line="300" w:lineRule="auto" w:before="61"/>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、研发中心建设项目投资进度为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35.54%</w:t>
                        </w:r>
                        <w:r>
                          <w:rPr>
                            <w:rFonts w:ascii="宋体" w:hAnsi="宋体" w:cs="宋体" w:eastAsia="宋体" w:hint="default"/>
                            <w:sz w:val="18"/>
                            <w:szCs w:val="18"/>
                          </w:rPr>
                          <w:t>，该项目已完成规划设计及总评审批，待建审部门审批同 意后，公司将尽快组织该项目的施工建设。</w:t>
                        </w:r>
                      </w:p>
                      <w:p>
                        <w:pPr>
                          <w:pStyle w:val="TableParagraph"/>
                          <w:spacing w:line="319" w:lineRule="auto" w:before="72"/>
                          <w:ind w:left="24" w:right="23" w:firstLine="360"/>
                          <w:jc w:val="left"/>
                          <w:rPr>
                            <w:rFonts w:ascii="宋体" w:hAnsi="宋体" w:cs="宋体" w:eastAsia="宋体" w:hint="default"/>
                            <w:sz w:val="18"/>
                            <w:szCs w:val="18"/>
                          </w:rPr>
                        </w:pPr>
                        <w:r>
                          <w:rPr>
                            <w:rFonts w:ascii="宋体" w:hAnsi="宋体" w:cs="宋体" w:eastAsia="宋体" w:hint="default"/>
                            <w:sz w:val="18"/>
                            <w:szCs w:val="18"/>
                          </w:rPr>
                          <w:t>公司募集资金的使用严格按照有关法律法规及公司招股说明书中规定的用途进行使用，并履行 相关信息披露义务。募集资金的使用及其披露均不存在问题。</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12" w:right="6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13"/>
          <w:szCs w:val="13"/>
        </w:rPr>
      </w:pPr>
    </w:p>
    <w:p>
      <w:pPr>
        <w:pStyle w:val="Heading2"/>
        <w:spacing w:line="240" w:lineRule="auto"/>
        <w:ind w:left="112" w:right="385"/>
        <w:jc w:val="left"/>
        <w:rPr>
          <w:b w:val="0"/>
          <w:bCs w:val="0"/>
        </w:rPr>
      </w:pPr>
      <w:r>
        <w:rPr/>
        <w:t>六、重大资产和股权出售</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left="112" w:right="385"/>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16"/>
          <w:szCs w:val="16"/>
        </w:rPr>
      </w:pPr>
    </w:p>
    <w:p>
      <w:pPr>
        <w:pStyle w:val="Heading3"/>
        <w:spacing w:line="240" w:lineRule="auto"/>
        <w:ind w:left="112" w:right="385"/>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0" w:top="1500" w:bottom="1160" w:left="1020" w:right="1020"/>
        </w:sectPr>
      </w:pPr>
    </w:p>
    <w:p>
      <w:pPr>
        <w:pStyle w:val="Heading2"/>
        <w:spacing w:line="355" w:lineRule="exact"/>
        <w:ind w:right="0"/>
        <w:jc w:val="left"/>
        <w:rPr>
          <w:b w:val="0"/>
          <w:bCs w:val="0"/>
        </w:rPr>
      </w:pPr>
      <w:r>
        <w:rPr/>
        <w:pict>
          <v:group style="position:absolute;margin-left:55.200001pt;margin-top:2.202064pt;width:484.9pt;height:.1pt;mso-position-horizontal-relative:page;mso-position-vertical-relative:paragraph;z-index:-755320" coordorigin="1104,44" coordsize="9698,2">
            <v:shape style="position:absolute;left:1104;top:44;width:9698;height:2" coordorigin="1104,44" coordsize="9698,0" path="m1104,44l10802,44e" filled="false" stroked="true" strokeweight=".72pt" strokecolor="#000000">
              <v:path arrowok="t"/>
            </v:shape>
            <w10:wrap type="none"/>
          </v:group>
        </w:pict>
      </w: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0" w:footer="980" w:top="1500" w:bottom="1160" w:left="980" w:right="98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270"/>
        <w:gridCol w:w="518"/>
        <w:gridCol w:w="987"/>
        <w:gridCol w:w="1186"/>
        <w:gridCol w:w="1183"/>
        <w:gridCol w:w="1186"/>
        <w:gridCol w:w="1186"/>
        <w:gridCol w:w="1093"/>
        <w:gridCol w:w="1090"/>
      </w:tblGrid>
      <w:tr>
        <w:trPr>
          <w:trHeight w:val="713"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4" w:right="72"/>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天津滨海环球 印务有限公司</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子公 司</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包装装潢及 其他印刷</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221,351,094.80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183,023,428.34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122,052,077.99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12,679,882.77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11,170,753.76</w:t>
            </w:r>
          </w:p>
        </w:tc>
      </w:tr>
      <w:tr>
        <w:trPr>
          <w:trHeight w:val="71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西安德宝药用 包装有限公司</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金属制品业</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106,452,218.05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89,418,923.16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64,677,638.62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13,361,104.47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11,374,332.35</w:t>
            </w:r>
          </w:p>
        </w:tc>
      </w:tr>
      <w:tr>
        <w:trPr>
          <w:trHeight w:val="715"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陕西永鑫纸业 包装有限公司</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子公 司</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包装装潢及 其他印刷</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62,494,200.88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35,016,355.01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45,794,211.38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-1,325,673.24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-1,721,155.12</w:t>
            </w:r>
          </w:p>
        </w:tc>
      </w:tr>
      <w:tr>
        <w:trPr>
          <w:trHeight w:val="71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西安永旭创新 服务有限公司</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子公 司</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设计加工硬 式礼盒</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18,000,000.00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43,461,949.90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14,492,243.85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16,889,675.17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-9,046,418.78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-9,074,922.53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1"/>
        <w:ind w:left="152" w:right="132"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主要控股参股公司情况说明：以上子公司均以单户报表数据列示。子公司陕西永鑫报告期增加注册资本</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24"/>
          <w:sz w:val="18"/>
          <w:szCs w:val="18"/>
        </w:rPr>
        <w:t> </w:t>
      </w:r>
      <w:r>
        <w:rPr>
          <w:rFonts w:ascii="宋体" w:hAnsi="宋体" w:cs="宋体" w:eastAsia="宋体" w:hint="default"/>
          <w:spacing w:val="-6"/>
          <w:sz w:val="18"/>
          <w:szCs w:val="18"/>
        </w:rPr>
        <w:t>万元，增资</w:t>
      </w:r>
      <w:r>
        <w:rPr>
          <w:rFonts w:ascii="宋体" w:hAnsi="宋体" w:cs="宋体" w:eastAsia="宋体" w:hint="default"/>
          <w:sz w:val="18"/>
          <w:szCs w:val="18"/>
        </w:rPr>
        <w:t> 后本公司持股比例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，厦门吉宏持股比例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九、公司未来发展的展望</w:t>
      </w:r>
      <w:r>
        <w:rPr>
          <w:b w:val="0"/>
          <w:bCs w:val="0"/>
        </w:rPr>
      </w:r>
    </w:p>
    <w:p>
      <w:pPr>
        <w:spacing w:line="240" w:lineRule="auto" w:before="13"/>
        <w:rPr>
          <w:rFonts w:ascii="Microsoft JhengHei" w:hAnsi="Microsoft JhengHei" w:cs="Microsoft JhengHei" w:eastAsia="Microsoft JhengHei" w:hint="default"/>
          <w:b/>
          <w:bCs/>
          <w:sz w:val="17"/>
          <w:szCs w:val="17"/>
        </w:rPr>
      </w:pPr>
    </w:p>
    <w:p>
      <w:pPr>
        <w:spacing w:line="350" w:lineRule="auto" w:before="0"/>
        <w:ind w:left="568" w:right="5494" w:hanging="416"/>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1"/>
          <w:szCs w:val="21"/>
        </w:rPr>
        <w:t>（一）行业格局和发展趋势</w:t>
      </w:r>
      <w:r>
        <w:rPr>
          <w:rFonts w:ascii="Microsoft JhengHei" w:hAnsi="Microsoft JhengHei" w:cs="Microsoft JhengHei" w:eastAsia="Microsoft JhengHei" w:hint="default"/>
          <w:b/>
          <w:bCs/>
          <w:spacing w:val="-33"/>
          <w:sz w:val="21"/>
          <w:szCs w:val="21"/>
        </w:rPr>
        <w:t> </w:t>
      </w:r>
      <w:r>
        <w:rPr>
          <w:rFonts w:ascii="Microsoft JhengHei" w:hAnsi="Microsoft JhengHei" w:cs="Microsoft JhengHei" w:eastAsia="Microsoft JhengHei" w:hint="default"/>
          <w:b/>
          <w:bCs/>
          <w:spacing w:val="-33"/>
          <w:sz w:val="21"/>
          <w:szCs w:val="21"/>
        </w:rPr>
      </w:r>
      <w:r>
        <w:rPr>
          <w:rFonts w:ascii="宋体" w:hAnsi="宋体" w:cs="宋体" w:eastAsia="宋体" w:hint="default"/>
          <w:sz w:val="21"/>
          <w:szCs w:val="21"/>
        </w:rPr>
        <w:t>1.</w:t>
      </w:r>
      <w:r>
        <w:rPr>
          <w:rFonts w:ascii="宋体" w:hAnsi="宋体" w:cs="宋体" w:eastAsia="宋体" w:hint="default"/>
          <w:sz w:val="21"/>
          <w:szCs w:val="21"/>
        </w:rPr>
        <w:t>印刷行业发展现状</w:t>
      </w:r>
    </w:p>
    <w:p>
      <w:pPr>
        <w:pStyle w:val="BodyText"/>
        <w:spacing w:line="408" w:lineRule="auto" w:before="96"/>
        <w:ind w:right="0" w:firstLine="415"/>
        <w:jc w:val="left"/>
      </w:pPr>
      <w:r>
        <w:rPr>
          <w:spacing w:val="-2"/>
        </w:rPr>
        <w:t>我国印刷业工业总产值在过去五年间呈现逐年稳步增长趋势，据前瞻产业研究院发布的《印刷业市场</w:t>
      </w:r>
      <w:r>
        <w:rPr>
          <w:w w:val="100"/>
        </w:rPr>
        <w:t> </w:t>
      </w:r>
      <w:r>
        <w:rPr/>
        <w:t>前瞻与投资战略规划分析报告》数据显示，</w:t>
      </w:r>
      <w:r>
        <w:rPr>
          <w:rFonts w:ascii="宋体" w:hAnsi="宋体" w:cs="宋体" w:eastAsia="宋体" w:hint="default"/>
        </w:rPr>
        <w:t>2016</w:t>
      </w:r>
      <w:r>
        <w:rPr/>
        <w:t>年我国印刷行业规模总资产达到</w:t>
      </w:r>
      <w:r>
        <w:rPr>
          <w:rFonts w:ascii="宋体" w:hAnsi="宋体" w:cs="宋体" w:eastAsia="宋体" w:hint="default"/>
        </w:rPr>
        <w:t>5590.15</w:t>
      </w:r>
      <w:r>
        <w:rPr/>
        <w:t>亿元。行业销售</w:t>
      </w:r>
      <w:r>
        <w:rPr>
          <w:w w:val="100"/>
        </w:rPr>
        <w:t> </w:t>
      </w:r>
      <w:r>
        <w:rPr>
          <w:spacing w:val="-2"/>
        </w:rPr>
        <w:t>收入为</w:t>
      </w:r>
      <w:r>
        <w:rPr>
          <w:rFonts w:ascii="宋体" w:hAnsi="宋体" w:cs="宋体" w:eastAsia="宋体" w:hint="default"/>
          <w:spacing w:val="-2"/>
        </w:rPr>
        <w:t>7653.25</w:t>
      </w:r>
      <w:r>
        <w:rPr>
          <w:spacing w:val="-2"/>
        </w:rPr>
        <w:t>亿元。</w:t>
      </w:r>
      <w:r>
        <w:rPr>
          <w:rFonts w:ascii="宋体" w:hAnsi="宋体" w:cs="宋体" w:eastAsia="宋体" w:hint="default"/>
          <w:spacing w:val="-2"/>
        </w:rPr>
        <w:t>2016</w:t>
      </w:r>
      <w:r>
        <w:rPr>
          <w:spacing w:val="-2"/>
        </w:rPr>
        <w:t>年行业利润总额为</w:t>
      </w:r>
      <w:r>
        <w:rPr>
          <w:rFonts w:ascii="宋体" w:hAnsi="宋体" w:cs="宋体" w:eastAsia="宋体" w:hint="default"/>
          <w:spacing w:val="-2"/>
        </w:rPr>
        <w:t>534.1</w:t>
      </w:r>
      <w:r>
        <w:rPr>
          <w:spacing w:val="-2"/>
        </w:rPr>
        <w:t>亿元。印刷包装产业在服务国家战略、适应民生需求、</w:t>
      </w:r>
      <w:r>
        <w:rPr>
          <w:spacing w:val="-8"/>
        </w:rPr>
        <w:t> </w:t>
      </w:r>
      <w:r>
        <w:rPr>
          <w:spacing w:val="-8"/>
        </w:rPr>
      </w:r>
      <w:r>
        <w:rPr/>
        <w:t>建设制造强国、推动经济发展中的贡献能力显著提升。</w:t>
      </w:r>
    </w:p>
    <w:p>
      <w:pPr>
        <w:pStyle w:val="BodyText"/>
        <w:spacing w:line="240" w:lineRule="auto"/>
        <w:ind w:left="657" w:right="6838"/>
        <w:jc w:val="center"/>
      </w:pPr>
      <w:r>
        <w:rPr>
          <w:rFonts w:ascii="宋体" w:hAnsi="宋体" w:cs="宋体" w:eastAsia="宋体" w:hint="default"/>
        </w:rPr>
        <w:t>2.</w:t>
      </w:r>
      <w:r>
        <w:rPr>
          <w:rFonts w:ascii="宋体" w:hAnsi="宋体" w:cs="宋体" w:eastAsia="宋体" w:hint="default"/>
          <w:spacing w:val="-5"/>
        </w:rPr>
        <w:t> </w:t>
      </w:r>
      <w:r>
        <w:rPr/>
        <w:t>印刷行业经营数据分析</w:t>
      </w:r>
    </w:p>
    <w:p>
      <w:pPr>
        <w:spacing w:after="0" w:line="240" w:lineRule="auto"/>
        <w:jc w:val="center"/>
        <w:sectPr>
          <w:type w:val="continuous"/>
          <w:pgSz w:w="11910" w:h="16840"/>
          <w:pgMar w:top="1580" w:bottom="280" w:left="980" w:right="980"/>
        </w:sectPr>
      </w:pPr>
    </w:p>
    <w:p>
      <w:pPr>
        <w:spacing w:line="240" w:lineRule="auto" w:before="11"/>
        <w:rPr>
          <w:rFonts w:ascii="宋体" w:hAnsi="宋体" w:cs="宋体" w:eastAsia="宋体" w:hint="default"/>
          <w:sz w:val="2"/>
          <w:szCs w:val="2"/>
        </w:rPr>
      </w:pPr>
    </w:p>
    <w:p>
      <w:pPr>
        <w:spacing w:line="4665" w:lineRule="exact"/>
        <w:ind w:left="116" w:right="0" w:firstLine="0"/>
        <w:rPr>
          <w:rFonts w:ascii="宋体" w:hAnsi="宋体" w:cs="宋体" w:eastAsia="宋体" w:hint="default"/>
          <w:sz w:val="20"/>
          <w:szCs w:val="20"/>
        </w:rPr>
      </w:pPr>
      <w:r>
        <w:rPr>
          <w:rFonts w:ascii="宋体" w:hAnsi="宋体" w:cs="宋体" w:eastAsia="宋体" w:hint="default"/>
          <w:position w:val="-92"/>
          <w:sz w:val="20"/>
          <w:szCs w:val="20"/>
        </w:rPr>
        <w:pict>
          <v:group style="width:485.65pt;height:233.3pt;mso-position-horizontal-relative:char;mso-position-vertical-relative:line" coordorigin="0,0" coordsize="9713,4666">
            <v:group style="position:absolute;left:7;top:7;width:9698;height:2" coordorigin="7,7" coordsize="9698,2">
              <v:shape style="position:absolute;left:7;top:7;width:9698;height:2" coordorigin="7,7" coordsize="9698,0" path="m7,7l9705,7e" filled="false" stroked="true" strokeweight=".72pt" strokecolor="#000000">
                <v:path arrowok="t"/>
              </v:shape>
              <v:shape style="position:absolute;left:1296;top:44;width:8280;height:4622" type="#_x0000_t75" stroked="false">
                <v:imagedata r:id="rId16" o:title=""/>
              </v:shape>
            </v:group>
          </v:group>
        </w:pict>
      </w:r>
      <w:r>
        <w:rPr>
          <w:rFonts w:ascii="宋体" w:hAnsi="宋体" w:cs="宋体" w:eastAsia="宋体" w:hint="default"/>
          <w:position w:val="-92"/>
          <w:sz w:val="20"/>
          <w:szCs w:val="20"/>
        </w:rPr>
      </w:r>
    </w:p>
    <w:p>
      <w:pPr>
        <w:pStyle w:val="BodyText"/>
        <w:spacing w:line="372" w:lineRule="auto" w:before="58"/>
        <w:ind w:left="585" w:right="0" w:firstLine="827"/>
        <w:jc w:val="left"/>
      </w:pPr>
      <w:r>
        <w:rPr/>
        <w:t>数据来源：前瞻产业研究院整理</w:t>
      </w:r>
      <w:r>
        <w:rPr>
          <w:w w:val="100"/>
        </w:rPr>
        <w:t> </w:t>
      </w:r>
      <w:r>
        <w:rPr>
          <w:spacing w:val="-3"/>
        </w:rPr>
        <w:t>我国印刷行业的市场集中度较低，不能形成规范化、标准化、信息化的行业资源整合，导致经营成本</w:t>
      </w:r>
    </w:p>
    <w:p>
      <w:pPr>
        <w:pStyle w:val="BodyText"/>
        <w:spacing w:line="408" w:lineRule="auto" w:before="77"/>
        <w:ind w:right="0"/>
        <w:jc w:val="left"/>
      </w:pPr>
      <w:r>
        <w:rPr>
          <w:spacing w:val="-5"/>
        </w:rPr>
        <w:t>较大，利润空间较低，市场竞争程度较为激烈。印刷行业的上市公司包括裕同科技、紫江企业、合兴包装、</w:t>
      </w:r>
      <w:r>
        <w:rPr>
          <w:spacing w:val="-7"/>
        </w:rPr>
        <w:t> </w:t>
      </w:r>
      <w:r>
        <w:rPr>
          <w:spacing w:val="-7"/>
        </w:rPr>
      </w:r>
      <w:r>
        <w:rPr>
          <w:spacing w:val="-2"/>
        </w:rPr>
        <w:t>环球印务、吉宏股份、界龙实业、东风股份、劲嘉股份、盛通股份等</w:t>
      </w:r>
      <w:r>
        <w:rPr>
          <w:rFonts w:ascii="宋体" w:hAnsi="宋体" w:cs="宋体" w:eastAsia="宋体" w:hint="default"/>
          <w:spacing w:val="-2"/>
        </w:rPr>
        <w:t>20</w:t>
      </w:r>
      <w:r>
        <w:rPr>
          <w:spacing w:val="-2"/>
        </w:rPr>
        <w:t>多家企业。以这些行业上市公司的</w:t>
      </w:r>
      <w:r>
        <w:rPr>
          <w:spacing w:val="-39"/>
        </w:rPr>
        <w:t> </w:t>
      </w:r>
      <w:r>
        <w:rPr>
          <w:spacing w:val="-39"/>
        </w:rPr>
      </w:r>
      <w:r>
        <w:rPr/>
        <w:t>业绩指标来看，在未来产业整合的政策驱动下，相对于行业近万亿市场总量来说存在较大发展空间。</w:t>
      </w:r>
    </w:p>
    <w:p>
      <w:pPr>
        <w:pStyle w:val="BodyText"/>
        <w:spacing w:line="408" w:lineRule="auto"/>
        <w:ind w:left="575" w:right="0" w:hanging="3"/>
        <w:jc w:val="left"/>
      </w:pPr>
      <w:r>
        <w:rPr>
          <w:rFonts w:ascii="宋体" w:hAnsi="宋体" w:cs="宋体" w:eastAsia="宋体" w:hint="default"/>
        </w:rPr>
        <w:t>3.</w:t>
      </w:r>
      <w:r>
        <w:rPr/>
        <w:t>印刷行业发展趋势</w:t>
      </w:r>
      <w:r>
        <w:rPr>
          <w:w w:val="100"/>
        </w:rPr>
        <w:t> </w:t>
      </w:r>
      <w:r>
        <w:rPr>
          <w:spacing w:val="-3"/>
        </w:rPr>
        <w:t>受经济增长速度、企业生产成本增加等因素的影响，以及数字化、网络化进程加快的冲击，我国印刷</w:t>
      </w:r>
    </w:p>
    <w:p>
      <w:pPr>
        <w:pStyle w:val="BodyText"/>
        <w:spacing w:line="408" w:lineRule="auto"/>
        <w:ind w:right="0"/>
        <w:jc w:val="left"/>
      </w:pPr>
      <w:r>
        <w:rPr>
          <w:spacing w:val="-2"/>
        </w:rPr>
        <w:t>行业正面临一系列不确定因素，亟需寻求转型突围新路径。在此背景下，创新升级、集中整合将成为未来</w:t>
      </w:r>
      <w:r>
        <w:rPr>
          <w:spacing w:val="-47"/>
        </w:rPr>
        <w:t> </w:t>
      </w:r>
      <w:r>
        <w:rPr>
          <w:spacing w:val="-47"/>
        </w:rPr>
      </w:r>
      <w:r>
        <w:rPr/>
        <w:t>几年印刷业的主要发展趋势。</w:t>
      </w:r>
    </w:p>
    <w:p>
      <w:pPr>
        <w:pStyle w:val="BodyText"/>
        <w:spacing w:line="408" w:lineRule="auto"/>
        <w:ind w:right="0" w:firstLine="422"/>
        <w:jc w:val="left"/>
      </w:pPr>
      <w:r>
        <w:rPr/>
        <w:t>随着我国国民经济的快速发展和城镇化建设的加快，我国城乡居民的购买力和生活品质将不断提高，</w:t>
      </w:r>
      <w:r>
        <w:rPr>
          <w:w w:val="100"/>
        </w:rPr>
        <w:t> </w:t>
      </w:r>
      <w:r>
        <w:rPr>
          <w:spacing w:val="-5"/>
        </w:rPr>
        <w:t>绿色印刷成为行业发展的重要主题，要求印刷包装耗材环保性能不断提高，印刷品废弃后易于回收再利用、 </w:t>
      </w:r>
      <w:r>
        <w:rPr>
          <w:spacing w:val="-5"/>
        </w:rPr>
      </w:r>
      <w:r>
        <w:rPr/>
        <w:t>可自然降解，最终实现低污染、无污染包装。</w:t>
      </w:r>
    </w:p>
    <w:p>
      <w:pPr>
        <w:pStyle w:val="BodyText"/>
        <w:spacing w:line="408" w:lineRule="auto"/>
        <w:ind w:right="0" w:firstLine="430"/>
        <w:jc w:val="left"/>
      </w:pPr>
      <w:r>
        <w:rPr>
          <w:spacing w:val="-3"/>
        </w:rPr>
        <w:t>中国经济处于转型期，新兴行业如电子商务、快递物流、电子通信等行业成为国民经济增长点，在此</w:t>
      </w:r>
      <w:r>
        <w:rPr>
          <w:w w:val="100"/>
        </w:rPr>
        <w:t> </w:t>
      </w:r>
      <w:r>
        <w:rPr>
          <w:spacing w:val="-2"/>
        </w:rPr>
        <w:t>带动下，特定领域的包装印刷呈现出快速发展的势头。总体上看，我国包装印刷行业的市场需求仍将继续</w:t>
      </w:r>
      <w:r>
        <w:rPr>
          <w:spacing w:val="-43"/>
        </w:rPr>
        <w:t> </w:t>
      </w:r>
      <w:r>
        <w:rPr>
          <w:spacing w:val="-43"/>
        </w:rPr>
      </w:r>
      <w:r>
        <w:rPr>
          <w:spacing w:val="-5"/>
        </w:rPr>
        <w:t>保持稳步快速增长的发展势头，且高端包装印刷市场的需求将进一步增大。公司将精准定位新兴成长行业， </w:t>
      </w:r>
      <w:r>
        <w:rPr>
          <w:spacing w:val="-5"/>
        </w:rPr>
      </w:r>
      <w:r>
        <w:rPr/>
        <w:t>更加丰富产品线，扩大市场领域，借助新兴行业的发展势头，实现跨越式发展。</w:t>
      </w:r>
    </w:p>
    <w:p>
      <w:pPr>
        <w:pStyle w:val="BodyText"/>
        <w:spacing w:line="240" w:lineRule="auto"/>
        <w:ind w:left="582" w:right="0"/>
        <w:jc w:val="left"/>
      </w:pPr>
      <w:r>
        <w:rPr>
          <w:rFonts w:ascii="宋体" w:hAnsi="宋体" w:cs="宋体" w:eastAsia="宋体" w:hint="default"/>
        </w:rPr>
        <w:t>4.</w:t>
      </w:r>
      <w:r>
        <w:rPr/>
        <w:t>工业技术发展趋势</w:t>
      </w:r>
    </w:p>
    <w:p>
      <w:pPr>
        <w:spacing w:line="240" w:lineRule="auto" w:before="10"/>
        <w:rPr>
          <w:rFonts w:ascii="宋体" w:hAnsi="宋体" w:cs="宋体" w:eastAsia="宋体" w:hint="default"/>
          <w:sz w:val="14"/>
          <w:szCs w:val="14"/>
        </w:rPr>
      </w:pPr>
    </w:p>
    <w:p>
      <w:pPr>
        <w:pStyle w:val="BodyText"/>
        <w:spacing w:line="408" w:lineRule="auto" w:before="0"/>
        <w:ind w:right="0" w:firstLine="430"/>
        <w:jc w:val="left"/>
      </w:pP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27</w:t>
      </w:r>
      <w:r>
        <w:rPr>
          <w:spacing w:val="-2"/>
        </w:rPr>
        <w:t>日国务院发布《关于深化“互联网</w:t>
      </w:r>
      <w:r>
        <w:rPr>
          <w:rFonts w:ascii="宋体" w:hAnsi="宋体" w:cs="宋体" w:eastAsia="宋体" w:hint="default"/>
          <w:spacing w:val="-2"/>
        </w:rPr>
        <w:t>+</w:t>
      </w:r>
      <w:r>
        <w:rPr>
          <w:spacing w:val="-2"/>
        </w:rPr>
        <w:t>先进制造业”发展工业互联网的指导意见》中指出：</w:t>
      </w:r>
      <w:r>
        <w:rPr>
          <w:w w:val="100"/>
        </w:rPr>
        <w:t> </w:t>
      </w:r>
      <w:r>
        <w:rPr>
          <w:spacing w:val="-2"/>
        </w:rPr>
        <w:t>当前，全球范围内新一轮科技革命和产业变革蓬勃兴起。工业互联网作为新一代信息技术与制造业深度融</w:t>
      </w:r>
    </w:p>
    <w:p>
      <w:pPr>
        <w:spacing w:after="0" w:line="408" w:lineRule="auto"/>
        <w:jc w:val="left"/>
        <w:sectPr>
          <w:pgSz w:w="11910" w:h="16840"/>
          <w:pgMar w:header="0" w:footer="980" w:top="1500" w:bottom="1160" w:left="980" w:right="920"/>
        </w:sectPr>
      </w:pPr>
    </w:p>
    <w:p>
      <w:pPr>
        <w:pStyle w:val="BodyText"/>
        <w:spacing w:line="408" w:lineRule="auto" w:before="116"/>
        <w:ind w:right="0"/>
        <w:jc w:val="left"/>
      </w:pPr>
      <w:r>
        <w:rPr/>
        <w:t>合的产物，日益成为新工业革命的关键支撑和深化“互联网</w:t>
      </w:r>
      <w:r>
        <w:rPr>
          <w:rFonts w:ascii="宋体" w:hAnsi="宋体" w:cs="宋体" w:eastAsia="宋体" w:hint="default"/>
        </w:rPr>
        <w:t>+</w:t>
      </w:r>
      <w:r>
        <w:rPr/>
        <w:t>先进制造业”的重要基石，对未来工业发展</w:t>
      </w:r>
      <w:r>
        <w:rPr>
          <w:w w:val="100"/>
        </w:rPr>
        <w:t> </w:t>
      </w:r>
      <w:r>
        <w:rPr>
          <w:spacing w:val="-2"/>
        </w:rPr>
        <w:t>产生全方位、深层次、革命性影响。工业互联网通过系统构建网络、平台、安全三大功能体系，打造人、</w:t>
      </w:r>
      <w:r>
        <w:rPr>
          <w:spacing w:val="-21"/>
        </w:rPr>
        <w:t> </w:t>
      </w:r>
      <w:r>
        <w:rPr>
          <w:spacing w:val="-21"/>
        </w:rPr>
      </w:r>
      <w:r>
        <w:rPr>
          <w:spacing w:val="-2"/>
        </w:rPr>
        <w:t>机、物全面互联的新型网络基础设施，形成智能化发展的新兴业态和应用模式，是推进制造强国和网络强</w:t>
      </w:r>
      <w:r>
        <w:rPr>
          <w:spacing w:val="-42"/>
        </w:rPr>
        <w:t> </w:t>
      </w:r>
      <w:r>
        <w:rPr>
          <w:spacing w:val="-42"/>
        </w:rPr>
      </w:r>
      <w:r>
        <w:rPr>
          <w:spacing w:val="-2"/>
        </w:rPr>
        <w:t>国建设的重要基础，是全面建成小康社会和建设社会主义现代化强国的有力支撑。因此，公司将顺应当前</w:t>
      </w:r>
      <w:r>
        <w:rPr>
          <w:spacing w:val="-43"/>
        </w:rPr>
        <w:t> </w:t>
      </w:r>
      <w:r>
        <w:rPr>
          <w:spacing w:val="-43"/>
        </w:rPr>
      </w:r>
      <w:r>
        <w:rPr/>
        <w:t>工业升级的发展趋势，整合线上线下产业资源，打造多行业多领域的“印刷互联网”前沿企业。</w:t>
      </w:r>
    </w:p>
    <w:p>
      <w:pPr>
        <w:pStyle w:val="Heading3"/>
        <w:spacing w:line="345" w:lineRule="exact"/>
        <w:ind w:right="0"/>
        <w:jc w:val="left"/>
        <w:rPr>
          <w:b w:val="0"/>
          <w:bCs w:val="0"/>
        </w:rPr>
      </w:pPr>
      <w:r>
        <w:rPr/>
        <w:t>（二）</w:t>
      </w:r>
      <w:r>
        <w:rPr>
          <w:rFonts w:ascii="Arial" w:hAnsi="Arial" w:cs="Arial" w:eastAsia="Arial" w:hint="default"/>
        </w:rPr>
        <w:t>2018</w:t>
      </w:r>
      <w:r>
        <w:rPr/>
        <w:t>年公司发展方向及举措</w:t>
      </w:r>
      <w:r>
        <w:rPr>
          <w:b w:val="0"/>
          <w:bCs w:val="0"/>
        </w:rPr>
      </w:r>
    </w:p>
    <w:p>
      <w:pPr>
        <w:pStyle w:val="BodyText"/>
        <w:spacing w:line="408" w:lineRule="auto" w:before="169"/>
        <w:ind w:left="575" w:right="0"/>
        <w:jc w:val="left"/>
      </w:pPr>
      <w:r>
        <w:rPr>
          <w:rFonts w:ascii="宋体" w:hAnsi="宋体" w:cs="宋体" w:eastAsia="宋体" w:hint="default"/>
        </w:rPr>
        <w:t>1.</w:t>
      </w:r>
      <w:r>
        <w:rPr/>
        <w:t>市场领域：</w:t>
      </w:r>
      <w:r>
        <w:rPr>
          <w:w w:val="100"/>
        </w:rPr>
        <w:t> </w:t>
      </w:r>
      <w:r>
        <w:rPr>
          <w:spacing w:val="-2"/>
        </w:rPr>
        <w:t>依托公司现有药品包装客户高质量高规模的优势，以药包为基石，扩品种，扩产品线，以此来实现市</w:t>
      </w:r>
    </w:p>
    <w:p>
      <w:pPr>
        <w:pStyle w:val="BodyText"/>
        <w:spacing w:line="408" w:lineRule="auto"/>
        <w:ind w:right="208"/>
        <w:jc w:val="both"/>
      </w:pPr>
      <w:r>
        <w:rPr>
          <w:spacing w:val="-2"/>
        </w:rPr>
        <w:t>场的扩大，实现药品包装两位数以上的增长任务；</w:t>
      </w:r>
      <w:r>
        <w:rPr>
          <w:rFonts w:ascii="宋体" w:hAnsi="宋体" w:cs="宋体" w:eastAsia="宋体" w:hint="default"/>
          <w:spacing w:val="-2"/>
        </w:rPr>
        <w:t>2018</w:t>
      </w:r>
      <w:r>
        <w:rPr>
          <w:spacing w:val="-2"/>
        </w:rPr>
        <w:t>年公司会紧紧抓住西安作为一带一路起点的区位化</w:t>
      </w:r>
      <w:r>
        <w:rPr>
          <w:spacing w:val="-42"/>
        </w:rPr>
        <w:t> </w:t>
      </w:r>
      <w:r>
        <w:rPr>
          <w:spacing w:val="-42"/>
        </w:rPr>
      </w:r>
      <w:r>
        <w:rPr>
          <w:spacing w:val="-2"/>
        </w:rPr>
        <w:t>优势，顺应正在形成的电子产业集群的政策方向，实现电子产品包装高增长；随着国家消费结构升级，健</w:t>
      </w:r>
      <w:r>
        <w:rPr>
          <w:spacing w:val="-48"/>
        </w:rPr>
        <w:t> </w:t>
      </w:r>
      <w:r>
        <w:rPr>
          <w:spacing w:val="-48"/>
        </w:rPr>
      </w:r>
      <w:r>
        <w:rPr/>
        <w:t>康产业日益蓬勃发展，</w:t>
      </w:r>
      <w:r>
        <w:rPr>
          <w:rFonts w:ascii="宋体" w:hAnsi="宋体" w:cs="宋体" w:eastAsia="宋体" w:hint="default"/>
        </w:rPr>
        <w:t>2018</w:t>
      </w:r>
      <w:r>
        <w:rPr/>
        <w:t>年消费品包装领域将成为公司新的业绩增长点。</w:t>
      </w:r>
    </w:p>
    <w:p>
      <w:pPr>
        <w:pStyle w:val="BodyText"/>
        <w:spacing w:line="408" w:lineRule="auto"/>
        <w:ind w:left="582" w:right="0" w:hanging="8"/>
        <w:jc w:val="left"/>
      </w:pPr>
      <w:r>
        <w:rPr>
          <w:rFonts w:ascii="宋体" w:hAnsi="宋体" w:cs="宋体" w:eastAsia="宋体" w:hint="default"/>
        </w:rPr>
        <w:t>2.</w:t>
      </w:r>
      <w:r>
        <w:rPr/>
        <w:t>印刷标准化项目：</w:t>
      </w:r>
      <w:r>
        <w:rPr>
          <w:w w:val="100"/>
        </w:rPr>
        <w:t> </w:t>
      </w:r>
      <w:r>
        <w:rPr>
          <w:spacing w:val="-2"/>
        </w:rPr>
        <w:t>建立公司印前、印刷及印后标准的数字化、流程化，提高产品质量的稳定性。通过</w:t>
      </w:r>
      <w:r>
        <w:rPr>
          <w:rFonts w:ascii="宋体" w:hAnsi="宋体" w:cs="宋体" w:eastAsia="宋体" w:hint="default"/>
          <w:spacing w:val="-2"/>
        </w:rPr>
        <w:t>GMI</w:t>
      </w:r>
      <w:r>
        <w:rPr>
          <w:spacing w:val="-2"/>
        </w:rPr>
        <w:t>认证（国际包</w:t>
      </w:r>
    </w:p>
    <w:p>
      <w:pPr>
        <w:pStyle w:val="BodyText"/>
        <w:spacing w:line="408" w:lineRule="auto"/>
        <w:ind w:left="582" w:right="1024" w:hanging="431"/>
        <w:jc w:val="left"/>
      </w:pPr>
      <w:r>
        <w:rPr>
          <w:spacing w:val="-2"/>
        </w:rPr>
        <w:t>装品买家认证）</w:t>
      </w:r>
      <w:r>
        <w:rPr>
          <w:rFonts w:ascii="宋体" w:hAnsi="宋体" w:cs="宋体" w:eastAsia="宋体" w:hint="default"/>
          <w:spacing w:val="-2"/>
        </w:rPr>
        <w:t>/G7</w:t>
      </w:r>
      <w:r>
        <w:rPr>
          <w:spacing w:val="-2"/>
        </w:rPr>
        <w:t>认证（国际印刷行业认证），获取进入国际包装产业通行证。</w:t>
      </w:r>
      <w:r>
        <w:rPr>
          <w:spacing w:val="-37"/>
        </w:rPr>
        <w:t> </w:t>
      </w:r>
      <w:r>
        <w:rPr>
          <w:spacing w:val="-37"/>
        </w:rPr>
      </w:r>
      <w:r>
        <w:rPr>
          <w:rFonts w:ascii="宋体" w:hAnsi="宋体" w:cs="宋体" w:eastAsia="宋体" w:hint="default"/>
        </w:rPr>
        <w:t>3.</w:t>
      </w:r>
      <w:r>
        <w:rPr/>
        <w:t>工业互联网：</w:t>
      </w:r>
    </w:p>
    <w:p>
      <w:pPr>
        <w:pStyle w:val="BodyText"/>
        <w:spacing w:line="408" w:lineRule="auto"/>
        <w:ind w:right="206" w:firstLine="430"/>
        <w:jc w:val="both"/>
      </w:pPr>
      <w:r>
        <w:rPr>
          <w:rFonts w:ascii="宋体" w:hAnsi="宋体" w:cs="宋体" w:eastAsia="宋体" w:hint="default"/>
          <w:spacing w:val="-3"/>
        </w:rPr>
        <w:t>2018</w:t>
      </w:r>
      <w:r>
        <w:rPr>
          <w:spacing w:val="-3"/>
        </w:rPr>
        <w:t>年公司将以行业供应链管理为切入点，整合线上线下行业资源，突破数据集成、平台管理、开发</w:t>
      </w:r>
      <w:r>
        <w:rPr>
          <w:w w:val="100"/>
        </w:rPr>
        <w:t> </w:t>
      </w:r>
      <w:r>
        <w:rPr>
          <w:spacing w:val="-2"/>
        </w:rPr>
        <w:t>工具、微服务框架、建模分析等关键技术瓶颈，形成有效支撑印刷包装行业互联网平台发展的技术体系和</w:t>
      </w:r>
      <w:r>
        <w:rPr>
          <w:spacing w:val="-45"/>
        </w:rPr>
        <w:t> </w:t>
      </w:r>
      <w:r>
        <w:rPr>
          <w:spacing w:val="-45"/>
        </w:rPr>
      </w:r>
      <w:r>
        <w:rPr/>
        <w:t>产业体系，打造多行业多领域的“印刷互联网”前沿企业。</w:t>
      </w:r>
    </w:p>
    <w:p>
      <w:pPr>
        <w:pStyle w:val="BodyText"/>
        <w:spacing w:line="408" w:lineRule="auto"/>
        <w:ind w:left="582" w:right="0" w:hanging="8"/>
        <w:jc w:val="left"/>
      </w:pPr>
      <w:r>
        <w:rPr>
          <w:rFonts w:ascii="宋体" w:hAnsi="宋体" w:cs="宋体" w:eastAsia="宋体" w:hint="default"/>
        </w:rPr>
        <w:t>4.</w:t>
      </w:r>
      <w:r>
        <w:rPr/>
        <w:t>智能制造：</w:t>
      </w:r>
      <w:r>
        <w:rPr>
          <w:w w:val="100"/>
        </w:rPr>
        <w:t> </w:t>
      </w:r>
      <w:r>
        <w:rPr>
          <w:spacing w:val="-2"/>
        </w:rPr>
        <w:t>随着供应链管理平台的建立，线上线下行业资源的进一步整合，对传统型生产加工企业进行自动化、</w:t>
      </w:r>
    </w:p>
    <w:p>
      <w:pPr>
        <w:pStyle w:val="BodyText"/>
        <w:spacing w:line="240" w:lineRule="auto"/>
        <w:ind w:right="0"/>
        <w:jc w:val="left"/>
      </w:pPr>
      <w:r>
        <w:rPr/>
        <w:t>信息化升级改造，最终实现向智能化、智慧化企业的跨越。</w:t>
      </w:r>
    </w:p>
    <w:p>
      <w:pPr>
        <w:spacing w:line="350" w:lineRule="auto" w:before="126"/>
        <w:ind w:left="575" w:right="5874" w:hanging="423"/>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（三）可能面对的风险</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、公司经营规模迅速扩大带来的风险</w:t>
      </w:r>
    </w:p>
    <w:p>
      <w:pPr>
        <w:spacing w:line="240" w:lineRule="auto" w:before="8"/>
        <w:rPr>
          <w:rFonts w:ascii="宋体" w:hAnsi="宋体" w:cs="宋体" w:eastAsia="宋体" w:hint="default"/>
          <w:sz w:val="16"/>
          <w:szCs w:val="16"/>
        </w:rPr>
      </w:pPr>
    </w:p>
    <w:p>
      <w:pPr>
        <w:pStyle w:val="BodyText"/>
        <w:spacing w:line="408" w:lineRule="auto" w:before="0"/>
        <w:ind w:right="206" w:firstLine="422"/>
        <w:jc w:val="both"/>
      </w:pPr>
      <w:r>
        <w:rPr>
          <w:spacing w:val="-3"/>
        </w:rPr>
        <w:t>公司未来发展战略规划已向丰富产品线、供应链管理等方向发展，经营规模将极具变化、扩大，给公</w:t>
      </w:r>
      <w:r>
        <w:rPr>
          <w:w w:val="100"/>
        </w:rPr>
        <w:t> </w:t>
      </w:r>
      <w:r>
        <w:rPr>
          <w:spacing w:val="-2"/>
        </w:rPr>
        <w:t>司的经营管理提出了新的挑战，如果公司不能够很好适应经营规模扩大后新的经营管理要求，特别是在新</w:t>
      </w:r>
      <w:r>
        <w:rPr>
          <w:spacing w:val="-43"/>
        </w:rPr>
        <w:t> </w:t>
      </w:r>
      <w:r>
        <w:rPr>
          <w:spacing w:val="-43"/>
        </w:rPr>
      </w:r>
      <w:r>
        <w:rPr/>
        <w:t>市场开拓、新技术开发、集团化管控等诸多方面滞后，将给公司的未来经营和盈利带来挑战。</w:t>
      </w:r>
    </w:p>
    <w:p>
      <w:pPr>
        <w:pStyle w:val="BodyText"/>
        <w:spacing w:line="240" w:lineRule="auto" w:before="166"/>
        <w:ind w:left="590" w:right="0"/>
        <w:jc w:val="left"/>
      </w:pPr>
      <w:r>
        <w:rPr>
          <w:rFonts w:ascii="宋体" w:hAnsi="宋体" w:cs="宋体" w:eastAsia="宋体" w:hint="default"/>
        </w:rPr>
        <w:t>2</w:t>
      </w:r>
      <w:r>
        <w:rPr/>
        <w:t>、行业整合加剧的风险</w:t>
      </w:r>
    </w:p>
    <w:p>
      <w:pPr>
        <w:spacing w:line="240" w:lineRule="auto" w:before="12"/>
        <w:rPr>
          <w:rFonts w:ascii="宋体" w:hAnsi="宋体" w:cs="宋体" w:eastAsia="宋体" w:hint="default"/>
          <w:sz w:val="23"/>
          <w:szCs w:val="23"/>
        </w:rPr>
      </w:pPr>
    </w:p>
    <w:p>
      <w:pPr>
        <w:pStyle w:val="BodyText"/>
        <w:spacing w:line="408" w:lineRule="auto" w:before="0"/>
        <w:ind w:right="0" w:firstLine="422"/>
        <w:jc w:val="left"/>
      </w:pPr>
      <w:r>
        <w:rPr>
          <w:spacing w:val="-3"/>
        </w:rPr>
        <w:t>我国印刷行业的市场集中度较低，不能形成规范化、标准化、信息化的行业资源整合，导致经营成本</w:t>
      </w:r>
      <w:r>
        <w:rPr>
          <w:w w:val="100"/>
        </w:rPr>
        <w:t> </w:t>
      </w:r>
      <w:r>
        <w:rPr>
          <w:spacing w:val="-5"/>
        </w:rPr>
        <w:t>较大，利润空间较低，市场竞争程度较为激烈。加之国家供给侧政策调整，行业整合力度加剧、速度加快，</w:t>
      </w:r>
    </w:p>
    <w:p>
      <w:pPr>
        <w:spacing w:after="0" w:line="408" w:lineRule="auto"/>
        <w:jc w:val="left"/>
        <w:sectPr>
          <w:pgSz w:w="11910" w:h="16840"/>
          <w:pgMar w:header="0" w:footer="980" w:top="1500" w:bottom="1160" w:left="980" w:right="920"/>
        </w:sectPr>
      </w:pPr>
    </w:p>
    <w:p>
      <w:pPr>
        <w:pStyle w:val="BodyText"/>
        <w:spacing w:line="408" w:lineRule="auto" w:before="116"/>
        <w:ind w:right="145"/>
        <w:jc w:val="both"/>
      </w:pPr>
      <w:r>
        <w:rPr>
          <w:spacing w:val="-2"/>
        </w:rPr>
        <w:t>已上市具备融资渠道的印刷行业企业均加大、加快全供应链整合行动。公司上市后行业领域已发生变化，</w:t>
      </w:r>
      <w:r>
        <w:rPr>
          <w:spacing w:val="-21"/>
        </w:rPr>
        <w:t> </w:t>
      </w:r>
      <w:r>
        <w:rPr>
          <w:spacing w:val="-21"/>
        </w:rPr>
      </w:r>
      <w:r>
        <w:rPr>
          <w:spacing w:val="-2"/>
        </w:rPr>
        <w:t>从印刷包装细分领域向全行业领域发展，如果公司在行业扩张和丰富产品方面的步伐放缓，将会对公司的</w:t>
      </w:r>
      <w:r>
        <w:rPr>
          <w:spacing w:val="-42"/>
        </w:rPr>
        <w:t> </w:t>
      </w:r>
      <w:r>
        <w:rPr>
          <w:spacing w:val="-42"/>
        </w:rPr>
      </w:r>
      <w:r>
        <w:rPr/>
        <w:t>未来战略发展产生影响。</w:t>
      </w:r>
    </w:p>
    <w:p>
      <w:pPr>
        <w:pStyle w:val="BodyText"/>
        <w:spacing w:line="240" w:lineRule="auto" w:before="166"/>
        <w:ind w:left="590" w:right="0"/>
        <w:jc w:val="left"/>
      </w:pPr>
      <w:r>
        <w:rPr>
          <w:rFonts w:ascii="宋体" w:hAnsi="宋体" w:cs="宋体" w:eastAsia="宋体" w:hint="default"/>
        </w:rPr>
        <w:t>3</w:t>
      </w:r>
      <w:r>
        <w:rPr/>
        <w:t>、原材料价格波动的风险</w:t>
      </w:r>
    </w:p>
    <w:p>
      <w:pPr>
        <w:spacing w:line="240" w:lineRule="auto" w:before="12"/>
        <w:rPr>
          <w:rFonts w:ascii="宋体" w:hAnsi="宋体" w:cs="宋体" w:eastAsia="宋体" w:hint="default"/>
          <w:sz w:val="23"/>
          <w:szCs w:val="23"/>
        </w:rPr>
      </w:pPr>
    </w:p>
    <w:p>
      <w:pPr>
        <w:pStyle w:val="BodyText"/>
        <w:spacing w:line="408" w:lineRule="auto" w:before="0"/>
        <w:ind w:right="166" w:firstLine="422"/>
        <w:jc w:val="both"/>
      </w:pPr>
      <w:r>
        <w:rPr>
          <w:spacing w:val="-2"/>
        </w:rPr>
        <w:t>公司主要原材料为白卡纸和白板纸，其价格对公司产品成本的影响较大。近年来，国内白卡纸和白板</w:t>
      </w:r>
      <w:r>
        <w:rPr>
          <w:w w:val="100"/>
        </w:rPr>
        <w:t> </w:t>
      </w:r>
      <w:r>
        <w:rPr/>
        <w:t>纸市场价格不断波动。白卡纸价格在</w:t>
      </w:r>
      <w:r>
        <w:rPr>
          <w:rFonts w:ascii="宋体" w:hAnsi="宋体" w:cs="宋体" w:eastAsia="宋体" w:hint="default"/>
        </w:rPr>
        <w:t>2017</w:t>
      </w:r>
      <w:r>
        <w:rPr/>
        <w:t>年基础上每吨上涨约</w:t>
      </w:r>
      <w:r>
        <w:rPr>
          <w:rFonts w:ascii="宋体" w:hAnsi="宋体" w:cs="宋体" w:eastAsia="宋体" w:hint="default"/>
        </w:rPr>
        <w:t>30%</w:t>
      </w:r>
      <w:r>
        <w:rPr/>
        <w:t>，且外包装纸箱受《关于禁止洋垃圾入</w:t>
      </w:r>
      <w:r>
        <w:rPr>
          <w:spacing w:val="-25"/>
        </w:rPr>
        <w:t> </w:t>
      </w:r>
      <w:r>
        <w:rPr>
          <w:spacing w:val="-25"/>
        </w:rPr>
      </w:r>
      <w:r>
        <w:rPr>
          <w:spacing w:val="-2"/>
        </w:rPr>
        <w:t>境推进固体废物进口管理制度改革实施方案》的影响，纸箱采购及纸箱成本受到很大的制约，纸箱的成本</w:t>
      </w:r>
      <w:r>
        <w:rPr>
          <w:spacing w:val="-43"/>
        </w:rPr>
        <w:t> </w:t>
      </w:r>
      <w:r>
        <w:rPr>
          <w:spacing w:val="-43"/>
        </w:rPr>
      </w:r>
      <w:r>
        <w:rPr/>
        <w:t>在</w:t>
      </w:r>
      <w:r>
        <w:rPr>
          <w:rFonts w:ascii="宋体" w:hAnsi="宋体" w:cs="宋体" w:eastAsia="宋体" w:hint="default"/>
        </w:rPr>
        <w:t>2017</w:t>
      </w:r>
      <w:r>
        <w:rPr/>
        <w:t>年基础上每吨上涨约</w:t>
      </w:r>
      <w:r>
        <w:rPr>
          <w:rFonts w:ascii="宋体" w:hAnsi="宋体" w:cs="宋体" w:eastAsia="宋体" w:hint="default"/>
        </w:rPr>
        <w:t>60%</w:t>
      </w:r>
      <w:r>
        <w:rPr/>
        <w:t>。</w:t>
      </w:r>
    </w:p>
    <w:p>
      <w:pPr>
        <w:pStyle w:val="BodyText"/>
        <w:spacing w:line="408" w:lineRule="auto" w:before="166"/>
        <w:ind w:right="166" w:firstLine="422"/>
        <w:jc w:val="both"/>
      </w:pPr>
      <w:r>
        <w:rPr>
          <w:spacing w:val="-3"/>
        </w:rPr>
        <w:t>白卡纸和白板纸属于消费包装纸，其需求与药品、食品、化妆品等消费品行业具有高度相关性，随着</w:t>
      </w:r>
      <w:r>
        <w:rPr>
          <w:w w:val="100"/>
        </w:rPr>
        <w:t> </w:t>
      </w:r>
      <w:r>
        <w:rPr>
          <w:spacing w:val="-2"/>
        </w:rPr>
        <w:t>经济状况的持续好转，预计市场需求将继续维持较高的增速，纸价可能会在长期相对平稳的走势中出现周</w:t>
      </w:r>
      <w:r>
        <w:rPr>
          <w:spacing w:val="-43"/>
        </w:rPr>
        <w:t> </w:t>
      </w:r>
      <w:r>
        <w:rPr>
          <w:spacing w:val="-43"/>
        </w:rPr>
      </w:r>
      <w:r>
        <w:rPr>
          <w:spacing w:val="-2"/>
        </w:rPr>
        <w:t>期性波动，进而给公司生产经营带来一定影响。若发生公司主要原材料成本大幅上升而公司又未能及时通</w:t>
      </w:r>
      <w:r>
        <w:rPr>
          <w:spacing w:val="-43"/>
        </w:rPr>
        <w:t> </w:t>
      </w:r>
      <w:r>
        <w:rPr>
          <w:spacing w:val="-43"/>
        </w:rPr>
      </w:r>
      <w:r>
        <w:rPr>
          <w:spacing w:val="-2"/>
        </w:rPr>
        <w:t>过提高销售价格，或者因此或其他原因显著影响了公司的销售收入，公司可能存在营业利润下降或者亏损</w:t>
      </w:r>
      <w:r>
        <w:rPr>
          <w:spacing w:val="-44"/>
        </w:rPr>
        <w:t> </w:t>
      </w:r>
      <w:r>
        <w:rPr>
          <w:spacing w:val="-44"/>
        </w:rPr>
      </w:r>
      <w:r>
        <w:rPr/>
        <w:t>的风险。</w:t>
      </w:r>
    </w:p>
    <w:p>
      <w:pPr>
        <w:pStyle w:val="BodyText"/>
        <w:spacing w:line="240" w:lineRule="auto" w:before="166"/>
        <w:ind w:left="590" w:right="0"/>
        <w:jc w:val="left"/>
      </w:pPr>
      <w:r>
        <w:rPr>
          <w:rFonts w:ascii="宋体" w:hAnsi="宋体" w:cs="宋体" w:eastAsia="宋体" w:hint="default"/>
        </w:rPr>
        <w:t>4</w:t>
      </w:r>
      <w:r>
        <w:rPr/>
        <w:t>、技术革新周期加速风险</w:t>
      </w:r>
    </w:p>
    <w:p>
      <w:pPr>
        <w:spacing w:line="240" w:lineRule="auto" w:before="13"/>
        <w:rPr>
          <w:rFonts w:ascii="宋体" w:hAnsi="宋体" w:cs="宋体" w:eastAsia="宋体" w:hint="default"/>
          <w:sz w:val="23"/>
          <w:szCs w:val="23"/>
        </w:rPr>
      </w:pPr>
    </w:p>
    <w:p>
      <w:pPr>
        <w:pStyle w:val="BodyText"/>
        <w:spacing w:line="408" w:lineRule="auto" w:before="0"/>
        <w:ind w:right="144" w:firstLine="422"/>
        <w:jc w:val="both"/>
      </w:pPr>
      <w:r>
        <w:rPr>
          <w:spacing w:val="-2"/>
        </w:rPr>
        <w:t>随着世界科技的突飞猛进的发展，人工智能、区块链等技术的不断创新，制造行业不断在向自动化、</w:t>
      </w:r>
      <w:r>
        <w:rPr>
          <w:w w:val="100"/>
        </w:rPr>
        <w:t> </w:t>
      </w:r>
      <w:r>
        <w:rPr>
          <w:spacing w:val="-2"/>
        </w:rPr>
        <w:t>智能化发展，生产效率较低，人工成本过高的经营模式，已经不符合现今社会的发展趋势。尤其印刷行业</w:t>
      </w:r>
      <w:r>
        <w:rPr>
          <w:spacing w:val="-50"/>
        </w:rPr>
        <w:t> </w:t>
      </w:r>
      <w:r>
        <w:rPr>
          <w:spacing w:val="-50"/>
        </w:rPr>
      </w:r>
      <w:r>
        <w:rPr>
          <w:spacing w:val="-2"/>
        </w:rPr>
        <w:t>属于传统工业，如何更好的使用人工智能、区块链等科技工具，从传统工业向智能化、智慧化的新工业转</w:t>
      </w:r>
      <w:r>
        <w:rPr>
          <w:spacing w:val="-50"/>
        </w:rPr>
        <w:t> </w:t>
      </w:r>
      <w:r>
        <w:rPr>
          <w:spacing w:val="-50"/>
        </w:rPr>
      </w:r>
      <w:r>
        <w:rPr/>
        <w:t>变是当前印刷行业的重大课题。</w:t>
      </w:r>
    </w:p>
    <w:p>
      <w:pPr>
        <w:pStyle w:val="BodyText"/>
        <w:spacing w:line="240" w:lineRule="auto" w:before="166"/>
        <w:ind w:left="590" w:right="0"/>
        <w:jc w:val="left"/>
      </w:pPr>
      <w:r>
        <w:rPr>
          <w:rFonts w:ascii="宋体" w:hAnsi="宋体" w:cs="宋体" w:eastAsia="宋体" w:hint="default"/>
        </w:rPr>
        <w:t>5</w:t>
      </w:r>
      <w:r>
        <w:rPr/>
        <w:t>、所得税税收优惠不能持续的风险</w:t>
      </w:r>
    </w:p>
    <w:p>
      <w:pPr>
        <w:spacing w:line="240" w:lineRule="auto" w:before="12"/>
        <w:rPr>
          <w:rFonts w:ascii="宋体" w:hAnsi="宋体" w:cs="宋体" w:eastAsia="宋体" w:hint="default"/>
          <w:sz w:val="23"/>
          <w:szCs w:val="23"/>
        </w:rPr>
      </w:pPr>
    </w:p>
    <w:p>
      <w:pPr>
        <w:pStyle w:val="BodyText"/>
        <w:spacing w:line="408" w:lineRule="auto" w:before="0"/>
        <w:ind w:left="272" w:right="0" w:firstLine="317"/>
        <w:jc w:val="left"/>
      </w:pPr>
      <w:r>
        <w:rPr/>
        <w:t>公司于</w:t>
      </w:r>
      <w:r>
        <w:rPr>
          <w:rFonts w:ascii="宋体" w:hAnsi="宋体" w:cs="宋体" w:eastAsia="宋体" w:hint="default"/>
        </w:rPr>
        <w:t>2011</w:t>
      </w:r>
      <w:r>
        <w:rPr/>
        <w:t>年通过高新技术企业复审并于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9</w:t>
      </w:r>
      <w:r>
        <w:rPr/>
        <w:t>日取得由陕西省科学技术厅、陕西省财政厅、</w:t>
      </w:r>
      <w:r>
        <w:rPr>
          <w:w w:val="100"/>
        </w:rPr>
        <w:t> </w:t>
      </w:r>
      <w:r>
        <w:rPr>
          <w:spacing w:val="-7"/>
        </w:rPr>
        <w:t>陕西省国家税务局、陕西省地方税务局共同核发的《高新技术企业证书》（证书编号：</w:t>
      </w:r>
      <w:r>
        <w:rPr>
          <w:rFonts w:ascii="宋体" w:hAnsi="宋体" w:cs="宋体" w:eastAsia="宋体" w:hint="default"/>
          <w:spacing w:val="-7"/>
        </w:rPr>
        <w:t>GF201161000022</w:t>
      </w:r>
      <w:r>
        <w:rPr>
          <w:spacing w:val="-7"/>
        </w:rPr>
        <w:t>），</w:t>
      </w:r>
      <w:r>
        <w:rPr>
          <w:spacing w:val="-30"/>
        </w:rPr>
        <w:t> </w:t>
      </w:r>
      <w:r>
        <w:rPr>
          <w:spacing w:val="-2"/>
        </w:rPr>
        <w:t>有效期为</w:t>
      </w:r>
      <w:r>
        <w:rPr>
          <w:rFonts w:ascii="宋体" w:hAnsi="宋体" w:cs="宋体" w:eastAsia="宋体" w:hint="default"/>
          <w:spacing w:val="-2"/>
        </w:rPr>
        <w:t>3</w:t>
      </w:r>
      <w:r>
        <w:rPr>
          <w:spacing w:val="-2"/>
        </w:rPr>
        <w:t>年；公司于</w:t>
      </w:r>
      <w:r>
        <w:rPr>
          <w:rFonts w:ascii="宋体" w:hAnsi="宋体" w:cs="宋体" w:eastAsia="宋体" w:hint="default"/>
          <w:spacing w:val="-2"/>
        </w:rPr>
        <w:t>2014</w:t>
      </w:r>
      <w:r>
        <w:rPr>
          <w:spacing w:val="-2"/>
        </w:rPr>
        <w:t>年再次获得高新技术企业认证并于</w:t>
      </w:r>
      <w:r>
        <w:rPr>
          <w:rFonts w:ascii="宋体" w:hAnsi="宋体" w:cs="宋体" w:eastAsia="宋体" w:hint="default"/>
          <w:spacing w:val="-2"/>
        </w:rPr>
        <w:t>2014</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4</w:t>
      </w:r>
      <w:r>
        <w:rPr>
          <w:spacing w:val="-2"/>
        </w:rPr>
        <w:t>日取得由陕西省科学技术厅、陕</w:t>
      </w:r>
      <w:r>
        <w:rPr>
          <w:spacing w:val="-52"/>
        </w:rPr>
        <w:t> </w:t>
      </w:r>
      <w:r>
        <w:rPr>
          <w:spacing w:val="-52"/>
        </w:rPr>
      </w:r>
      <w:r>
        <w:rPr/>
        <w:t>西省财政厅、陕西省国家税务局、陕西省地方税务局共同核发的《高新技术企业证书》（证书编号：</w:t>
      </w:r>
      <w:r>
        <w:rPr>
          <w:w w:val="100"/>
        </w:rPr>
        <w:t> </w:t>
      </w:r>
      <w:r>
        <w:rPr>
          <w:rFonts w:ascii="宋体" w:hAnsi="宋体" w:cs="宋体" w:eastAsia="宋体" w:hint="default"/>
          <w:spacing w:val="-2"/>
        </w:rPr>
        <w:t>GR201461000289</w:t>
      </w:r>
      <w:r>
        <w:rPr>
          <w:spacing w:val="-2"/>
        </w:rPr>
        <w:t>），有效期为</w:t>
      </w:r>
      <w:r>
        <w:rPr>
          <w:rFonts w:ascii="宋体" w:hAnsi="宋体" w:cs="宋体" w:eastAsia="宋体" w:hint="default"/>
          <w:spacing w:val="-2"/>
        </w:rPr>
        <w:t>3</w:t>
      </w:r>
      <w:r>
        <w:rPr>
          <w:spacing w:val="-2"/>
        </w:rPr>
        <w:t>年；公司于</w:t>
      </w:r>
      <w:r>
        <w:rPr>
          <w:rFonts w:ascii="宋体" w:hAnsi="宋体" w:cs="宋体" w:eastAsia="宋体" w:hint="default"/>
          <w:spacing w:val="-2"/>
        </w:rPr>
        <w:t>2017</w:t>
      </w:r>
      <w:r>
        <w:rPr>
          <w:spacing w:val="-2"/>
        </w:rPr>
        <w:t>年再次通过高新技术企业复审并于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18</w:t>
      </w:r>
      <w:r>
        <w:rPr>
          <w:spacing w:val="-2"/>
        </w:rPr>
        <w:t>日取得由</w:t>
      </w:r>
      <w:r>
        <w:rPr>
          <w:spacing w:val="-39"/>
        </w:rPr>
        <w:t> </w:t>
      </w:r>
      <w:r>
        <w:rPr>
          <w:spacing w:val="-39"/>
        </w:rPr>
      </w:r>
      <w:r>
        <w:rPr/>
        <w:t>陕西省科学技术厅、陕西省财政厅、陕西省国家税务局、陕西省地方税务局共同核发的《高新技术企业</w:t>
      </w:r>
      <w:r>
        <w:rPr>
          <w:w w:val="100"/>
        </w:rPr>
        <w:t> </w:t>
      </w:r>
      <w:r>
        <w:rPr/>
        <w:t>证书》（证书编号：</w:t>
      </w:r>
      <w:r>
        <w:rPr>
          <w:rFonts w:ascii="宋体" w:hAnsi="宋体" w:cs="宋体" w:eastAsia="宋体" w:hint="default"/>
        </w:rPr>
        <w:t>GF201761000543</w:t>
      </w:r>
      <w:r>
        <w:rPr/>
        <w:t>），有效期为</w:t>
      </w:r>
      <w:r>
        <w:rPr>
          <w:rFonts w:ascii="宋体" w:hAnsi="宋体" w:cs="宋体" w:eastAsia="宋体" w:hint="default"/>
        </w:rPr>
        <w:t>3</w:t>
      </w:r>
      <w:r>
        <w:rPr/>
        <w:t>年。</w:t>
      </w:r>
    </w:p>
    <w:p>
      <w:pPr>
        <w:pStyle w:val="BodyText"/>
        <w:spacing w:line="240" w:lineRule="auto" w:before="166"/>
        <w:ind w:left="798" w:right="0"/>
        <w:jc w:val="left"/>
      </w:pPr>
      <w:r>
        <w:rPr/>
        <w:t>子公司天津滨海环球印务有限公司</w:t>
      </w:r>
      <w:r>
        <w:rPr>
          <w:rFonts w:ascii="宋体" w:hAnsi="宋体" w:cs="宋体" w:eastAsia="宋体" w:hint="default"/>
        </w:rPr>
        <w:t>2017</w:t>
      </w:r>
      <w:r>
        <w:rPr/>
        <w:t>年由天津市科学技术委员会、天</w:t>
      </w:r>
      <w:r>
        <w:rPr>
          <w:spacing w:val="-8"/>
        </w:rPr>
        <w:t> </w:t>
      </w:r>
      <w:r>
        <w:rPr/>
        <w:t>津市财政局、天津市国家</w:t>
      </w:r>
    </w:p>
    <w:p>
      <w:pPr>
        <w:spacing w:after="0" w:line="240" w:lineRule="auto"/>
        <w:jc w:val="left"/>
        <w:sectPr>
          <w:pgSz w:w="11910" w:h="16840"/>
          <w:pgMar w:header="0" w:footer="980" w:top="1500" w:bottom="1160" w:left="980" w:right="960"/>
        </w:sectPr>
      </w:pPr>
    </w:p>
    <w:p>
      <w:pPr>
        <w:pStyle w:val="BodyText"/>
        <w:spacing w:line="408" w:lineRule="auto" w:before="116"/>
        <w:ind w:left="272" w:right="0"/>
        <w:jc w:val="left"/>
      </w:pPr>
      <w:r>
        <w:rPr>
          <w:spacing w:val="-2"/>
        </w:rPr>
        <w:t>税务局、天津市地方税务局联合颁发的《高新技术企业证书》，证书时间为</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4</w:t>
      </w:r>
      <w:r>
        <w:rPr>
          <w:spacing w:val="-2"/>
        </w:rPr>
        <w:t>日，证书编号：</w:t>
      </w:r>
      <w:r>
        <w:rPr>
          <w:spacing w:val="-17"/>
        </w:rPr>
        <w:t> </w:t>
      </w:r>
      <w:r>
        <w:rPr>
          <w:spacing w:val="-17"/>
        </w:rPr>
      </w:r>
      <w:r>
        <w:rPr>
          <w:rFonts w:ascii="宋体" w:hAnsi="宋体" w:cs="宋体" w:eastAsia="宋体" w:hint="default"/>
        </w:rPr>
        <w:t>GR201712001327</w:t>
      </w:r>
      <w:r>
        <w:rPr/>
        <w:t>，有效期三年，天津环球被认定为高新技术企业。</w:t>
      </w:r>
    </w:p>
    <w:p>
      <w:pPr>
        <w:pStyle w:val="BodyText"/>
        <w:spacing w:line="408" w:lineRule="auto" w:before="166"/>
        <w:ind w:right="0" w:firstLine="422"/>
        <w:jc w:val="left"/>
      </w:pPr>
      <w:r>
        <w:rPr>
          <w:spacing w:val="-2"/>
        </w:rPr>
        <w:t>根据《中华人民共和国企业所得税法》、《中华人民共和国企业所得税法实施条例》、《国家税务总</w:t>
      </w:r>
      <w:r>
        <w:rPr>
          <w:w w:val="100"/>
        </w:rPr>
        <w:t> </w:t>
      </w:r>
      <w:r>
        <w:rPr/>
        <w:t>局关于实施高新技术企业所得税优惠有关问题的通知》（国税函</w:t>
      </w:r>
      <w:r>
        <w:rPr>
          <w:rFonts w:ascii="宋体" w:hAnsi="宋体" w:cs="宋体" w:eastAsia="宋体" w:hint="default"/>
        </w:rPr>
        <w:t>[2009]203</w:t>
      </w:r>
      <w:r>
        <w:rPr/>
        <w:t>号），公司目前享受高新技术</w:t>
      </w:r>
      <w:r>
        <w:rPr>
          <w:w w:val="100"/>
        </w:rPr>
        <w:t> </w:t>
      </w:r>
      <w:r>
        <w:rPr/>
        <w:t>企业所得税优惠，减按</w:t>
      </w:r>
      <w:r>
        <w:rPr>
          <w:rFonts w:ascii="宋体" w:hAnsi="宋体" w:cs="宋体" w:eastAsia="宋体" w:hint="default"/>
        </w:rPr>
        <w:t>15%</w:t>
      </w:r>
      <w:r>
        <w:rPr/>
        <w:t>的税率缴纳企业所得税。公司</w:t>
      </w:r>
      <w:r>
        <w:rPr>
          <w:rFonts w:ascii="宋体" w:hAnsi="宋体" w:cs="宋体" w:eastAsia="宋体" w:hint="default"/>
        </w:rPr>
        <w:t>2017</w:t>
      </w:r>
      <w:r>
        <w:rPr/>
        <w:t>年按</w:t>
      </w:r>
      <w:r>
        <w:rPr>
          <w:rFonts w:ascii="宋体" w:hAnsi="宋体" w:cs="宋体" w:eastAsia="宋体" w:hint="default"/>
        </w:rPr>
        <w:t>15%</w:t>
      </w:r>
      <w:r>
        <w:rPr/>
        <w:t>的税率预缴了企业所得税。</w:t>
      </w:r>
    </w:p>
    <w:p>
      <w:pPr>
        <w:pStyle w:val="BodyText"/>
        <w:spacing w:line="408" w:lineRule="auto" w:before="166"/>
        <w:ind w:right="0" w:firstLine="422"/>
        <w:jc w:val="left"/>
      </w:pPr>
      <w:r>
        <w:rPr>
          <w:spacing w:val="-2"/>
        </w:rPr>
        <w:t>若以后年度公司不能通过主管税局企业所得税优惠政策的备案，或者高新技术企业认证到期后不能通</w:t>
      </w:r>
      <w:r>
        <w:rPr>
          <w:w w:val="100"/>
        </w:rPr>
        <w:t> </w:t>
      </w:r>
      <w:r>
        <w:rPr/>
        <w:t>过复审，则存在无法持续享受高新技术企业</w:t>
      </w:r>
      <w:r>
        <w:rPr>
          <w:rFonts w:ascii="宋体" w:hAnsi="宋体" w:cs="宋体" w:eastAsia="宋体" w:hint="default"/>
        </w:rPr>
        <w:t>15%</w:t>
      </w:r>
      <w:r>
        <w:rPr/>
        <w:t>企业所得税优惠税率的风险。</w:t>
      </w:r>
    </w:p>
    <w:p>
      <w:pPr>
        <w:pStyle w:val="BodyText"/>
        <w:spacing w:line="240" w:lineRule="auto" w:before="166"/>
        <w:ind w:left="575" w:right="0"/>
        <w:jc w:val="left"/>
      </w:pPr>
      <w:r>
        <w:rPr>
          <w:rFonts w:ascii="宋体" w:hAnsi="宋体" w:cs="宋体" w:eastAsia="宋体" w:hint="default"/>
        </w:rPr>
        <w:t>6</w:t>
      </w:r>
      <w:r>
        <w:rPr/>
        <w:t>、应收账款发生坏账的风险</w:t>
      </w:r>
    </w:p>
    <w:p>
      <w:pPr>
        <w:spacing w:line="240" w:lineRule="auto" w:before="10"/>
        <w:rPr>
          <w:rFonts w:ascii="宋体" w:hAnsi="宋体" w:cs="宋体" w:eastAsia="宋体" w:hint="default"/>
          <w:sz w:val="14"/>
          <w:szCs w:val="14"/>
        </w:rPr>
      </w:pPr>
    </w:p>
    <w:p>
      <w:pPr>
        <w:pStyle w:val="BodyText"/>
        <w:spacing w:line="408" w:lineRule="auto" w:before="0"/>
        <w:ind w:right="103" w:firstLine="420"/>
        <w:jc w:val="both"/>
      </w:pPr>
      <w:r>
        <w:rPr>
          <w:rFonts w:ascii="宋体" w:hAnsi="宋体" w:cs="宋体" w:eastAsia="宋体" w:hint="default"/>
          <w:spacing w:val="-2"/>
        </w:rPr>
        <w:t>2017</w:t>
      </w:r>
      <w:r>
        <w:rPr>
          <w:spacing w:val="-2"/>
        </w:rPr>
        <w:t>年末公司应收账款余额为</w:t>
      </w:r>
      <w:r>
        <w:rPr>
          <w:rFonts w:ascii="宋体" w:hAnsi="宋体" w:cs="宋体" w:eastAsia="宋体" w:hint="default"/>
          <w:spacing w:val="-2"/>
        </w:rPr>
        <w:t>13387.69</w:t>
      </w:r>
      <w:r>
        <w:rPr>
          <w:spacing w:val="-2"/>
        </w:rPr>
        <w:t>万元，占同期营业收入的比重为</w:t>
      </w:r>
      <w:r>
        <w:rPr>
          <w:rFonts w:ascii="宋体" w:hAnsi="宋体" w:cs="宋体" w:eastAsia="宋体" w:hint="default"/>
          <w:spacing w:val="-2"/>
        </w:rPr>
        <w:t>30.55%</w:t>
      </w:r>
      <w:r>
        <w:rPr>
          <w:spacing w:val="-2"/>
        </w:rPr>
        <w:t>，占同期总资产的比重</w:t>
      </w:r>
      <w:r>
        <w:rPr>
          <w:w w:val="100"/>
        </w:rPr>
        <w:t> </w:t>
      </w:r>
      <w:r>
        <w:rPr/>
        <w:t>为</w:t>
      </w:r>
      <w:r>
        <w:rPr>
          <w:rFonts w:ascii="宋体" w:hAnsi="宋体" w:cs="宋体" w:eastAsia="宋体" w:hint="default"/>
        </w:rPr>
        <w:t>17.50%</w:t>
      </w:r>
      <w:r>
        <w:rPr/>
        <w:t>，应收账款余额较大。虽然公司目前应收账款质量和回收情况良好，但由于应收账款余额较大，</w:t>
      </w:r>
      <w:r>
        <w:rPr>
          <w:w w:val="100"/>
        </w:rPr>
        <w:t> </w:t>
      </w:r>
      <w:r>
        <w:rPr>
          <w:spacing w:val="-5"/>
        </w:rPr>
        <w:t>如果出现客户经营状况发生重大不利变化，可能存在发生坏账的风险，进而影响公司未来年度的利润水平。</w:t>
      </w:r>
    </w:p>
    <w:p>
      <w:pPr>
        <w:pStyle w:val="BodyText"/>
        <w:spacing w:line="408" w:lineRule="auto"/>
        <w:ind w:left="573" w:right="0"/>
        <w:jc w:val="left"/>
      </w:pPr>
      <w:r>
        <w:rPr>
          <w:rFonts w:ascii="宋体" w:hAnsi="宋体" w:cs="宋体" w:eastAsia="宋体" w:hint="default"/>
        </w:rPr>
        <w:t>7</w:t>
      </w:r>
      <w:r>
        <w:rPr/>
        <w:t>、受国家政策调整带来的风险</w:t>
      </w:r>
      <w:r>
        <w:rPr>
          <w:w w:val="100"/>
        </w:rPr>
        <w:t> </w:t>
      </w:r>
      <w:r>
        <w:rPr>
          <w:spacing w:val="-2"/>
        </w:rPr>
        <w:t>公司为医药行业配套生产和供应医药纸盒包装产品，其经营状况受医药行业政策环境、发展状况变化</w:t>
      </w:r>
    </w:p>
    <w:p>
      <w:pPr>
        <w:pStyle w:val="BodyText"/>
        <w:spacing w:line="408" w:lineRule="auto"/>
        <w:ind w:right="206"/>
        <w:jc w:val="both"/>
      </w:pPr>
      <w:r>
        <w:rPr>
          <w:spacing w:val="-2"/>
        </w:rPr>
        <w:t>影响较大。在我国医药产业总的快速发展趋势中，对医药包装行业的需求可能出现分化。近年来，随着新</w:t>
      </w:r>
      <w:r>
        <w:rPr>
          <w:spacing w:val="-47"/>
        </w:rPr>
        <w:t> </w:t>
      </w:r>
      <w:r>
        <w:rPr>
          <w:spacing w:val="-47"/>
        </w:rPr>
      </w:r>
      <w:r>
        <w:rPr>
          <w:spacing w:val="-2"/>
        </w:rPr>
        <w:t>医改的实施，医保覆盖范围逐步扩大，基本药物品种日渐增多，普通药品价格更加贴近人民消费水平，使</w:t>
      </w:r>
      <w:r>
        <w:rPr>
          <w:spacing w:val="-47"/>
        </w:rPr>
        <w:t> </w:t>
      </w:r>
      <w:r>
        <w:rPr>
          <w:spacing w:val="-47"/>
        </w:rPr>
      </w:r>
      <w:r>
        <w:rPr>
          <w:spacing w:val="-2"/>
        </w:rPr>
        <w:t>医药产品的需求量进一步上升，虽然公司在电子监管码方面的优势及募投项目投产后产生较为明显的规模</w:t>
      </w:r>
      <w:r>
        <w:rPr>
          <w:spacing w:val="-43"/>
        </w:rPr>
        <w:t> </w:t>
      </w:r>
      <w:r>
        <w:rPr>
          <w:spacing w:val="-43"/>
        </w:rPr>
      </w:r>
      <w:r>
        <w:rPr/>
        <w:t>效益，但国家电子监管码政策调整方向尚不明朗，可能存在一定的经营风险。</w:t>
      </w:r>
    </w:p>
    <w:p>
      <w:pPr>
        <w:pStyle w:val="Heading2"/>
        <w:spacing w:line="240" w:lineRule="auto" w:before="167"/>
        <w:ind w:right="0"/>
        <w:jc w:val="both"/>
        <w:rPr>
          <w:b w:val="0"/>
          <w:bCs w:val="0"/>
        </w:rPr>
      </w:pPr>
      <w:r>
        <w:rPr/>
        <w:t>十、接待调研、沟通、采访等活动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08"/>
                <w:sz w:val="18"/>
                <w:szCs w:val="18"/>
              </w:rPr>
              <w:t>：</w:t>
            </w:r>
            <w:r>
              <w:rPr>
                <w:rFonts w:ascii="宋体" w:hAnsi="宋体" w:cs="宋体" w:eastAsia="宋体" w:hint="default"/>
                <w:sz w:val="18"/>
                <w:szCs w:val="18"/>
              </w:rPr>
              <w:t>《环球印务</w:t>
            </w:r>
            <w:r>
              <w:rPr>
                <w:rFonts w:ascii="宋体" w:hAnsi="宋体" w:cs="宋体" w:eastAsia="宋体" w:hint="default"/>
                <w:spacing w:val="-17"/>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08"/>
                <w:sz w:val="18"/>
                <w:szCs w:val="18"/>
              </w:rPr>
              <w:t>：</w:t>
            </w:r>
            <w:r>
              <w:rPr>
                <w:rFonts w:ascii="宋体" w:hAnsi="宋体" w:cs="宋体" w:eastAsia="宋体" w:hint="default"/>
                <w:sz w:val="18"/>
                <w:szCs w:val="18"/>
              </w:rPr>
              <w:t>《环球印务</w:t>
            </w:r>
            <w:r>
              <w:rPr>
                <w:rFonts w:ascii="宋体" w:hAnsi="宋体" w:cs="宋体" w:eastAsia="宋体" w:hint="default"/>
                <w:spacing w:val="-17"/>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92"/>
                <w:sz w:val="18"/>
                <w:szCs w:val="18"/>
              </w:rPr>
              <w:t>：</w:t>
            </w:r>
            <w:r>
              <w:rPr>
                <w:rFonts w:ascii="宋体" w:hAnsi="宋体" w:cs="宋体" w:eastAsia="宋体" w:hint="default"/>
                <w:sz w:val="18"/>
                <w:szCs w:val="18"/>
              </w:rPr>
              <w:t>《环球印务：</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日投资者关系活动记录表》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92"/>
                <w:sz w:val="18"/>
                <w:szCs w:val="18"/>
              </w:rPr>
              <w:t>：</w:t>
            </w:r>
            <w:r>
              <w:rPr>
                <w:rFonts w:ascii="宋体" w:hAnsi="宋体" w:cs="宋体" w:eastAsia="宋体" w:hint="default"/>
                <w:sz w:val="18"/>
                <w:szCs w:val="18"/>
              </w:rPr>
              <w:t>《环球印务：</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0" w:footer="980" w:top="1500" w:bottom="1160" w:left="980" w:right="9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1"/>
        <w:spacing w:line="456" w:lineRule="exact"/>
        <w:ind w:right="656"/>
        <w:jc w:val="center"/>
        <w:rPr>
          <w:b w:val="0"/>
          <w:bCs w:val="0"/>
        </w:rPr>
      </w:pPr>
      <w:bookmarkStart w:name="_bookmark5" w:id="6"/>
      <w:bookmarkEnd w:id="6"/>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408" w:lineRule="auto" w:before="159"/>
        <w:ind w:right="146" w:firstLine="341"/>
        <w:jc w:val="both"/>
      </w:pP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日，公司完成了</w:t>
      </w:r>
      <w:r>
        <w:rPr>
          <w:rFonts w:ascii="宋体" w:hAnsi="宋体" w:cs="宋体" w:eastAsia="宋体" w:hint="default"/>
          <w:spacing w:val="-2"/>
        </w:rPr>
        <w:t>2016</w:t>
      </w:r>
      <w:r>
        <w:rPr>
          <w:spacing w:val="-2"/>
        </w:rPr>
        <w:t>年度权益分派，以</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100,000,000</w:t>
      </w:r>
      <w:r>
        <w:rPr>
          <w:spacing w:val="-2"/>
        </w:rPr>
        <w:t>股为基数，向</w:t>
      </w:r>
      <w:r>
        <w:rPr>
          <w:w w:val="100"/>
        </w:rPr>
        <w:t> </w:t>
      </w:r>
      <w:r>
        <w:rPr>
          <w:spacing w:val="-2"/>
        </w:rPr>
        <w:t>全体股东每</w:t>
      </w:r>
      <w:r>
        <w:rPr>
          <w:rFonts w:ascii="宋体" w:hAnsi="宋体" w:cs="宋体" w:eastAsia="宋体" w:hint="default"/>
          <w:spacing w:val="-2"/>
        </w:rPr>
        <w:t>10</w:t>
      </w:r>
      <w:r>
        <w:rPr>
          <w:spacing w:val="-2"/>
        </w:rPr>
        <w:t>股派发现金红利人民币</w:t>
      </w:r>
      <w:r>
        <w:rPr>
          <w:rFonts w:ascii="宋体" w:hAnsi="宋体" w:cs="宋体" w:eastAsia="宋体" w:hint="default"/>
          <w:spacing w:val="-2"/>
        </w:rPr>
        <w:t>2</w:t>
      </w:r>
      <w:r>
        <w:rPr>
          <w:spacing w:val="-2"/>
        </w:rPr>
        <w:t>元（含税），同时用可供股东分配的利润向全体股东每</w:t>
      </w:r>
      <w:r>
        <w:rPr>
          <w:rFonts w:ascii="宋体" w:hAnsi="宋体" w:cs="宋体" w:eastAsia="宋体" w:hint="default"/>
          <w:spacing w:val="-2"/>
        </w:rPr>
        <w:t>10</w:t>
      </w:r>
      <w:r>
        <w:rPr>
          <w:spacing w:val="-2"/>
        </w:rPr>
        <w:t>股送红股</w:t>
      </w:r>
      <w:r>
        <w:rPr>
          <w:rFonts w:ascii="宋体" w:hAnsi="宋体" w:cs="宋体" w:eastAsia="宋体" w:hint="default"/>
          <w:spacing w:val="-2"/>
        </w:rPr>
        <w:t>5</w:t>
      </w:r>
      <w:r>
        <w:rPr>
          <w:rFonts w:ascii="宋体" w:hAnsi="宋体" w:cs="宋体" w:eastAsia="宋体" w:hint="default"/>
          <w:spacing w:val="-37"/>
        </w:rPr>
        <w:t> </w:t>
      </w:r>
      <w:r>
        <w:rPr/>
        <w:t>股（含税），分红前公司总股本</w:t>
      </w:r>
      <w:r>
        <w:rPr>
          <w:rFonts w:ascii="宋体" w:hAnsi="宋体" w:cs="宋体" w:eastAsia="宋体" w:hint="default"/>
        </w:rPr>
        <w:t>100,000,000</w:t>
      </w:r>
      <w:r>
        <w:rPr/>
        <w:t>股，分红后总股本增至</w:t>
      </w:r>
      <w:r>
        <w:rPr>
          <w:rFonts w:ascii="宋体" w:hAnsi="宋体" w:cs="宋体" w:eastAsia="宋体" w:hint="default"/>
        </w:rPr>
        <w:t>150,000,000</w:t>
      </w:r>
      <w:r>
        <w:rPr/>
        <w:t>股。</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1"/>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1"/>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2"/>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w:t>
      </w:r>
      <w:r>
        <w:rPr>
          <w:rFonts w:ascii="宋体" w:hAnsi="宋体" w:cs="宋体" w:eastAsia="宋体" w:hint="default"/>
          <w:spacing w:val="-1"/>
          <w:sz w:val="18"/>
          <w:szCs w:val="18"/>
        </w:rPr>
        <w:t>报</w:t>
      </w:r>
      <w:r>
        <w:rPr>
          <w:rFonts w:ascii="宋体" w:hAnsi="宋体" w:cs="宋体" w:eastAsia="宋体" w:hint="default"/>
          <w:sz w:val="18"/>
          <w:szCs w:val="18"/>
        </w:rPr>
        <w:t>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BodyText"/>
        <w:spacing w:line="386" w:lineRule="auto" w:before="157"/>
        <w:ind w:right="149" w:firstLine="360"/>
        <w:jc w:val="both"/>
      </w:pPr>
      <w:r>
        <w:rPr>
          <w:spacing w:val="-2"/>
        </w:rPr>
        <w:t>公司</w:t>
      </w:r>
      <w:r>
        <w:rPr>
          <w:rFonts w:ascii="Times New Roman" w:hAnsi="Times New Roman" w:cs="Times New Roman" w:eastAsia="Times New Roman" w:hint="default"/>
          <w:spacing w:val="-2"/>
        </w:rPr>
        <w:t>2016</w:t>
      </w:r>
      <w:r>
        <w:rPr>
          <w:spacing w:val="-2"/>
        </w:rPr>
        <w:t>年度利润分配方案为：以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100,000,000</w:t>
      </w:r>
      <w:r>
        <w:rPr>
          <w:spacing w:val="-2"/>
        </w:rPr>
        <w:t>股为基数，向全体股东每</w:t>
      </w:r>
      <w:r>
        <w:rPr>
          <w:rFonts w:ascii="Times New Roman" w:hAnsi="Times New Roman" w:cs="Times New Roman" w:eastAsia="Times New Roman" w:hint="default"/>
          <w:spacing w:val="-2"/>
        </w:rPr>
        <w:t>10</w:t>
      </w:r>
      <w:r>
        <w:rPr>
          <w:spacing w:val="-2"/>
        </w:rPr>
        <w:t>股派</w:t>
      </w:r>
      <w:r>
        <w:rPr>
          <w:w w:val="100"/>
        </w:rPr>
        <w:t> </w:t>
      </w:r>
      <w:r>
        <w:rPr>
          <w:spacing w:val="-2"/>
        </w:rPr>
        <w:t>发现金红利人民币</w:t>
      </w:r>
      <w:r>
        <w:rPr>
          <w:rFonts w:ascii="Times New Roman" w:hAnsi="Times New Roman" w:cs="Times New Roman" w:eastAsia="Times New Roman" w:hint="default"/>
          <w:spacing w:val="-2"/>
        </w:rPr>
        <w:t>2</w:t>
      </w:r>
      <w:r>
        <w:rPr>
          <w:spacing w:val="-2"/>
        </w:rPr>
        <w:t>元（含税），共计派发现金</w:t>
      </w:r>
      <w:r>
        <w:rPr>
          <w:rFonts w:ascii="Times New Roman" w:hAnsi="Times New Roman" w:cs="Times New Roman" w:eastAsia="Times New Roman" w:hint="default"/>
          <w:spacing w:val="-2"/>
        </w:rPr>
        <w:t>20,000,000</w:t>
      </w:r>
      <w:r>
        <w:rPr>
          <w:spacing w:val="-2"/>
        </w:rPr>
        <w:t>元。同时用可供股东分配的利润向全体股东每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3"/>
        </w:rPr>
        <w:t> </w:t>
      </w:r>
      <w:r>
        <w:rPr>
          <w:spacing w:val="-2"/>
        </w:rPr>
        <w:t>股送红股</w:t>
      </w:r>
      <w:r>
        <w:rPr>
          <w:rFonts w:ascii="Times New Roman" w:hAnsi="Times New Roman" w:cs="Times New Roman" w:eastAsia="Times New Roman" w:hint="default"/>
          <w:spacing w:val="-2"/>
        </w:rPr>
        <w:t>5</w:t>
      </w:r>
      <w:r>
        <w:rPr>
          <w:spacing w:val="-2"/>
        </w:rPr>
        <w:t>股（含税），共计送红股</w:t>
      </w:r>
      <w:r>
        <w:rPr>
          <w:rFonts w:ascii="Times New Roman" w:hAnsi="Times New Roman" w:cs="Times New Roman" w:eastAsia="Times New Roman" w:hint="default"/>
          <w:spacing w:val="-2"/>
        </w:rPr>
        <w:t>50,000,000</w:t>
      </w:r>
      <w:r>
        <w:rPr>
          <w:spacing w:val="-2"/>
        </w:rPr>
        <w:t>股，不进行资本公积转增股本。该预案实施后，公司总股本</w:t>
      </w:r>
      <w:r>
        <w:rPr>
          <w:spacing w:val="-33"/>
        </w:rPr>
        <w:t> </w:t>
      </w:r>
      <w:r>
        <w:rPr>
          <w:spacing w:val="-33"/>
        </w:rPr>
      </w:r>
      <w:r>
        <w:rPr/>
        <w:t>将由</w:t>
      </w:r>
      <w:r>
        <w:rPr>
          <w:rFonts w:ascii="宋体" w:hAnsi="宋体" w:cs="宋体" w:eastAsia="宋体" w:hint="default"/>
        </w:rPr>
        <w:t>100,000,000</w:t>
      </w:r>
      <w:r>
        <w:rPr/>
        <w:t>股增加至</w:t>
      </w:r>
      <w:r>
        <w:rPr>
          <w:rFonts w:ascii="宋体" w:hAnsi="宋体" w:cs="宋体" w:eastAsia="宋体" w:hint="default"/>
        </w:rPr>
        <w:t>150,000,000</w:t>
      </w:r>
      <w:r>
        <w:rPr/>
        <w:t>股，该预案已经</w:t>
      </w:r>
      <w:r>
        <w:rPr>
          <w:rFonts w:ascii="宋体" w:hAnsi="宋体" w:cs="宋体" w:eastAsia="宋体" w:hint="default"/>
        </w:rPr>
        <w:t>2016</w:t>
      </w:r>
      <w:r>
        <w:rPr/>
        <w:t>年度股东大会审核通过。</w:t>
      </w:r>
    </w:p>
    <w:p>
      <w:pPr>
        <w:pStyle w:val="BodyText"/>
        <w:spacing w:line="240" w:lineRule="auto" w:before="65"/>
        <w:ind w:left="513" w:right="0"/>
        <w:jc w:val="left"/>
      </w:pPr>
      <w:r>
        <w:rPr/>
        <w:t>公司</w:t>
      </w:r>
      <w:r>
        <w:rPr>
          <w:rFonts w:ascii="宋体" w:hAnsi="宋体" w:cs="宋体" w:eastAsia="宋体" w:hint="default"/>
        </w:rPr>
        <w:t>2017</w:t>
      </w:r>
      <w:r>
        <w:rPr/>
        <w:t>年度利润分配预案为：不进行利润分配，不送红股，也不进行资本公积金转增股本。</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5"/>
        <w:gridCol w:w="1594"/>
        <w:gridCol w:w="1595"/>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0"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0"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22,608,687.67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500" w:bottom="1160" w:left="980" w:right="980"/>
        </w:sectPr>
      </w:pPr>
    </w:p>
    <w:p>
      <w:pPr>
        <w:spacing w:line="240" w:lineRule="auto" w:before="6"/>
        <w:rPr>
          <w:rFonts w:ascii="宋体" w:hAnsi="宋体" w:cs="宋体" w:eastAsia="宋体" w:hint="default"/>
          <w:sz w:val="2"/>
          <w:szCs w:val="2"/>
        </w:rPr>
      </w:pPr>
    </w:p>
    <w:tbl>
      <w:tblPr>
        <w:tblW w:w="0" w:type="auto"/>
        <w:jc w:val="left"/>
        <w:tblInd w:w="4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16" w:hRule="exact"/>
        </w:trPr>
        <w:tc>
          <w:tcPr>
            <w:tcW w:w="159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26,795,985.32</w:t>
            </w:r>
          </w:p>
        </w:tc>
        <w:tc>
          <w:tcPr>
            <w:tcW w:w="15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74.64%</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34,841,328.99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4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4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447" w:type="dxa"/>
        <w:tblLayout w:type="fixed"/>
        <w:tblCellMar>
          <w:top w:w="0" w:type="dxa"/>
          <w:left w:w="0" w:type="dxa"/>
          <w:bottom w:w="0" w:type="dxa"/>
          <w:right w:w="0" w:type="dxa"/>
        </w:tblCellMar>
        <w:tblLook w:val="01E0"/>
      </w:tblPr>
      <w:tblGrid>
        <w:gridCol w:w="4784"/>
        <w:gridCol w:w="4787"/>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7" w:right="44"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27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firstLine="36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年度利润分配预案为：不进行利润分配，不送</w:t>
            </w:r>
            <w:r>
              <w:rPr>
                <w:rFonts w:ascii="宋体" w:hAnsi="宋体" w:cs="宋体" w:eastAsia="宋体" w:hint="default"/>
                <w:sz w:val="18"/>
                <w:szCs w:val="18"/>
              </w:rPr>
              <w:t> 红股，也不进行资本公积金转增股本。鉴于公司目前正在筹 划重大资产重组事项，将以现金交易方式或现金交易与发行 股份相结合的方式进行资产收购，需要使用大量资金，为确 保公司经营的持续稳定发展，处于对股东利益的长远考虑， 经审慎研究后，公司本年度拟不进行利润分配，留存收益用 于公司收购资产。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2" w:firstLine="360"/>
              <w:jc w:val="both"/>
              <w:rPr>
                <w:rFonts w:ascii="宋体" w:hAnsi="宋体" w:cs="宋体" w:eastAsia="宋体" w:hint="default"/>
                <w:sz w:val="18"/>
                <w:szCs w:val="18"/>
              </w:rPr>
            </w:pPr>
            <w:r>
              <w:rPr>
                <w:rFonts w:ascii="宋体" w:hAnsi="宋体" w:cs="宋体" w:eastAsia="宋体" w:hint="default"/>
                <w:sz w:val="18"/>
                <w:szCs w:val="18"/>
              </w:rPr>
              <w:t>公司目前正在筹划重大资产重组事项，将以现金交易方 式或现金交易与发行股份相结合的方式进行资产收购，需要 使用大量资金，留存收益用于公司收购资产。</w:t>
            </w:r>
          </w:p>
        </w:tc>
      </w:tr>
    </w:tbl>
    <w:p>
      <w:pPr>
        <w:spacing w:line="240" w:lineRule="auto" w:before="1"/>
        <w:rPr>
          <w:rFonts w:ascii="宋体" w:hAnsi="宋体" w:cs="宋体" w:eastAsia="宋体" w:hint="default"/>
          <w:sz w:val="18"/>
          <w:szCs w:val="18"/>
        </w:rPr>
      </w:pPr>
    </w:p>
    <w:p>
      <w:pPr>
        <w:pStyle w:val="Heading2"/>
        <w:spacing w:line="367" w:lineRule="exact"/>
        <w:ind w:left="452" w:right="0"/>
        <w:jc w:val="left"/>
        <w:rPr>
          <w:b w:val="0"/>
          <w:bCs w:val="0"/>
        </w:rPr>
      </w:pPr>
      <w:r>
        <w:rPr/>
        <w:t>二、本报告期利润分配及资本公积金转增股本预案</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452" w:right="4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6"/>
        <w:rPr>
          <w:rFonts w:ascii="宋体" w:hAnsi="宋体" w:cs="宋体" w:eastAsia="宋体" w:hint="default"/>
          <w:sz w:val="13"/>
          <w:szCs w:val="13"/>
        </w:rPr>
      </w:pPr>
    </w:p>
    <w:p>
      <w:pPr>
        <w:pStyle w:val="Heading2"/>
        <w:spacing w:line="240" w:lineRule="auto"/>
        <w:ind w:left="452" w:right="0"/>
        <w:jc w:val="left"/>
        <w:rPr>
          <w:b w:val="0"/>
          <w:bCs w:val="0"/>
        </w:rPr>
      </w:pPr>
      <w:r>
        <w:rPr/>
        <w:t>三、承诺事项履行情况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Heading3"/>
        <w:spacing w:line="314" w:lineRule="exact"/>
        <w:ind w:left="452"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31"/>
        </w:rPr>
        <w:t> </w:t>
      </w:r>
      <w:r>
        <w:rPr>
          <w:spacing w:val="31"/>
        </w:rPr>
      </w:r>
      <w:r>
        <w:rPr/>
        <w:t>尚未履行完毕的承诺事项</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4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608"/>
        <w:gridCol w:w="1145"/>
        <w:gridCol w:w="853"/>
        <w:gridCol w:w="4181"/>
        <w:gridCol w:w="850"/>
        <w:gridCol w:w="852"/>
        <w:gridCol w:w="850"/>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45"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1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145"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1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4"/>
              <w:jc w:val="left"/>
              <w:rPr>
                <w:rFonts w:ascii="宋体" w:hAnsi="宋体" w:cs="宋体" w:eastAsia="宋体" w:hint="default"/>
                <w:sz w:val="18"/>
                <w:szCs w:val="18"/>
              </w:rPr>
            </w:pPr>
            <w:r>
              <w:rPr>
                <w:rFonts w:ascii="宋体" w:hAnsi="宋体" w:cs="宋体" w:eastAsia="宋体" w:hint="default"/>
                <w:sz w:val="18"/>
                <w:szCs w:val="18"/>
              </w:rPr>
              <w:t>资产重组时所作承 诺</w:t>
            </w:r>
          </w:p>
        </w:tc>
        <w:tc>
          <w:tcPr>
            <w:tcW w:w="1145" w:type="dxa"/>
            <w:tcBorders>
              <w:top w:val="single" w:sz="4" w:space="0" w:color="000000"/>
              <w:left w:val="single" w:sz="13" w:space="0" w:color="D2D2D2"/>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1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078" w:hRule="exact"/>
        </w:trPr>
        <w:tc>
          <w:tcPr>
            <w:tcW w:w="1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00" w:lineRule="auto"/>
              <w:ind w:left="28" w:right="96"/>
              <w:jc w:val="both"/>
              <w:rPr>
                <w:rFonts w:ascii="宋体" w:hAnsi="宋体" w:cs="宋体" w:eastAsia="宋体" w:hint="default"/>
                <w:sz w:val="18"/>
                <w:szCs w:val="18"/>
              </w:rPr>
            </w:pPr>
            <w:r>
              <w:rPr>
                <w:rFonts w:ascii="宋体" w:hAnsi="宋体" w:cs="宋体" w:eastAsia="宋体" w:hint="default"/>
                <w:sz w:val="18"/>
                <w:szCs w:val="18"/>
              </w:rPr>
              <w:t>李移岭</w:t>
            </w:r>
            <w:r>
              <w:rPr>
                <w:rFonts w:ascii="Times New Roman" w:hAnsi="Times New Roman" w:cs="Times New Roman" w:eastAsia="Times New Roman" w:hint="default"/>
                <w:sz w:val="18"/>
                <w:szCs w:val="18"/>
              </w:rPr>
              <w:t>;</w:t>
            </w:r>
            <w:r>
              <w:rPr>
                <w:rFonts w:ascii="宋体" w:hAnsi="宋体" w:cs="宋体" w:eastAsia="宋体" w:hint="default"/>
                <w:sz w:val="18"/>
                <w:szCs w:val="18"/>
              </w:rPr>
              <w:t>孙学 军</w:t>
            </w:r>
            <w:r>
              <w:rPr>
                <w:rFonts w:ascii="Times New Roman" w:hAnsi="Times New Roman" w:cs="Times New Roman" w:eastAsia="Times New Roman" w:hint="default"/>
                <w:sz w:val="18"/>
                <w:szCs w:val="18"/>
              </w:rPr>
              <w:t>;</w:t>
            </w:r>
            <w:r>
              <w:rPr>
                <w:rFonts w:ascii="宋体" w:hAnsi="宋体" w:cs="宋体" w:eastAsia="宋体" w:hint="default"/>
                <w:sz w:val="18"/>
                <w:szCs w:val="18"/>
              </w:rPr>
              <w:t>杨军</w:t>
            </w:r>
            <w:r>
              <w:rPr>
                <w:rFonts w:ascii="Times New Roman" w:hAnsi="Times New Roman" w:cs="Times New Roman" w:eastAsia="Times New Roman" w:hint="default"/>
                <w:sz w:val="18"/>
                <w:szCs w:val="18"/>
              </w:rPr>
              <w:t>;</w:t>
            </w:r>
            <w:r>
              <w:rPr>
                <w:rFonts w:ascii="宋体" w:hAnsi="宋体" w:cs="宋体" w:eastAsia="宋体" w:hint="default"/>
                <w:sz w:val="18"/>
                <w:szCs w:val="18"/>
              </w:rPr>
              <w:t>蔡红 军</w:t>
            </w:r>
            <w:r>
              <w:rPr>
                <w:rFonts w:ascii="Times New Roman" w:hAnsi="Times New Roman" w:cs="Times New Roman" w:eastAsia="Times New Roman" w:hint="default"/>
                <w:sz w:val="18"/>
                <w:szCs w:val="18"/>
              </w:rPr>
              <w:t>;</w:t>
            </w:r>
            <w:r>
              <w:rPr>
                <w:rFonts w:ascii="宋体" w:hAnsi="宋体" w:cs="宋体" w:eastAsia="宋体" w:hint="default"/>
                <w:sz w:val="18"/>
                <w:szCs w:val="18"/>
              </w:rPr>
              <w:t>张明禹</w:t>
            </w:r>
            <w:r>
              <w:rPr>
                <w:rFonts w:ascii="Times New Roman" w:hAnsi="Times New Roman" w:cs="Times New Roman" w:eastAsia="Times New Roman" w:hint="default"/>
                <w:sz w:val="18"/>
                <w:szCs w:val="18"/>
              </w:rPr>
              <w:t>;</w:t>
            </w:r>
            <w:r>
              <w:rPr>
                <w:rFonts w:ascii="宋体" w:hAnsi="宋体" w:cs="宋体" w:eastAsia="宋体" w:hint="default"/>
                <w:sz w:val="18"/>
                <w:szCs w:val="18"/>
              </w:rPr>
              <w:t>冯 均科</w:t>
            </w:r>
            <w:r>
              <w:rPr>
                <w:rFonts w:ascii="Times New Roman" w:hAnsi="Times New Roman" w:cs="Times New Roman" w:eastAsia="Times New Roman" w:hint="default"/>
                <w:sz w:val="18"/>
                <w:szCs w:val="18"/>
              </w:rPr>
              <w:t>;</w:t>
            </w:r>
            <w:r>
              <w:rPr>
                <w:rFonts w:ascii="宋体" w:hAnsi="宋体" w:cs="宋体" w:eastAsia="宋体" w:hint="default"/>
                <w:sz w:val="18"/>
                <w:szCs w:val="18"/>
              </w:rPr>
              <w:t>闻松泉</w:t>
            </w:r>
            <w:r>
              <w:rPr>
                <w:rFonts w:ascii="Times New Roman" w:hAnsi="Times New Roman" w:cs="Times New Roman" w:eastAsia="Times New Roman" w:hint="default"/>
                <w:sz w:val="18"/>
                <w:szCs w:val="18"/>
              </w:rPr>
              <w:t>; </w:t>
            </w:r>
            <w:r>
              <w:rPr>
                <w:rFonts w:ascii="宋体" w:hAnsi="宋体" w:cs="宋体" w:eastAsia="宋体" w:hint="default"/>
                <w:sz w:val="18"/>
                <w:szCs w:val="18"/>
              </w:rPr>
              <w:t>林蔚</w:t>
            </w:r>
            <w:r>
              <w:rPr>
                <w:rFonts w:ascii="Times New Roman" w:hAnsi="Times New Roman" w:cs="Times New Roman" w:eastAsia="Times New Roman" w:hint="default"/>
                <w:sz w:val="18"/>
                <w:szCs w:val="18"/>
              </w:rPr>
              <w:t>;</w:t>
            </w:r>
            <w:r>
              <w:rPr>
                <w:rFonts w:ascii="宋体" w:hAnsi="宋体" w:cs="宋体" w:eastAsia="宋体" w:hint="default"/>
                <w:sz w:val="18"/>
                <w:szCs w:val="18"/>
              </w:rPr>
              <w:t>赵建平</w:t>
            </w:r>
            <w:r>
              <w:rPr>
                <w:rFonts w:ascii="Times New Roman" w:hAnsi="Times New Roman" w:cs="Times New Roman" w:eastAsia="Times New Roman" w:hint="default"/>
                <w:sz w:val="18"/>
                <w:szCs w:val="18"/>
              </w:rPr>
              <w:t>; </w:t>
            </w:r>
            <w:r>
              <w:rPr>
                <w:rFonts w:ascii="宋体" w:hAnsi="宋体" w:cs="宋体" w:eastAsia="宋体" w:hint="default"/>
                <w:sz w:val="18"/>
                <w:szCs w:val="18"/>
              </w:rPr>
              <w:t>许明</w:t>
            </w:r>
            <w:r>
              <w:rPr>
                <w:rFonts w:ascii="Times New Roman" w:hAnsi="Times New Roman" w:cs="Times New Roman" w:eastAsia="Times New Roman" w:hint="default"/>
                <w:sz w:val="18"/>
                <w:szCs w:val="18"/>
              </w:rPr>
              <w:t>;</w:t>
            </w:r>
            <w:r>
              <w:rPr>
                <w:rFonts w:ascii="宋体" w:hAnsi="宋体" w:cs="宋体" w:eastAsia="宋体" w:hint="default"/>
                <w:sz w:val="18"/>
                <w:szCs w:val="18"/>
              </w:rPr>
              <w:t>常鹏</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81"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关于切实履行填补每股收益具体措施的承诺函：</w:t>
            </w:r>
            <w:r>
              <w:rPr>
                <w:rFonts w:ascii="Times New Roman" w:hAnsi="Times New Roman" w:cs="Times New Roman" w:eastAsia="Times New Roman" w:hint="default"/>
                <w:sz w:val="18"/>
                <w:szCs w:val="18"/>
              </w:rPr>
              <w:t>“</w:t>
            </w:r>
            <w:r>
              <w:rPr>
                <w:rFonts w:ascii="宋体" w:hAnsi="宋体" w:cs="宋体" w:eastAsia="宋体" w:hint="default"/>
                <w:sz w:val="18"/>
                <w:szCs w:val="18"/>
              </w:rPr>
              <w:t>为 保证公司填补每股收益的具体措施能够得到切实履 </w:t>
            </w:r>
            <w:r>
              <w:rPr>
                <w:rFonts w:ascii="宋体" w:hAnsi="宋体" w:cs="宋体" w:eastAsia="宋体" w:hint="default"/>
                <w:spacing w:val="-1"/>
                <w:sz w:val="18"/>
                <w:szCs w:val="18"/>
              </w:rPr>
              <w:t>行，本人作为西安环球印务股份有限公司（以下简称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公司</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）的董事</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高级管理人员，特承诺如下：（一）</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承诺不无偿或以不公平条件向其他单位或者个人输 </w:t>
            </w:r>
            <w:r>
              <w:rPr>
                <w:rFonts w:ascii="宋体" w:hAnsi="宋体" w:cs="宋体" w:eastAsia="宋体" w:hint="default"/>
                <w:spacing w:val="-4"/>
                <w:sz w:val="18"/>
                <w:szCs w:val="18"/>
              </w:rPr>
              <w:t>送利益，也不采用其他方式损害公司利益；（二）承</w:t>
            </w:r>
            <w:r>
              <w:rPr>
                <w:rFonts w:ascii="宋体" w:hAnsi="宋体" w:cs="宋体" w:eastAsia="宋体" w:hint="default"/>
                <w:sz w:val="18"/>
                <w:szCs w:val="18"/>
              </w:rPr>
              <w:t> 诺对本人以及职权范围内其他董事和高管的职务消 </w:t>
            </w:r>
            <w:r>
              <w:rPr>
                <w:rFonts w:ascii="宋体" w:hAnsi="宋体" w:cs="宋体" w:eastAsia="宋体" w:hint="default"/>
                <w:spacing w:val="-1"/>
                <w:sz w:val="18"/>
                <w:szCs w:val="18"/>
              </w:rPr>
              <w:t>费行为进行约束，必要的职务消费行为应低于平均水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平；（三）承诺不动用公司资产从事与其履行职责无</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703" w:hRule="exact"/>
        </w:trPr>
        <w:tc>
          <w:tcPr>
            <w:tcW w:w="16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44"/>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145" w:type="dxa"/>
            <w:vMerge/>
            <w:tcBorders>
              <w:left w:val="single" w:sz="10" w:space="0" w:color="D2D2D2"/>
              <w:right w:val="single" w:sz="4" w:space="0" w:color="000000"/>
            </w:tcBorders>
          </w:tcPr>
          <w:p>
            <w:pPr/>
          </w:p>
        </w:tc>
        <w:tc>
          <w:tcPr>
            <w:tcW w:w="853" w:type="dxa"/>
            <w:vMerge/>
            <w:tcBorders>
              <w:left w:val="single" w:sz="4" w:space="0" w:color="000000"/>
              <w:right w:val="single" w:sz="4" w:space="0" w:color="000000"/>
            </w:tcBorders>
          </w:tcPr>
          <w:p>
            <w:pPr/>
          </w:p>
        </w:tc>
        <w:tc>
          <w:tcPr>
            <w:tcW w:w="418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1078" w:hRule="exact"/>
        </w:trPr>
        <w:tc>
          <w:tcPr>
            <w:tcW w:w="1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10" w:space="0" w:color="D2D2D2"/>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418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0" w:top="1500" w:bottom="1160" w:left="680" w:right="660"/>
        </w:sectPr>
      </w:pPr>
    </w:p>
    <w:tbl>
      <w:tblPr>
        <w:tblW w:w="0" w:type="auto"/>
        <w:jc w:val="left"/>
        <w:tblInd w:w="113" w:type="dxa"/>
        <w:tblLayout w:type="fixed"/>
        <w:tblCellMar>
          <w:top w:w="0" w:type="dxa"/>
          <w:left w:w="0" w:type="dxa"/>
          <w:bottom w:w="0" w:type="dxa"/>
          <w:right w:w="0" w:type="dxa"/>
        </w:tblCellMar>
        <w:tblLook w:val="01E0"/>
      </w:tblPr>
      <w:tblGrid>
        <w:gridCol w:w="1631"/>
        <w:gridCol w:w="1133"/>
        <w:gridCol w:w="853"/>
        <w:gridCol w:w="4181"/>
        <w:gridCol w:w="850"/>
        <w:gridCol w:w="852"/>
        <w:gridCol w:w="852"/>
      </w:tblGrid>
      <w:tr>
        <w:trPr>
          <w:trHeight w:val="6303" w:hRule="exact"/>
        </w:trPr>
        <w:tc>
          <w:tcPr>
            <w:tcW w:w="1631" w:type="dxa"/>
            <w:vMerge w:val="restart"/>
            <w:tcBorders>
              <w:top w:val="single" w:sz="10" w:space="0" w:color="000000"/>
              <w:left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853" w:type="dxa"/>
            <w:tcBorders>
              <w:top w:val="single" w:sz="10" w:space="0" w:color="000000"/>
              <w:left w:val="single" w:sz="4" w:space="0" w:color="000000"/>
              <w:bottom w:val="single" w:sz="4" w:space="0" w:color="000000"/>
              <w:right w:val="single" w:sz="4" w:space="0" w:color="000000"/>
            </w:tcBorders>
          </w:tcPr>
          <w:p>
            <w:pPr/>
          </w:p>
        </w:tc>
        <w:tc>
          <w:tcPr>
            <w:tcW w:w="4181"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3"/>
              <w:ind w:left="24" w:right="1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关的投资、消费活动；（四）承诺积极推动公司薪酬</w:t>
            </w:r>
            <w:r>
              <w:rPr>
                <w:rFonts w:ascii="宋体" w:hAnsi="宋体" w:cs="宋体" w:eastAsia="宋体" w:hint="default"/>
                <w:sz w:val="18"/>
                <w:szCs w:val="18"/>
              </w:rPr>
              <w:t> 制度的完善使之符合摊薄即期收益填补回报措施的 </w:t>
            </w:r>
            <w:r>
              <w:rPr>
                <w:rFonts w:ascii="宋体" w:hAnsi="宋体" w:cs="宋体" w:eastAsia="宋体" w:hint="default"/>
                <w:spacing w:val="-1"/>
                <w:sz w:val="18"/>
                <w:szCs w:val="18"/>
              </w:rPr>
              <w:t>要求，承诺支持公司董事会或薪酬委员会制定的薪酬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制度与公司填补回报措施的执行情况相挂钩，若本人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5"/>
                <w:sz w:val="18"/>
                <w:szCs w:val="18"/>
              </w:rPr>
              <w:t>为董事则承诺在董事会上对相关议案投赞成票；（五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承诺当参与公司制订及推出股权激励计划的相关决 </w:t>
            </w:r>
            <w:r>
              <w:rPr>
                <w:rFonts w:ascii="宋体" w:hAnsi="宋体" w:cs="宋体" w:eastAsia="宋体" w:hint="default"/>
                <w:spacing w:val="-1"/>
                <w:sz w:val="18"/>
                <w:szCs w:val="18"/>
              </w:rPr>
              <w:t>策时，应该使股权激励的行权条件与公司填补回报措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施的执行情况相挂钩，若本人为董事则承诺在董事会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上对相关议案投赞成票。（六）在中国证券监督管理</w:t>
            </w:r>
            <w:r>
              <w:rPr>
                <w:rFonts w:ascii="宋体" w:hAnsi="宋体" w:cs="宋体" w:eastAsia="宋体" w:hint="default"/>
                <w:sz w:val="18"/>
                <w:szCs w:val="18"/>
              </w:rPr>
              <w:t> </w:t>
            </w:r>
            <w:r>
              <w:rPr>
                <w:rFonts w:ascii="宋体" w:hAnsi="宋体" w:cs="宋体" w:eastAsia="宋体" w:hint="default"/>
                <w:spacing w:val="-1"/>
                <w:sz w:val="18"/>
                <w:szCs w:val="18"/>
              </w:rPr>
              <w:t>委员会、深圳证券交易所另行发布摊薄即期收益填补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回报措施及其承诺的相关意见及实施细则后，如果公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司相关措施及本人的承诺与相关规定不符的，本人承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诺将立即按照相关规定作出补充承诺，并积极推进公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司制定新的措施。如本人未履行上述承诺，则本人将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在股东大会及中国证券监督管理委员会指定的披露 媒体上公开说明未履行承诺的具体原因并向公司股 </w:t>
            </w:r>
            <w:r>
              <w:rPr>
                <w:rFonts w:ascii="宋体" w:hAnsi="宋体" w:cs="宋体" w:eastAsia="宋体" w:hint="default"/>
                <w:spacing w:val="-1"/>
                <w:sz w:val="18"/>
                <w:szCs w:val="18"/>
              </w:rPr>
              <w:t>东和社会公众投资者道歉；公司有权将应付本人的工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资、薪酬、补贴等暂时予以扣留，直至本人完成上述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承诺的履行。如因未履行承诺导致公司或投资者遭受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经济损失的，本人将依法予以赔偿。</w:t>
            </w:r>
            <w:r>
              <w:rPr>
                <w:rFonts w:ascii="Times New Roman" w:hAnsi="Times New Roman" w:cs="Times New Roman" w:eastAsia="Times New Roman" w:hint="default"/>
                <w:sz w:val="18"/>
                <w:szCs w:val="18"/>
              </w:rPr>
              <w:t>”</w:t>
            </w:r>
          </w:p>
        </w:tc>
        <w:tc>
          <w:tcPr>
            <w:tcW w:w="8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52" w:type="dxa"/>
            <w:tcBorders>
              <w:top w:val="single" w:sz="10" w:space="0" w:color="000000"/>
              <w:left w:val="single" w:sz="4" w:space="0" w:color="000000"/>
              <w:bottom w:val="single" w:sz="4" w:space="0" w:color="000000"/>
              <w:right w:val="single" w:sz="4" w:space="0" w:color="000000"/>
            </w:tcBorders>
          </w:tcPr>
          <w:p>
            <w:pPr/>
          </w:p>
        </w:tc>
        <w:tc>
          <w:tcPr>
            <w:tcW w:w="852" w:type="dxa"/>
            <w:tcBorders>
              <w:top w:val="single" w:sz="10" w:space="0" w:color="000000"/>
              <w:left w:val="single" w:sz="4" w:space="0" w:color="000000"/>
              <w:bottom w:val="single" w:sz="4" w:space="0" w:color="000000"/>
              <w:right w:val="single" w:sz="4" w:space="0" w:color="000000"/>
            </w:tcBorders>
          </w:tcPr>
          <w:p>
            <w:pPr/>
          </w:p>
        </w:tc>
      </w:tr>
      <w:tr>
        <w:trPr>
          <w:trHeight w:val="6954" w:hRule="exact"/>
        </w:trPr>
        <w:tc>
          <w:tcPr>
            <w:tcW w:w="1631"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控股股东关于公积金相关事项的承诺：作为控股股 东，为支持西安环球印务股份有限公司（下简称发行 人）首次公开发行股票并上市，本公司承诺，若发生 以下情形时，本公司将无条件承担相关支付义务以及 因此产生的相关费用，不使发行人因此受到经济损 失：</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、因发行人及其控股子公司在本承诺出具之前 未执行住房公积金管理制度，导致相关主管机构要求 发行人及其控股子公司补缴以前年度住房公积金或 对发行人及其控股子公司进行处罚；</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、因发行人 及其控股子公司于本承诺出具之前发生的未执行住 房公积金管理制度，导致相关利益主体以任何方式提 出赔偿请求。控股股东关于社会保险相关事项的承 诺</w:t>
            </w:r>
            <w:r>
              <w:rPr>
                <w:rFonts w:ascii="Times New Roman" w:hAnsi="Times New Roman" w:cs="Times New Roman" w:eastAsia="Times New Roman" w:hint="default"/>
                <w:sz w:val="18"/>
                <w:szCs w:val="18"/>
              </w:rPr>
              <w:t>:“</w:t>
            </w:r>
            <w:r>
              <w:rPr>
                <w:rFonts w:ascii="宋体" w:hAnsi="宋体" w:cs="宋体" w:eastAsia="宋体" w:hint="default"/>
                <w:sz w:val="18"/>
                <w:szCs w:val="18"/>
              </w:rPr>
              <w:t>若将来因相关主管部门要求发行人及其控股子公 司补缴社会保险或对发行人处以任何罚款</w:t>
            </w:r>
            <w:r>
              <w:rPr>
                <w:rFonts w:ascii="Times New Roman" w:hAnsi="Times New Roman" w:cs="Times New Roman" w:eastAsia="Times New Roman" w:hint="default"/>
                <w:sz w:val="18"/>
                <w:szCs w:val="18"/>
              </w:rPr>
              <w:t>,</w:t>
            </w:r>
            <w:r>
              <w:rPr>
                <w:rFonts w:ascii="宋体" w:hAnsi="宋体" w:cs="宋体" w:eastAsia="宋体" w:hint="default"/>
                <w:sz w:val="18"/>
                <w:szCs w:val="18"/>
              </w:rPr>
              <w:t>或因相关 利益主体向发行人及其控股子公司提出关于缴纳社 会保险的任何赔偿请求，导致发行人及其控股子公司 需要因此承担任何补偿责任、罚款或赔偿责任的，导 致发行人及其控股子公司需要因此承担任何补偿责 任、罚款或赔偿责任的，本公司将无条件全额承担发 行人及其控股子公司因此而发生的全部费用、支出， 确保发行人及其控股子公司不会因此遭受任何损 失。</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403"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比特（香港）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74"/>
              <w:jc w:val="center"/>
              <w:rPr>
                <w:rFonts w:ascii="宋体" w:hAnsi="宋体" w:cs="宋体" w:eastAsia="宋体" w:hint="default"/>
                <w:sz w:val="18"/>
                <w:szCs w:val="18"/>
              </w:rPr>
            </w:pPr>
            <w:r>
              <w:rPr>
                <w:rFonts w:ascii="宋体" w:hAnsi="宋体" w:cs="宋体" w:eastAsia="宋体" w:hint="default"/>
                <w:sz w:val="18"/>
                <w:szCs w:val="18"/>
              </w:rPr>
              <w:t>股份限售</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自发行人上市之日起十二个月内，不转让或者委托他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十二个月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已履行完</w:t>
            </w:r>
          </w:p>
        </w:tc>
      </w:tr>
    </w:tbl>
    <w:p>
      <w:pPr>
        <w:spacing w:after="0" w:line="240" w:lineRule="auto"/>
        <w:jc w:val="left"/>
        <w:rPr>
          <w:rFonts w:ascii="宋体" w:hAnsi="宋体" w:cs="宋体" w:eastAsia="宋体" w:hint="default"/>
          <w:sz w:val="18"/>
          <w:szCs w:val="18"/>
        </w:rPr>
        <w:sectPr>
          <w:pgSz w:w="11910" w:h="16840"/>
          <w:pgMar w:header="0" w:footer="980" w:top="1520" w:bottom="1160" w:left="660" w:right="660"/>
        </w:sectPr>
      </w:pPr>
    </w:p>
    <w:tbl>
      <w:tblPr>
        <w:tblW w:w="0" w:type="auto"/>
        <w:jc w:val="left"/>
        <w:tblInd w:w="113" w:type="dxa"/>
        <w:tblLayout w:type="fixed"/>
        <w:tblCellMar>
          <w:top w:w="0" w:type="dxa"/>
          <w:left w:w="0" w:type="dxa"/>
          <w:bottom w:w="0" w:type="dxa"/>
          <w:right w:w="0" w:type="dxa"/>
        </w:tblCellMar>
        <w:tblLook w:val="01E0"/>
      </w:tblPr>
      <w:tblGrid>
        <w:gridCol w:w="1631"/>
        <w:gridCol w:w="1133"/>
        <w:gridCol w:w="853"/>
        <w:gridCol w:w="4181"/>
        <w:gridCol w:w="850"/>
        <w:gridCol w:w="852"/>
        <w:gridCol w:w="850"/>
      </w:tblGrid>
      <w:tr>
        <w:trPr>
          <w:trHeight w:val="332" w:hRule="exact"/>
        </w:trPr>
        <w:tc>
          <w:tcPr>
            <w:tcW w:w="1631" w:type="dxa"/>
            <w:vMerge w:val="restart"/>
            <w:tcBorders>
              <w:top w:val="single" w:sz="10" w:space="0" w:color="000000"/>
              <w:left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投资有限公</w:t>
            </w:r>
          </w:p>
        </w:tc>
        <w:tc>
          <w:tcPr>
            <w:tcW w:w="85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181"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人管理本公司持有的发行人公开发行股票前已发行</w:t>
            </w:r>
          </w:p>
        </w:tc>
        <w:tc>
          <w:tcPr>
            <w:tcW w:w="85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vMerge w:val="restart"/>
            <w:tcBorders>
              <w:top w:val="single" w:sz="10" w:space="0" w:color="000000"/>
              <w:left w:val="single" w:sz="4" w:space="0" w:color="000000"/>
              <w:right w:val="single" w:sz="4" w:space="0" w:color="000000"/>
            </w:tcBorders>
          </w:tcPr>
          <w:p>
            <w:pPr/>
          </w:p>
        </w:tc>
        <w:tc>
          <w:tcPr>
            <w:tcW w:w="85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香港原石</w:t>
            </w: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的股份，也不由发行人回购本公司持有的发行人公开</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国际有限公</w:t>
            </w: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发行股票前已发行的股份；关于承诺履行：本公司将</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积极采取合法措施履行就本次发行并上市所做的所</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有承诺，自愿接受监管机关、社会公众及投资者的监</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督，并依法承担相应责任。本公司如未履行上述股份</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持有及减持承诺，则违反承诺减持所得收益归发行人</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所有，本公司将在股东大会及中国证监会指定的披露</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媒体上公开说明未履行承诺的具体原因并向公司股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东和社会公众投资者道歉，并将自动延长持有全部股</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4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份的锁定期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631"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4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自发行人股票上市交易之日起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个月内，本公司不</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转让或者委托他人管理本公司持有的发行人股份，也</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不由发行人回购本公司持有的发行人于股票上市前</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已发行的股份。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、发行人上市后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个月内如发行人</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304" w:lineRule="auto"/>
              <w:ind w:left="24" w:right="19"/>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个交易日的收盘价均低于发行人首次公 开发行股票并上市时的股票发行价（以下简称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 </w:t>
            </w:r>
            <w:r>
              <w:rPr>
                <w:rFonts w:ascii="宋体" w:hAnsi="宋体" w:cs="宋体" w:eastAsia="宋体" w:hint="default"/>
                <w:spacing w:val="-8"/>
                <w:w w:val="100"/>
                <w:sz w:val="18"/>
                <w:szCs w:val="18"/>
              </w:rPr>
              <w:t>价</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），或者发行人上市后</w:t>
            </w:r>
            <w:r>
              <w:rPr>
                <w:rFonts w:ascii="宋体" w:hAnsi="宋体" w:cs="宋体" w:eastAsia="宋体" w:hint="default"/>
                <w:spacing w:val="-41"/>
                <w:w w:val="10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个月发行人股票期末（如</w:t>
            </w:r>
            <w:r>
              <w:rPr>
                <w:rFonts w:ascii="宋体" w:hAnsi="宋体" w:cs="宋体" w:eastAsia="宋体" w:hint="default"/>
                <w:sz w:val="18"/>
                <w:szCs w:val="18"/>
              </w:rPr>
              <w:t> </w:t>
            </w:r>
            <w:r>
              <w:rPr>
                <w:rFonts w:ascii="宋体" w:hAnsi="宋体" w:cs="宋体" w:eastAsia="宋体" w:hint="default"/>
                <w:spacing w:val="-1"/>
                <w:sz w:val="18"/>
                <w:szCs w:val="18"/>
              </w:rPr>
              <w:t>该日不是交易日，则为该日后第一个交易日）收盘价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低于发行价，本公司持有的发行人上述股份的锁定期</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三十六个 月</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56"/>
              <w:ind w:left="23" w:right="95"/>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317"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限自动延长至少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、本公司将积极采取合法</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措施履行就发行人首次公开发行股票并上市事宜所</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做的全部承诺，自愿接受监管部门、社会公众及投资</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4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者的监督，并依法承担相应责任。</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631"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4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减持的承诺：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、锁定期限（包括延长的锁定期限）</w:t>
            </w:r>
          </w:p>
        </w:tc>
        <w:tc>
          <w:tcPr>
            <w:tcW w:w="850"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4" w:right="0"/>
              <w:jc w:val="left"/>
              <w:rPr>
                <w:rFonts w:ascii="宋体" w:hAnsi="宋体" w:cs="宋体" w:eastAsia="宋体" w:hint="default"/>
                <w:sz w:val="18"/>
                <w:szCs w:val="18"/>
              </w:rPr>
            </w:pPr>
            <w:r>
              <w:rPr>
                <w:rFonts w:ascii="宋体" w:hAnsi="宋体" w:cs="宋体" w:eastAsia="宋体" w:hint="default"/>
                <w:sz w:val="18"/>
                <w:szCs w:val="18"/>
              </w:rPr>
              <w:t>届满后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个月内，本公司若减持上述股份，减持价</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格将不低于发行价。在锁定期满后的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果减持，减持股份数量不超过发行人股份总数的</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309" w:lineRule="auto"/>
              <w:ind w:left="24" w:right="5"/>
              <w:jc w:val="left"/>
              <w:rPr>
                <w:rFonts w:ascii="宋体" w:hAnsi="宋体" w:cs="宋体" w:eastAsia="宋体" w:hint="default"/>
                <w:sz w:val="18"/>
                <w:szCs w:val="18"/>
              </w:rPr>
            </w:pPr>
            <w:r>
              <w:rPr>
                <w:rFonts w:ascii="宋体" w:hAnsi="宋体" w:cs="宋体" w:eastAsia="宋体" w:hint="default"/>
                <w:sz w:val="18"/>
                <w:szCs w:val="18"/>
              </w:rPr>
              <w:t>在锁定期满后的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个月内，如果减持，减持股份数 量累计不超过发行人股份总数的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。本公司减持发 行人股份时，应提前将减持意向和拟减持数量等信息 以书面方式通知发行人，并由发行人及时予以公告， 自发行人公告之日起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个交易日后，本公司可以减持</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ind w:left="23" w:right="96"/>
              <w:jc w:val="left"/>
              <w:rPr>
                <w:rFonts w:ascii="宋体" w:hAnsi="宋体" w:cs="宋体" w:eastAsia="宋体" w:hint="default"/>
                <w:sz w:val="18"/>
                <w:szCs w:val="18"/>
              </w:rPr>
            </w:pPr>
            <w:r>
              <w:rPr>
                <w:rFonts w:ascii="宋体" w:hAnsi="宋体" w:cs="宋体" w:eastAsia="宋体" w:hint="default"/>
                <w:sz w:val="18"/>
                <w:szCs w:val="18"/>
              </w:rPr>
              <w:t>三十六个 月</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3" w:right="95"/>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发行人股份。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、本公司减持发行人股份应符合相关</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法律、法规、规章的规定，本公司减持将通过深圳证</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券交易所以协议转让、大宗交易、竞价交易或其他方</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4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法依法进行。</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r>
      <w:tr>
        <w:trPr>
          <w:trHeight w:val="1358" w:hRule="exact"/>
        </w:trPr>
        <w:tc>
          <w:tcPr>
            <w:tcW w:w="1631"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比特（香港） 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香港原石</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国际有限公</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4"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181" w:type="dxa"/>
            <w:tcBorders>
              <w:top w:val="single" w:sz="4" w:space="0" w:color="000000"/>
              <w:left w:val="single" w:sz="4" w:space="0" w:color="000000"/>
              <w:bottom w:val="nil" w:sz="6" w:space="0" w:color="auto"/>
              <w:right w:val="single" w:sz="4" w:space="0" w:color="000000"/>
            </w:tcBorders>
          </w:tcPr>
          <w:p>
            <w:pPr>
              <w:pStyle w:val="TableParagraph"/>
              <w:spacing w:line="312" w:lineRule="auto" w:before="44"/>
              <w:ind w:left="24" w:right="21"/>
              <w:jc w:val="both"/>
              <w:rPr>
                <w:rFonts w:ascii="宋体" w:hAnsi="宋体" w:cs="宋体" w:eastAsia="宋体" w:hint="default"/>
                <w:sz w:val="18"/>
                <w:szCs w:val="18"/>
              </w:rPr>
            </w:pPr>
            <w:r>
              <w:rPr>
                <w:rFonts w:ascii="宋体" w:hAnsi="宋体" w:cs="宋体" w:eastAsia="宋体" w:hint="default"/>
                <w:sz w:val="18"/>
                <w:szCs w:val="18"/>
              </w:rPr>
              <w:t>一、关于本公司持有及减持发行人股份的承诺：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锁定期满后，本公司将根据相关法律法规及深圳证券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交易所规则，结合证券市场情况、发行人股票走势及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公开信息、实际资金需要等情况，自主决策、择机进</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十二个月</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2" w:hRule="exact"/>
        </w:trPr>
        <w:tc>
          <w:tcPr>
            <w:tcW w:w="163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3" w:type="dxa"/>
            <w:tcBorders>
              <w:top w:val="nil" w:sz="6" w:space="0" w:color="auto"/>
              <w:left w:val="single" w:sz="4" w:space="0" w:color="000000"/>
              <w:bottom w:val="nil" w:sz="6" w:space="0" w:color="auto"/>
              <w:right w:val="single" w:sz="4" w:space="0" w:color="000000"/>
            </w:tcBorders>
          </w:tcPr>
          <w:p>
            <w:pPr/>
          </w:p>
        </w:tc>
        <w:tc>
          <w:tcPr>
            <w:tcW w:w="4181"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24" w:right="0"/>
              <w:jc w:val="left"/>
              <w:rPr>
                <w:rFonts w:ascii="宋体" w:hAnsi="宋体" w:cs="宋体" w:eastAsia="宋体" w:hint="default"/>
                <w:sz w:val="18"/>
                <w:szCs w:val="18"/>
              </w:rPr>
            </w:pPr>
            <w:r>
              <w:rPr>
                <w:rFonts w:ascii="宋体" w:hAnsi="宋体" w:cs="宋体" w:eastAsia="宋体" w:hint="default"/>
                <w:sz w:val="18"/>
                <w:szCs w:val="18"/>
              </w:rPr>
              <w:t>行减持；</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若本公司拟减持发行人股份，应提前将</w:t>
            </w:r>
          </w:p>
        </w:tc>
        <w:tc>
          <w:tcPr>
            <w:tcW w:w="850"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r>
      <w:tr>
        <w:trPr>
          <w:trHeight w:val="252"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4181" w:type="dxa"/>
            <w:tcBorders>
              <w:top w:val="nil" w:sz="6" w:space="0" w:color="auto"/>
              <w:left w:val="single" w:sz="4" w:space="0" w:color="000000"/>
              <w:bottom w:val="single" w:sz="4" w:space="0" w:color="000000"/>
              <w:right w:val="single" w:sz="4" w:space="0" w:color="000000"/>
            </w:tcBorders>
          </w:tcPr>
          <w:p>
            <w:pPr>
              <w:pStyle w:val="TableParagraph"/>
              <w:spacing w:line="174" w:lineRule="exact"/>
              <w:ind w:left="24" w:right="0"/>
              <w:jc w:val="left"/>
              <w:rPr>
                <w:rFonts w:ascii="宋体" w:hAnsi="宋体" w:cs="宋体" w:eastAsia="宋体" w:hint="default"/>
                <w:sz w:val="18"/>
                <w:szCs w:val="18"/>
              </w:rPr>
            </w:pPr>
            <w:r>
              <w:rPr>
                <w:rFonts w:ascii="宋体" w:hAnsi="宋体" w:cs="宋体" w:eastAsia="宋体" w:hint="default"/>
                <w:sz w:val="18"/>
                <w:szCs w:val="18"/>
              </w:rPr>
              <w:t>减持意向和拟减持数量等信息以书面方式通知发行</w:t>
            </w:r>
          </w:p>
        </w:tc>
        <w:tc>
          <w:tcPr>
            <w:tcW w:w="850"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0" w:top="1520" w:bottom="1160" w:left="660" w:right="660"/>
        </w:sectPr>
      </w:pPr>
    </w:p>
    <w:tbl>
      <w:tblPr>
        <w:tblW w:w="0" w:type="auto"/>
        <w:jc w:val="left"/>
        <w:tblInd w:w="113" w:type="dxa"/>
        <w:tblLayout w:type="fixed"/>
        <w:tblCellMar>
          <w:top w:w="0" w:type="dxa"/>
          <w:left w:w="0" w:type="dxa"/>
          <w:bottom w:w="0" w:type="dxa"/>
          <w:right w:w="0" w:type="dxa"/>
        </w:tblCellMar>
        <w:tblLook w:val="01E0"/>
      </w:tblPr>
      <w:tblGrid>
        <w:gridCol w:w="1631"/>
        <w:gridCol w:w="1133"/>
        <w:gridCol w:w="853"/>
        <w:gridCol w:w="4181"/>
        <w:gridCol w:w="850"/>
        <w:gridCol w:w="852"/>
        <w:gridCol w:w="852"/>
      </w:tblGrid>
      <w:tr>
        <w:trPr>
          <w:trHeight w:val="3807" w:hRule="exact"/>
        </w:trPr>
        <w:tc>
          <w:tcPr>
            <w:tcW w:w="1631" w:type="dxa"/>
            <w:vMerge w:val="restart"/>
            <w:tcBorders>
              <w:top w:val="single" w:sz="10" w:space="0" w:color="000000"/>
              <w:left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853" w:type="dxa"/>
            <w:tcBorders>
              <w:top w:val="single" w:sz="10" w:space="0" w:color="000000"/>
              <w:left w:val="single" w:sz="4" w:space="0" w:color="000000"/>
              <w:bottom w:val="single" w:sz="4" w:space="0" w:color="000000"/>
              <w:right w:val="single" w:sz="4" w:space="0" w:color="000000"/>
            </w:tcBorders>
          </w:tcPr>
          <w:p>
            <w:pPr/>
          </w:p>
        </w:tc>
        <w:tc>
          <w:tcPr>
            <w:tcW w:w="4181"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pacing w:val="-1"/>
                <w:sz w:val="18"/>
                <w:szCs w:val="18"/>
              </w:rPr>
              <w:t>人，并由发行人及时予以公告，自发行人公告之日起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个交易日后，本公司可以减持发行人股份。本公司 </w:t>
            </w:r>
            <w:r>
              <w:rPr>
                <w:rFonts w:ascii="宋体" w:hAnsi="宋体" w:cs="宋体" w:eastAsia="宋体" w:hint="default"/>
                <w:spacing w:val="-1"/>
                <w:sz w:val="18"/>
                <w:szCs w:val="18"/>
              </w:rPr>
              <w:t>按照深圳证券交易所的规则及时、准确地履行信息披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露义务。二、关于承诺履行：本公司将积极采取合法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措施履行就本次发行并上市所做的所有承诺，自愿接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受监管机关、社会公众及投资者的监督，并依法承担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相应责任。本公司如未履行上述股份持有及减持承 </w:t>
            </w:r>
            <w:r>
              <w:rPr>
                <w:rFonts w:ascii="宋体" w:hAnsi="宋体" w:cs="宋体" w:eastAsia="宋体" w:hint="default"/>
                <w:spacing w:val="-1"/>
                <w:sz w:val="18"/>
                <w:szCs w:val="18"/>
              </w:rPr>
              <w:t>诺，则违反承诺减持所得收益归发行人所有，本公司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将在股东大会及中国证监会指定的披露媒体上公开 说明未履行承诺的具体原因并向公司股东和社会公 </w:t>
            </w:r>
            <w:r>
              <w:rPr>
                <w:rFonts w:ascii="宋体" w:hAnsi="宋体" w:cs="宋体" w:eastAsia="宋体" w:hint="default"/>
                <w:spacing w:val="-1"/>
                <w:sz w:val="18"/>
                <w:szCs w:val="18"/>
              </w:rPr>
              <w:t>众投资者道歉，并将自动延长持有全部股份的锁定期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single" w:sz="10" w:space="0" w:color="000000"/>
              <w:left w:val="single" w:sz="4" w:space="0" w:color="000000"/>
              <w:bottom w:val="single" w:sz="4" w:space="0" w:color="000000"/>
              <w:right w:val="single" w:sz="4" w:space="0" w:color="000000"/>
            </w:tcBorders>
          </w:tcPr>
          <w:p>
            <w:pPr/>
          </w:p>
        </w:tc>
        <w:tc>
          <w:tcPr>
            <w:tcW w:w="852" w:type="dxa"/>
            <w:tcBorders>
              <w:top w:val="single" w:sz="10" w:space="0" w:color="000000"/>
              <w:left w:val="single" w:sz="4" w:space="0" w:color="000000"/>
              <w:bottom w:val="single" w:sz="4" w:space="0" w:color="000000"/>
              <w:right w:val="single" w:sz="4" w:space="0" w:color="000000"/>
            </w:tcBorders>
          </w:tcPr>
          <w:p>
            <w:pPr/>
          </w:p>
        </w:tc>
        <w:tc>
          <w:tcPr>
            <w:tcW w:w="852" w:type="dxa"/>
            <w:tcBorders>
              <w:top w:val="single" w:sz="10" w:space="0" w:color="000000"/>
              <w:left w:val="single" w:sz="4" w:space="0" w:color="000000"/>
              <w:bottom w:val="single" w:sz="4" w:space="0" w:color="000000"/>
              <w:right w:val="single" w:sz="4" w:space="0" w:color="000000"/>
            </w:tcBorders>
          </w:tcPr>
          <w:p>
            <w:pPr/>
          </w:p>
        </w:tc>
      </w:tr>
      <w:tr>
        <w:trPr>
          <w:trHeight w:val="5705" w:hRule="exact"/>
        </w:trPr>
        <w:tc>
          <w:tcPr>
            <w:tcW w:w="1631"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2" w:lineRule="auto"/>
              <w:ind w:left="23" w:right="17"/>
              <w:jc w:val="left"/>
              <w:rPr>
                <w:rFonts w:ascii="宋体" w:hAnsi="宋体" w:cs="宋体" w:eastAsia="宋体" w:hint="default"/>
                <w:sz w:val="18"/>
                <w:szCs w:val="18"/>
              </w:rPr>
            </w:pPr>
            <w:r>
              <w:rPr>
                <w:rFonts w:ascii="宋体" w:hAnsi="宋体" w:cs="宋体" w:eastAsia="宋体" w:hint="default"/>
                <w:sz w:val="18"/>
                <w:szCs w:val="18"/>
              </w:rPr>
              <w:t>比特（香港） 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香港原石 国际有限公</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4" w:right="5"/>
              <w:jc w:val="left"/>
              <w:rPr>
                <w:rFonts w:ascii="宋体" w:hAnsi="宋体" w:cs="宋体" w:eastAsia="宋体" w:hint="default"/>
                <w:sz w:val="18"/>
                <w:szCs w:val="18"/>
              </w:rPr>
            </w:pPr>
            <w:r>
              <w:rPr>
                <w:rFonts w:ascii="宋体" w:hAnsi="宋体" w:cs="宋体" w:eastAsia="宋体" w:hint="default"/>
                <w:sz w:val="18"/>
                <w:szCs w:val="18"/>
              </w:rPr>
              <w:t>锁定期满后的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个月内，本公司将根据相关法律法 规及深圳证券交易所规则，结合证券市场情况、发行 人股票走势及公开信息、实际资金需要等情况，自主 决策、择机进行减持，减持价格不低于发行价，减持 比例不超过本公司持有发行人股份的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。若本公 司拟减持发行人股份，应提前将减持意向和拟减持数 量等信息以书面方式通知发行人，并由发行人及时予 以公告，自发行人公告之日起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个交易日后，本公司 可以减持发行人股份。本公司按照深圳证券交易所的 规则及时、准确地履行信息披露义务。本公司将积极 采取合法措施履行就本次发行并上市所做的所有承 诺，自愿接受监管机关、社会公众及投资者的监督， 并依法承担相应责任。本公司如未履行上述股份持有 及减持承诺，则违反承诺减持所得收益归发行人所 有，本公司将在股东大会及中国证监会指定的披露媒 体上公开说明未履行承诺的具体原因并向公司股东 和社会公众投资者道歉，并将自动延长持有全部股份 的锁定期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二十四个 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107"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00" w:lineRule="auto"/>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4" w:right="19"/>
              <w:jc w:val="left"/>
              <w:rPr>
                <w:rFonts w:ascii="宋体" w:hAnsi="宋体" w:cs="宋体" w:eastAsia="宋体" w:hint="default"/>
                <w:sz w:val="18"/>
                <w:szCs w:val="18"/>
              </w:rPr>
            </w:pPr>
            <w:r>
              <w:rPr>
                <w:rFonts w:ascii="宋体" w:hAnsi="宋体" w:cs="宋体" w:eastAsia="宋体" w:hint="default"/>
                <w:sz w:val="18"/>
                <w:szCs w:val="18"/>
              </w:rPr>
              <w:t>如发行人上市后三年内，发行人股票收盘价连续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个交易日低于最近一期经审计的每股净资产，在发行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人启动稳定股价预案时，本公司将严格按照《西安环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球印务股份有限公司上市后稳定公司股价预案》的要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求，履行相关稳定公司股价的义务。本公司如未履行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上述承诺，则本公司将在股东大会及中国证券监督管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理委员会指定的披露媒体上公开说明未履行承诺的 具体原因并向发行人其他股东和社会公众投资者道 </w:t>
            </w:r>
            <w:r>
              <w:rPr>
                <w:rFonts w:ascii="宋体" w:hAnsi="宋体" w:cs="宋体" w:eastAsia="宋体" w:hint="default"/>
                <w:spacing w:val="-1"/>
                <w:sz w:val="18"/>
                <w:szCs w:val="18"/>
              </w:rPr>
              <w:t>歉；发行人有权将应付本公司通知的拟增持股份的资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金总额相等的现金分红予以暂时扣留，直至本公司实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际履行上述承诺义务为止；如因未履行承诺导致发行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人或投资者遭受经济损失的，本公司将依法予以赔 </w:t>
            </w:r>
            <w:r>
              <w:rPr>
                <w:rFonts w:ascii="宋体" w:hAnsi="宋体" w:cs="宋体" w:eastAsia="宋体" w:hint="default"/>
                <w:spacing w:val="-1"/>
                <w:sz w:val="18"/>
                <w:szCs w:val="18"/>
              </w:rPr>
              <w:t>偿。本公司将积极采取合法措施履行就发行人首次公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三十六个 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bl>
    <w:p>
      <w:pPr>
        <w:spacing w:after="0" w:line="316" w:lineRule="auto"/>
        <w:jc w:val="left"/>
        <w:rPr>
          <w:rFonts w:ascii="宋体" w:hAnsi="宋体" w:cs="宋体" w:eastAsia="宋体" w:hint="default"/>
          <w:sz w:val="18"/>
          <w:szCs w:val="18"/>
        </w:rPr>
        <w:sectPr>
          <w:pgSz w:w="11910" w:h="16840"/>
          <w:pgMar w:header="0" w:footer="980" w:top="1520" w:bottom="1160" w:left="660" w:right="660"/>
        </w:sectPr>
      </w:pPr>
    </w:p>
    <w:tbl>
      <w:tblPr>
        <w:tblW w:w="0" w:type="auto"/>
        <w:jc w:val="left"/>
        <w:tblInd w:w="113" w:type="dxa"/>
        <w:tblLayout w:type="fixed"/>
        <w:tblCellMar>
          <w:top w:w="0" w:type="dxa"/>
          <w:left w:w="0" w:type="dxa"/>
          <w:bottom w:w="0" w:type="dxa"/>
          <w:right w:w="0" w:type="dxa"/>
        </w:tblCellMar>
        <w:tblLook w:val="01E0"/>
      </w:tblPr>
      <w:tblGrid>
        <w:gridCol w:w="1631"/>
        <w:gridCol w:w="1133"/>
        <w:gridCol w:w="853"/>
        <w:gridCol w:w="4181"/>
        <w:gridCol w:w="850"/>
        <w:gridCol w:w="852"/>
        <w:gridCol w:w="852"/>
      </w:tblGrid>
      <w:tr>
        <w:trPr>
          <w:trHeight w:val="999" w:hRule="exact"/>
        </w:trPr>
        <w:tc>
          <w:tcPr>
            <w:tcW w:w="1631" w:type="dxa"/>
            <w:vMerge w:val="restart"/>
            <w:tcBorders>
              <w:top w:val="single" w:sz="10" w:space="0" w:color="000000"/>
              <w:left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853" w:type="dxa"/>
            <w:tcBorders>
              <w:top w:val="single" w:sz="10" w:space="0" w:color="000000"/>
              <w:left w:val="single" w:sz="4" w:space="0" w:color="000000"/>
              <w:bottom w:val="single" w:sz="4" w:space="0" w:color="000000"/>
              <w:right w:val="single" w:sz="4" w:space="0" w:color="000000"/>
            </w:tcBorders>
          </w:tcPr>
          <w:p>
            <w:pPr/>
          </w:p>
        </w:tc>
        <w:tc>
          <w:tcPr>
            <w:tcW w:w="4181"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8"/>
              <w:ind w:left="24" w:right="21"/>
              <w:jc w:val="both"/>
              <w:rPr>
                <w:rFonts w:ascii="宋体" w:hAnsi="宋体" w:cs="宋体" w:eastAsia="宋体" w:hint="default"/>
                <w:sz w:val="18"/>
                <w:szCs w:val="18"/>
              </w:rPr>
            </w:pPr>
            <w:r>
              <w:rPr>
                <w:rFonts w:ascii="宋体" w:hAnsi="宋体" w:cs="宋体" w:eastAsia="宋体" w:hint="default"/>
                <w:spacing w:val="-1"/>
                <w:sz w:val="18"/>
                <w:szCs w:val="18"/>
              </w:rPr>
              <w:t>开发行股票并上市事宜所做的全部承诺，自愿接受监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管部门、社会公众及投资者的监督，并依法承担相应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责任。</w:t>
            </w:r>
          </w:p>
        </w:tc>
        <w:tc>
          <w:tcPr>
            <w:tcW w:w="850" w:type="dxa"/>
            <w:tcBorders>
              <w:top w:val="single" w:sz="10" w:space="0" w:color="000000"/>
              <w:left w:val="single" w:sz="4" w:space="0" w:color="000000"/>
              <w:bottom w:val="single" w:sz="4" w:space="0" w:color="000000"/>
              <w:right w:val="single" w:sz="4" w:space="0" w:color="000000"/>
            </w:tcBorders>
          </w:tcPr>
          <w:p>
            <w:pPr/>
          </w:p>
        </w:tc>
        <w:tc>
          <w:tcPr>
            <w:tcW w:w="852" w:type="dxa"/>
            <w:tcBorders>
              <w:top w:val="single" w:sz="10" w:space="0" w:color="000000"/>
              <w:left w:val="single" w:sz="4" w:space="0" w:color="000000"/>
              <w:bottom w:val="single" w:sz="4" w:space="0" w:color="000000"/>
              <w:right w:val="single" w:sz="4" w:space="0" w:color="000000"/>
            </w:tcBorders>
          </w:tcPr>
          <w:p>
            <w:pPr/>
          </w:p>
        </w:tc>
        <w:tc>
          <w:tcPr>
            <w:tcW w:w="852" w:type="dxa"/>
            <w:tcBorders>
              <w:top w:val="single" w:sz="10" w:space="0" w:color="000000"/>
              <w:left w:val="single" w:sz="4" w:space="0" w:color="000000"/>
              <w:bottom w:val="single" w:sz="4" w:space="0" w:color="000000"/>
              <w:right w:val="single" w:sz="4" w:space="0" w:color="000000"/>
            </w:tcBorders>
          </w:tcPr>
          <w:p>
            <w:pPr/>
          </w:p>
        </w:tc>
      </w:tr>
      <w:tr>
        <w:trPr>
          <w:trHeight w:val="3521" w:hRule="exact"/>
        </w:trPr>
        <w:tc>
          <w:tcPr>
            <w:tcW w:w="1631"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00" w:lineRule="auto"/>
              <w:ind w:left="23" w:right="96"/>
              <w:jc w:val="both"/>
              <w:rPr>
                <w:rFonts w:ascii="宋体" w:hAnsi="宋体" w:cs="宋体" w:eastAsia="宋体" w:hint="default"/>
                <w:sz w:val="18"/>
                <w:szCs w:val="18"/>
              </w:rPr>
            </w:pPr>
            <w:r>
              <w:rPr>
                <w:rFonts w:ascii="宋体" w:hAnsi="宋体" w:cs="宋体" w:eastAsia="宋体" w:hint="default"/>
                <w:sz w:val="18"/>
                <w:szCs w:val="18"/>
              </w:rPr>
              <w:t>李移岭</w:t>
            </w:r>
            <w:r>
              <w:rPr>
                <w:rFonts w:ascii="Times New Roman" w:hAnsi="Times New Roman" w:cs="Times New Roman" w:eastAsia="Times New Roman" w:hint="default"/>
                <w:sz w:val="18"/>
                <w:szCs w:val="18"/>
              </w:rPr>
              <w:t>;</w:t>
            </w:r>
            <w:r>
              <w:rPr>
                <w:rFonts w:ascii="宋体" w:hAnsi="宋体" w:cs="宋体" w:eastAsia="宋体" w:hint="default"/>
                <w:sz w:val="18"/>
                <w:szCs w:val="18"/>
              </w:rPr>
              <w:t>孙学 军</w:t>
            </w:r>
            <w:r>
              <w:rPr>
                <w:rFonts w:ascii="Times New Roman" w:hAnsi="Times New Roman" w:cs="Times New Roman" w:eastAsia="Times New Roman" w:hint="default"/>
                <w:sz w:val="18"/>
                <w:szCs w:val="18"/>
              </w:rPr>
              <w:t>;</w:t>
            </w:r>
            <w:r>
              <w:rPr>
                <w:rFonts w:ascii="宋体" w:hAnsi="宋体" w:cs="宋体" w:eastAsia="宋体" w:hint="default"/>
                <w:sz w:val="18"/>
                <w:szCs w:val="18"/>
              </w:rPr>
              <w:t>杨军</w:t>
            </w:r>
            <w:r>
              <w:rPr>
                <w:rFonts w:ascii="Times New Roman" w:hAnsi="Times New Roman" w:cs="Times New Roman" w:eastAsia="Times New Roman" w:hint="default"/>
                <w:sz w:val="18"/>
                <w:szCs w:val="18"/>
              </w:rPr>
              <w:t>;</w:t>
            </w:r>
            <w:r>
              <w:rPr>
                <w:rFonts w:ascii="宋体" w:hAnsi="宋体" w:cs="宋体" w:eastAsia="宋体" w:hint="default"/>
                <w:sz w:val="18"/>
                <w:szCs w:val="18"/>
              </w:rPr>
              <w:t>蔡红 军</w:t>
            </w:r>
            <w:r>
              <w:rPr>
                <w:rFonts w:ascii="Times New Roman" w:hAnsi="Times New Roman" w:cs="Times New Roman" w:eastAsia="Times New Roman" w:hint="default"/>
                <w:sz w:val="18"/>
                <w:szCs w:val="18"/>
              </w:rPr>
              <w:t>;</w:t>
            </w:r>
            <w:r>
              <w:rPr>
                <w:rFonts w:ascii="宋体" w:hAnsi="宋体" w:cs="宋体" w:eastAsia="宋体" w:hint="default"/>
                <w:sz w:val="18"/>
                <w:szCs w:val="18"/>
              </w:rPr>
              <w:t>林蔚</w:t>
            </w:r>
            <w:r>
              <w:rPr>
                <w:rFonts w:ascii="Times New Roman" w:hAnsi="Times New Roman" w:cs="Times New Roman" w:eastAsia="Times New Roman" w:hint="default"/>
                <w:sz w:val="18"/>
                <w:szCs w:val="18"/>
              </w:rPr>
              <w:t>;</w:t>
            </w:r>
            <w:r>
              <w:rPr>
                <w:rFonts w:ascii="宋体" w:hAnsi="宋体" w:cs="宋体" w:eastAsia="宋体" w:hint="default"/>
                <w:sz w:val="18"/>
                <w:szCs w:val="18"/>
              </w:rPr>
              <w:t>赵建 平</w:t>
            </w:r>
            <w:r>
              <w:rPr>
                <w:rFonts w:ascii="Times New Roman" w:hAnsi="Times New Roman" w:cs="Times New Roman" w:eastAsia="Times New Roman" w:hint="default"/>
                <w:sz w:val="18"/>
                <w:szCs w:val="18"/>
              </w:rPr>
              <w:t>;</w:t>
            </w:r>
            <w:r>
              <w:rPr>
                <w:rFonts w:ascii="宋体" w:hAnsi="宋体" w:cs="宋体" w:eastAsia="宋体" w:hint="default"/>
                <w:sz w:val="18"/>
                <w:szCs w:val="18"/>
              </w:rPr>
              <w:t>许明</w:t>
            </w:r>
            <w:r>
              <w:rPr>
                <w:rFonts w:ascii="Times New Roman" w:hAnsi="Times New Roman" w:cs="Times New Roman" w:eastAsia="Times New Roman" w:hint="default"/>
                <w:sz w:val="18"/>
                <w:szCs w:val="18"/>
              </w:rPr>
              <w:t>;</w:t>
            </w:r>
            <w:r>
              <w:rPr>
                <w:rFonts w:ascii="宋体" w:hAnsi="宋体" w:cs="宋体" w:eastAsia="宋体" w:hint="default"/>
                <w:sz w:val="18"/>
                <w:szCs w:val="18"/>
              </w:rPr>
              <w:t>常鹏</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00" w:lineRule="auto"/>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4" w:right="5"/>
              <w:jc w:val="left"/>
              <w:rPr>
                <w:rFonts w:ascii="宋体" w:hAnsi="宋体" w:cs="宋体" w:eastAsia="宋体" w:hint="default"/>
                <w:sz w:val="18"/>
                <w:szCs w:val="18"/>
              </w:rPr>
            </w:pPr>
            <w:r>
              <w:rPr>
                <w:rFonts w:ascii="宋体" w:hAnsi="宋体" w:cs="宋体" w:eastAsia="宋体" w:hint="default"/>
                <w:spacing w:val="-9"/>
                <w:sz w:val="18"/>
                <w:szCs w:val="18"/>
              </w:rPr>
              <w:t>关于稳定股票价格的承诺：本人（指发行人的董事（独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立董事除外）、高级管理人员）将根据《西安环球印</w:t>
            </w:r>
            <w:r>
              <w:rPr>
                <w:rFonts w:ascii="宋体" w:hAnsi="宋体" w:cs="宋体" w:eastAsia="宋体" w:hint="default"/>
                <w:sz w:val="18"/>
                <w:szCs w:val="18"/>
              </w:rPr>
              <w:t> 务股份有限公司上市后稳定公司股价预案》的相关要 求，切实履行该预案所述职责，以维护发行人股价稳 定、保护中小投资者利益。如本人未履行上述承诺， 则本人将在股东大会及中国证券监督管理委员会指 定的披露媒体上公开说明未履行承诺的具体原因并 向公司股东和社会公众投资者道歉；发行人有权将应 付本人的工资、薪酬、补贴等暂时予以扣留，直至本 人完成上述承诺的履行。如因未履行承诺导致发行人 或投资者遭受经济损失的，本人将依法予以赔偿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2587" w:hRule="exact"/>
        </w:trPr>
        <w:tc>
          <w:tcPr>
            <w:tcW w:w="1631"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6"/>
              <w:ind w:left="23" w:right="96"/>
              <w:jc w:val="both"/>
              <w:rPr>
                <w:rFonts w:ascii="宋体" w:hAnsi="宋体" w:cs="宋体" w:eastAsia="宋体" w:hint="default"/>
                <w:sz w:val="18"/>
                <w:szCs w:val="18"/>
              </w:rPr>
            </w:pPr>
            <w:r>
              <w:rPr>
                <w:rFonts w:ascii="宋体" w:hAnsi="宋体" w:cs="宋体" w:eastAsia="宋体" w:hint="default"/>
                <w:sz w:val="18"/>
                <w:szCs w:val="18"/>
              </w:rPr>
              <w:t>李移岭</w:t>
            </w:r>
            <w:r>
              <w:rPr>
                <w:rFonts w:ascii="Times New Roman" w:hAnsi="Times New Roman" w:cs="Times New Roman" w:eastAsia="Times New Roman" w:hint="default"/>
                <w:sz w:val="18"/>
                <w:szCs w:val="18"/>
              </w:rPr>
              <w:t>;</w:t>
            </w:r>
            <w:r>
              <w:rPr>
                <w:rFonts w:ascii="宋体" w:hAnsi="宋体" w:cs="宋体" w:eastAsia="宋体" w:hint="default"/>
                <w:sz w:val="18"/>
                <w:szCs w:val="18"/>
              </w:rPr>
              <w:t>孙学 军</w:t>
            </w:r>
            <w:r>
              <w:rPr>
                <w:rFonts w:ascii="Times New Roman" w:hAnsi="Times New Roman" w:cs="Times New Roman" w:eastAsia="Times New Roman" w:hint="default"/>
                <w:sz w:val="18"/>
                <w:szCs w:val="18"/>
              </w:rPr>
              <w:t>;</w:t>
            </w:r>
            <w:r>
              <w:rPr>
                <w:rFonts w:ascii="宋体" w:hAnsi="宋体" w:cs="宋体" w:eastAsia="宋体" w:hint="default"/>
                <w:sz w:val="18"/>
                <w:szCs w:val="18"/>
              </w:rPr>
              <w:t>杨军</w:t>
            </w:r>
            <w:r>
              <w:rPr>
                <w:rFonts w:ascii="Times New Roman" w:hAnsi="Times New Roman" w:cs="Times New Roman" w:eastAsia="Times New Roman" w:hint="default"/>
                <w:sz w:val="18"/>
                <w:szCs w:val="18"/>
              </w:rPr>
              <w:t>;</w:t>
            </w:r>
            <w:r>
              <w:rPr>
                <w:rFonts w:ascii="宋体" w:hAnsi="宋体" w:cs="宋体" w:eastAsia="宋体" w:hint="default"/>
                <w:sz w:val="18"/>
                <w:szCs w:val="18"/>
              </w:rPr>
              <w:t>蔡红 军</w:t>
            </w:r>
            <w:r>
              <w:rPr>
                <w:rFonts w:ascii="Times New Roman" w:hAnsi="Times New Roman" w:cs="Times New Roman" w:eastAsia="Times New Roman" w:hint="default"/>
                <w:sz w:val="18"/>
                <w:szCs w:val="18"/>
              </w:rPr>
              <w:t>;</w:t>
            </w:r>
            <w:r>
              <w:rPr>
                <w:rFonts w:ascii="宋体" w:hAnsi="宋体" w:cs="宋体" w:eastAsia="宋体" w:hint="default"/>
                <w:sz w:val="18"/>
                <w:szCs w:val="18"/>
              </w:rPr>
              <w:t>张明禹</w:t>
            </w:r>
            <w:r>
              <w:rPr>
                <w:rFonts w:ascii="Times New Roman" w:hAnsi="Times New Roman" w:cs="Times New Roman" w:eastAsia="Times New Roman" w:hint="default"/>
                <w:sz w:val="18"/>
                <w:szCs w:val="18"/>
              </w:rPr>
              <w:t>;</w:t>
            </w:r>
            <w:r>
              <w:rPr>
                <w:rFonts w:ascii="宋体" w:hAnsi="宋体" w:cs="宋体" w:eastAsia="宋体" w:hint="default"/>
                <w:sz w:val="18"/>
                <w:szCs w:val="18"/>
              </w:rPr>
              <w:t>冯 均科</w:t>
            </w:r>
            <w:r>
              <w:rPr>
                <w:rFonts w:ascii="Times New Roman" w:hAnsi="Times New Roman" w:cs="Times New Roman" w:eastAsia="Times New Roman" w:hint="default"/>
                <w:sz w:val="18"/>
                <w:szCs w:val="18"/>
              </w:rPr>
              <w:t>;</w:t>
            </w:r>
            <w:r>
              <w:rPr>
                <w:rFonts w:ascii="宋体" w:hAnsi="宋体" w:cs="宋体" w:eastAsia="宋体" w:hint="default"/>
                <w:sz w:val="18"/>
                <w:szCs w:val="18"/>
              </w:rPr>
              <w:t>闻松泉</w:t>
            </w:r>
            <w:r>
              <w:rPr>
                <w:rFonts w:ascii="Times New Roman" w:hAnsi="Times New Roman" w:cs="Times New Roman" w:eastAsia="Times New Roman" w:hint="default"/>
                <w:sz w:val="18"/>
                <w:szCs w:val="18"/>
              </w:rPr>
              <w:t>; </w:t>
            </w:r>
            <w:r>
              <w:rPr>
                <w:rFonts w:ascii="宋体" w:hAnsi="宋体" w:cs="宋体" w:eastAsia="宋体" w:hint="default"/>
                <w:sz w:val="18"/>
                <w:szCs w:val="18"/>
              </w:rPr>
              <w:t>张兴才</w:t>
            </w:r>
            <w:r>
              <w:rPr>
                <w:rFonts w:ascii="Times New Roman" w:hAnsi="Times New Roman" w:cs="Times New Roman" w:eastAsia="Times New Roman" w:hint="default"/>
                <w:sz w:val="18"/>
                <w:szCs w:val="18"/>
              </w:rPr>
              <w:t>;</w:t>
            </w:r>
            <w:r>
              <w:rPr>
                <w:rFonts w:ascii="宋体" w:hAnsi="宋体" w:cs="宋体" w:eastAsia="宋体" w:hint="default"/>
                <w:sz w:val="18"/>
                <w:szCs w:val="18"/>
              </w:rPr>
              <w:t>冯杰</w:t>
            </w:r>
            <w:r>
              <w:rPr>
                <w:rFonts w:ascii="Times New Roman" w:hAnsi="Times New Roman" w:cs="Times New Roman" w:eastAsia="Times New Roman" w:hint="default"/>
                <w:sz w:val="18"/>
                <w:szCs w:val="18"/>
              </w:rPr>
              <w:t>; </w:t>
            </w:r>
            <w:r>
              <w:rPr>
                <w:rFonts w:ascii="宋体" w:hAnsi="宋体" w:cs="宋体" w:eastAsia="宋体" w:hint="default"/>
                <w:sz w:val="18"/>
                <w:szCs w:val="18"/>
              </w:rPr>
              <w:t>惠俊玉</w:t>
            </w:r>
            <w:r>
              <w:rPr>
                <w:rFonts w:ascii="Times New Roman" w:hAnsi="Times New Roman" w:cs="Times New Roman" w:eastAsia="Times New Roman" w:hint="default"/>
                <w:sz w:val="18"/>
                <w:szCs w:val="18"/>
              </w:rPr>
              <w:t>;</w:t>
            </w:r>
            <w:r>
              <w:rPr>
                <w:rFonts w:ascii="宋体" w:hAnsi="宋体" w:cs="宋体" w:eastAsia="宋体" w:hint="default"/>
                <w:sz w:val="18"/>
                <w:szCs w:val="18"/>
              </w:rPr>
              <w:t>林蔚</w:t>
            </w:r>
            <w:r>
              <w:rPr>
                <w:rFonts w:ascii="Times New Roman" w:hAnsi="Times New Roman" w:cs="Times New Roman" w:eastAsia="Times New Roman" w:hint="default"/>
                <w:sz w:val="18"/>
                <w:szCs w:val="18"/>
              </w:rPr>
              <w:t>; </w:t>
            </w:r>
            <w:r>
              <w:rPr>
                <w:rFonts w:ascii="宋体" w:hAnsi="宋体" w:cs="宋体" w:eastAsia="宋体" w:hint="default"/>
                <w:sz w:val="18"/>
                <w:szCs w:val="18"/>
              </w:rPr>
              <w:t>赵建平</w:t>
            </w:r>
            <w:r>
              <w:rPr>
                <w:rFonts w:ascii="Times New Roman" w:hAnsi="Times New Roman" w:cs="Times New Roman" w:eastAsia="Times New Roman" w:hint="default"/>
                <w:sz w:val="18"/>
                <w:szCs w:val="18"/>
              </w:rPr>
              <w:t>;</w:t>
            </w:r>
            <w:r>
              <w:rPr>
                <w:rFonts w:ascii="宋体" w:hAnsi="宋体" w:cs="宋体" w:eastAsia="宋体" w:hint="default"/>
                <w:sz w:val="18"/>
                <w:szCs w:val="18"/>
              </w:rPr>
              <w:t>许明</w:t>
            </w:r>
            <w:r>
              <w:rPr>
                <w:rFonts w:ascii="Times New Roman" w:hAnsi="Times New Roman" w:cs="Times New Roman" w:eastAsia="Times New Roman" w:hint="default"/>
                <w:sz w:val="18"/>
                <w:szCs w:val="18"/>
              </w:rPr>
              <w:t>; </w:t>
            </w:r>
            <w:r>
              <w:rPr>
                <w:rFonts w:ascii="宋体" w:hAnsi="宋体" w:cs="宋体" w:eastAsia="宋体" w:hint="default"/>
                <w:sz w:val="18"/>
                <w:szCs w:val="18"/>
              </w:rPr>
              <w:t>常鹏</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4" w:right="21"/>
              <w:jc w:val="both"/>
              <w:rPr>
                <w:rFonts w:ascii="宋体" w:hAnsi="宋体" w:cs="宋体" w:eastAsia="宋体" w:hint="default"/>
                <w:sz w:val="18"/>
                <w:szCs w:val="18"/>
              </w:rPr>
            </w:pPr>
            <w:r>
              <w:rPr>
                <w:rFonts w:ascii="宋体" w:hAnsi="宋体" w:cs="宋体" w:eastAsia="宋体" w:hint="default"/>
                <w:spacing w:val="-1"/>
                <w:sz w:val="18"/>
                <w:szCs w:val="18"/>
              </w:rPr>
              <w:t>关于招股说明书如有虚假记载、误导性陈述或者重大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遗漏的承诺：如发行人招股说明书存在虚假记载、误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导性陈述或者重大遗漏，致使投资者在证券交易中遭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受损失的，本人（指发行人的董事、监事、高级管理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人员）将承担相应的民事赔偿责任，依法赔偿投资者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损失。具体的赔偿标准、赔偿主体范围、赔偿金额等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细节内容待上述情形实际发生时，以最终确定的赔偿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方案为准。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3834" w:hRule="exact"/>
        </w:trPr>
        <w:tc>
          <w:tcPr>
            <w:tcW w:w="1631" w:type="dxa"/>
            <w:vMerge/>
            <w:tcBorders>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4" w:right="19"/>
              <w:jc w:val="left"/>
              <w:rPr>
                <w:rFonts w:ascii="宋体" w:hAnsi="宋体" w:cs="宋体" w:eastAsia="宋体" w:hint="default"/>
                <w:sz w:val="18"/>
                <w:szCs w:val="18"/>
              </w:rPr>
            </w:pPr>
            <w:r>
              <w:rPr>
                <w:rFonts w:ascii="宋体" w:hAnsi="宋体" w:cs="宋体" w:eastAsia="宋体" w:hint="default"/>
                <w:spacing w:val="-1"/>
                <w:sz w:val="18"/>
                <w:szCs w:val="18"/>
              </w:rPr>
              <w:t>关于招股说明书如有虚假记载、误导性陈述或者重大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遗漏的承诺：如发行人招股说明书有虚假记载、误导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性陈述或者重大遗漏，致使投资者在证券交易中遭受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损失的，本公司将依照相关法律、法规规定承担民事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赔偿责任，赔偿投资者损失。本公司如未履行上述承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诺，则本公司将在股东大会及中国证券监督管理委员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会指定的披露媒体上公开说明未履行承诺的具体原 </w:t>
            </w:r>
            <w:r>
              <w:rPr>
                <w:rFonts w:ascii="宋体" w:hAnsi="宋体" w:cs="宋体" w:eastAsia="宋体" w:hint="default"/>
                <w:spacing w:val="-1"/>
                <w:sz w:val="18"/>
                <w:szCs w:val="18"/>
              </w:rPr>
              <w:t>因并向公司股东和社会公众投资者道歉；发行人有权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将应付本公司的现金分红予以暂时扣留，直至本公司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实际履行上述承诺义务为止；如因未履行承诺导致发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行人或投资者遭受经济损失的，本公司将依法予以赔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2858"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6"/>
              <w:ind w:left="24" w:right="5"/>
              <w:jc w:val="left"/>
              <w:rPr>
                <w:rFonts w:ascii="宋体" w:hAnsi="宋体" w:cs="宋体" w:eastAsia="宋体" w:hint="default"/>
                <w:sz w:val="18"/>
                <w:szCs w:val="18"/>
              </w:rPr>
            </w:pPr>
            <w:r>
              <w:rPr>
                <w:rFonts w:ascii="宋体" w:hAnsi="宋体" w:cs="宋体" w:eastAsia="宋体" w:hint="default"/>
                <w:sz w:val="18"/>
                <w:szCs w:val="18"/>
              </w:rPr>
              <w:t>关于避免同业竞争的承诺函</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、本公司目前没有，将 来在作为环球印务股东期间，也不直接或间接从事与 环球印务及其控股子公司构成同业竞争的任何活动， 不利用控股股东地位谋求任何不正当利益，进而损害 环球印务或环球印务其他股东的利益。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、本公司将 通过本公司的控制地位以及派出机构和人员（包括但 </w:t>
            </w:r>
            <w:r>
              <w:rPr>
                <w:rFonts w:ascii="宋体" w:hAnsi="宋体" w:cs="宋体" w:eastAsia="宋体" w:hint="default"/>
                <w:spacing w:val="-4"/>
                <w:sz w:val="18"/>
                <w:szCs w:val="18"/>
              </w:rPr>
              <w:t>不限于董事、经理），保证本公司直接和间接控制的</w:t>
            </w:r>
            <w:r>
              <w:rPr>
                <w:rFonts w:ascii="宋体" w:hAnsi="宋体" w:cs="宋体" w:eastAsia="宋体" w:hint="default"/>
                <w:sz w:val="18"/>
                <w:szCs w:val="18"/>
              </w:rPr>
              <w:t> 企业或组织履行与本公司相同的义务。</w:t>
            </w:r>
            <w:r>
              <w:rPr>
                <w:rFonts w:ascii="Times New Roman" w:hAnsi="Times New Roman" w:cs="Times New Roman" w:eastAsia="Times New Roman" w:hint="default"/>
                <w:sz w:val="18"/>
                <w:szCs w:val="18"/>
              </w:rPr>
              <w:t>3</w:t>
            </w:r>
            <w:r>
              <w:rPr>
                <w:rFonts w:ascii="宋体" w:hAnsi="宋体" w:cs="宋体" w:eastAsia="宋体" w:hint="default"/>
                <w:sz w:val="18"/>
                <w:szCs w:val="18"/>
              </w:rPr>
              <w:t>、若环球印 务今后从事新的业务领域，则本公司及本公司控制的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bl>
    <w:p>
      <w:pPr>
        <w:spacing w:after="0" w:line="316" w:lineRule="auto"/>
        <w:jc w:val="left"/>
        <w:rPr>
          <w:rFonts w:ascii="宋体" w:hAnsi="宋体" w:cs="宋体" w:eastAsia="宋体" w:hint="default"/>
          <w:sz w:val="18"/>
          <w:szCs w:val="18"/>
        </w:rPr>
        <w:sectPr>
          <w:pgSz w:w="11910" w:h="16840"/>
          <w:pgMar w:header="0" w:footer="980" w:top="1520" w:bottom="1160" w:left="660" w:right="660"/>
        </w:sectPr>
      </w:pPr>
    </w:p>
    <w:tbl>
      <w:tblPr>
        <w:tblW w:w="0" w:type="auto"/>
        <w:jc w:val="left"/>
        <w:tblInd w:w="113" w:type="dxa"/>
        <w:tblLayout w:type="fixed"/>
        <w:tblCellMar>
          <w:top w:w="0" w:type="dxa"/>
          <w:left w:w="0" w:type="dxa"/>
          <w:bottom w:w="0" w:type="dxa"/>
          <w:right w:w="0" w:type="dxa"/>
        </w:tblCellMar>
        <w:tblLook w:val="01E0"/>
      </w:tblPr>
      <w:tblGrid>
        <w:gridCol w:w="1631"/>
        <w:gridCol w:w="1133"/>
        <w:gridCol w:w="853"/>
        <w:gridCol w:w="4181"/>
        <w:gridCol w:w="850"/>
        <w:gridCol w:w="852"/>
        <w:gridCol w:w="850"/>
      </w:tblGrid>
      <w:tr>
        <w:trPr>
          <w:trHeight w:val="2871" w:hRule="exact"/>
        </w:trPr>
        <w:tc>
          <w:tcPr>
            <w:tcW w:w="1631" w:type="dxa"/>
            <w:vMerge w:val="restart"/>
            <w:tcBorders>
              <w:top w:val="single" w:sz="10" w:space="0" w:color="000000"/>
              <w:left w:val="single" w:sz="4" w:space="0" w:color="000000"/>
              <w:right w:val="single" w:sz="4" w:space="0" w:color="000000"/>
            </w:tcBorders>
            <w:shd w:val="clear" w:color="auto" w:fill="D2D2D2"/>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853" w:type="dxa"/>
            <w:tcBorders>
              <w:top w:val="single" w:sz="10" w:space="0" w:color="000000"/>
              <w:left w:val="single" w:sz="4" w:space="0" w:color="000000"/>
              <w:bottom w:val="single" w:sz="4" w:space="0" w:color="000000"/>
              <w:right w:val="single" w:sz="4" w:space="0" w:color="000000"/>
            </w:tcBorders>
          </w:tcPr>
          <w:p>
            <w:pPr/>
          </w:p>
        </w:tc>
        <w:tc>
          <w:tcPr>
            <w:tcW w:w="4181"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8"/>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其他企业或组织将不以控股或参股但拥有实质控制 </w:t>
            </w:r>
            <w:r>
              <w:rPr>
                <w:rFonts w:ascii="宋体" w:hAnsi="宋体" w:cs="宋体" w:eastAsia="宋体" w:hint="default"/>
                <w:spacing w:val="-1"/>
                <w:sz w:val="18"/>
                <w:szCs w:val="18"/>
              </w:rPr>
              <w:t>权的方式，从事与环球印务新业务相同或相似的业务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活动。</w:t>
            </w:r>
            <w:r>
              <w:rPr>
                <w:rFonts w:ascii="Times New Roman" w:hAnsi="Times New Roman" w:cs="Times New Roman" w:eastAsia="Times New Roman" w:hint="default"/>
                <w:sz w:val="18"/>
                <w:szCs w:val="18"/>
              </w:rPr>
              <w:t>4</w:t>
            </w:r>
            <w:r>
              <w:rPr>
                <w:rFonts w:ascii="宋体" w:hAnsi="宋体" w:cs="宋体" w:eastAsia="宋体" w:hint="default"/>
                <w:sz w:val="18"/>
                <w:szCs w:val="18"/>
              </w:rPr>
              <w:t>、如本公司及本公司控制的其他企业或组织 </w:t>
            </w:r>
            <w:r>
              <w:rPr>
                <w:rFonts w:ascii="宋体" w:hAnsi="宋体" w:cs="宋体" w:eastAsia="宋体" w:hint="default"/>
                <w:spacing w:val="-1"/>
                <w:sz w:val="18"/>
                <w:szCs w:val="18"/>
              </w:rPr>
              <w:t>出现与环球印务同业竞争的情形，环球印务有权通过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优先收购或委托经营的方式将该业务集中到公司经 </w:t>
            </w:r>
            <w:r>
              <w:rPr>
                <w:rFonts w:ascii="宋体" w:hAnsi="宋体" w:cs="宋体" w:eastAsia="宋体" w:hint="default"/>
                <w:spacing w:val="-1"/>
                <w:sz w:val="18"/>
                <w:szCs w:val="18"/>
              </w:rPr>
              <w:t>营。如因本公司及本公司控制的其他企业或组织违反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上述承诺而导致花你去印务或环球印务其他股东的 权益受到损害的，本公司将承担相应的损害赔偿责 任。</w:t>
            </w:r>
            <w:r>
              <w:rPr>
                <w:rFonts w:ascii="Times New Roman" w:hAnsi="Times New Roman" w:cs="Times New Roman" w:eastAsia="Times New Roman" w:hint="default"/>
                <w:sz w:val="18"/>
                <w:szCs w:val="18"/>
              </w:rPr>
              <w:t>”</w:t>
            </w:r>
          </w:p>
        </w:tc>
        <w:tc>
          <w:tcPr>
            <w:tcW w:w="850" w:type="dxa"/>
            <w:tcBorders>
              <w:top w:val="single" w:sz="10" w:space="0" w:color="000000"/>
              <w:left w:val="single" w:sz="4" w:space="0" w:color="000000"/>
              <w:bottom w:val="single" w:sz="4" w:space="0" w:color="000000"/>
              <w:right w:val="single" w:sz="4" w:space="0" w:color="000000"/>
            </w:tcBorders>
          </w:tcPr>
          <w:p>
            <w:pPr/>
          </w:p>
        </w:tc>
        <w:tc>
          <w:tcPr>
            <w:tcW w:w="852"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r>
      <w:tr>
        <w:trPr>
          <w:trHeight w:val="10074"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3" w:right="197"/>
              <w:jc w:val="both"/>
              <w:rPr>
                <w:rFonts w:ascii="宋体" w:hAnsi="宋体" w:cs="宋体" w:eastAsia="宋体" w:hint="default"/>
                <w:sz w:val="18"/>
                <w:szCs w:val="18"/>
              </w:rPr>
            </w:pPr>
            <w:r>
              <w:rPr>
                <w:rFonts w:ascii="宋体" w:hAnsi="宋体" w:cs="宋体" w:eastAsia="宋体" w:hint="default"/>
                <w:sz w:val="18"/>
                <w:szCs w:val="18"/>
              </w:rPr>
              <w:t>陕西医药控 股集团有限 责任公司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4" w:right="5"/>
              <w:jc w:val="left"/>
              <w:rPr>
                <w:rFonts w:ascii="宋体" w:hAnsi="宋体" w:cs="宋体" w:eastAsia="宋体" w:hint="default"/>
                <w:sz w:val="18"/>
                <w:szCs w:val="18"/>
              </w:rPr>
            </w:pPr>
            <w:r>
              <w:rPr>
                <w:rFonts w:ascii="宋体" w:hAnsi="宋体" w:cs="宋体" w:eastAsia="宋体" w:hint="default"/>
                <w:sz w:val="18"/>
                <w:szCs w:val="18"/>
              </w:rPr>
              <w:t>关于规范与西安环球印务股份有限公司关联交易的 承诺函</w:t>
            </w:r>
            <w:r>
              <w:rPr>
                <w:rFonts w:ascii="Times New Roman" w:hAnsi="Times New Roman" w:cs="Times New Roman" w:eastAsia="Times New Roman" w:hint="default"/>
                <w:sz w:val="18"/>
                <w:szCs w:val="18"/>
              </w:rPr>
              <w:t>:“</w:t>
            </w:r>
            <w:r>
              <w:rPr>
                <w:rFonts w:ascii="宋体" w:hAnsi="宋体" w:cs="宋体" w:eastAsia="宋体" w:hint="default"/>
                <w:sz w:val="18"/>
                <w:szCs w:val="18"/>
              </w:rPr>
              <w:t>截至本承诺函出具之日，陕西医药控股集团 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）持有西安环球印 </w:t>
            </w:r>
            <w:r>
              <w:rPr>
                <w:rFonts w:ascii="宋体" w:hAnsi="宋体" w:cs="宋体" w:eastAsia="宋体" w:hint="default"/>
                <w:spacing w:val="-6"/>
                <w:sz w:val="18"/>
                <w:szCs w:val="18"/>
              </w:rPr>
              <w:t>务股份有限公司（以下简称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环球印务</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股份</w:t>
            </w:r>
            <w:r>
              <w:rPr>
                <w:rFonts w:ascii="宋体" w:hAnsi="宋体" w:cs="宋体" w:eastAsia="宋体" w:hint="default"/>
                <w:spacing w:val="-77"/>
                <w:sz w:val="18"/>
                <w:szCs w:val="18"/>
              </w:rPr>
              <w:t> </w:t>
            </w:r>
            <w:r>
              <w:rPr>
                <w:rFonts w:ascii="宋体" w:hAnsi="宋体" w:cs="宋体" w:eastAsia="宋体" w:hint="default"/>
                <w:sz w:val="18"/>
                <w:szCs w:val="18"/>
              </w:rPr>
              <w:t>本公司特此承诺：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、本公司及本公司控制或影响的 企业将尽量避免和减少与环球印务及其下属子公司 之间的关联交易，对于环球印务及其下属子公司能够 通过市场与独立第三方之间发生的交易，将由环球印 务及其下属子公司与独立第三方进行。本公司控制或 影响的其他企业将严格避免向环球印务及其下属子 公司拆借、占用环球印务及其下属子公司资金或采取 由环球印务及其下属子公司代垫款、代偿债务等方式 侵占环球印务资金。</w:t>
            </w:r>
            <w:r>
              <w:rPr>
                <w:rFonts w:ascii="Times New Roman" w:hAnsi="Times New Roman" w:cs="Times New Roman" w:eastAsia="Times New Roman" w:hint="default"/>
                <w:sz w:val="18"/>
                <w:szCs w:val="18"/>
              </w:rPr>
              <w:t>2</w:t>
            </w:r>
            <w:r>
              <w:rPr>
                <w:rFonts w:ascii="宋体" w:hAnsi="宋体" w:cs="宋体" w:eastAsia="宋体" w:hint="default"/>
                <w:sz w:val="18"/>
                <w:szCs w:val="18"/>
              </w:rPr>
              <w:t>、对于本公司及本公司控制或 影响的企业与环球印务及其下属子公司之间必需的 一切交易行为，均将严格遵守市场原则，本着平等互 利、等价有偿的一般原则，公平合理地进行。交易定 价有政府定价的，执行政府定价；没有政府定价的， 执行市场公允价格；没有政府定价且无可参考市场价 格的，按照成本加可比较的合理利润水平确定成本价 执行。</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、本公司与环球印务及其下属子公司之间的 关联交易将严格遵守环球印务公司章程、关联交易管 理制度等规定履行必要的法定程序。在环球印务权力 机构审议有关关联交易事项时主动依法履行回避义 务；对须报经有权机构审议的关联交易事项，在有权 机构审议通过后方可执行。</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、本公司保证不通过关 联交易取得任何不正当的利益或使环球印务及其下 属子公司承担任何不正当的义务。如果因违反上述承 诺导致环球印务或其下属子公司损失或利用关联交 易侵占环球印务或其下属子公司利益的，环球印务及 其下属子公司的损失由本公司承担。</w:t>
            </w:r>
            <w:r>
              <w:rPr>
                <w:rFonts w:ascii="Times New Roman" w:hAnsi="Times New Roman" w:cs="Times New Roman" w:eastAsia="Times New Roman" w:hint="default"/>
                <w:sz w:val="18"/>
                <w:szCs w:val="18"/>
              </w:rPr>
              <w:t>5</w:t>
            </w:r>
            <w:r>
              <w:rPr>
                <w:rFonts w:ascii="宋体" w:hAnsi="宋体" w:cs="宋体" w:eastAsia="宋体" w:hint="default"/>
                <w:sz w:val="18"/>
                <w:szCs w:val="18"/>
              </w:rPr>
              <w:t>、上述承诺在 本公司及本公司控制或影响的企业构成环球印务的 关联方期间持续有效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尚在承诺 履行期， 严格履 行。</w:t>
            </w:r>
          </w:p>
        </w:tc>
      </w:tr>
      <w:tr>
        <w:trPr>
          <w:trHeight w:val="403"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1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陕西医药控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34"/>
              <w:jc w:val="left"/>
              <w:rPr>
                <w:rFonts w:ascii="宋体" w:hAnsi="宋体" w:cs="宋体" w:eastAsia="宋体" w:hint="default"/>
                <w:sz w:val="18"/>
                <w:szCs w:val="18"/>
              </w:rPr>
            </w:pPr>
            <w:r>
              <w:rPr>
                <w:rFonts w:ascii="宋体" w:hAnsi="宋体" w:cs="宋体" w:eastAsia="宋体" w:hint="default"/>
                <w:sz w:val="18"/>
                <w:szCs w:val="18"/>
              </w:rPr>
              <w:t>陕西医药控股集团有限责任公</w:t>
            </w:r>
            <w:r>
              <w:rPr>
                <w:rFonts w:ascii="宋体" w:hAnsi="宋体" w:cs="宋体" w:eastAsia="宋体" w:hint="default"/>
                <w:spacing w:val="-85"/>
                <w:sz w:val="18"/>
                <w:szCs w:val="18"/>
              </w:rPr>
              <w:t>司</w:t>
            </w: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期限至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0" w:footer="980" w:top="1520" w:bottom="1160" w:left="660" w:right="660"/>
        </w:sectPr>
      </w:pPr>
    </w:p>
    <w:p>
      <w:pPr>
        <w:tabs>
          <w:tab w:pos="1778" w:val="left" w:leader="none"/>
        </w:tabs>
        <w:spacing w:line="319" w:lineRule="auto" w:before="69"/>
        <w:ind w:left="1778" w:right="0" w:hanging="1633"/>
        <w:jc w:val="left"/>
        <w:rPr>
          <w:rFonts w:ascii="宋体" w:hAnsi="宋体" w:cs="宋体" w:eastAsia="宋体" w:hint="default"/>
          <w:sz w:val="18"/>
          <w:szCs w:val="18"/>
        </w:rPr>
      </w:pPr>
      <w:r>
        <w:rPr>
          <w:rFonts w:ascii="宋体" w:hAnsi="宋体" w:cs="宋体" w:eastAsia="宋体" w:hint="default"/>
          <w:sz w:val="18"/>
          <w:szCs w:val="18"/>
        </w:rPr>
        <w:t>东所作承诺</w:t>
        <w:tab/>
        <w:t>股集团有限 责任公司</w:t>
      </w:r>
    </w:p>
    <w:p>
      <w:pPr>
        <w:spacing w:line="307" w:lineRule="auto" w:before="69"/>
        <w:ind w:left="146" w:right="-11" w:firstLine="0"/>
        <w:jc w:val="left"/>
        <w:rPr>
          <w:rFonts w:ascii="宋体" w:hAnsi="宋体" w:cs="宋体" w:eastAsia="宋体" w:hint="default"/>
          <w:sz w:val="18"/>
          <w:szCs w:val="18"/>
        </w:rPr>
      </w:pPr>
      <w:r>
        <w:rPr/>
        <w:br w:type="column"/>
      </w:r>
      <w:r>
        <w:rPr>
          <w:rFonts w:ascii="宋体" w:hAnsi="宋体" w:cs="宋体" w:eastAsia="宋体" w:hint="default"/>
          <w:sz w:val="18"/>
          <w:szCs w:val="18"/>
        </w:rPr>
        <w:t>作为西安环球印务股份有限公司（以下简称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环球印 务</w:t>
      </w:r>
      <w:r>
        <w:rPr>
          <w:rFonts w:ascii="Times New Roman" w:hAnsi="Times New Roman" w:cs="Times New Roman" w:eastAsia="Times New Roman" w:hint="default"/>
          <w:sz w:val="18"/>
          <w:szCs w:val="18"/>
        </w:rPr>
        <w:t>”</w:t>
      </w:r>
      <w:r>
        <w:rPr>
          <w:rFonts w:ascii="宋体" w:hAnsi="宋体" w:cs="宋体" w:eastAsia="宋体" w:hint="default"/>
          <w:sz w:val="18"/>
          <w:szCs w:val="18"/>
        </w:rPr>
        <w:t>）的控股股东及实际控制人，根据《深圳证券交 </w:t>
      </w:r>
      <w:r>
        <w:rPr>
          <w:rFonts w:ascii="宋体" w:hAnsi="宋体" w:cs="宋体" w:eastAsia="宋体" w:hint="default"/>
          <w:spacing w:val="-1"/>
          <w:sz w:val="18"/>
          <w:szCs w:val="18"/>
        </w:rPr>
        <w:t>易所交易规则》的规定，现就西安环球印务股份有限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公司股票交易异常波动事宜做如下承诺：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 不存在涉及关于环球印务的应披露而未披露的重大 事项，或处于筹划阶段的重大事项。</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、本公司承诺 </w:t>
      </w:r>
      <w:r>
        <w:rPr>
          <w:rFonts w:ascii="宋体" w:hAnsi="宋体" w:cs="宋体" w:eastAsia="宋体" w:hint="default"/>
          <w:spacing w:val="-1"/>
          <w:sz w:val="18"/>
          <w:szCs w:val="18"/>
        </w:rPr>
        <w:t>未来三个月内不会策划下述重大事项，包括但不限于</w:t>
      </w:r>
    </w:p>
    <w:p>
      <w:pPr>
        <w:tabs>
          <w:tab w:pos="865" w:val="left" w:leader="none"/>
        </w:tabs>
        <w:spacing w:before="69"/>
        <w:ind w:left="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tab/>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中</w:t>
      </w:r>
    </w:p>
    <w:p>
      <w:pPr>
        <w:spacing w:before="63"/>
        <w:ind w:left="865"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after="0"/>
        <w:jc w:val="left"/>
        <w:rPr>
          <w:rFonts w:ascii="宋体" w:hAnsi="宋体" w:cs="宋体" w:eastAsia="宋体" w:hint="default"/>
          <w:sz w:val="18"/>
          <w:szCs w:val="18"/>
        </w:rPr>
        <w:sectPr>
          <w:pgSz w:w="11910" w:h="16840"/>
          <w:pgMar w:header="0" w:footer="980" w:top="1500" w:bottom="1160" w:left="660" w:right="660"/>
          <w:cols w:num="3" w:equalWidth="0">
            <w:col w:w="2679" w:space="938"/>
            <w:col w:w="4273" w:space="40"/>
            <w:col w:w="2660"/>
          </w:cols>
        </w:sectPr>
      </w:pPr>
    </w:p>
    <w:p>
      <w:pPr>
        <w:spacing w:line="312" w:lineRule="auto" w:before="26"/>
        <w:ind w:left="3764" w:right="2602" w:firstLine="0"/>
        <w:jc w:val="left"/>
        <w:rPr>
          <w:rFonts w:ascii="宋体" w:hAnsi="宋体" w:cs="宋体" w:eastAsia="宋体" w:hint="default"/>
          <w:sz w:val="18"/>
          <w:szCs w:val="18"/>
        </w:rPr>
      </w:pPr>
      <w:r>
        <w:rPr>
          <w:rFonts w:ascii="宋体" w:hAnsi="宋体" w:cs="宋体" w:eastAsia="宋体" w:hint="default"/>
          <w:spacing w:val="-5"/>
          <w:sz w:val="18"/>
          <w:szCs w:val="18"/>
        </w:rPr>
        <w:t>重大资产重组、发行股份、上市公司收购、债务重组、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业务重组、资产剥离和资产注入等重大事项。</w:t>
      </w:r>
      <w:r>
        <w:rPr>
          <w:rFonts w:ascii="Times New Roman" w:hAnsi="Times New Roman" w:cs="Times New Roman" w:eastAsia="Times New Roman" w:hint="default"/>
          <w:sz w:val="18"/>
          <w:szCs w:val="18"/>
        </w:rPr>
        <w:t>3</w:t>
      </w:r>
      <w:r>
        <w:rPr>
          <w:rFonts w:ascii="宋体" w:hAnsi="宋体" w:cs="宋体" w:eastAsia="宋体" w:hint="default"/>
          <w:sz w:val="18"/>
          <w:szCs w:val="18"/>
        </w:rPr>
        <w:t>、本 公司将严格按照有关法律法规的规定和要求，做好信 息披露工作。</w:t>
      </w:r>
    </w:p>
    <w:p>
      <w:pPr>
        <w:spacing w:after="0" w:line="312" w:lineRule="auto"/>
        <w:jc w:val="left"/>
        <w:rPr>
          <w:rFonts w:ascii="宋体" w:hAnsi="宋体" w:cs="宋体" w:eastAsia="宋体" w:hint="default"/>
          <w:sz w:val="18"/>
          <w:szCs w:val="18"/>
        </w:rPr>
        <w:sectPr>
          <w:type w:val="continuous"/>
          <w:pgSz w:w="11910" w:h="16840"/>
          <w:pgMar w:top="1580" w:bottom="280" w:left="660" w:right="66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spacing w:line="212" w:lineRule="exact" w:before="0"/>
        <w:ind w:left="1778" w:right="-20" w:firstLine="0"/>
        <w:jc w:val="left"/>
        <w:rPr>
          <w:rFonts w:ascii="宋体" w:hAnsi="宋体" w:cs="宋体" w:eastAsia="宋体" w:hint="default"/>
          <w:sz w:val="18"/>
          <w:szCs w:val="18"/>
        </w:rPr>
      </w:pPr>
      <w:r>
        <w:rPr>
          <w:rFonts w:ascii="宋体" w:hAnsi="宋体" w:cs="宋体" w:eastAsia="宋体" w:hint="default"/>
          <w:sz w:val="18"/>
          <w:szCs w:val="18"/>
        </w:rPr>
        <w:t>陕西医药控</w:t>
      </w:r>
    </w:p>
    <w:p>
      <w:pPr>
        <w:spacing w:line="304" w:lineRule="auto" w:before="113"/>
        <w:ind w:left="1045" w:right="2602" w:firstLine="0"/>
        <w:jc w:val="left"/>
        <w:rPr>
          <w:rFonts w:ascii="宋体" w:hAnsi="宋体" w:cs="宋体" w:eastAsia="宋体" w:hint="default"/>
          <w:sz w:val="18"/>
          <w:szCs w:val="18"/>
        </w:rPr>
      </w:pPr>
      <w:r>
        <w:rPr>
          <w:spacing w:val="-4"/>
          <w:w w:val="100"/>
        </w:rPr>
        <w:br w:type="column"/>
      </w:r>
      <w:r>
        <w:rPr>
          <w:rFonts w:ascii="宋体" w:hAnsi="宋体" w:cs="宋体" w:eastAsia="宋体" w:hint="default"/>
          <w:spacing w:val="-4"/>
          <w:w w:val="100"/>
          <w:sz w:val="18"/>
          <w:szCs w:val="18"/>
        </w:rPr>
        <w:t>陕西医药控股集团有限责任公司（以下简称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本公司</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宋体" w:hAnsi="宋体" w:cs="宋体" w:eastAsia="宋体" w:hint="default"/>
          <w:spacing w:val="-78"/>
          <w:w w:val="100"/>
          <w:sz w:val="18"/>
          <w:szCs w:val="18"/>
        </w:rPr>
        <w:t> </w:t>
      </w:r>
      <w:r>
        <w:rPr>
          <w:rFonts w:ascii="宋体" w:hAnsi="宋体" w:cs="宋体" w:eastAsia="宋体" w:hint="default"/>
          <w:sz w:val="18"/>
          <w:szCs w:val="18"/>
        </w:rPr>
        <w:t>作为西安环球印务股份有限公司（以下简称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环球印 务</w:t>
      </w:r>
      <w:r>
        <w:rPr>
          <w:rFonts w:ascii="Times New Roman" w:hAnsi="Times New Roman" w:cs="Times New Roman" w:eastAsia="Times New Roman" w:hint="default"/>
          <w:sz w:val="18"/>
          <w:szCs w:val="18"/>
        </w:rPr>
        <w:t>”</w:t>
      </w:r>
      <w:r>
        <w:rPr>
          <w:rFonts w:ascii="宋体" w:hAnsi="宋体" w:cs="宋体" w:eastAsia="宋体" w:hint="default"/>
          <w:sz w:val="18"/>
          <w:szCs w:val="18"/>
        </w:rPr>
        <w:t>）的控股股东及实际控制人，根据《深圳证券交 易所交易规则》的规定，现就西安环球印务股份有限 公司股票交易异常波动事宜做如下承诺：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p>
    <w:p>
      <w:pPr>
        <w:spacing w:after="0" w:line="304" w:lineRule="auto"/>
        <w:jc w:val="left"/>
        <w:rPr>
          <w:rFonts w:ascii="宋体" w:hAnsi="宋体" w:cs="宋体" w:eastAsia="宋体" w:hint="default"/>
          <w:sz w:val="18"/>
          <w:szCs w:val="18"/>
        </w:rPr>
        <w:sectPr>
          <w:type w:val="continuous"/>
          <w:pgSz w:w="11910" w:h="16840"/>
          <w:pgMar w:top="1580" w:bottom="280" w:left="660" w:right="660"/>
          <w:cols w:num="2" w:equalWidth="0">
            <w:col w:w="2679" w:space="40"/>
            <w:col w:w="7871"/>
          </w:cols>
        </w:sectPr>
      </w:pPr>
    </w:p>
    <w:p>
      <w:pPr>
        <w:spacing w:line="316" w:lineRule="auto" w:before="100"/>
        <w:ind w:left="1778" w:right="-20" w:firstLine="0"/>
        <w:jc w:val="left"/>
        <w:rPr>
          <w:rFonts w:ascii="宋体" w:hAnsi="宋体" w:cs="宋体" w:eastAsia="宋体" w:hint="default"/>
          <w:sz w:val="18"/>
          <w:szCs w:val="18"/>
        </w:rPr>
      </w:pPr>
      <w:r>
        <w:rPr>
          <w:rFonts w:ascii="宋体" w:hAnsi="宋体" w:cs="宋体" w:eastAsia="宋体" w:hint="default"/>
          <w:sz w:val="18"/>
          <w:szCs w:val="18"/>
        </w:rPr>
        <w:t>股集团有限 责任公司</w:t>
      </w:r>
    </w:p>
    <w:p>
      <w:pPr>
        <w:spacing w:before="100"/>
        <w:ind w:left="19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其他承诺</w:t>
      </w:r>
    </w:p>
    <w:p>
      <w:pPr>
        <w:spacing w:line="180" w:lineRule="exact" w:before="0"/>
        <w:ind w:left="92" w:right="-11" w:firstLine="0"/>
        <w:jc w:val="left"/>
        <w:rPr>
          <w:rFonts w:ascii="宋体" w:hAnsi="宋体" w:cs="宋体" w:eastAsia="宋体" w:hint="default"/>
          <w:sz w:val="18"/>
          <w:szCs w:val="18"/>
        </w:rPr>
      </w:pPr>
      <w:r>
        <w:rPr/>
        <w:br w:type="column"/>
      </w:r>
      <w:r>
        <w:rPr>
          <w:rFonts w:ascii="宋体" w:hAnsi="宋体" w:cs="宋体" w:eastAsia="宋体" w:hint="default"/>
          <w:sz w:val="18"/>
          <w:szCs w:val="18"/>
        </w:rPr>
        <w:t>不存在涉及关于环球印务的应披露而未披露的重大</w:t>
      </w:r>
    </w:p>
    <w:p>
      <w:pPr>
        <w:spacing w:line="300" w:lineRule="auto" w:before="76"/>
        <w:ind w:left="92" w:right="-11" w:firstLine="0"/>
        <w:jc w:val="left"/>
        <w:rPr>
          <w:rFonts w:ascii="宋体" w:hAnsi="宋体" w:cs="宋体" w:eastAsia="宋体" w:hint="default"/>
          <w:sz w:val="18"/>
          <w:szCs w:val="18"/>
        </w:rPr>
      </w:pPr>
      <w:r>
        <w:rPr>
          <w:rFonts w:ascii="宋体" w:hAnsi="宋体" w:cs="宋体" w:eastAsia="宋体" w:hint="default"/>
          <w:sz w:val="18"/>
          <w:szCs w:val="18"/>
        </w:rPr>
        <w:t>事项，或处于筹划阶段的重大事项。</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、本公司承诺 </w:t>
      </w:r>
      <w:r>
        <w:rPr>
          <w:rFonts w:ascii="宋体" w:hAnsi="宋体" w:cs="宋体" w:eastAsia="宋体" w:hint="default"/>
          <w:spacing w:val="-1"/>
          <w:sz w:val="18"/>
          <w:szCs w:val="18"/>
        </w:rPr>
        <w:t>未来三个月内不会策划下述重大事项，包括但不限于</w:t>
      </w:r>
    </w:p>
    <w:p>
      <w:pPr>
        <w:spacing w:line="194" w:lineRule="exact" w:before="0"/>
        <w:ind w:left="15" w:right="-18"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p>
    <w:p>
      <w:pPr>
        <w:spacing w:before="63"/>
        <w:ind w:left="15"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spacing w:before="100"/>
        <w:ind w:left="1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三个月</w:t>
      </w:r>
    </w:p>
    <w:p>
      <w:pPr>
        <w:spacing w:line="180" w:lineRule="exact" w:before="0"/>
        <w:ind w:left="27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已经履行</w:t>
      </w:r>
    </w:p>
    <w:p>
      <w:pPr>
        <w:spacing w:before="76"/>
        <w:ind w:left="271" w:right="0" w:firstLine="0"/>
        <w:jc w:val="left"/>
        <w:rPr>
          <w:rFonts w:ascii="宋体" w:hAnsi="宋体" w:cs="宋体" w:eastAsia="宋体" w:hint="default"/>
          <w:sz w:val="18"/>
          <w:szCs w:val="18"/>
        </w:rPr>
      </w:pPr>
      <w:r>
        <w:rPr>
          <w:rFonts w:ascii="宋体" w:hAnsi="宋体" w:cs="宋体" w:eastAsia="宋体" w:hint="default"/>
          <w:sz w:val="18"/>
          <w:szCs w:val="18"/>
        </w:rPr>
        <w:t>完毕</w:t>
      </w:r>
    </w:p>
    <w:p>
      <w:pPr>
        <w:spacing w:after="0"/>
        <w:jc w:val="left"/>
        <w:rPr>
          <w:rFonts w:ascii="宋体" w:hAnsi="宋体" w:cs="宋体" w:eastAsia="宋体" w:hint="default"/>
          <w:sz w:val="18"/>
          <w:szCs w:val="18"/>
        </w:rPr>
        <w:sectPr>
          <w:type w:val="continuous"/>
          <w:pgSz w:w="11910" w:h="16840"/>
          <w:pgMar w:top="1580" w:bottom="280" w:left="660" w:right="660"/>
          <w:cols w:num="6" w:equalWidth="0">
            <w:col w:w="2679" w:space="40"/>
            <w:col w:w="913" w:space="40"/>
            <w:col w:w="4219" w:space="40"/>
            <w:col w:w="813" w:space="40"/>
            <w:col w:w="553" w:space="40"/>
            <w:col w:w="1213"/>
          </w:cols>
        </w:sectPr>
      </w:pPr>
    </w:p>
    <w:p>
      <w:pPr>
        <w:spacing w:line="312" w:lineRule="auto" w:before="31"/>
        <w:ind w:left="3764" w:right="2602" w:firstLine="0"/>
        <w:jc w:val="left"/>
        <w:rPr>
          <w:rFonts w:ascii="宋体" w:hAnsi="宋体" w:cs="宋体" w:eastAsia="宋体" w:hint="default"/>
          <w:sz w:val="18"/>
          <w:szCs w:val="18"/>
        </w:rPr>
      </w:pPr>
      <w:r>
        <w:rPr>
          <w:rFonts w:ascii="宋体" w:hAnsi="宋体" w:cs="宋体" w:eastAsia="宋体" w:hint="default"/>
          <w:spacing w:val="-5"/>
          <w:sz w:val="18"/>
          <w:szCs w:val="18"/>
        </w:rPr>
        <w:t>重大资产重组、发行股份、上市公司收购、债务重组、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业务重组、资产剥离和资产注入等重大事项。</w:t>
      </w:r>
      <w:r>
        <w:rPr>
          <w:rFonts w:ascii="Times New Roman" w:hAnsi="Times New Roman" w:cs="Times New Roman" w:eastAsia="Times New Roman" w:hint="default"/>
          <w:sz w:val="18"/>
          <w:szCs w:val="18"/>
        </w:rPr>
        <w:t>3</w:t>
      </w:r>
      <w:r>
        <w:rPr>
          <w:rFonts w:ascii="宋体" w:hAnsi="宋体" w:cs="宋体" w:eastAsia="宋体" w:hint="default"/>
          <w:sz w:val="18"/>
          <w:szCs w:val="18"/>
        </w:rPr>
        <w:t>、本 公司将严格按照有关法律法规的规定和要求，做好信 息披露工作。</w:t>
      </w:r>
    </w:p>
    <w:p>
      <w:pPr>
        <w:spacing w:after="0" w:line="312" w:lineRule="auto"/>
        <w:jc w:val="left"/>
        <w:rPr>
          <w:rFonts w:ascii="宋体" w:hAnsi="宋体" w:cs="宋体" w:eastAsia="宋体" w:hint="default"/>
          <w:sz w:val="18"/>
          <w:szCs w:val="18"/>
        </w:rPr>
        <w:sectPr>
          <w:type w:val="continuous"/>
          <w:pgSz w:w="11910" w:h="16840"/>
          <w:pgMar w:top="1580" w:bottom="280" w:left="660" w:right="66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spacing w:line="209" w:lineRule="exact" w:before="0"/>
        <w:ind w:left="1778" w:right="-20" w:firstLine="0"/>
        <w:jc w:val="left"/>
        <w:rPr>
          <w:rFonts w:ascii="宋体" w:hAnsi="宋体" w:cs="宋体" w:eastAsia="宋体" w:hint="default"/>
          <w:sz w:val="18"/>
          <w:szCs w:val="18"/>
        </w:rPr>
      </w:pPr>
      <w:r>
        <w:rPr>
          <w:rFonts w:ascii="宋体" w:hAnsi="宋体" w:cs="宋体" w:eastAsia="宋体" w:hint="default"/>
          <w:sz w:val="18"/>
          <w:szCs w:val="18"/>
        </w:rPr>
        <w:t>陕西医药控</w:t>
      </w:r>
    </w:p>
    <w:p>
      <w:pPr>
        <w:spacing w:line="304" w:lineRule="auto" w:before="114"/>
        <w:ind w:left="1045" w:right="-5" w:firstLine="0"/>
        <w:jc w:val="left"/>
        <w:rPr>
          <w:rFonts w:ascii="宋体" w:hAnsi="宋体" w:cs="宋体" w:eastAsia="宋体" w:hint="default"/>
          <w:sz w:val="18"/>
          <w:szCs w:val="18"/>
        </w:rPr>
      </w:pPr>
      <w:r>
        <w:rPr>
          <w:spacing w:val="-4"/>
          <w:w w:val="100"/>
        </w:rPr>
        <w:br w:type="column"/>
      </w:r>
      <w:r>
        <w:rPr>
          <w:rFonts w:ascii="宋体" w:hAnsi="宋体" w:cs="宋体" w:eastAsia="宋体" w:hint="default"/>
          <w:spacing w:val="-4"/>
          <w:w w:val="100"/>
          <w:sz w:val="18"/>
          <w:szCs w:val="18"/>
        </w:rPr>
        <w:t>陕西医药控股集团有限责任公司（以下简称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本公司</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宋体" w:hAnsi="宋体" w:cs="宋体" w:eastAsia="宋体" w:hint="default"/>
          <w:spacing w:val="-78"/>
          <w:w w:val="100"/>
          <w:sz w:val="18"/>
          <w:szCs w:val="18"/>
        </w:rPr>
        <w:t> </w:t>
      </w:r>
      <w:r>
        <w:rPr>
          <w:rFonts w:ascii="宋体" w:hAnsi="宋体" w:cs="宋体" w:eastAsia="宋体" w:hint="default"/>
          <w:sz w:val="18"/>
          <w:szCs w:val="18"/>
        </w:rPr>
        <w:t>作为西安环球印务股份有限公司（以下简称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环球印 务</w:t>
      </w:r>
      <w:r>
        <w:rPr>
          <w:rFonts w:ascii="Times New Roman" w:hAnsi="Times New Roman" w:cs="Times New Roman" w:eastAsia="Times New Roman" w:hint="default"/>
          <w:sz w:val="18"/>
          <w:szCs w:val="18"/>
        </w:rPr>
        <w:t>”</w:t>
      </w:r>
      <w:r>
        <w:rPr>
          <w:rFonts w:ascii="宋体" w:hAnsi="宋体" w:cs="宋体" w:eastAsia="宋体" w:hint="default"/>
          <w:sz w:val="18"/>
          <w:szCs w:val="18"/>
        </w:rPr>
        <w:t>）的控股股东及实际控制人，根据《深圳证券交 易所交易规则》的规定，现就西安环球印务股份有限 公司股票交易异常波动事宜做如下承诺：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spacing w:before="0"/>
        <w:ind w:left="1628" w:right="0" w:firstLine="0"/>
        <w:jc w:val="left"/>
        <w:rPr>
          <w:rFonts w:ascii="宋体" w:hAnsi="宋体" w:cs="宋体" w:eastAsia="宋体" w:hint="default"/>
          <w:sz w:val="18"/>
          <w:szCs w:val="18"/>
        </w:rPr>
      </w:pPr>
      <w:r>
        <w:rPr>
          <w:rFonts w:ascii="宋体" w:hAnsi="宋体" w:cs="宋体" w:eastAsia="宋体" w:hint="default"/>
          <w:sz w:val="18"/>
          <w:szCs w:val="18"/>
        </w:rPr>
        <w:t>严格按照</w:t>
      </w:r>
    </w:p>
    <w:p>
      <w:pPr>
        <w:spacing w:after="0"/>
        <w:jc w:val="left"/>
        <w:rPr>
          <w:rFonts w:ascii="宋体" w:hAnsi="宋体" w:cs="宋体" w:eastAsia="宋体" w:hint="default"/>
          <w:sz w:val="18"/>
          <w:szCs w:val="18"/>
        </w:rPr>
        <w:sectPr>
          <w:type w:val="continuous"/>
          <w:pgSz w:w="11910" w:h="16840"/>
          <w:pgMar w:top="1580" w:bottom="280" w:left="660" w:right="660"/>
          <w:cols w:num="3" w:equalWidth="0">
            <w:col w:w="2679" w:space="40"/>
            <w:col w:w="5261" w:space="40"/>
            <w:col w:w="2570"/>
          </w:cols>
        </w:sectPr>
      </w:pPr>
    </w:p>
    <w:p>
      <w:pPr>
        <w:spacing w:line="316" w:lineRule="auto" w:before="100"/>
        <w:ind w:left="1778" w:right="-20" w:firstLine="0"/>
        <w:jc w:val="left"/>
        <w:rPr>
          <w:rFonts w:ascii="宋体" w:hAnsi="宋体" w:cs="宋体" w:eastAsia="宋体" w:hint="default"/>
          <w:sz w:val="18"/>
          <w:szCs w:val="18"/>
        </w:rPr>
      </w:pPr>
      <w:r>
        <w:rPr>
          <w:rFonts w:ascii="宋体" w:hAnsi="宋体" w:cs="宋体" w:eastAsia="宋体" w:hint="default"/>
          <w:sz w:val="18"/>
          <w:szCs w:val="18"/>
        </w:rPr>
        <w:t>股集团有限 责任公司</w:t>
      </w:r>
    </w:p>
    <w:p>
      <w:pPr>
        <w:spacing w:before="103"/>
        <w:ind w:left="19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其他承诺</w:t>
      </w:r>
    </w:p>
    <w:p>
      <w:pPr>
        <w:spacing w:line="180" w:lineRule="exact" w:before="0"/>
        <w:ind w:left="92" w:right="-11" w:firstLine="0"/>
        <w:jc w:val="left"/>
        <w:rPr>
          <w:rFonts w:ascii="宋体" w:hAnsi="宋体" w:cs="宋体" w:eastAsia="宋体" w:hint="default"/>
          <w:sz w:val="18"/>
          <w:szCs w:val="18"/>
        </w:rPr>
      </w:pPr>
      <w:r>
        <w:rPr/>
        <w:br w:type="column"/>
      </w:r>
      <w:r>
        <w:rPr>
          <w:rFonts w:ascii="宋体" w:hAnsi="宋体" w:cs="宋体" w:eastAsia="宋体" w:hint="default"/>
          <w:sz w:val="18"/>
          <w:szCs w:val="18"/>
        </w:rPr>
        <w:t>不存在涉及关于环球印务的应披露而未披露的重大</w:t>
      </w:r>
    </w:p>
    <w:p>
      <w:pPr>
        <w:spacing w:line="300" w:lineRule="auto" w:before="76"/>
        <w:ind w:left="92" w:right="-11" w:firstLine="0"/>
        <w:jc w:val="left"/>
        <w:rPr>
          <w:rFonts w:ascii="宋体" w:hAnsi="宋体" w:cs="宋体" w:eastAsia="宋体" w:hint="default"/>
          <w:sz w:val="18"/>
          <w:szCs w:val="18"/>
        </w:rPr>
      </w:pPr>
      <w:r>
        <w:rPr>
          <w:rFonts w:ascii="宋体" w:hAnsi="宋体" w:cs="宋体" w:eastAsia="宋体" w:hint="default"/>
          <w:sz w:val="18"/>
          <w:szCs w:val="18"/>
        </w:rPr>
        <w:t>事项，或处于筹划阶段的重大事项。</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、本公司承诺 </w:t>
      </w:r>
      <w:r>
        <w:rPr>
          <w:rFonts w:ascii="宋体" w:hAnsi="宋体" w:cs="宋体" w:eastAsia="宋体" w:hint="default"/>
          <w:spacing w:val="-1"/>
          <w:sz w:val="18"/>
          <w:szCs w:val="18"/>
        </w:rPr>
        <w:t>未来三个月内不会策划下述重大事项，包括但不限于</w:t>
      </w:r>
    </w:p>
    <w:p>
      <w:pPr>
        <w:spacing w:line="196" w:lineRule="exact" w:before="0"/>
        <w:ind w:left="15" w:right="-18"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p>
    <w:p>
      <w:pPr>
        <w:spacing w:before="60"/>
        <w:ind w:left="15" w:right="-18"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spacing w:before="103"/>
        <w:ind w:left="12"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三个月</w:t>
      </w:r>
    </w:p>
    <w:p>
      <w:pPr>
        <w:spacing w:line="180" w:lineRule="exact" w:before="0"/>
        <w:ind w:left="27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要求履</w:t>
      </w:r>
    </w:p>
    <w:p>
      <w:pPr>
        <w:spacing w:line="316" w:lineRule="auto" w:before="76"/>
        <w:ind w:left="271" w:right="199" w:firstLine="0"/>
        <w:jc w:val="left"/>
        <w:rPr>
          <w:rFonts w:ascii="宋体" w:hAnsi="宋体" w:cs="宋体" w:eastAsia="宋体" w:hint="default"/>
          <w:sz w:val="18"/>
          <w:szCs w:val="18"/>
        </w:rPr>
      </w:pPr>
      <w:r>
        <w:rPr>
          <w:rFonts w:ascii="宋体" w:hAnsi="宋体" w:cs="宋体" w:eastAsia="宋体" w:hint="default"/>
          <w:sz w:val="18"/>
          <w:szCs w:val="18"/>
        </w:rPr>
        <w:t>行，已履 行完毕。</w:t>
      </w:r>
    </w:p>
    <w:p>
      <w:pPr>
        <w:spacing w:after="0" w:line="316" w:lineRule="auto"/>
        <w:jc w:val="left"/>
        <w:rPr>
          <w:rFonts w:ascii="宋体" w:hAnsi="宋体" w:cs="宋体" w:eastAsia="宋体" w:hint="default"/>
          <w:sz w:val="18"/>
          <w:szCs w:val="18"/>
        </w:rPr>
        <w:sectPr>
          <w:type w:val="continuous"/>
          <w:pgSz w:w="11910" w:h="16840"/>
          <w:pgMar w:top="1580" w:bottom="280" w:left="660" w:right="660"/>
          <w:cols w:num="6" w:equalWidth="0">
            <w:col w:w="2679" w:space="40"/>
            <w:col w:w="913" w:space="40"/>
            <w:col w:w="4219" w:space="40"/>
            <w:col w:w="813" w:space="40"/>
            <w:col w:w="553" w:space="40"/>
            <w:col w:w="1213"/>
          </w:cols>
        </w:sectPr>
      </w:pPr>
    </w:p>
    <w:p>
      <w:pPr>
        <w:spacing w:line="312" w:lineRule="auto" w:before="19"/>
        <w:ind w:left="3764" w:right="2602" w:firstLine="0"/>
        <w:jc w:val="left"/>
        <w:rPr>
          <w:rFonts w:ascii="宋体" w:hAnsi="宋体" w:cs="宋体" w:eastAsia="宋体" w:hint="default"/>
          <w:sz w:val="18"/>
          <w:szCs w:val="18"/>
        </w:rPr>
      </w:pPr>
      <w:r>
        <w:rPr>
          <w:rFonts w:ascii="宋体" w:hAnsi="宋体" w:cs="宋体" w:eastAsia="宋体" w:hint="default"/>
          <w:spacing w:val="-5"/>
          <w:sz w:val="18"/>
          <w:szCs w:val="18"/>
        </w:rPr>
        <w:t>重大资产重组、发行股份、上市公司收购、债务重组、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业务重组、资产剥离和资产注入等重大事项。</w:t>
      </w:r>
      <w:r>
        <w:rPr>
          <w:rFonts w:ascii="Times New Roman" w:hAnsi="Times New Roman" w:cs="Times New Roman" w:eastAsia="Times New Roman" w:hint="default"/>
          <w:sz w:val="18"/>
          <w:szCs w:val="18"/>
        </w:rPr>
        <w:t>3</w:t>
      </w:r>
      <w:r>
        <w:rPr>
          <w:rFonts w:ascii="宋体" w:hAnsi="宋体" w:cs="宋体" w:eastAsia="宋体" w:hint="default"/>
          <w:sz w:val="18"/>
          <w:szCs w:val="18"/>
        </w:rPr>
        <w:t>、本 公司将严格按照有关法律法规的规定和要求，做好信 息披露工作。</w:t>
      </w:r>
    </w:p>
    <w:p>
      <w:pPr>
        <w:spacing w:before="113"/>
        <w:ind w:left="146" w:right="2602" w:firstLine="0"/>
        <w:jc w:val="left"/>
        <w:rPr>
          <w:rFonts w:ascii="宋体" w:hAnsi="宋体" w:cs="宋体" w:eastAsia="宋体" w:hint="default"/>
          <w:sz w:val="18"/>
          <w:szCs w:val="18"/>
        </w:rPr>
      </w:pPr>
      <w:r>
        <w:rPr>
          <w:rFonts w:ascii="宋体" w:hAnsi="宋体" w:cs="宋体" w:eastAsia="宋体" w:hint="default"/>
          <w:sz w:val="18"/>
          <w:szCs w:val="18"/>
        </w:rPr>
        <w:t>承诺是否按时履行 </w:t>
      </w:r>
      <w:r>
        <w:rPr>
          <w:rFonts w:ascii="宋体" w:hAnsi="宋体" w:cs="宋体" w:eastAsia="宋体" w:hint="default"/>
          <w:spacing w:val="12"/>
          <w:sz w:val="18"/>
          <w:szCs w:val="18"/>
        </w:rPr>
        <w:t> </w:t>
      </w:r>
      <w:r>
        <w:rPr>
          <w:rFonts w:ascii="宋体" w:hAnsi="宋体" w:cs="宋体" w:eastAsia="宋体" w:hint="default"/>
          <w:sz w:val="18"/>
          <w:szCs w:val="18"/>
        </w:rPr>
        <w:t>是</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580" w:bottom="280" w:left="660" w:right="660"/>
        </w:sectPr>
      </w:pPr>
    </w:p>
    <w:p>
      <w:pPr>
        <w:spacing w:line="316" w:lineRule="auto" w:before="44"/>
        <w:ind w:left="146" w:right="-12" w:firstLine="0"/>
        <w:jc w:val="left"/>
        <w:rPr>
          <w:rFonts w:ascii="宋体" w:hAnsi="宋体" w:cs="宋体" w:eastAsia="宋体" w:hint="default"/>
          <w:sz w:val="18"/>
          <w:szCs w:val="18"/>
        </w:rPr>
      </w:pPr>
      <w:r>
        <w:rPr/>
        <w:pict>
          <v:group style="position:absolute;margin-left:38.639999pt;margin-top:76.919983pt;width:518.0500pt;height:661.7pt;mso-position-horizontal-relative:page;mso-position-vertical-relative:page;z-index:-755272" coordorigin="773,1538" coordsize="10361,13234">
            <v:group style="position:absolute;left:1104;top:1546;width:9698;height:2" coordorigin="1104,1546" coordsize="9698,2">
              <v:shape style="position:absolute;left:1104;top:1546;width:9698;height:2" coordorigin="1104,1546" coordsize="9698,0" path="m1104,1546l10802,1546e" filled="false" stroked="true" strokeweight=".72pt" strokecolor="#000000">
                <v:path arrowok="t"/>
              </v:shape>
            </v:group>
            <v:group style="position:absolute;left:2393;top:1562;width:2;height:354" coordorigin="2393,1562" coordsize="2,354">
              <v:shape style="position:absolute;left:2393;top:1562;width:2;height:354" coordorigin="2393,1562" coordsize="0,354" path="m2393,1562l2393,1916e" filled="false" stroked="true" strokeweight="1.2pt" strokecolor="#d2d2d2">
                <v:path arrowok="t"/>
              </v:shape>
            </v:group>
            <v:group style="position:absolute;left:796;top:1562;width:2;height:354" coordorigin="796,1562" coordsize="2,354">
              <v:shape style="position:absolute;left:796;top:1562;width:2;height:354" coordorigin="796,1562" coordsize="0,354" path="m796,1562l796,1916e" filled="false" stroked="true" strokeweight="1.08pt" strokecolor="#d2d2d2">
                <v:path arrowok="t"/>
              </v:shape>
            </v:group>
            <v:group style="position:absolute;left:785;top:1916;width:1621;height:10790" coordorigin="785,1916" coordsize="1621,10790">
              <v:shape style="position:absolute;left:785;top:1916;width:1621;height:10790" coordorigin="785,1916" coordsize="1621,10790" path="m785,12705l2405,12705,2405,1916,785,1916,785,12705xe" filled="true" fillcolor="#d2d2d2" stroked="false">
                <v:path arrowok="t"/>
                <v:fill type="solid"/>
              </v:shape>
            </v:group>
            <v:group style="position:absolute;left:806;top:1562;width:1575;height:354" coordorigin="806,1562" coordsize="1575,354">
              <v:shape style="position:absolute;left:806;top:1562;width:1575;height:354" coordorigin="806,1562" coordsize="1575,354" path="m806,1916l2381,1916,2381,1562,806,1562,806,1916xe" filled="true" fillcolor="#d2d2d2" stroked="false">
                <v:path arrowok="t"/>
                <v:fill type="solid"/>
              </v:shape>
            </v:group>
            <v:group style="position:absolute;left:782;top:1558;width:1623;height:2" coordorigin="782,1558" coordsize="1623,2">
              <v:shape style="position:absolute;left:782;top:1558;width:1623;height:2" coordorigin="782,1558" coordsize="1623,0" path="m782,1558l2405,1558e" filled="false" stroked="true" strokeweight=".48pt" strokecolor="#000000">
                <v:path arrowok="t"/>
              </v:shape>
            </v:group>
            <v:group style="position:absolute;left:2415;top:1558;width:1124;height:2" coordorigin="2415,1558" coordsize="1124,2">
              <v:shape style="position:absolute;left:2415;top:1558;width:1124;height:2" coordorigin="2415,1558" coordsize="1124,0" path="m2415,1558l3538,1558e" filled="false" stroked="true" strokeweight=".48pt" strokecolor="#000000">
                <v:path arrowok="t"/>
              </v:shape>
            </v:group>
            <v:group style="position:absolute;left:3548;top:1558;width:843;height:2" coordorigin="3548,1558" coordsize="843,2">
              <v:shape style="position:absolute;left:3548;top:1558;width:843;height:2" coordorigin="3548,1558" coordsize="843,0" path="m3548,1558l4390,1558e" filled="false" stroked="true" strokeweight=".48pt" strokecolor="#000000">
                <v:path arrowok="t"/>
              </v:shape>
            </v:group>
            <v:group style="position:absolute;left:4400;top:1558;width:4172;height:2" coordorigin="4400,1558" coordsize="4172,2">
              <v:shape style="position:absolute;left:4400;top:1558;width:4172;height:2" coordorigin="4400,1558" coordsize="4172,0" path="m4400,1558l8572,1558e" filled="false" stroked="true" strokeweight=".48pt" strokecolor="#000000">
                <v:path arrowok="t"/>
              </v:shape>
            </v:group>
            <v:group style="position:absolute;left:8581;top:1558;width:841;height:2" coordorigin="8581,1558" coordsize="841,2">
              <v:shape style="position:absolute;left:8581;top:1558;width:841;height:2" coordorigin="8581,1558" coordsize="841,0" path="m8581,1558l9422,1558e" filled="false" stroked="true" strokeweight=".48pt" strokecolor="#000000">
                <v:path arrowok="t"/>
              </v:shape>
            </v:group>
            <v:group style="position:absolute;left:9432;top:1558;width:843;height:2" coordorigin="9432,1558" coordsize="843,2">
              <v:shape style="position:absolute;left:9432;top:1558;width:843;height:2" coordorigin="9432,1558" coordsize="843,0" path="m9432,1558l10274,1558e" filled="false" stroked="true" strokeweight=".48pt" strokecolor="#000000">
                <v:path arrowok="t"/>
              </v:shape>
            </v:group>
            <v:group style="position:absolute;left:10284;top:1558;width:840;height:2" coordorigin="10284,1558" coordsize="840,2">
              <v:shape style="position:absolute;left:10284;top:1558;width:840;height:2" coordorigin="10284,1558" coordsize="840,0" path="m10284,1558l11124,1558e" filled="false" stroked="true" strokeweight=".48pt" strokecolor="#000000">
                <v:path arrowok="t"/>
              </v:shape>
            </v:group>
            <v:group style="position:absolute;left:2415;top:5040;width:1124;height:2" coordorigin="2415,5040" coordsize="1124,2">
              <v:shape style="position:absolute;left:2415;top:5040;width:1124;height:2" coordorigin="2415,5040" coordsize="1124,0" path="m2415,5040l3538,5040e" filled="false" stroked="true" strokeweight=".48001pt" strokecolor="#000000">
                <v:path arrowok="t"/>
              </v:shape>
            </v:group>
            <v:group style="position:absolute;left:3548;top:5040;width:843;height:2" coordorigin="3548,5040" coordsize="843,2">
              <v:shape style="position:absolute;left:3548;top:5040;width:843;height:2" coordorigin="3548,5040" coordsize="843,0" path="m3548,5040l4390,5040e" filled="false" stroked="true" strokeweight=".48001pt" strokecolor="#000000">
                <v:path arrowok="t"/>
              </v:shape>
            </v:group>
            <v:group style="position:absolute;left:4400;top:5040;width:4172;height:2" coordorigin="4400,5040" coordsize="4172,2">
              <v:shape style="position:absolute;left:4400;top:5040;width:4172;height:2" coordorigin="4400,5040" coordsize="4172,0" path="m4400,5040l8572,5040e" filled="false" stroked="true" strokeweight=".48001pt" strokecolor="#000000">
                <v:path arrowok="t"/>
              </v:shape>
            </v:group>
            <v:group style="position:absolute;left:8581;top:5040;width:841;height:2" coordorigin="8581,5040" coordsize="841,2">
              <v:shape style="position:absolute;left:8581;top:5040;width:841;height:2" coordorigin="8581,5040" coordsize="841,0" path="m8581,5040l9422,5040e" filled="false" stroked="true" strokeweight=".48001pt" strokecolor="#000000">
                <v:path arrowok="t"/>
              </v:shape>
            </v:group>
            <v:group style="position:absolute;left:9432;top:5040;width:843;height:2" coordorigin="9432,5040" coordsize="843,2">
              <v:shape style="position:absolute;left:9432;top:5040;width:843;height:2" coordorigin="9432,5040" coordsize="843,0" path="m9432,5040l10274,5040e" filled="false" stroked="true" strokeweight=".48001pt" strokecolor="#000000">
                <v:path arrowok="t"/>
              </v:shape>
            </v:group>
            <v:group style="position:absolute;left:10284;top:5040;width:840;height:2" coordorigin="10284,5040" coordsize="840,2">
              <v:shape style="position:absolute;left:10284;top:5040;width:840;height:2" coordorigin="10284,5040" coordsize="840,0" path="m10284,5040l11124,5040e" filled="false" stroked="true" strokeweight=".48001pt" strokecolor="#000000">
                <v:path arrowok="t"/>
              </v:shape>
            </v:group>
            <v:group style="position:absolute;left:2415;top:8874;width:1124;height:2" coordorigin="2415,8874" coordsize="1124,2">
              <v:shape style="position:absolute;left:2415;top:8874;width:1124;height:2" coordorigin="2415,8874" coordsize="1124,0" path="m2415,8874l3538,8874e" filled="false" stroked="true" strokeweight=".48001pt" strokecolor="#000000">
                <v:path arrowok="t"/>
              </v:shape>
            </v:group>
            <v:group style="position:absolute;left:3548;top:8874;width:843;height:2" coordorigin="3548,8874" coordsize="843,2">
              <v:shape style="position:absolute;left:3548;top:8874;width:843;height:2" coordorigin="3548,8874" coordsize="843,0" path="m3548,8874l4390,8874e" filled="false" stroked="true" strokeweight=".48001pt" strokecolor="#000000">
                <v:path arrowok="t"/>
              </v:shape>
            </v:group>
            <v:group style="position:absolute;left:4400;top:8874;width:4172;height:2" coordorigin="4400,8874" coordsize="4172,2">
              <v:shape style="position:absolute;left:4400;top:8874;width:4172;height:2" coordorigin="4400,8874" coordsize="4172,0" path="m4400,8874l8572,8874e" filled="false" stroked="true" strokeweight=".48001pt" strokecolor="#000000">
                <v:path arrowok="t"/>
              </v:shape>
            </v:group>
            <v:group style="position:absolute;left:8581;top:8874;width:841;height:2" coordorigin="8581,8874" coordsize="841,2">
              <v:shape style="position:absolute;left:8581;top:8874;width:841;height:2" coordorigin="8581,8874" coordsize="841,0" path="m8581,8874l9422,8874e" filled="false" stroked="true" strokeweight=".48001pt" strokecolor="#000000">
                <v:path arrowok="t"/>
              </v:shape>
            </v:group>
            <v:group style="position:absolute;left:9432;top:8874;width:843;height:2" coordorigin="9432,8874" coordsize="843,2">
              <v:shape style="position:absolute;left:9432;top:8874;width:843;height:2" coordorigin="9432,8874" coordsize="843,0" path="m9432,8874l10274,8874e" filled="false" stroked="true" strokeweight=".48001pt" strokecolor="#000000">
                <v:path arrowok="t"/>
              </v:shape>
            </v:group>
            <v:group style="position:absolute;left:10284;top:8874;width:840;height:2" coordorigin="10284,8874" coordsize="840,2">
              <v:shape style="position:absolute;left:10284;top:8874;width:840;height:2" coordorigin="10284,8874" coordsize="840,0" path="m10284,8874l11124,8874e" filled="false" stroked="true" strokeweight=".48001pt" strokecolor="#000000">
                <v:path arrowok="t"/>
              </v:shape>
            </v:group>
            <v:group style="position:absolute;left:3543;top:1553;width:2;height:11162" coordorigin="3543,1553" coordsize="2,11162">
              <v:shape style="position:absolute;left:3543;top:1553;width:2;height:11162" coordorigin="3543,1553" coordsize="0,11162" path="m3543,1553l3543,12715e" filled="false" stroked="true" strokeweight=".48pt" strokecolor="#000000">
                <v:path arrowok="t"/>
              </v:shape>
            </v:group>
            <v:group style="position:absolute;left:4395;top:1553;width:2;height:11162" coordorigin="4395,1553" coordsize="2,11162">
              <v:shape style="position:absolute;left:4395;top:1553;width:2;height:11162" coordorigin="4395,1553" coordsize="0,11162" path="m4395,1553l4395,12715e" filled="false" stroked="true" strokeweight=".48pt" strokecolor="#000000">
                <v:path arrowok="t"/>
              </v:shape>
            </v:group>
            <v:group style="position:absolute;left:8577;top:1553;width:2;height:11162" coordorigin="8577,1553" coordsize="2,11162">
              <v:shape style="position:absolute;left:8577;top:1553;width:2;height:11162" coordorigin="8577,1553" coordsize="0,11162" path="m8577,1553l8577,12715e" filled="false" stroked="true" strokeweight=".47998pt" strokecolor="#000000">
                <v:path arrowok="t"/>
              </v:shape>
            </v:group>
            <v:group style="position:absolute;left:9427;top:1553;width:2;height:11162" coordorigin="9427,1553" coordsize="2,11162">
              <v:shape style="position:absolute;left:9427;top:1553;width:2;height:11162" coordorigin="9427,1553" coordsize="0,11162" path="m9427,1553l9427,12715e" filled="false" stroked="true" strokeweight=".48001pt" strokecolor="#000000">
                <v:path arrowok="t"/>
              </v:shape>
            </v:group>
            <v:group style="position:absolute;left:10279;top:1553;width:2;height:11162" coordorigin="10279,1553" coordsize="2,11162">
              <v:shape style="position:absolute;left:10279;top:1553;width:2;height:11162" coordorigin="10279,1553" coordsize="0,11162" path="m10279,1553l10279,12715e" filled="false" stroked="true" strokeweight=".48004pt" strokecolor="#000000">
                <v:path arrowok="t"/>
              </v:shape>
            </v:group>
            <v:group style="position:absolute;left:796;top:12715;width:2;height:392" coordorigin="796,12715" coordsize="2,392">
              <v:shape style="position:absolute;left:796;top:12715;width:2;height:392" coordorigin="796,12715" coordsize="0,392" path="m796,12715l796,13106e" filled="false" stroked="true" strokeweight="1.08pt" strokecolor="#d2d2d2">
                <v:path arrowok="t"/>
              </v:shape>
            </v:group>
            <v:group style="position:absolute;left:2393;top:12715;width:2;height:392" coordorigin="2393,12715" coordsize="2,392">
              <v:shape style="position:absolute;left:2393;top:12715;width:2;height:392" coordorigin="2393,12715" coordsize="0,392" path="m2393,12715l2393,13106e" filled="false" stroked="true" strokeweight="1.2pt" strokecolor="#d2d2d2">
                <v:path arrowok="t"/>
              </v:shape>
            </v:group>
            <v:group style="position:absolute;left:806;top:12715;width:1575;height:392" coordorigin="806,12715" coordsize="1575,392">
              <v:shape style="position:absolute;left:806;top:12715;width:1575;height:392" coordorigin="806,12715" coordsize="1575,392" path="m806,13106l2381,13106,2381,12715,806,12715,806,13106xe" filled="true" fillcolor="#d2d2d2" stroked="false">
                <v:path arrowok="t"/>
                <v:fill type="solid"/>
              </v:shape>
            </v:group>
            <v:group style="position:absolute;left:782;top:12710;width:1623;height:2" coordorigin="782,12710" coordsize="1623,2">
              <v:shape style="position:absolute;left:782;top:12710;width:1623;height:2" coordorigin="782,12710" coordsize="1623,0" path="m782,12710l2405,12710e" filled="false" stroked="true" strokeweight=".48004pt" strokecolor="#000000">
                <v:path arrowok="t"/>
              </v:shape>
            </v:group>
            <v:group style="position:absolute;left:2415;top:12710;width:1124;height:2" coordorigin="2415,12710" coordsize="1124,2">
              <v:shape style="position:absolute;left:2415;top:12710;width:1124;height:2" coordorigin="2415,12710" coordsize="1124,0" path="m2415,12710l3538,12710e" filled="false" stroked="true" strokeweight=".48004pt" strokecolor="#000000">
                <v:path arrowok="t"/>
              </v:shape>
            </v:group>
            <v:group style="position:absolute;left:3548;top:12710;width:843;height:2" coordorigin="3548,12710" coordsize="843,2">
              <v:shape style="position:absolute;left:3548;top:12710;width:843;height:2" coordorigin="3548,12710" coordsize="843,0" path="m3548,12710l4390,12710e" filled="false" stroked="true" strokeweight=".48004pt" strokecolor="#000000">
                <v:path arrowok="t"/>
              </v:shape>
            </v:group>
            <v:group style="position:absolute;left:4400;top:12710;width:4172;height:2" coordorigin="4400,12710" coordsize="4172,2">
              <v:shape style="position:absolute;left:4400;top:12710;width:4172;height:2" coordorigin="4400,12710" coordsize="4172,0" path="m4400,12710l8572,12710e" filled="false" stroked="true" strokeweight=".48004pt" strokecolor="#000000">
                <v:path arrowok="t"/>
              </v:shape>
            </v:group>
            <v:group style="position:absolute;left:8581;top:12710;width:841;height:2" coordorigin="8581,12710" coordsize="841,2">
              <v:shape style="position:absolute;left:8581;top:12710;width:841;height:2" coordorigin="8581,12710" coordsize="841,0" path="m8581,12710l9422,12710e" filled="false" stroked="true" strokeweight=".48004pt" strokecolor="#000000">
                <v:path arrowok="t"/>
              </v:shape>
            </v:group>
            <v:group style="position:absolute;left:9432;top:12710;width:843;height:2" coordorigin="9432,12710" coordsize="843,2">
              <v:shape style="position:absolute;left:9432;top:12710;width:843;height:2" coordorigin="9432,12710" coordsize="843,0" path="m9432,12710l10274,12710e" filled="false" stroked="true" strokeweight=".48004pt" strokecolor="#000000">
                <v:path arrowok="t"/>
              </v:shape>
            </v:group>
            <v:group style="position:absolute;left:10284;top:12710;width:840;height:2" coordorigin="10284,12710" coordsize="840,2">
              <v:shape style="position:absolute;left:10284;top:12710;width:840;height:2" coordorigin="10284,12710" coordsize="840,0" path="m10284,12710l11124,12710e" filled="false" stroked="true" strokeweight=".48004pt" strokecolor="#000000">
                <v:path arrowok="t"/>
              </v:shape>
            </v:group>
            <v:group style="position:absolute;left:796;top:13118;width:2;height:1640" coordorigin="796,13118" coordsize="2,1640">
              <v:shape style="position:absolute;left:796;top:13118;width:2;height:1640" coordorigin="796,13118" coordsize="0,1640" path="m796,13118l796,14757e" filled="false" stroked="true" strokeweight="1.08pt" strokecolor="#d2d2d2">
                <v:path arrowok="t"/>
              </v:shape>
            </v:group>
            <v:group style="position:absolute;left:2393;top:13118;width:2;height:1640" coordorigin="2393,13118" coordsize="2,1640">
              <v:shape style="position:absolute;left:2393;top:13118;width:2;height:1640" coordorigin="2393,13118" coordsize="0,1640" path="m2393,13118l2393,14757e" filled="false" stroked="true" strokeweight="1.2pt" strokecolor="#d2d2d2">
                <v:path arrowok="t"/>
              </v:shape>
            </v:group>
            <v:group style="position:absolute;left:806;top:13118;width:1575;height:351" coordorigin="806,13118" coordsize="1575,351">
              <v:shape style="position:absolute;left:806;top:13118;width:1575;height:351" coordorigin="806,13118" coordsize="1575,351" path="m806,13468l2381,13468,2381,13118,806,13118,806,13468xe" filled="true" fillcolor="#d2d2d2" stroked="false">
                <v:path arrowok="t"/>
                <v:fill type="solid"/>
              </v:shape>
            </v:group>
            <v:group style="position:absolute;left:806;top:13468;width:1575;height:312" coordorigin="806,13468" coordsize="1575,312">
              <v:shape style="position:absolute;left:806;top:13468;width:1575;height:312" coordorigin="806,13468" coordsize="1575,312" path="m806,13780l2381,13780,2381,13468,806,13468,806,13780xe" filled="true" fillcolor="#d2d2d2" stroked="false">
                <v:path arrowok="t"/>
                <v:fill type="solid"/>
              </v:shape>
            </v:group>
            <v:group style="position:absolute;left:806;top:13780;width:1575;height:312" coordorigin="806,13780" coordsize="1575,312">
              <v:shape style="position:absolute;left:806;top:13780;width:1575;height:312" coordorigin="806,13780" coordsize="1575,312" path="m806,14092l2381,14092,2381,13780,806,13780,806,14092xe" filled="true" fillcolor="#d2d2d2" stroked="false">
                <v:path arrowok="t"/>
                <v:fill type="solid"/>
              </v:shape>
            </v:group>
            <v:group style="position:absolute;left:806;top:14092;width:1575;height:312" coordorigin="806,14092" coordsize="1575,312">
              <v:shape style="position:absolute;left:806;top:14092;width:1575;height:312" coordorigin="806,14092" coordsize="1575,312" path="m806,14404l2381,14404,2381,14092,806,14092,806,14404xe" filled="true" fillcolor="#d2d2d2" stroked="false">
                <v:path arrowok="t"/>
                <v:fill type="solid"/>
              </v:shape>
            </v:group>
            <v:group style="position:absolute;left:806;top:14404;width:1575;height:353" coordorigin="806,14404" coordsize="1575,353">
              <v:shape style="position:absolute;left:806;top:14404;width:1575;height:353" coordorigin="806,14404" coordsize="1575,353" path="m806,14757l2381,14757,2381,14404,806,14404,806,14757xe" filled="true" fillcolor="#d2d2d2" stroked="false">
                <v:path arrowok="t"/>
                <v:fill type="solid"/>
              </v:shape>
            </v:group>
            <v:group style="position:absolute;left:782;top:13111;width:1623;height:2" coordorigin="782,13111" coordsize="1623,2">
              <v:shape style="position:absolute;left:782;top:13111;width:1623;height:2" coordorigin="782,13111" coordsize="1623,0" path="m782,13111l2405,13111e" filled="false" stroked="true" strokeweight=".47998pt" strokecolor="#000000">
                <v:path arrowok="t"/>
              </v:shape>
            </v:group>
            <v:group style="position:absolute;left:2415;top:13111;width:8709;height:2" coordorigin="2415,13111" coordsize="8709,2">
              <v:shape style="position:absolute;left:2415;top:13111;width:8709;height:2" coordorigin="2415,13111" coordsize="8709,0" path="m2415,13111l11123,13111e" filled="false" stroked="true" strokeweight=".47998pt" strokecolor="#000000">
                <v:path arrowok="t"/>
              </v:shape>
            </v:group>
            <v:group style="position:absolute;left:778;top:1553;width:2;height:13214" coordorigin="778,1553" coordsize="2,13214">
              <v:shape style="position:absolute;left:778;top:1553;width:2;height:13214" coordorigin="778,1553" coordsize="0,13214" path="m778,1553l778,14767e" filled="false" stroked="true" strokeweight=".48pt" strokecolor="#000000">
                <v:path arrowok="t"/>
              </v:shape>
            </v:group>
            <v:group style="position:absolute;left:782;top:14762;width:1623;height:2" coordorigin="782,14762" coordsize="1623,2">
              <v:shape style="position:absolute;left:782;top:14762;width:1623;height:2" coordorigin="782,14762" coordsize="1623,0" path="m782,14762l2405,14762e" filled="false" stroked="true" strokeweight=".47998pt" strokecolor="#000000">
                <v:path arrowok="t"/>
              </v:shape>
            </v:group>
            <v:group style="position:absolute;left:2410;top:1553;width:2;height:13214" coordorigin="2410,1553" coordsize="2,13214">
              <v:shape style="position:absolute;left:2410;top:1553;width:2;height:13214" coordorigin="2410,1553" coordsize="0,13214" path="m2410,1553l2410,14767e" filled="false" stroked="true" strokeweight=".48pt" strokecolor="#000000">
                <v:path arrowok="t"/>
              </v:shape>
            </v:group>
            <v:group style="position:absolute;left:2415;top:14762;width:8709;height:2" coordorigin="2415,14762" coordsize="8709,2">
              <v:shape style="position:absolute;left:2415;top:14762;width:8709;height:2" coordorigin="2415,14762" coordsize="8709,0" path="m2415,14762l11123,14762e" filled="false" stroked="true" strokeweight=".47998pt" strokecolor="#000000">
                <v:path arrowok="t"/>
              </v:shape>
            </v:group>
            <v:group style="position:absolute;left:11128;top:1553;width:2;height:13214" coordorigin="11128,1553" coordsize="2,13214">
              <v:shape style="position:absolute;left:11128;top:1553;width:2;height:13214" coordorigin="11128,1553" coordsize="0,13214" path="m11128,1553l11128,14767e" filled="false" stroked="true" strokeweight=".47998pt" strokecolor="#000000">
                <v:path arrowok="t"/>
              </v:shape>
            </v:group>
            <w10:wrap type="none"/>
          </v:group>
        </w:pict>
      </w:r>
      <w:r>
        <w:rPr>
          <w:rFonts w:ascii="宋体" w:hAnsi="宋体" w:cs="宋体" w:eastAsia="宋体" w:hint="default"/>
          <w:sz w:val="18"/>
          <w:szCs w:val="18"/>
        </w:rPr>
        <w:t>如承诺超期未履行 </w:t>
      </w:r>
      <w:r>
        <w:rPr>
          <w:rFonts w:ascii="宋体" w:hAnsi="宋体" w:cs="宋体" w:eastAsia="宋体" w:hint="default"/>
          <w:spacing w:val="-6"/>
          <w:sz w:val="18"/>
          <w:szCs w:val="18"/>
        </w:rPr>
        <w:t>完毕的，应当详细说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明未完成履行的具 体原因及下一步的 工作计划</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17"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580" w:bottom="280" w:left="660" w:right="660"/>
          <w:cols w:num="2" w:equalWidth="0">
            <w:col w:w="1721" w:space="40"/>
            <w:col w:w="8829"/>
          </w:cols>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3"/>
        <w:spacing w:line="314" w:lineRule="exact"/>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四、控股股东及其关联方对上市公司的非经营性占用资金情况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2" w:right="4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10"/>
        <w:rPr>
          <w:rFonts w:ascii="宋体" w:hAnsi="宋体" w:cs="宋体" w:eastAsia="宋体" w:hint="default"/>
          <w:sz w:val="13"/>
          <w:szCs w:val="13"/>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六、与上年度财务报告相比，会计政策、会计估计和核算方法发生变化的情况说明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Heading3"/>
        <w:spacing w:line="240" w:lineRule="auto" w:before="93"/>
        <w:ind w:right="0"/>
        <w:jc w:val="both"/>
        <w:rPr>
          <w:b w:val="0"/>
          <w:bCs w:val="0"/>
        </w:rPr>
      </w:pPr>
      <w:r>
        <w:rPr/>
        <w:t>（一） 会计政策的变更</w:t>
      </w:r>
      <w:r>
        <w:rPr>
          <w:b w:val="0"/>
          <w:bCs w:val="0"/>
        </w:rPr>
      </w:r>
    </w:p>
    <w:p>
      <w:pPr>
        <w:pStyle w:val="BodyText"/>
        <w:spacing w:line="240" w:lineRule="auto" w:before="169"/>
        <w:ind w:right="209"/>
        <w:jc w:val="right"/>
      </w:pPr>
      <w:r>
        <w:rPr>
          <w:rFonts w:ascii="Times New Roman" w:hAnsi="Times New Roman" w:cs="Times New Roman" w:eastAsia="Times New Roman" w:hint="default"/>
          <w:spacing w:val="-1"/>
        </w:rPr>
        <w:t>1</w:t>
      </w:r>
      <w:r>
        <w:rPr>
          <w:spacing w:val="-1"/>
        </w:rPr>
        <w:t>、本报告期公司根据财政部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月份发布的（财会</w:t>
      </w:r>
      <w:r>
        <w:rPr>
          <w:rFonts w:ascii="Times New Roman" w:hAnsi="Times New Roman" w:cs="Times New Roman" w:eastAsia="Times New Roman" w:hint="default"/>
          <w:spacing w:val="-1"/>
        </w:rPr>
        <w:t>[2017]13</w:t>
      </w:r>
      <w:r>
        <w:rPr>
          <w:spacing w:val="-1"/>
        </w:rPr>
        <w:t>号）文件《关于印发企业会计准则第</w:t>
      </w:r>
    </w:p>
    <w:p>
      <w:pPr>
        <w:pStyle w:val="BodyText"/>
        <w:spacing w:line="391" w:lineRule="auto" w:before="177"/>
        <w:ind w:right="139"/>
        <w:jc w:val="right"/>
      </w:pP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持有待售的非流动资产、处置组和终止确认经营的通知》，本公司资产负债表增加</w:t>
      </w:r>
      <w:r>
        <w:rPr>
          <w:rFonts w:ascii="Times New Roman" w:hAnsi="Times New Roman" w:cs="Times New Roman" w:eastAsia="Times New Roman" w:hint="default"/>
          <w:spacing w:val="-2"/>
        </w:rPr>
        <w:t>“</w:t>
      </w:r>
      <w:r>
        <w:rPr>
          <w:spacing w:val="-2"/>
        </w:rPr>
        <w:t>持有待售资产</w:t>
      </w:r>
      <w:r>
        <w:rPr>
          <w:rFonts w:ascii="Times New Roman" w:hAnsi="Times New Roman" w:cs="Times New Roman" w:eastAsia="Times New Roman" w:hint="default"/>
          <w:spacing w:val="-2"/>
        </w:rPr>
        <w:t>”</w:t>
      </w:r>
      <w:r>
        <w:rPr>
          <w:spacing w:val="-2"/>
        </w:rPr>
        <w:t>、</w:t>
      </w:r>
      <w:r>
        <w:rPr>
          <w:spacing w:val="-41"/>
        </w:rPr>
        <w:t> </w:t>
      </w:r>
      <w:r>
        <w:rPr>
          <w:rFonts w:ascii="Times New Roman" w:hAnsi="Times New Roman" w:cs="Times New Roman" w:eastAsia="Times New Roman" w:hint="default"/>
          <w:spacing w:val="-2"/>
        </w:rPr>
        <w:t>“</w:t>
      </w:r>
      <w:r>
        <w:rPr>
          <w:spacing w:val="-2"/>
        </w:rPr>
        <w:t>持有待售负债</w:t>
      </w:r>
      <w:r>
        <w:rPr>
          <w:rFonts w:ascii="Times New Roman" w:hAnsi="Times New Roman" w:cs="Times New Roman" w:eastAsia="Times New Roman" w:hint="default"/>
          <w:spacing w:val="-2"/>
        </w:rPr>
        <w:t>”</w:t>
      </w:r>
      <w:r>
        <w:rPr>
          <w:spacing w:val="-2"/>
        </w:rPr>
        <w:t>报表项目，核算通过出售而非持续使用收回其账面价值的一项非流动资产或处置组，以及</w:t>
      </w:r>
      <w:r>
        <w:rPr>
          <w:w w:val="100"/>
        </w:rPr>
        <w:t> </w:t>
      </w:r>
      <w:r>
        <w:rPr>
          <w:spacing w:val="-2"/>
        </w:rPr>
        <w:t>处置组中与划分为持有待售类别的资产直接相关的负债。会计政策的变更未对财务报表造成实质性影响。</w:t>
      </w:r>
      <w:r>
        <w:rPr>
          <w:spacing w:val="-94"/>
        </w:rPr>
        <w:t> </w:t>
      </w:r>
      <w:r>
        <w:rPr>
          <w:spacing w:val="-94"/>
        </w:rPr>
      </w:r>
      <w:r>
        <w:rPr>
          <w:rFonts w:ascii="Times New Roman" w:hAnsi="Times New Roman" w:cs="Times New Roman" w:eastAsia="Times New Roman" w:hint="default"/>
          <w:spacing w:val="-1"/>
        </w:rPr>
        <w:t>2</w:t>
      </w:r>
      <w:r>
        <w:rPr>
          <w:spacing w:val="-1"/>
        </w:rPr>
        <w:t>、本报告期公司根据财政部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月份发布的（财会</w:t>
      </w:r>
      <w:r>
        <w:rPr>
          <w:rFonts w:ascii="Times New Roman" w:hAnsi="Times New Roman" w:cs="Times New Roman" w:eastAsia="Times New Roman" w:hint="default"/>
          <w:spacing w:val="-1"/>
        </w:rPr>
        <w:t>[2017]15</w:t>
      </w:r>
      <w:r>
        <w:rPr>
          <w:spacing w:val="-1"/>
        </w:rPr>
        <w:t>号）文件《关于印发修订企业会计准</w:t>
      </w:r>
      <w:r>
        <w:rPr>
          <w:w w:val="100"/>
        </w:rPr>
        <w:t> </w:t>
      </w:r>
      <w:r>
        <w:rPr/>
        <w:t>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政府补助的通知》</w:t>
      </w:r>
      <w:r>
        <w:rPr>
          <w:spacing w:val="77"/>
        </w:rPr>
        <w:t> </w:t>
      </w:r>
      <w:r>
        <w:rPr/>
        <w:t>以及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月份发布的（财会</w:t>
      </w:r>
      <w:r>
        <w:rPr>
          <w:rFonts w:ascii="Times New Roman" w:hAnsi="Times New Roman" w:cs="Times New Roman" w:eastAsia="Times New Roman" w:hint="default"/>
        </w:rPr>
        <w:t>[2017]30</w:t>
      </w:r>
      <w:r>
        <w:rPr/>
        <w:t>号）文件《关于修订印发一般企业</w:t>
      </w:r>
      <w:r>
        <w:rPr>
          <w:w w:val="100"/>
        </w:rPr>
        <w:t> </w:t>
      </w:r>
      <w:r>
        <w:rPr>
          <w:spacing w:val="-2"/>
        </w:rPr>
        <w:t>财务报表格式的通知》，本公司利润表增加</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报表项目，核算与企业日常活动相关的政府补助。</w:t>
      </w:r>
    </w:p>
    <w:p>
      <w:pPr>
        <w:pStyle w:val="BodyText"/>
        <w:spacing w:line="386" w:lineRule="auto" w:before="30"/>
        <w:ind w:right="216"/>
        <w:jc w:val="both"/>
      </w:pPr>
      <w:r>
        <w:rPr/>
        <w:t>对</w:t>
      </w:r>
      <w:r>
        <w:rPr>
          <w:spacing w:val="6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日至准则施行日之间新增的政府补助已按照准则进行调整，该项会计政策变更增加当期其</w:t>
      </w:r>
      <w:r>
        <w:rPr>
          <w:spacing w:val="-95"/>
        </w:rPr>
        <w:t> </w:t>
      </w:r>
      <w:r>
        <w:rPr>
          <w:spacing w:val="-95"/>
        </w:rPr>
      </w:r>
      <w:r>
        <w:rPr/>
        <w:t>他收益</w:t>
      </w:r>
      <w:r>
        <w:rPr>
          <w:rFonts w:ascii="Times New Roman" w:hAnsi="Times New Roman" w:cs="Times New Roman" w:eastAsia="Times New Roman" w:hint="default"/>
        </w:rPr>
        <w:t>2,849,756.00</w:t>
      </w:r>
      <w:r>
        <w:rPr/>
        <w:t>元，减少营业外收入</w:t>
      </w:r>
      <w:r>
        <w:rPr>
          <w:rFonts w:ascii="Times New Roman" w:hAnsi="Times New Roman" w:cs="Times New Roman" w:eastAsia="Times New Roman" w:hint="default"/>
        </w:rPr>
        <w:t>2,849,756.00</w:t>
      </w:r>
      <w:r>
        <w:rPr/>
        <w:t>元。对于</w:t>
      </w:r>
      <w:r>
        <w:rPr>
          <w:rFonts w:ascii="Times New Roman" w:hAnsi="Times New Roman" w:cs="Times New Roman" w:eastAsia="Times New Roman" w:hint="default"/>
        </w:rPr>
        <w:t>2017</w:t>
      </w:r>
      <w:r>
        <w:rPr/>
        <w:t>年财务报表中可比期间的财务报表不予</w:t>
      </w:r>
      <w:r>
        <w:rPr>
          <w:spacing w:val="-34"/>
        </w:rPr>
        <w:t> </w:t>
      </w:r>
      <w:r>
        <w:rPr>
          <w:spacing w:val="-34"/>
        </w:rPr>
      </w:r>
      <w:r>
        <w:rPr/>
        <w:t>追溯调整。</w:t>
      </w:r>
    </w:p>
    <w:p>
      <w:pPr>
        <w:pStyle w:val="BodyText"/>
        <w:spacing w:line="393" w:lineRule="auto" w:before="65"/>
        <w:ind w:right="100" w:firstLine="420"/>
        <w:jc w:val="both"/>
      </w:pPr>
      <w:r>
        <w:rPr>
          <w:rFonts w:ascii="Times New Roman" w:hAnsi="Times New Roman" w:cs="Times New Roman" w:eastAsia="Times New Roman" w:hint="default"/>
          <w:spacing w:val="-3"/>
        </w:rPr>
        <w:t>3</w:t>
      </w:r>
      <w:r>
        <w:rPr>
          <w:spacing w:val="-3"/>
        </w:rPr>
        <w:t>、本报告期公司根据财政部</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月份发布的（财会</w:t>
      </w:r>
      <w:r>
        <w:rPr>
          <w:rFonts w:ascii="Times New Roman" w:hAnsi="Times New Roman" w:cs="Times New Roman" w:eastAsia="Times New Roman" w:hint="default"/>
          <w:spacing w:val="-3"/>
        </w:rPr>
        <w:t>[2017]30</w:t>
      </w:r>
      <w:r>
        <w:rPr>
          <w:spacing w:val="-3"/>
        </w:rPr>
        <w:t>号）文件《关于修订印发一般企业财</w:t>
      </w:r>
      <w:r>
        <w:rPr>
          <w:w w:val="100"/>
        </w:rPr>
        <w:t> </w:t>
      </w:r>
      <w:r>
        <w:rPr/>
        <w:t>务报表格式的通知》，本公司利润表增加</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报表项目，核算出售划分为持有待售的非流动资</w:t>
      </w:r>
      <w:r>
        <w:rPr>
          <w:w w:val="100"/>
        </w:rPr>
        <w:t> </w:t>
      </w:r>
      <w:r>
        <w:rPr>
          <w:spacing w:val="-2"/>
        </w:rPr>
        <w:t>产（金融工具、长期股权投资和投资性房地产除外）或处置组时确认的处置利得或损失，以及处置未划分</w:t>
      </w:r>
      <w:r>
        <w:rPr>
          <w:spacing w:val="-47"/>
        </w:rPr>
        <w:t> </w:t>
      </w:r>
      <w:r>
        <w:rPr>
          <w:spacing w:val="-47"/>
        </w:rPr>
      </w:r>
      <w:r>
        <w:rPr>
          <w:spacing w:val="-2"/>
        </w:rPr>
        <w:t>为持有待售的固定资产、在建工程、生产性生物资产及无形资产而产生的处置利得或损失，债务重组中因</w:t>
      </w:r>
      <w:r>
        <w:rPr>
          <w:spacing w:val="-44"/>
        </w:rPr>
        <w:t> </w:t>
      </w:r>
      <w:r>
        <w:rPr>
          <w:spacing w:val="-44"/>
        </w:rPr>
      </w:r>
      <w:r>
        <w:rPr/>
        <w:t>处置非流动资产产生的利得或损失和非货币性资产交换产生的利得或损失。对于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日至规定施行</w:t>
      </w:r>
      <w:r>
        <w:rPr>
          <w:w w:val="100"/>
        </w:rPr>
        <w:t> </w:t>
      </w:r>
      <w:r>
        <w:rPr/>
        <w:t>之间新增的资产处置已按规定调整，该项会计政策变更增加当期资产处置收益</w:t>
      </w:r>
      <w:r>
        <w:rPr>
          <w:rFonts w:ascii="Times New Roman" w:hAnsi="Times New Roman" w:cs="Times New Roman" w:eastAsia="Times New Roman" w:hint="default"/>
        </w:rPr>
        <w:t>-1,114,287.69</w:t>
      </w:r>
      <w:r>
        <w:rPr/>
        <w:t>元，减少营业</w:t>
      </w:r>
      <w:r>
        <w:rPr>
          <w:spacing w:val="-42"/>
        </w:rPr>
        <w:t> </w:t>
      </w:r>
      <w:r>
        <w:rPr>
          <w:spacing w:val="-4"/>
          <w:w w:val="100"/>
        </w:rPr>
        <w:t>外收入</w:t>
      </w:r>
      <w:r>
        <w:rPr>
          <w:rFonts w:ascii="Times New Roman" w:hAnsi="Times New Roman" w:cs="Times New Roman" w:eastAsia="Times New Roman" w:hint="default"/>
          <w:spacing w:val="-4"/>
          <w:w w:val="100"/>
        </w:rPr>
        <w:t>22,625.85</w:t>
      </w:r>
      <w:r>
        <w:rPr>
          <w:spacing w:val="-4"/>
          <w:w w:val="100"/>
        </w:rPr>
        <w:t>元，减少营业外支出</w:t>
      </w:r>
      <w:r>
        <w:rPr>
          <w:rFonts w:ascii="Times New Roman" w:hAnsi="Times New Roman" w:cs="Times New Roman" w:eastAsia="Times New Roman" w:hint="default"/>
          <w:spacing w:val="-4"/>
          <w:w w:val="100"/>
        </w:rPr>
        <w:t>1,136,913.54</w:t>
      </w:r>
      <w:r>
        <w:rPr>
          <w:spacing w:val="-4"/>
          <w:w w:val="100"/>
        </w:rPr>
        <w:t>元。对于</w:t>
      </w:r>
      <w:r>
        <w:rPr>
          <w:rFonts w:ascii="Times New Roman" w:hAnsi="Times New Roman" w:cs="Times New Roman" w:eastAsia="Times New Roman" w:hint="default"/>
          <w:spacing w:val="-4"/>
          <w:w w:val="100"/>
        </w:rPr>
        <w:t>2017</w:t>
      </w:r>
      <w:r>
        <w:rPr>
          <w:spacing w:val="-4"/>
          <w:w w:val="100"/>
        </w:rPr>
        <w:t>年财务报表中可比期间的财务报表追溯调整，</w:t>
      </w:r>
    </w:p>
    <w:p>
      <w:pPr>
        <w:spacing w:after="0" w:line="393" w:lineRule="auto"/>
        <w:jc w:val="both"/>
        <w:sectPr>
          <w:pgSz w:w="11910" w:h="16840"/>
          <w:pgMar w:header="0" w:footer="980" w:top="150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9"/>
        <w:ind w:right="0"/>
        <w:jc w:val="left"/>
      </w:pPr>
      <w:r>
        <w:rPr>
          <w:spacing w:val="10"/>
        </w:rPr>
        <w:t>增加可比期间资产处置收益</w:t>
      </w:r>
      <w:r>
        <w:rPr>
          <w:rFonts w:ascii="Times New Roman" w:hAnsi="Times New Roman" w:cs="Times New Roman" w:eastAsia="Times New Roman" w:hint="default"/>
          <w:spacing w:val="10"/>
        </w:rPr>
        <w:t>-198,762.38</w:t>
      </w:r>
      <w:r>
        <w:rPr>
          <w:spacing w:val="10"/>
        </w:rPr>
        <w:t>元，减少可比期间营业外收入</w:t>
      </w:r>
      <w:r>
        <w:rPr>
          <w:spacing w:val="30"/>
        </w:rPr>
        <w:t> </w:t>
      </w:r>
      <w:r>
        <w:rPr>
          <w:rFonts w:ascii="Times New Roman" w:hAnsi="Times New Roman" w:cs="Times New Roman" w:eastAsia="Times New Roman" w:hint="default"/>
          <w:spacing w:val="8"/>
        </w:rPr>
        <w:t>11,074.65</w:t>
      </w:r>
      <w:r>
        <w:rPr>
          <w:spacing w:val="8"/>
        </w:rPr>
        <w:t>元，减少营业外支出</w:t>
      </w:r>
      <w:r>
        <w:rPr/>
      </w:r>
    </w:p>
    <w:p>
      <w:pPr>
        <w:pStyle w:val="BodyText"/>
        <w:spacing w:line="240" w:lineRule="auto" w:before="177"/>
        <w:ind w:right="0"/>
        <w:jc w:val="left"/>
      </w:pPr>
      <w:r>
        <w:rPr>
          <w:rFonts w:ascii="Times New Roman" w:hAnsi="Times New Roman" w:cs="Times New Roman" w:eastAsia="Times New Roman" w:hint="default"/>
        </w:rPr>
        <w:t>209,837.03</w:t>
      </w:r>
      <w:r>
        <w:rPr/>
        <w:t>元。</w:t>
      </w:r>
    </w:p>
    <w:p>
      <w:pPr>
        <w:pStyle w:val="Heading3"/>
        <w:spacing w:line="240" w:lineRule="auto" w:before="110"/>
        <w:ind w:right="0"/>
        <w:jc w:val="left"/>
        <w:rPr>
          <w:b w:val="0"/>
          <w:bCs w:val="0"/>
        </w:rPr>
      </w:pPr>
      <w:r>
        <w:rPr/>
        <w:t>（二）本公司本会计期间无会计估计的变更。</w:t>
      </w:r>
      <w:r>
        <w:rPr>
          <w:b w:val="0"/>
          <w:bCs w:val="0"/>
        </w:rPr>
      </w:r>
    </w:p>
    <w:p>
      <w:pPr>
        <w:pStyle w:val="Heading3"/>
        <w:spacing w:line="240" w:lineRule="auto" w:before="102"/>
        <w:ind w:right="0"/>
        <w:jc w:val="left"/>
        <w:rPr>
          <w:b w:val="0"/>
          <w:bCs w:val="0"/>
        </w:rPr>
      </w:pPr>
      <w:r>
        <w:rPr/>
        <w:t>（三）本公司本会计期间无会计差错更正。</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公司报告期无合并报表范围发生变化的情况。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希格玛会计师事务所（特殊普通合伙）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王侠、杨树杰</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0" w:top="1500" w:bottom="1160" w:left="980" w:right="980"/>
        </w:sectPr>
      </w:pPr>
    </w:p>
    <w:p>
      <w:pPr>
        <w:pStyle w:val="Heading2"/>
        <w:spacing w:line="355" w:lineRule="exact"/>
        <w:ind w:right="0"/>
        <w:jc w:val="left"/>
        <w:rPr>
          <w:b w:val="0"/>
          <w:bCs w:val="0"/>
        </w:rPr>
      </w:pPr>
      <w:r>
        <w:rPr/>
        <w:pict>
          <v:group style="position:absolute;margin-left:55.200001pt;margin-top:2.202064pt;width:484.9pt;height:.1pt;mso-position-horizontal-relative:page;mso-position-vertical-relative:paragraph;z-index:-755200" coordorigin="1104,44" coordsize="9698,2">
            <v:shape style="position:absolute;left:1104;top:44;width:9698;height:2" coordorigin="1104,44" coordsize="9698,0" path="m1104,44l10802,44e" filled="false" stroked="true" strokeweight=".72pt" strokecolor="#000000">
              <v:path arrowok="t"/>
            </v:shape>
            <w10:wrap type="none"/>
          </v:group>
        </w:pict>
      </w:r>
      <w:r>
        <w:rPr/>
        <w:t>十一、破产重整相关事项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十三、处罚及整改情况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line="338" w:lineRule="auto" w:before="0"/>
        <w:ind w:left="152" w:right="34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十六、重大关联交易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751"/>
        <w:gridCol w:w="598"/>
        <w:gridCol w:w="674"/>
        <w:gridCol w:w="674"/>
        <w:gridCol w:w="674"/>
        <w:gridCol w:w="673"/>
        <w:gridCol w:w="672"/>
        <w:gridCol w:w="641"/>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96"/>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left="26" w:right="-5"/>
              <w:jc w:val="left"/>
              <w:rPr>
                <w:rFonts w:ascii="宋体" w:hAnsi="宋体" w:cs="宋体" w:eastAsia="宋体" w:hint="default"/>
                <w:sz w:val="18"/>
                <w:szCs w:val="18"/>
              </w:rPr>
            </w:pPr>
            <w:r>
              <w:rPr>
                <w:rFonts w:ascii="宋体" w:hAnsi="宋体" w:cs="宋体" w:eastAsia="宋体" w:hint="default"/>
                <w:sz w:val="18"/>
                <w:szCs w:val="18"/>
              </w:rPr>
              <w:t>（万元）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44"/>
              <w:jc w:val="both"/>
              <w:rPr>
                <w:rFonts w:ascii="宋体" w:hAnsi="宋体" w:cs="宋体" w:eastAsia="宋体" w:hint="default"/>
                <w:sz w:val="18"/>
                <w:szCs w:val="18"/>
              </w:rPr>
            </w:pPr>
            <w:r>
              <w:rPr>
                <w:rFonts w:ascii="宋体" w:hAnsi="宋体" w:cs="宋体" w:eastAsia="宋体" w:hint="default"/>
                <w:sz w:val="18"/>
                <w:szCs w:val="18"/>
              </w:rPr>
              <w:t>西安杨森 制药有限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1"/>
              <w:jc w:val="both"/>
              <w:rPr>
                <w:rFonts w:ascii="宋体" w:hAnsi="宋体" w:cs="宋体" w:eastAsia="宋体" w:hint="default"/>
                <w:sz w:val="18"/>
                <w:szCs w:val="18"/>
              </w:rPr>
            </w:pPr>
            <w:r>
              <w:rPr>
                <w:rFonts w:ascii="宋体" w:hAnsi="宋体" w:cs="宋体" w:eastAsia="宋体" w:hint="default"/>
                <w:sz w:val="18"/>
                <w:szCs w:val="18"/>
              </w:rPr>
              <w:t>受控股 股东重 大影响</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销售货 物</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8"/>
              <w:jc w:val="both"/>
              <w:rPr>
                <w:rFonts w:ascii="宋体" w:hAnsi="宋体" w:cs="宋体" w:eastAsia="宋体" w:hint="default"/>
                <w:sz w:val="18"/>
                <w:szCs w:val="18"/>
              </w:rPr>
            </w:pPr>
            <w:r>
              <w:rPr>
                <w:rFonts w:ascii="宋体" w:hAnsi="宋体" w:cs="宋体" w:eastAsia="宋体" w:hint="default"/>
                <w:sz w:val="18"/>
                <w:szCs w:val="18"/>
              </w:rPr>
              <w:t>销售医 药折叠 纸盒及 瓦楞纸 箱</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7"/>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6"/>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2,286.96</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44"/>
              <w:jc w:val="both"/>
              <w:rPr>
                <w:rFonts w:ascii="宋体" w:hAnsi="宋体" w:cs="宋体" w:eastAsia="宋体" w:hint="default"/>
                <w:sz w:val="18"/>
                <w:szCs w:val="18"/>
              </w:rPr>
            </w:pPr>
            <w:r>
              <w:rPr>
                <w:rFonts w:ascii="宋体" w:hAnsi="宋体" w:cs="宋体" w:eastAsia="宋体" w:hint="default"/>
                <w:sz w:val="18"/>
                <w:szCs w:val="18"/>
              </w:rPr>
              <w:t>西安海欣 制药有限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1"/>
              <w:jc w:val="both"/>
              <w:rPr>
                <w:rFonts w:ascii="宋体" w:hAnsi="宋体" w:cs="宋体" w:eastAsia="宋体" w:hint="default"/>
                <w:sz w:val="18"/>
                <w:szCs w:val="18"/>
              </w:rPr>
            </w:pPr>
            <w:r>
              <w:rPr>
                <w:rFonts w:ascii="宋体" w:hAnsi="宋体" w:cs="宋体" w:eastAsia="宋体" w:hint="default"/>
                <w:sz w:val="18"/>
                <w:szCs w:val="18"/>
              </w:rPr>
              <w:t>受控股 股东重 大影响</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销售货 物</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8"/>
              <w:jc w:val="both"/>
              <w:rPr>
                <w:rFonts w:ascii="宋体" w:hAnsi="宋体" w:cs="宋体" w:eastAsia="宋体" w:hint="default"/>
                <w:sz w:val="18"/>
                <w:szCs w:val="18"/>
              </w:rPr>
            </w:pPr>
            <w:r>
              <w:rPr>
                <w:rFonts w:ascii="宋体" w:hAnsi="宋体" w:cs="宋体" w:eastAsia="宋体" w:hint="default"/>
                <w:sz w:val="18"/>
                <w:szCs w:val="18"/>
              </w:rPr>
              <w:t>销售医 药折叠 纸盒及 瓦楞纸 箱</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6"/>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96.77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500" w:bottom="1160" w:left="980" w:right="980"/>
        </w:sectPr>
      </w:pPr>
    </w:p>
    <w:tbl>
      <w:tblPr>
        <w:tblW w:w="0" w:type="auto"/>
        <w:jc w:val="left"/>
        <w:tblInd w:w="108" w:type="dxa"/>
        <w:tblLayout w:type="fixed"/>
        <w:tblCellMar>
          <w:top w:w="0" w:type="dxa"/>
          <w:left w:w="0" w:type="dxa"/>
          <w:bottom w:w="0" w:type="dxa"/>
          <w:right w:w="0" w:type="dxa"/>
        </w:tblCellMar>
        <w:tblLook w:val="01E0"/>
      </w:tblPr>
      <w:tblGrid>
        <w:gridCol w:w="800"/>
        <w:gridCol w:w="677"/>
        <w:gridCol w:w="679"/>
        <w:gridCol w:w="704"/>
        <w:gridCol w:w="682"/>
        <w:gridCol w:w="672"/>
        <w:gridCol w:w="751"/>
        <w:gridCol w:w="598"/>
        <w:gridCol w:w="674"/>
        <w:gridCol w:w="674"/>
        <w:gridCol w:w="674"/>
        <w:gridCol w:w="673"/>
        <w:gridCol w:w="672"/>
        <w:gridCol w:w="641"/>
      </w:tblGrid>
      <w:tr>
        <w:trPr>
          <w:trHeight w:val="1664" w:hRule="exact"/>
        </w:trPr>
        <w:tc>
          <w:tcPr>
            <w:tcW w:w="800"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陕西医药 控股集团 天宁制药 有限责任 公司</w:t>
            </w:r>
          </w:p>
        </w:tc>
        <w:tc>
          <w:tcPr>
            <w:tcW w:w="6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1"/>
              <w:jc w:val="both"/>
              <w:rPr>
                <w:rFonts w:ascii="宋体" w:hAnsi="宋体" w:cs="宋体" w:eastAsia="宋体" w:hint="default"/>
                <w:sz w:val="18"/>
                <w:szCs w:val="18"/>
              </w:rPr>
            </w:pPr>
            <w:r>
              <w:rPr>
                <w:rFonts w:ascii="宋体" w:hAnsi="宋体" w:cs="宋体" w:eastAsia="宋体" w:hint="default"/>
                <w:sz w:val="18"/>
                <w:szCs w:val="18"/>
              </w:rPr>
              <w:t>同受控 股股东 控制</w:t>
            </w:r>
          </w:p>
        </w:tc>
        <w:tc>
          <w:tcPr>
            <w:tcW w:w="67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销售货 物</w:t>
            </w:r>
          </w:p>
        </w:tc>
        <w:tc>
          <w:tcPr>
            <w:tcW w:w="7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销售瓦 楞纸箱</w:t>
            </w:r>
          </w:p>
        </w:tc>
        <w:tc>
          <w:tcPr>
            <w:tcW w:w="6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7"/>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6"/>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5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6.49</w:t>
            </w:r>
          </w:p>
        </w:tc>
        <w:tc>
          <w:tcPr>
            <w:tcW w:w="5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0.18%</w:t>
            </w:r>
          </w:p>
        </w:tc>
        <w:tc>
          <w:tcPr>
            <w:tcW w:w="6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2" w:type="dxa"/>
            <w:tcBorders>
              <w:top w:val="single" w:sz="10" w:space="0" w:color="000000"/>
              <w:left w:val="single" w:sz="4" w:space="0" w:color="000000"/>
              <w:bottom w:val="single" w:sz="4" w:space="0" w:color="000000"/>
              <w:right w:val="single" w:sz="4" w:space="0" w:color="000000"/>
            </w:tcBorders>
          </w:tcPr>
          <w:p>
            <w:pPr/>
          </w:p>
        </w:tc>
        <w:tc>
          <w:tcPr>
            <w:tcW w:w="641" w:type="dxa"/>
            <w:tcBorders>
              <w:top w:val="single" w:sz="10" w:space="0" w:color="000000"/>
              <w:left w:val="single" w:sz="4" w:space="0" w:color="000000"/>
              <w:bottom w:val="single" w:sz="4" w:space="0" w:color="000000"/>
              <w:right w:val="single" w:sz="4" w:space="0" w:color="000000"/>
            </w:tcBorders>
          </w:tcPr>
          <w:p>
            <w:pP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4" w:right="44"/>
              <w:jc w:val="both"/>
              <w:rPr>
                <w:rFonts w:ascii="宋体" w:hAnsi="宋体" w:cs="宋体" w:eastAsia="宋体" w:hint="default"/>
                <w:sz w:val="18"/>
                <w:szCs w:val="18"/>
              </w:rPr>
            </w:pPr>
            <w:r>
              <w:rPr>
                <w:rFonts w:ascii="宋体" w:hAnsi="宋体" w:cs="宋体" w:eastAsia="宋体" w:hint="default"/>
                <w:sz w:val="18"/>
                <w:szCs w:val="18"/>
              </w:rPr>
              <w:t>陕西医药 控股集团 实业开发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01"/>
              <w:jc w:val="both"/>
              <w:rPr>
                <w:rFonts w:ascii="宋体" w:hAnsi="宋体" w:cs="宋体" w:eastAsia="宋体" w:hint="default"/>
                <w:sz w:val="18"/>
                <w:szCs w:val="18"/>
              </w:rPr>
            </w:pPr>
            <w:r>
              <w:rPr>
                <w:rFonts w:ascii="宋体" w:hAnsi="宋体" w:cs="宋体" w:eastAsia="宋体" w:hint="default"/>
                <w:sz w:val="18"/>
                <w:szCs w:val="18"/>
              </w:rPr>
              <w:t>同受控 股股东 控制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26" w:right="101"/>
              <w:jc w:val="left"/>
              <w:rPr>
                <w:rFonts w:ascii="宋体" w:hAnsi="宋体" w:cs="宋体" w:eastAsia="宋体" w:hint="default"/>
                <w:sz w:val="18"/>
                <w:szCs w:val="18"/>
              </w:rPr>
            </w:pPr>
            <w:r>
              <w:rPr>
                <w:rFonts w:ascii="宋体" w:hAnsi="宋体" w:cs="宋体" w:eastAsia="宋体" w:hint="default"/>
                <w:sz w:val="18"/>
                <w:szCs w:val="18"/>
              </w:rPr>
              <w:t>销售货 物</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28"/>
              <w:jc w:val="both"/>
              <w:rPr>
                <w:rFonts w:ascii="宋体" w:hAnsi="宋体" w:cs="宋体" w:eastAsia="宋体" w:hint="default"/>
                <w:sz w:val="18"/>
                <w:szCs w:val="18"/>
              </w:rPr>
            </w:pPr>
            <w:r>
              <w:rPr>
                <w:rFonts w:ascii="宋体" w:hAnsi="宋体" w:cs="宋体" w:eastAsia="宋体" w:hint="default"/>
                <w:sz w:val="18"/>
                <w:szCs w:val="18"/>
              </w:rPr>
              <w:t>销售酒 类食品 彩盒</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07"/>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96"/>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137.52</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8.71%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4"/>
              <w:ind w:left="24" w:right="44"/>
              <w:jc w:val="both"/>
              <w:rPr>
                <w:rFonts w:ascii="宋体" w:hAnsi="宋体" w:cs="宋体" w:eastAsia="宋体" w:hint="default"/>
                <w:sz w:val="18"/>
                <w:szCs w:val="18"/>
              </w:rPr>
            </w:pPr>
            <w:r>
              <w:rPr>
                <w:rFonts w:ascii="宋体" w:hAnsi="宋体" w:cs="宋体" w:eastAsia="宋体" w:hint="default"/>
                <w:sz w:val="18"/>
                <w:szCs w:val="18"/>
              </w:rPr>
              <w:t>陕西医药 控股集团 派昂医药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01"/>
              <w:jc w:val="both"/>
              <w:rPr>
                <w:rFonts w:ascii="宋体" w:hAnsi="宋体" w:cs="宋体" w:eastAsia="宋体" w:hint="default"/>
                <w:sz w:val="18"/>
                <w:szCs w:val="18"/>
              </w:rPr>
            </w:pPr>
            <w:r>
              <w:rPr>
                <w:rFonts w:ascii="宋体" w:hAnsi="宋体" w:cs="宋体" w:eastAsia="宋体" w:hint="default"/>
                <w:sz w:val="18"/>
                <w:szCs w:val="18"/>
              </w:rPr>
              <w:t>同受控 股股东 控制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销售货 物</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销售瓦 楞纸箱</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07"/>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96"/>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6.91</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0.20%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4" w:right="44"/>
              <w:jc w:val="both"/>
              <w:rPr>
                <w:rFonts w:ascii="宋体" w:hAnsi="宋体" w:cs="宋体" w:eastAsia="宋体" w:hint="default"/>
                <w:sz w:val="18"/>
                <w:szCs w:val="18"/>
              </w:rPr>
            </w:pPr>
            <w:r>
              <w:rPr>
                <w:rFonts w:ascii="宋体" w:hAnsi="宋体" w:cs="宋体" w:eastAsia="宋体" w:hint="default"/>
                <w:sz w:val="18"/>
                <w:szCs w:val="18"/>
              </w:rPr>
              <w:t>西安德宝 药用包装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6" w:right="101"/>
              <w:jc w:val="left"/>
              <w:rPr>
                <w:rFonts w:ascii="宋体" w:hAnsi="宋体" w:cs="宋体" w:eastAsia="宋体" w:hint="default"/>
                <w:sz w:val="18"/>
                <w:szCs w:val="18"/>
              </w:rPr>
            </w:pPr>
            <w:r>
              <w:rPr>
                <w:rFonts w:ascii="宋体" w:hAnsi="宋体" w:cs="宋体" w:eastAsia="宋体" w:hint="default"/>
                <w:sz w:val="18"/>
                <w:szCs w:val="18"/>
              </w:rPr>
              <w:t>销售货 物</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3" w:right="128"/>
              <w:jc w:val="left"/>
              <w:rPr>
                <w:rFonts w:ascii="宋体" w:hAnsi="宋体" w:cs="宋体" w:eastAsia="宋体" w:hint="default"/>
                <w:sz w:val="18"/>
                <w:szCs w:val="18"/>
              </w:rPr>
            </w:pPr>
            <w:r>
              <w:rPr>
                <w:rFonts w:ascii="宋体" w:hAnsi="宋体" w:cs="宋体" w:eastAsia="宋体" w:hint="default"/>
                <w:sz w:val="18"/>
                <w:szCs w:val="18"/>
              </w:rPr>
              <w:t>销售瓦 楞纸箱</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07"/>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96"/>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0.18%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278"/>
              <w:jc w:val="right"/>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7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4" w:right="44"/>
              <w:jc w:val="both"/>
              <w:rPr>
                <w:rFonts w:ascii="宋体" w:hAnsi="宋体" w:cs="宋体" w:eastAsia="宋体" w:hint="default"/>
                <w:sz w:val="18"/>
                <w:szCs w:val="18"/>
              </w:rPr>
            </w:pPr>
            <w:r>
              <w:rPr>
                <w:rFonts w:ascii="宋体" w:hAnsi="宋体" w:cs="宋体" w:eastAsia="宋体" w:hint="default"/>
                <w:sz w:val="18"/>
                <w:szCs w:val="18"/>
              </w:rPr>
              <w:t>西安海欣 制药有限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受控股 股东重 大影响</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6" w:right="101"/>
              <w:jc w:val="both"/>
              <w:rPr>
                <w:rFonts w:ascii="宋体" w:hAnsi="宋体" w:cs="宋体" w:eastAsia="宋体" w:hint="default"/>
                <w:sz w:val="18"/>
                <w:szCs w:val="18"/>
              </w:rPr>
            </w:pPr>
            <w:r>
              <w:rPr>
                <w:rFonts w:ascii="宋体" w:hAnsi="宋体" w:cs="宋体" w:eastAsia="宋体" w:hint="default"/>
                <w:sz w:val="18"/>
                <w:szCs w:val="18"/>
              </w:rPr>
              <w:t>接受关 联人提 供仓储 管理</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28"/>
              <w:jc w:val="both"/>
              <w:rPr>
                <w:rFonts w:ascii="宋体" w:hAnsi="宋体" w:cs="宋体" w:eastAsia="宋体" w:hint="default"/>
                <w:sz w:val="18"/>
                <w:szCs w:val="18"/>
              </w:rPr>
            </w:pPr>
            <w:r>
              <w:rPr>
                <w:rFonts w:ascii="宋体" w:hAnsi="宋体" w:cs="宋体" w:eastAsia="宋体" w:hint="default"/>
                <w:sz w:val="18"/>
                <w:szCs w:val="18"/>
              </w:rPr>
              <w:t>接受关 联人提 供仓储 管理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40.08</w:t>
            </w:r>
          </w:p>
        </w:tc>
        <w:tc>
          <w:tcPr>
            <w:tcW w:w="59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4" w:right="44"/>
              <w:jc w:val="both"/>
              <w:rPr>
                <w:rFonts w:ascii="宋体" w:hAnsi="宋体" w:cs="宋体" w:eastAsia="宋体" w:hint="default"/>
                <w:sz w:val="18"/>
                <w:szCs w:val="18"/>
              </w:rPr>
            </w:pPr>
            <w:r>
              <w:rPr>
                <w:rFonts w:ascii="宋体" w:hAnsi="宋体" w:cs="宋体" w:eastAsia="宋体" w:hint="default"/>
                <w:sz w:val="18"/>
                <w:szCs w:val="18"/>
              </w:rPr>
              <w:t>陕西医药 控股集团 实业开发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01"/>
              <w:jc w:val="both"/>
              <w:rPr>
                <w:rFonts w:ascii="宋体" w:hAnsi="宋体" w:cs="宋体" w:eastAsia="宋体" w:hint="default"/>
                <w:sz w:val="18"/>
                <w:szCs w:val="18"/>
              </w:rPr>
            </w:pPr>
            <w:r>
              <w:rPr>
                <w:rFonts w:ascii="宋体" w:hAnsi="宋体" w:cs="宋体" w:eastAsia="宋体" w:hint="default"/>
                <w:sz w:val="18"/>
                <w:szCs w:val="18"/>
              </w:rPr>
              <w:t>同受控 股股东 控制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4" w:lineRule="auto"/>
              <w:ind w:left="26" w:right="101"/>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购买生 产用水 和供暖 用蒸汽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07"/>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96"/>
              <w:jc w:val="both"/>
              <w:rPr>
                <w:rFonts w:ascii="宋体" w:hAnsi="宋体" w:cs="宋体" w:eastAsia="宋体" w:hint="default"/>
                <w:sz w:val="18"/>
                <w:szCs w:val="18"/>
              </w:rPr>
            </w:pPr>
            <w:r>
              <w:rPr>
                <w:rFonts w:ascii="宋体" w:hAnsi="宋体" w:cs="宋体" w:eastAsia="宋体" w:hint="default"/>
                <w:sz w:val="18"/>
                <w:szCs w:val="18"/>
              </w:rPr>
              <w:t>参照市 场水平 定价</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73.18</w:t>
            </w:r>
          </w:p>
        </w:tc>
        <w:tc>
          <w:tcPr>
            <w:tcW w:w="59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78"/>
              <w:jc w:val="right"/>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751"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86"/>
              <w:ind w:right="10"/>
              <w:jc w:val="right"/>
              <w:rPr>
                <w:rFonts w:ascii="Times New Roman" w:hAnsi="Times New Roman" w:cs="Times New Roman" w:eastAsia="Times New Roman" w:hint="default"/>
                <w:sz w:val="18"/>
                <w:szCs w:val="18"/>
              </w:rPr>
            </w:pPr>
            <w:r>
              <w:rPr>
                <w:rFonts w:ascii="Times New Roman"/>
                <w:sz w:val="18"/>
              </w:rPr>
              <w:t>2,654.36</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4,070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271"/>
              <w:jc w:val="right"/>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18"/>
                <w:szCs w:val="18"/>
              </w:rPr>
            </w:pPr>
            <w:r>
              <w:rPr>
                <w:rFonts w:ascii="宋体" w:hAnsi="宋体" w:cs="宋体" w:eastAsia="宋体" w:hint="default"/>
                <w:sz w:val="18"/>
                <w:szCs w:val="18"/>
              </w:rPr>
              <w:t>报告期内关联方无大额销货退回的情况</w:t>
            </w:r>
          </w:p>
        </w:tc>
      </w:tr>
      <w:tr>
        <w:trPr>
          <w:trHeight w:val="1027"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18"/>
          <w:szCs w:val="18"/>
        </w:rPr>
      </w:pPr>
    </w:p>
    <w:p>
      <w:pPr>
        <w:pStyle w:val="Heading3"/>
        <w:spacing w:line="335" w:lineRule="exact"/>
        <w:ind w:left="112" w:right="385"/>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1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after="0" w:line="338" w:lineRule="auto"/>
        <w:jc w:val="left"/>
        <w:rPr>
          <w:rFonts w:ascii="宋体" w:hAnsi="宋体" w:cs="宋体" w:eastAsia="宋体" w:hint="default"/>
          <w:sz w:val="18"/>
          <w:szCs w:val="18"/>
        </w:rPr>
        <w:sectPr>
          <w:pgSz w:w="11910" w:h="16840"/>
          <w:pgMar w:header="0" w:footer="980" w:top="1520" w:bottom="1160" w:left="1020" w:right="10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5176"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6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6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是否存在非经营性关联债权债务往来</w:t>
      </w:r>
    </w:p>
    <w:p>
      <w:pPr>
        <w:spacing w:line="340" w:lineRule="auto" w:before="43"/>
        <w:ind w:left="152"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公司报告期不存在非经营性关联债权债务往来。</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12"/>
          <w:szCs w:val="12"/>
        </w:rPr>
      </w:pPr>
    </w:p>
    <w:p>
      <w:pPr>
        <w:pStyle w:val="BodyText"/>
        <w:spacing w:line="261" w:lineRule="auto" w:before="0"/>
        <w:ind w:right="0" w:firstLine="480"/>
        <w:jc w:val="left"/>
      </w:pPr>
      <w:r>
        <w:rPr/>
        <w:t>公司与上海久日投资管理有限公司及上海贵灵实业有限公司共同出资设立上海久旭环保科技股份有</w:t>
      </w:r>
      <w:r>
        <w:rPr>
          <w:w w:val="100"/>
        </w:rPr>
        <w:t> </w:t>
      </w:r>
      <w:r>
        <w:rPr/>
        <w:t>限公司</w:t>
      </w:r>
      <w:r>
        <w:rPr>
          <w:rFonts w:ascii="Times New Roman" w:hAnsi="Times New Roman" w:cs="Times New Roman" w:eastAsia="Times New Roman" w:hint="default"/>
        </w:rPr>
        <w:t>(</w:t>
      </w:r>
      <w:r>
        <w:rPr/>
        <w:t>新公司</w:t>
      </w:r>
      <w:r>
        <w:rPr>
          <w:rFonts w:ascii="Times New Roman" w:hAnsi="Times New Roman" w:cs="Times New Roman" w:eastAsia="Times New Roman" w:hint="default"/>
        </w:rPr>
        <w:t>)</w:t>
      </w:r>
      <w:r>
        <w:rPr/>
        <w:t>，新公司注册资本</w:t>
      </w:r>
      <w:r>
        <w:rPr>
          <w:rFonts w:ascii="Times New Roman" w:hAnsi="Times New Roman" w:cs="Times New Roman" w:eastAsia="Times New Roman" w:hint="default"/>
        </w:rPr>
        <w:t>50,000.00</w:t>
      </w:r>
      <w:r>
        <w:rPr/>
        <w:t>万元人民币，其中环球印务出资</w:t>
      </w:r>
      <w:r>
        <w:rPr>
          <w:rFonts w:ascii="Times New Roman" w:hAnsi="Times New Roman" w:cs="Times New Roman" w:eastAsia="Times New Roman" w:hint="default"/>
        </w:rPr>
        <w:t>2,500.00</w:t>
      </w:r>
      <w:r>
        <w:rPr/>
        <w:t>万元，出资比例</w:t>
      </w:r>
      <w:r>
        <w:rPr>
          <w:rFonts w:ascii="Times New Roman" w:hAnsi="Times New Roman" w:cs="Times New Roman" w:eastAsia="Times New Roman" w:hint="default"/>
        </w:rPr>
        <w:t>5%</w:t>
      </w:r>
      <w:r>
        <w:rPr/>
        <w:t>，</w:t>
      </w:r>
      <w:r>
        <w:rPr>
          <w:spacing w:val="-26"/>
        </w:rPr>
        <w:t> </w:t>
      </w:r>
      <w:r>
        <w:rPr>
          <w:spacing w:val="-3"/>
        </w:rPr>
        <w:t>上海贵灵实业有限公司出资</w:t>
      </w:r>
      <w:r>
        <w:rPr>
          <w:rFonts w:ascii="Times New Roman" w:hAnsi="Times New Roman" w:cs="Times New Roman" w:eastAsia="Times New Roman" w:hint="default"/>
          <w:spacing w:val="-3"/>
        </w:rPr>
        <w:t>21,500.00</w:t>
      </w:r>
      <w:r>
        <w:rPr>
          <w:spacing w:val="-3"/>
        </w:rPr>
        <w:t>万元，出资比例</w:t>
      </w:r>
      <w:r>
        <w:rPr>
          <w:rFonts w:ascii="Times New Roman" w:hAnsi="Times New Roman" w:cs="Times New Roman" w:eastAsia="Times New Roman" w:hint="default"/>
          <w:spacing w:val="-3"/>
        </w:rPr>
        <w:t>43%</w:t>
      </w:r>
      <w:r>
        <w:rPr>
          <w:spacing w:val="-3"/>
        </w:rPr>
        <w:t>，上海久日投资管理有限公司出资</w:t>
      </w:r>
      <w:r>
        <w:rPr>
          <w:rFonts w:ascii="Times New Roman" w:hAnsi="Times New Roman" w:cs="Times New Roman" w:eastAsia="Times New Roman" w:hint="default"/>
          <w:spacing w:val="-3"/>
        </w:rPr>
        <w:t>26,000.00</w:t>
      </w:r>
      <w:r>
        <w:rPr>
          <w:spacing w:val="-3"/>
        </w:rPr>
        <w:t>万元，</w:t>
      </w:r>
      <w:r>
        <w:rPr>
          <w:spacing w:val="-34"/>
        </w:rPr>
        <w:t> </w:t>
      </w:r>
      <w:r>
        <w:rPr>
          <w:spacing w:val="-34"/>
        </w:rPr>
      </w:r>
      <w:r>
        <w:rPr/>
        <w:t>出资比例</w:t>
      </w:r>
      <w:r>
        <w:rPr>
          <w:rFonts w:ascii="Times New Roman" w:hAnsi="Times New Roman" w:cs="Times New Roman" w:eastAsia="Times New Roman" w:hint="default"/>
        </w:rPr>
        <w:t>52%</w:t>
      </w:r>
      <w:r>
        <w:rPr/>
        <w:t>。</w:t>
      </w:r>
    </w:p>
    <w:p>
      <w:pPr>
        <w:pStyle w:val="BodyText"/>
        <w:spacing w:line="273" w:lineRule="auto" w:before="120"/>
        <w:ind w:right="0" w:firstLine="480"/>
        <w:jc w:val="left"/>
      </w:pPr>
      <w:r>
        <w:rPr>
          <w:spacing w:val="-4"/>
        </w:rPr>
        <w:t>公司董事蔡红军先生为上海久日投资管理有限公司的实际控制人，因此该交易构成关联交易。本次交</w:t>
      </w:r>
      <w:r>
        <w:rPr>
          <w:w w:val="100"/>
        </w:rPr>
        <w:t> </w:t>
      </w:r>
      <w:r>
        <w:rPr/>
        <w:t>易不构成《上市公司重大资产重组管理办法》规定的重大资产重组。</w:t>
      </w:r>
    </w:p>
    <w:p>
      <w:pPr>
        <w:pStyle w:val="BodyText"/>
        <w:spacing w:line="240" w:lineRule="auto" w:before="127"/>
        <w:ind w:left="633" w:right="0"/>
        <w:jc w:val="left"/>
      </w:pPr>
      <w:r>
        <w:rPr>
          <w:w w:val="100"/>
        </w:rPr>
        <w:t>上海</w:t>
      </w:r>
      <w:r>
        <w:rPr>
          <w:spacing w:val="-3"/>
          <w:w w:val="100"/>
        </w:rPr>
        <w:t>久</w:t>
      </w:r>
      <w:r>
        <w:rPr>
          <w:w w:val="100"/>
        </w:rPr>
        <w:t>旭</w:t>
      </w:r>
      <w:r>
        <w:rPr>
          <w:spacing w:val="-3"/>
          <w:w w:val="100"/>
        </w:rPr>
        <w:t>环</w:t>
      </w:r>
      <w:r>
        <w:rPr>
          <w:w w:val="100"/>
        </w:rPr>
        <w:t>保</w:t>
      </w:r>
      <w:r>
        <w:rPr>
          <w:spacing w:val="-3"/>
          <w:w w:val="100"/>
        </w:rPr>
        <w:t>科</w:t>
      </w:r>
      <w:r>
        <w:rPr>
          <w:w w:val="100"/>
        </w:rPr>
        <w:t>技</w:t>
      </w:r>
      <w:r>
        <w:rPr>
          <w:spacing w:val="-3"/>
          <w:w w:val="100"/>
        </w:rPr>
        <w:t>股</w:t>
      </w:r>
      <w:r>
        <w:rPr>
          <w:w w:val="100"/>
        </w:rPr>
        <w:t>份</w:t>
      </w:r>
      <w:r>
        <w:rPr>
          <w:spacing w:val="-3"/>
          <w:w w:val="100"/>
        </w:rPr>
        <w:t>有</w:t>
      </w:r>
      <w:r>
        <w:rPr>
          <w:w w:val="100"/>
        </w:rPr>
        <w:t>限公</w:t>
      </w:r>
      <w:r>
        <w:rPr>
          <w:spacing w:val="-3"/>
          <w:w w:val="100"/>
        </w:rPr>
        <w:t>司</w:t>
      </w:r>
      <w:r>
        <w:rPr>
          <w:w w:val="100"/>
        </w:rPr>
        <w:t>已</w:t>
      </w:r>
      <w:r>
        <w:rPr>
          <w:spacing w:val="-3"/>
          <w:w w:val="100"/>
        </w:rPr>
        <w:t>办</w:t>
      </w:r>
      <w:r>
        <w:rPr>
          <w:w w:val="100"/>
        </w:rPr>
        <w:t>理</w:t>
      </w:r>
      <w:r>
        <w:rPr>
          <w:spacing w:val="-3"/>
          <w:w w:val="100"/>
        </w:rPr>
        <w:t>完</w:t>
      </w:r>
      <w:r>
        <w:rPr>
          <w:w w:val="100"/>
        </w:rPr>
        <w:t>毕</w:t>
      </w:r>
      <w:r>
        <w:rPr>
          <w:spacing w:val="-3"/>
          <w:w w:val="100"/>
        </w:rPr>
        <w:t>工</w:t>
      </w:r>
      <w:r>
        <w:rPr>
          <w:w w:val="100"/>
        </w:rPr>
        <w:t>商</w:t>
      </w:r>
      <w:r>
        <w:rPr>
          <w:spacing w:val="-3"/>
          <w:w w:val="100"/>
        </w:rPr>
        <w:t>设</w:t>
      </w:r>
      <w:r>
        <w:rPr>
          <w:w w:val="100"/>
        </w:rPr>
        <w:t>立登</w:t>
      </w:r>
      <w:r>
        <w:rPr>
          <w:spacing w:val="-3"/>
          <w:w w:val="100"/>
        </w:rPr>
        <w:t>记</w:t>
      </w:r>
      <w:r>
        <w:rPr>
          <w:w w:val="100"/>
        </w:rPr>
        <w:t>手</w:t>
      </w:r>
      <w:r>
        <w:rPr>
          <w:spacing w:val="-3"/>
          <w:w w:val="100"/>
        </w:rPr>
        <w:t>续</w:t>
      </w:r>
      <w:r>
        <w:rPr>
          <w:spacing w:val="-85"/>
          <w:w w:val="100"/>
        </w:rPr>
        <w:t>，</w:t>
      </w:r>
      <w:r>
        <w:rPr>
          <w:w w:val="100"/>
        </w:rPr>
        <w:t>并</w:t>
      </w:r>
      <w:r>
        <w:rPr>
          <w:spacing w:val="-3"/>
          <w:w w:val="100"/>
        </w:rPr>
        <w:t>取</w:t>
      </w:r>
      <w:r>
        <w:rPr>
          <w:w w:val="100"/>
        </w:rPr>
        <w:t>得</w:t>
      </w:r>
      <w:r>
        <w:rPr>
          <w:spacing w:val="-3"/>
          <w:w w:val="100"/>
        </w:rPr>
        <w:t>上</w:t>
      </w:r>
      <w:r>
        <w:rPr>
          <w:w w:val="100"/>
        </w:rPr>
        <w:t>海</w:t>
      </w:r>
      <w:r>
        <w:rPr>
          <w:spacing w:val="-3"/>
          <w:w w:val="100"/>
        </w:rPr>
        <w:t>市</w:t>
      </w:r>
      <w:r>
        <w:rPr>
          <w:w w:val="100"/>
        </w:rPr>
        <w:t>工商</w:t>
      </w:r>
      <w:r>
        <w:rPr>
          <w:spacing w:val="-3"/>
          <w:w w:val="100"/>
        </w:rPr>
        <w:t>行</w:t>
      </w:r>
      <w:r>
        <w:rPr>
          <w:w w:val="100"/>
        </w:rPr>
        <w:t>政</w:t>
      </w:r>
      <w:r>
        <w:rPr>
          <w:spacing w:val="-3"/>
          <w:w w:val="100"/>
        </w:rPr>
        <w:t>管</w:t>
      </w:r>
      <w:r>
        <w:rPr>
          <w:w w:val="100"/>
        </w:rPr>
        <w:t>理</w:t>
      </w:r>
      <w:r>
        <w:rPr>
          <w:spacing w:val="-3"/>
          <w:w w:val="100"/>
        </w:rPr>
        <w:t>局</w:t>
      </w:r>
      <w:r>
        <w:rPr>
          <w:w w:val="100"/>
        </w:rPr>
        <w:t>颁</w:t>
      </w:r>
      <w:r>
        <w:rPr>
          <w:spacing w:val="-3"/>
          <w:w w:val="100"/>
        </w:rPr>
        <w:t>发</w:t>
      </w:r>
      <w:r>
        <w:rPr>
          <w:w w:val="100"/>
        </w:rPr>
        <w:t>的</w:t>
      </w:r>
    </w:p>
    <w:p>
      <w:pPr>
        <w:pStyle w:val="BodyText"/>
        <w:spacing w:line="240" w:lineRule="auto" w:before="37"/>
        <w:ind w:right="0"/>
        <w:jc w:val="left"/>
      </w:pPr>
      <w:r>
        <w:rPr/>
        <w:t>《营业执照》。</w:t>
      </w:r>
    </w:p>
    <w:p>
      <w:pPr>
        <w:spacing w:line="240" w:lineRule="auto" w:before="0"/>
        <w:rPr>
          <w:rFonts w:ascii="宋体" w:hAnsi="宋体" w:cs="宋体" w:eastAsia="宋体" w:hint="default"/>
          <w:sz w:val="20"/>
          <w:szCs w:val="20"/>
        </w:rPr>
      </w:pPr>
    </w:p>
    <w:p>
      <w:pPr>
        <w:spacing w:before="149"/>
        <w:ind w:left="152"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79"/>
              <w:jc w:val="left"/>
              <w:rPr>
                <w:rFonts w:ascii="Times New Roman" w:hAnsi="Times New Roman" w:cs="Times New Roman" w:eastAsia="Times New Roman" w:hint="default"/>
                <w:sz w:val="18"/>
                <w:szCs w:val="18"/>
              </w:rPr>
            </w:pPr>
            <w:r>
              <w:rPr>
                <w:rFonts w:ascii="宋体" w:hAnsi="宋体" w:cs="宋体" w:eastAsia="宋体" w:hint="default"/>
                <w:spacing w:val="-4"/>
                <w:w w:val="99"/>
                <w:sz w:val="18"/>
                <w:szCs w:val="18"/>
              </w:rPr>
              <w:t>巨潮资讯网（</w:t>
            </w:r>
            <w:hyperlink r:id="rId10">
              <w:r>
                <w:rPr>
                  <w:rFonts w:ascii="Times New Roman" w:hAnsi="Times New Roman" w:cs="Times New Roman" w:eastAsia="Times New Roman" w:hint="default"/>
                  <w:spacing w:val="-4"/>
                  <w:w w:val="99"/>
                  <w:sz w:val="18"/>
                  <w:szCs w:val="18"/>
                </w:rPr>
                <w:t>www.cninfo.com.cn</w:t>
              </w:r>
            </w:hyperlink>
            <w:r>
              <w:rPr>
                <w:rFonts w:ascii="宋体" w:hAnsi="宋体" w:cs="宋体" w:eastAsia="宋体" w:hint="default"/>
                <w:spacing w:val="-4"/>
                <w:w w:val="99"/>
                <w:sz w:val="18"/>
                <w:szCs w:val="18"/>
              </w:rPr>
              <w:t>），公告编</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2017-031</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关于与关联方共同投资暨关联交易的公告 设立公司完成工商登记的公告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79"/>
              <w:jc w:val="left"/>
              <w:rPr>
                <w:rFonts w:ascii="Times New Roman" w:hAnsi="Times New Roman" w:cs="Times New Roman" w:eastAsia="Times New Roman" w:hint="default"/>
                <w:sz w:val="18"/>
                <w:szCs w:val="18"/>
              </w:rPr>
            </w:pPr>
            <w:r>
              <w:rPr>
                <w:rFonts w:ascii="宋体" w:hAnsi="宋体" w:cs="宋体" w:eastAsia="宋体" w:hint="default"/>
                <w:spacing w:val="-4"/>
                <w:w w:val="99"/>
                <w:sz w:val="18"/>
                <w:szCs w:val="18"/>
              </w:rPr>
              <w:t>巨潮资讯网（</w:t>
            </w:r>
            <w:hyperlink r:id="rId10">
              <w:r>
                <w:rPr>
                  <w:rFonts w:ascii="Times New Roman" w:hAnsi="Times New Roman" w:cs="Times New Roman" w:eastAsia="Times New Roman" w:hint="default"/>
                  <w:spacing w:val="-4"/>
                  <w:w w:val="99"/>
                  <w:sz w:val="18"/>
                  <w:szCs w:val="18"/>
                </w:rPr>
                <w:t>www.cninfo.com.cn</w:t>
              </w:r>
            </w:hyperlink>
            <w:r>
              <w:rPr>
                <w:rFonts w:ascii="宋体" w:hAnsi="宋体" w:cs="宋体" w:eastAsia="宋体" w:hint="default"/>
                <w:spacing w:val="-4"/>
                <w:w w:val="99"/>
                <w:sz w:val="18"/>
                <w:szCs w:val="18"/>
              </w:rPr>
              <w:t>），公告编</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2017-032</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十七、重大合同及其履行情况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5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after="0" w:line="340" w:lineRule="auto"/>
        <w:jc w:val="left"/>
        <w:rPr>
          <w:rFonts w:ascii="宋体" w:hAnsi="宋体" w:cs="宋体" w:eastAsia="宋体" w:hint="default"/>
          <w:sz w:val="18"/>
          <w:szCs w:val="18"/>
        </w:rPr>
        <w:sectPr>
          <w:pgSz w:w="11910" w:h="16840"/>
          <w:pgMar w:header="0" w:footer="980" w:top="1500" w:bottom="1160" w:left="980" w:right="9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5152"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157"/>
        <w:ind w:right="0"/>
        <w:jc w:val="left"/>
      </w:pPr>
      <w:r>
        <w:rPr/>
        <w:t>租赁情况说明</w:t>
      </w:r>
    </w:p>
    <w:p>
      <w:pPr>
        <w:spacing w:line="240" w:lineRule="auto" w:before="12"/>
        <w:rPr>
          <w:rFonts w:ascii="宋体" w:hAnsi="宋体" w:cs="宋体" w:eastAsia="宋体" w:hint="default"/>
          <w:sz w:val="17"/>
          <w:szCs w:val="17"/>
        </w:rPr>
      </w:pPr>
    </w:p>
    <w:p>
      <w:pPr>
        <w:pStyle w:val="BodyText"/>
        <w:spacing w:line="410" w:lineRule="auto" w:before="0"/>
        <w:ind w:right="0" w:firstLine="420"/>
        <w:jc w:val="left"/>
      </w:pPr>
      <w:r>
        <w:rPr>
          <w:spacing w:val="-2"/>
        </w:rPr>
        <w:t>截至本报告期末，公司及子公司按市场价格租赁了房产及土地用于办公、生产，公司该租赁项目取得</w:t>
      </w:r>
      <w:r>
        <w:rPr>
          <w:w w:val="100"/>
        </w:rPr>
        <w:t> </w:t>
      </w:r>
      <w:r>
        <w:rPr/>
        <w:t>的利润总额为</w:t>
      </w:r>
      <w:r>
        <w:rPr>
          <w:rFonts w:ascii="Times New Roman" w:hAnsi="Times New Roman" w:cs="Times New Roman" w:eastAsia="Times New Roman" w:hint="default"/>
        </w:rPr>
        <w:t>197,761.05</w:t>
      </w:r>
      <w:r>
        <w:rPr/>
        <w:t>元。</w:t>
      </w:r>
    </w:p>
    <w:p>
      <w:pPr>
        <w:spacing w:line="246"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5"/>
        <w:gridCol w:w="922"/>
        <w:gridCol w:w="929"/>
        <w:gridCol w:w="1255"/>
        <w:gridCol w:w="1094"/>
        <w:gridCol w:w="1040"/>
        <w:gridCol w:w="1056"/>
        <w:gridCol w:w="786"/>
        <w:gridCol w:w="779"/>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2"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4"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2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56"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2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18" w:right="-34"/>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9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53" w:right="90"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7"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55" w:type="dxa"/>
            <w:vMerge/>
            <w:tcBorders>
              <w:left w:val="single" w:sz="4" w:space="0" w:color="000000"/>
              <w:right w:val="single" w:sz="4" w:space="0" w:color="000000"/>
            </w:tcBorders>
            <w:shd w:val="clear" w:color="auto" w:fill="D2D2D2"/>
          </w:tcPr>
          <w:p>
            <w:pPr/>
          </w:p>
        </w:tc>
        <w:tc>
          <w:tcPr>
            <w:tcW w:w="1094"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255" w:type="dxa"/>
            <w:vMerge/>
            <w:tcBorders>
              <w:left w:val="single" w:sz="4" w:space="0" w:color="000000"/>
              <w:bottom w:val="nil" w:sz="6" w:space="0" w:color="auto"/>
              <w:right w:val="single" w:sz="4" w:space="0" w:color="000000"/>
            </w:tcBorders>
            <w:shd w:val="clear" w:color="auto" w:fill="D2D2D2"/>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2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2"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89"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255" w:type="dxa"/>
            <w:vMerge w:val="restart"/>
            <w:tcBorders>
              <w:top w:val="single" w:sz="4" w:space="0" w:color="000000"/>
              <w:left w:val="single" w:sz="9" w:space="0" w:color="D2D2D2"/>
              <w:right w:val="single" w:sz="9" w:space="0" w:color="D2D2D2"/>
            </w:tcBorders>
            <w:shd w:val="clear" w:color="auto" w:fill="D0CECE"/>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11" w:right="-4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56"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255" w:type="dxa"/>
            <w:vMerge/>
            <w:tcBorders>
              <w:left w:val="single" w:sz="9" w:space="0" w:color="D2D2D2"/>
              <w:right w:val="single" w:sz="9" w:space="0" w:color="D2D2D2"/>
            </w:tcBorders>
            <w:shd w:val="clear" w:color="auto" w:fill="D0CECE"/>
          </w:tcPr>
          <w:p>
            <w:pPr/>
          </w:p>
        </w:tc>
        <w:tc>
          <w:tcPr>
            <w:tcW w:w="109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53" w:right="90"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4"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55" w:type="dxa"/>
            <w:vMerge/>
            <w:tcBorders>
              <w:left w:val="single" w:sz="9" w:space="0" w:color="D2D2D2"/>
              <w:right w:val="single" w:sz="9" w:space="0" w:color="D2D2D2"/>
            </w:tcBorders>
            <w:shd w:val="clear" w:color="auto" w:fill="D0CECE"/>
          </w:tcPr>
          <w:p>
            <w:pPr/>
          </w:p>
        </w:tc>
        <w:tc>
          <w:tcPr>
            <w:tcW w:w="1094"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255" w:type="dxa"/>
            <w:vMerge/>
            <w:tcBorders>
              <w:left w:val="single" w:sz="9" w:space="0" w:color="D2D2D2"/>
              <w:right w:val="single" w:sz="9" w:space="0" w:color="D2D2D2"/>
            </w:tcBorders>
            <w:shd w:val="clear" w:color="auto" w:fill="D0CECE"/>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255" w:type="dxa"/>
            <w:vMerge/>
            <w:tcBorders>
              <w:left w:val="single" w:sz="9" w:space="0" w:color="D2D2D2"/>
              <w:bottom w:val="single" w:sz="4" w:space="0" w:color="000000"/>
              <w:right w:val="single" w:sz="9" w:space="0" w:color="D2D2D2"/>
            </w:tcBorders>
            <w:shd w:val="clear" w:color="auto" w:fill="D0CECE"/>
          </w:tcPr>
          <w:p>
            <w:pPr/>
          </w:p>
        </w:tc>
        <w:tc>
          <w:tcPr>
            <w:tcW w:w="10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天津滨海环球印务有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2,000.00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right="110"/>
              <w:jc w:val="right"/>
              <w:rPr>
                <w:rFonts w:ascii="宋体" w:hAnsi="宋体" w:cs="宋体" w:eastAsia="宋体" w:hint="default"/>
                <w:sz w:val="18"/>
                <w:szCs w:val="18"/>
              </w:rPr>
            </w:pPr>
            <w:r>
              <w:rPr>
                <w:rFonts w:ascii="宋体" w:hAnsi="宋体" w:cs="宋体" w:eastAsia="宋体" w:hint="default"/>
                <w:sz w:val="18"/>
                <w:szCs w:val="18"/>
              </w:rPr>
              <w:t>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1,189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9"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9"/>
              <w:jc w:val="left"/>
              <w:rPr>
                <w:rFonts w:ascii="宋体" w:hAnsi="宋体" w:cs="宋体" w:eastAsia="宋体" w:hint="default"/>
                <w:sz w:val="18"/>
                <w:szCs w:val="18"/>
              </w:rPr>
            </w:pPr>
            <w:r>
              <w:rPr>
                <w:rFonts w:ascii="宋体" w:hAnsi="宋体" w:cs="宋体" w:eastAsia="宋体" w:hint="default"/>
                <w:sz w:val="18"/>
                <w:szCs w:val="18"/>
              </w:rPr>
              <w:t>陕西永鑫纸业包装有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630.79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9"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天津滨海环球印务有 限公司</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w w:val="95"/>
                <w:sz w:val="18"/>
              </w:rPr>
              <w:t>1,000.00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9"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3,900.00</w:t>
            </w:r>
          </w:p>
        </w:tc>
        <w:tc>
          <w:tcPr>
            <w:tcW w:w="2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2,484.35</w:t>
            </w:r>
          </w:p>
        </w:tc>
      </w:tr>
      <w:tr>
        <w:trPr>
          <w:trHeight w:val="403" w:hRule="exact"/>
        </w:trPr>
        <w:tc>
          <w:tcPr>
            <w:tcW w:w="2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w:t>
            </w:r>
          </w:p>
        </w:tc>
        <w:tc>
          <w:tcPr>
            <w:tcW w:w="2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3,900.00</w:t>
            </w:r>
          </w:p>
        </w:tc>
        <w:tc>
          <w:tcPr>
            <w:tcW w:w="2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1,870.22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500" w:bottom="1160" w:left="980" w:right="980"/>
        </w:sectPr>
      </w:pPr>
    </w:p>
    <w:tbl>
      <w:tblPr>
        <w:tblW w:w="0" w:type="auto"/>
        <w:jc w:val="left"/>
        <w:tblInd w:w="120" w:type="dxa"/>
        <w:tblLayout w:type="fixed"/>
        <w:tblCellMar>
          <w:top w:w="0" w:type="dxa"/>
          <w:left w:w="0" w:type="dxa"/>
          <w:bottom w:w="0" w:type="dxa"/>
          <w:right w:w="0" w:type="dxa"/>
        </w:tblCellMar>
        <w:tblLook w:val="01E0"/>
      </w:tblPr>
      <w:tblGrid>
        <w:gridCol w:w="1697"/>
        <w:gridCol w:w="919"/>
        <w:gridCol w:w="915"/>
        <w:gridCol w:w="1277"/>
        <w:gridCol w:w="1080"/>
        <w:gridCol w:w="1050"/>
        <w:gridCol w:w="1051"/>
        <w:gridCol w:w="785"/>
        <w:gridCol w:w="790"/>
      </w:tblGrid>
      <w:tr>
        <w:trPr>
          <w:trHeight w:val="375" w:hRule="exact"/>
        </w:trPr>
        <w:tc>
          <w:tcPr>
            <w:tcW w:w="2616"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92" w:type="dxa"/>
            <w:gridSpan w:val="2"/>
            <w:tcBorders>
              <w:top w:val="single" w:sz="10" w:space="0" w:color="000000"/>
              <w:left w:val="single" w:sz="4" w:space="0" w:color="000000"/>
              <w:bottom w:val="single" w:sz="4" w:space="0" w:color="000000"/>
              <w:right w:val="single" w:sz="4" w:space="0" w:color="000000"/>
            </w:tcBorders>
          </w:tcPr>
          <w:p>
            <w:pPr/>
          </w:p>
        </w:tc>
        <w:tc>
          <w:tcPr>
            <w:tcW w:w="2130"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9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5"/>
              <w:ind w:left="93"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23" w:right="-17"/>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444" w:right="8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12" w:right="7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192" w:type="dxa"/>
            <w:gridSpan w:val="2"/>
            <w:tcBorders>
              <w:top w:val="single" w:sz="4" w:space="0" w:color="000000"/>
              <w:left w:val="single" w:sz="4" w:space="0" w:color="000000"/>
              <w:bottom w:val="single" w:sz="4" w:space="0" w:color="000000"/>
              <w:right w:val="single" w:sz="4" w:space="0" w:color="000000"/>
            </w:tcBorders>
          </w:tcPr>
          <w:p>
            <w:pP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14"/>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6"/>
              <w:ind w:left="12" w:right="7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192" w:type="dxa"/>
            <w:gridSpan w:val="2"/>
            <w:tcBorders>
              <w:top w:val="single" w:sz="4" w:space="0" w:color="000000"/>
              <w:left w:val="single" w:sz="4" w:space="0" w:color="000000"/>
              <w:bottom w:val="single" w:sz="4" w:space="0" w:color="000000"/>
              <w:right w:val="single" w:sz="4" w:space="0" w:color="000000"/>
            </w:tcBorders>
          </w:tcPr>
          <w:p>
            <w:pP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6"/>
              <w:ind w:left="23" w:right="114"/>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6" w:hRule="exact"/>
        </w:trPr>
        <w:tc>
          <w:tcPr>
            <w:tcW w:w="26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19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3,900</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7"/>
              <w:ind w:left="23" w:right="114"/>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2,484.35</w:t>
            </w:r>
          </w:p>
        </w:tc>
      </w:tr>
      <w:tr>
        <w:trPr>
          <w:trHeight w:val="714" w:hRule="exact"/>
        </w:trPr>
        <w:tc>
          <w:tcPr>
            <w:tcW w:w="26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192"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3,900</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3" w:right="114"/>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1,870.22</w:t>
            </w:r>
          </w:p>
        </w:tc>
      </w:tr>
      <w:tr>
        <w:trPr>
          <w:trHeight w:val="407" w:hRule="exact"/>
        </w:trPr>
        <w:tc>
          <w:tcPr>
            <w:tcW w:w="4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5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3.61%</w:t>
            </w:r>
          </w:p>
        </w:tc>
      </w:tr>
      <w:tr>
        <w:trPr>
          <w:trHeight w:val="391"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5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12" w:right="8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5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5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87"/>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5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5"/>
              <w:ind w:left="12" w:right="104"/>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 偿责任的情况说明（如有）</w:t>
            </w:r>
          </w:p>
        </w:tc>
        <w:tc>
          <w:tcPr>
            <w:tcW w:w="475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55"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4"/>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18"/>
          <w:szCs w:val="18"/>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line="340" w:lineRule="auto" w:before="0"/>
        <w:ind w:left="112" w:right="63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16"/>
          <w:szCs w:val="16"/>
        </w:rPr>
      </w:pPr>
    </w:p>
    <w:p>
      <w:pPr>
        <w:pStyle w:val="Heading3"/>
        <w:spacing w:line="240" w:lineRule="auto"/>
        <w:ind w:left="112" w:right="385"/>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after="0" w:line="340" w:lineRule="auto"/>
        <w:jc w:val="left"/>
        <w:rPr>
          <w:rFonts w:ascii="宋体" w:hAnsi="宋体" w:cs="宋体" w:eastAsia="宋体" w:hint="default"/>
          <w:sz w:val="18"/>
          <w:szCs w:val="18"/>
        </w:rPr>
        <w:sectPr>
          <w:pgSz w:w="11910" w:h="16840"/>
          <w:pgMar w:header="0" w:footer="980" w:top="1520" w:bottom="1160" w:left="1020" w:right="10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5128"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38"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十八、社会责任情况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line="496" w:lineRule="auto" w:before="0"/>
        <w:ind w:left="750" w:right="0" w:hanging="59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、履行社会责任情况</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pacing w:val="-45"/>
          <w:sz w:val="21"/>
          <w:szCs w:val="21"/>
        </w:rPr>
      </w:r>
      <w:r>
        <w:rPr>
          <w:rFonts w:ascii="宋体" w:hAnsi="宋体" w:cs="宋体" w:eastAsia="宋体" w:hint="default"/>
          <w:spacing w:val="-2"/>
          <w:sz w:val="21"/>
          <w:szCs w:val="21"/>
        </w:rPr>
        <w:t>报告期内，公司积极履行企业公民应尽的义务，承担社会责任。在追求自身发展，不断为股东创造</w:t>
      </w:r>
    </w:p>
    <w:p>
      <w:pPr>
        <w:pStyle w:val="BodyText"/>
        <w:spacing w:line="243" w:lineRule="exact" w:before="0"/>
        <w:ind w:left="212" w:right="0"/>
        <w:jc w:val="left"/>
      </w:pPr>
      <w:r>
        <w:rPr>
          <w:spacing w:val="-4"/>
        </w:rPr>
        <w:t>价值的同时，也积极承担对职工、客户、社会其它利益相关体的责任。实现企业、投资者、员工与社会的</w:t>
      </w:r>
    </w:p>
    <w:p>
      <w:pPr>
        <w:spacing w:line="240" w:lineRule="auto" w:before="10"/>
        <w:rPr>
          <w:rFonts w:ascii="宋体" w:hAnsi="宋体" w:cs="宋体" w:eastAsia="宋体" w:hint="default"/>
          <w:sz w:val="14"/>
          <w:szCs w:val="14"/>
        </w:rPr>
      </w:pPr>
    </w:p>
    <w:p>
      <w:pPr>
        <w:pStyle w:val="BodyText"/>
        <w:spacing w:line="240" w:lineRule="auto" w:before="0"/>
        <w:ind w:left="212" w:right="0"/>
        <w:jc w:val="left"/>
      </w:pPr>
      <w:r>
        <w:rPr/>
        <w:t>共同成长和发展。</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372" w:lineRule="auto" w:before="0"/>
        <w:ind w:left="212" w:right="148" w:firstLine="737"/>
        <w:jc w:val="both"/>
      </w:pPr>
      <w:r>
        <w:rPr>
          <w:rFonts w:ascii="宋体" w:hAnsi="宋体" w:cs="宋体" w:eastAsia="宋体" w:hint="default"/>
        </w:rPr>
        <w:t>2017</w:t>
      </w:r>
      <w:r>
        <w:rPr/>
        <w:t>年</w:t>
      </w:r>
      <w:r>
        <w:rPr>
          <w:rFonts w:ascii="宋体" w:hAnsi="宋体" w:cs="宋体" w:eastAsia="宋体" w:hint="default"/>
        </w:rPr>
        <w:t>6</w:t>
      </w:r>
      <w:r>
        <w:rPr/>
        <w:t>月，由公司组织代表前往</w:t>
      </w:r>
      <w:r>
        <w:rPr>
          <w:rFonts w:ascii="Calibri" w:hAnsi="Calibri" w:cs="Calibri" w:eastAsia="Calibri" w:hint="default"/>
        </w:rPr>
        <w:t>“</w:t>
      </w:r>
      <w:r>
        <w:rPr/>
        <w:t>智慧岛</w:t>
      </w:r>
      <w:r>
        <w:rPr>
          <w:rFonts w:ascii="Calibri" w:hAnsi="Calibri" w:cs="Calibri" w:eastAsia="Calibri" w:hint="default"/>
        </w:rPr>
        <w:t>”</w:t>
      </w:r>
      <w:r>
        <w:rPr/>
        <w:t>自闭症（又称孤独症）儿童训练中心，探望了这群</w:t>
      </w:r>
      <w:r>
        <w:rPr>
          <w:rFonts w:ascii="Calibri" w:hAnsi="Calibri" w:cs="Calibri" w:eastAsia="Calibri" w:hint="default"/>
        </w:rPr>
        <w:t>“</w:t>
      </w:r>
      <w:r>
        <w:rPr/>
        <w:t>来</w:t>
      </w:r>
      <w:r>
        <w:rPr>
          <w:w w:val="100"/>
        </w:rPr>
        <w:t> </w:t>
      </w:r>
      <w:r>
        <w:rPr>
          <w:spacing w:val="-1"/>
        </w:rPr>
        <w:t>自星星的孩子</w:t>
      </w:r>
      <w:r>
        <w:rPr>
          <w:rFonts w:ascii="Calibri" w:hAnsi="Calibri" w:cs="Calibri" w:eastAsia="Calibri" w:hint="default"/>
          <w:spacing w:val="-1"/>
        </w:rPr>
        <w:t>”</w:t>
      </w:r>
      <w:r>
        <w:rPr>
          <w:spacing w:val="-1"/>
        </w:rPr>
        <w:t>，并捐赠</w:t>
      </w:r>
      <w:r>
        <w:rPr>
          <w:rFonts w:ascii="宋体" w:hAnsi="宋体" w:cs="宋体" w:eastAsia="宋体" w:hint="default"/>
          <w:spacing w:val="-1"/>
        </w:rPr>
        <w:t>1</w:t>
      </w:r>
      <w:r>
        <w:rPr>
          <w:spacing w:val="-1"/>
        </w:rPr>
        <w:t>万元关爱金，为他们送去些许的温暖；同年</w:t>
      </w:r>
      <w:r>
        <w:rPr>
          <w:rFonts w:ascii="宋体" w:hAnsi="宋体" w:cs="宋体" w:eastAsia="宋体" w:hint="default"/>
          <w:spacing w:val="-1"/>
        </w:rPr>
        <w:t>7</w:t>
      </w:r>
      <w:r>
        <w:rPr>
          <w:spacing w:val="-1"/>
        </w:rPr>
        <w:t>月，由公司党委和工会共同组织基</w:t>
      </w:r>
      <w:r>
        <w:rPr>
          <w:spacing w:val="-19"/>
        </w:rPr>
        <w:t> </w:t>
      </w:r>
      <w:r>
        <w:rPr>
          <w:spacing w:val="-19"/>
        </w:rPr>
      </w:r>
      <w:r>
        <w:rPr/>
        <w:t>层各党支部开展了</w:t>
      </w:r>
      <w:r>
        <w:rPr>
          <w:rFonts w:ascii="Calibri" w:hAnsi="Calibri" w:cs="Calibri" w:eastAsia="Calibri" w:hint="default"/>
        </w:rPr>
        <w:t>“</w:t>
      </w:r>
      <w:r>
        <w:rPr/>
        <w:t>扶贫送温暖</w:t>
      </w:r>
      <w:r>
        <w:rPr>
          <w:spacing w:val="49"/>
        </w:rPr>
        <w:t> </w:t>
      </w:r>
      <w:r>
        <w:rPr/>
        <w:t>爱心献社会</w:t>
      </w:r>
      <w:r>
        <w:rPr>
          <w:rFonts w:ascii="Calibri" w:hAnsi="Calibri" w:cs="Calibri" w:eastAsia="Calibri" w:hint="default"/>
        </w:rPr>
        <w:t>”</w:t>
      </w:r>
      <w:r>
        <w:rPr/>
        <w:t>活动，前往宁陕县城关镇青龙村对</w:t>
      </w:r>
      <w:r>
        <w:rPr>
          <w:rFonts w:ascii="宋体" w:hAnsi="宋体" w:cs="宋体" w:eastAsia="宋体" w:hint="default"/>
        </w:rPr>
        <w:t>10</w:t>
      </w:r>
      <w:r>
        <w:rPr/>
        <w:t>个困难家庭进行扶贫帮</w:t>
      </w:r>
      <w:r>
        <w:rPr>
          <w:spacing w:val="-99"/>
        </w:rPr>
        <w:t> </w:t>
      </w:r>
      <w:r>
        <w:rPr/>
        <w:t>困，送上了一批米面油生活必需品和党员自发捐赠的过冬大衣等物资。</w:t>
      </w:r>
    </w:p>
    <w:p>
      <w:pPr>
        <w:spacing w:line="240" w:lineRule="auto" w:before="12"/>
        <w:rPr>
          <w:rFonts w:ascii="宋体" w:hAnsi="宋体" w:cs="宋体" w:eastAsia="宋体" w:hint="default"/>
          <w:sz w:val="17"/>
          <w:szCs w:val="17"/>
        </w:rPr>
      </w:pPr>
    </w:p>
    <w:p>
      <w:pPr>
        <w:spacing w:line="496" w:lineRule="auto" w:before="0"/>
        <w:ind w:left="573" w:right="192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、履行精准扶贫社会责任情况</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公司报告年度暂未开展精准扶贫工作，也暂无后续精准扶贫计划。</w:t>
      </w:r>
    </w:p>
    <w:p>
      <w:pPr>
        <w:pStyle w:val="BodyText"/>
        <w:spacing w:line="243" w:lineRule="exact" w:before="0"/>
        <w:ind w:right="0" w:firstLine="420"/>
        <w:jc w:val="left"/>
      </w:pPr>
      <w:r>
        <w:rPr/>
        <w:t>报告期内，公司组织学习了《中国证监会关于发挥资本市场作用服务国家脱贫攻坚战略的意见》，日</w:t>
      </w:r>
    </w:p>
    <w:p>
      <w:pPr>
        <w:spacing w:line="240" w:lineRule="auto" w:before="10"/>
        <w:rPr>
          <w:rFonts w:ascii="宋体" w:hAnsi="宋体" w:cs="宋体" w:eastAsia="宋体" w:hint="default"/>
          <w:sz w:val="14"/>
          <w:szCs w:val="14"/>
        </w:rPr>
      </w:pPr>
    </w:p>
    <w:p>
      <w:pPr>
        <w:pStyle w:val="BodyText"/>
        <w:spacing w:line="408" w:lineRule="auto" w:before="0"/>
        <w:ind w:right="146"/>
        <w:jc w:val="both"/>
      </w:pPr>
      <w:r>
        <w:rPr>
          <w:spacing w:val="-2"/>
        </w:rPr>
        <w:t>后公司将关注贫困地区的产业发展，关注贫困地区企业的并购重组项目等，努力营造资本市场服务国家脱</w:t>
      </w:r>
      <w:r>
        <w:rPr>
          <w:spacing w:val="-42"/>
        </w:rPr>
        <w:t> </w:t>
      </w:r>
      <w:r>
        <w:rPr>
          <w:spacing w:val="-42"/>
        </w:rPr>
      </w:r>
      <w:r>
        <w:rPr>
          <w:spacing w:val="-2"/>
        </w:rPr>
        <w:t>贫攻坚战略的良好氛围，不断增强广大党员干部服务国家脱贫攻坚战略的使命感和责任感，不忘初心、继</w:t>
      </w:r>
      <w:r>
        <w:rPr>
          <w:spacing w:val="-43"/>
        </w:rPr>
        <w:t> </w:t>
      </w:r>
      <w:r>
        <w:rPr>
          <w:spacing w:val="-43"/>
        </w:rPr>
      </w:r>
      <w:r>
        <w:rPr/>
        <w:t>续前进，为打赢脱贫攻坚战、全面建成小康社会做出应有的贡献。</w:t>
      </w:r>
    </w:p>
    <w:p>
      <w:pPr>
        <w:spacing w:line="240" w:lineRule="auto" w:before="6"/>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2" w:right="473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pStyle w:val="BodyText"/>
        <w:spacing w:line="408" w:lineRule="auto" w:before="85"/>
        <w:ind w:right="0" w:firstLine="420"/>
        <w:jc w:val="left"/>
      </w:pPr>
      <w:r>
        <w:rPr>
          <w:spacing w:val="-2"/>
        </w:rPr>
        <w:t>公司持续关注自身的环境保护、节能减排工作，秉持可持续发展的公司价值观。可持续发展不仅要满</w:t>
      </w:r>
      <w:r>
        <w:rPr>
          <w:w w:val="100"/>
        </w:rPr>
        <w:t> </w:t>
      </w:r>
      <w:r>
        <w:rPr>
          <w:spacing w:val="-2"/>
        </w:rPr>
        <w:t>足经济的发展，同时需要保护好人类赖以生存的大气、淡水、海洋、土地和森林等自然资源和环境，使经</w:t>
      </w:r>
    </w:p>
    <w:p>
      <w:pPr>
        <w:spacing w:after="0" w:line="408" w:lineRule="auto"/>
        <w:jc w:val="left"/>
        <w:sectPr>
          <w:pgSz w:w="11910" w:h="16840"/>
          <w:pgMar w:header="0" w:footer="980" w:top="150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59"/>
        <w:ind w:right="0"/>
        <w:jc w:val="left"/>
      </w:pPr>
      <w:r>
        <w:rPr>
          <w:spacing w:val="-2"/>
        </w:rPr>
        <w:t>济发展，保护资源和保护生态环境协调一致，践行实施可持续发展战略，促进生态效益、经济效益和社会</w:t>
      </w:r>
      <w:r>
        <w:rPr>
          <w:spacing w:val="-50"/>
        </w:rPr>
        <w:t> </w:t>
      </w:r>
      <w:r>
        <w:rPr>
          <w:spacing w:val="-50"/>
        </w:rPr>
      </w:r>
      <w:r>
        <w:rPr/>
        <w:t>效益的统一。</w:t>
      </w:r>
    </w:p>
    <w:p>
      <w:pPr>
        <w:pStyle w:val="BodyText"/>
        <w:spacing w:line="408" w:lineRule="auto" w:before="87"/>
        <w:ind w:right="206" w:firstLine="420"/>
        <w:jc w:val="both"/>
      </w:pPr>
      <w:r>
        <w:rPr>
          <w:spacing w:val="-2"/>
        </w:rPr>
        <w:t>可持续发展是公司价值观中重要的部分，是公司商业策略中不可分割的一项，同时也是指导公司运营</w:t>
      </w:r>
      <w:r>
        <w:rPr>
          <w:w w:val="100"/>
        </w:rPr>
        <w:t> </w:t>
      </w:r>
      <w:r>
        <w:rPr/>
        <w:t>的基础原则。</w:t>
      </w:r>
    </w:p>
    <w:p>
      <w:pPr>
        <w:pStyle w:val="BodyText"/>
        <w:spacing w:line="408" w:lineRule="auto" w:before="84"/>
        <w:ind w:right="206" w:firstLine="420"/>
        <w:jc w:val="both"/>
      </w:pPr>
      <w:r>
        <w:rPr>
          <w:spacing w:val="-2"/>
        </w:rPr>
        <w:t>报告期内，公司对生产环境中的环保设备进行了新建及改造，并尝试使用更加新型环保材料及对工艺</w:t>
      </w:r>
      <w:r>
        <w:rPr>
          <w:w w:val="100"/>
        </w:rPr>
        <w:t> </w:t>
      </w:r>
      <w:r>
        <w:rPr>
          <w:spacing w:val="-2"/>
        </w:rPr>
        <w:t>升级换代，实现了低污染、低耗能、低排放的环保目标，并在报告期内通过了森林管理委员会的产销监管</w:t>
      </w:r>
      <w:r>
        <w:rPr>
          <w:spacing w:val="-46"/>
        </w:rPr>
        <w:t> </w:t>
      </w:r>
      <w:r>
        <w:rPr>
          <w:spacing w:val="-46"/>
        </w:rPr>
      </w:r>
      <w:r>
        <w:rPr/>
        <w:t>链（</w:t>
      </w:r>
      <w:r>
        <w:rPr>
          <w:rFonts w:ascii="Times New Roman" w:hAnsi="Times New Roman" w:cs="Times New Roman" w:eastAsia="Times New Roman" w:hint="default"/>
        </w:rPr>
        <w:t>FSC®</w:t>
      </w:r>
      <w:r>
        <w:rPr/>
        <w:t>）认证。</w:t>
      </w:r>
    </w:p>
    <w:p>
      <w:pPr>
        <w:pStyle w:val="BodyText"/>
        <w:spacing w:line="386" w:lineRule="auto" w:before="55"/>
        <w:ind w:right="0" w:firstLine="420"/>
        <w:jc w:val="left"/>
      </w:pPr>
      <w:r>
        <w:rPr>
          <w:spacing w:val="-5"/>
        </w:rPr>
        <w:t>未来公司将继续秉持</w:t>
      </w:r>
      <w:r>
        <w:rPr>
          <w:rFonts w:ascii="Times New Roman" w:hAnsi="Times New Roman" w:cs="Times New Roman" w:eastAsia="Times New Roman" w:hint="default"/>
          <w:spacing w:val="-5"/>
        </w:rPr>
        <w:t>“</w:t>
      </w:r>
      <w:r>
        <w:rPr>
          <w:spacing w:val="-5"/>
        </w:rPr>
        <w:t>创新发展</w:t>
      </w:r>
      <w:r>
        <w:rPr>
          <w:rFonts w:ascii="Times New Roman" w:hAnsi="Times New Roman" w:cs="Times New Roman" w:eastAsia="Times New Roman" w:hint="default"/>
          <w:spacing w:val="-5"/>
        </w:rPr>
        <w:t>.</w:t>
      </w:r>
      <w:r>
        <w:rPr>
          <w:spacing w:val="-5"/>
        </w:rPr>
        <w:t>持续探索</w:t>
      </w:r>
      <w:r>
        <w:rPr>
          <w:rFonts w:ascii="Times New Roman" w:hAnsi="Times New Roman" w:cs="Times New Roman" w:eastAsia="Times New Roman" w:hint="default"/>
          <w:spacing w:val="-5"/>
        </w:rPr>
        <w:t>”</w:t>
      </w:r>
      <w:r>
        <w:rPr>
          <w:spacing w:val="-5"/>
        </w:rPr>
        <w:t>的理念，与公司的各相关方携手，共同实现生态可持续发展、</w:t>
      </w:r>
      <w:r>
        <w:rPr>
          <w:w w:val="100"/>
        </w:rPr>
        <w:t> </w:t>
      </w:r>
      <w:r>
        <w:rPr/>
        <w:t>社会可持续发展和经济可持续发展的平衡。</w:t>
      </w:r>
    </w:p>
    <w:p>
      <w:pPr>
        <w:spacing w:line="240" w:lineRule="auto" w:before="3"/>
        <w:rPr>
          <w:rFonts w:ascii="宋体" w:hAnsi="宋体" w:cs="宋体" w:eastAsia="宋体" w:hint="default"/>
          <w:sz w:val="14"/>
          <w:szCs w:val="14"/>
        </w:rPr>
      </w:pPr>
    </w:p>
    <w:p>
      <w:pPr>
        <w:pStyle w:val="Heading2"/>
        <w:spacing w:line="240" w:lineRule="auto"/>
        <w:ind w:right="0"/>
        <w:jc w:val="left"/>
        <w:rPr>
          <w:b w:val="0"/>
          <w:bCs w:val="0"/>
        </w:rPr>
      </w:pPr>
      <w:r>
        <w:rPr/>
        <w:t>十九、其他重大事项的说明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408" w:lineRule="auto" w:before="157"/>
        <w:ind w:right="185" w:firstLine="420"/>
        <w:jc w:val="both"/>
      </w:pPr>
      <w:r>
        <w:rPr>
          <w:spacing w:val="-2"/>
        </w:rPr>
        <w:t>西安环球印务股份有限公司因正在筹划重大资产重组事项，拟收购三项标的资产，分别为北京金印联</w:t>
      </w:r>
      <w:r>
        <w:rPr>
          <w:w w:val="100"/>
        </w:rPr>
        <w:t> </w:t>
      </w:r>
      <w:r>
        <w:rPr>
          <w:spacing w:val="-2"/>
        </w:rPr>
        <w:t>国际供应链管理股份有限公司</w:t>
      </w:r>
      <w:r>
        <w:rPr>
          <w:rFonts w:ascii="宋体" w:hAnsi="宋体" w:cs="宋体" w:eastAsia="宋体" w:hint="default"/>
          <w:spacing w:val="-2"/>
        </w:rPr>
        <w:t>100%</w:t>
      </w:r>
      <w:r>
        <w:rPr>
          <w:spacing w:val="-2"/>
        </w:rPr>
        <w:t>股权，天津市津卫药品包装有限公司</w:t>
      </w:r>
      <w:r>
        <w:rPr>
          <w:rFonts w:ascii="宋体" w:hAnsi="宋体" w:cs="宋体" w:eastAsia="宋体" w:hint="default"/>
          <w:spacing w:val="-2"/>
        </w:rPr>
        <w:t>100%</w:t>
      </w:r>
      <w:r>
        <w:rPr>
          <w:spacing w:val="-2"/>
        </w:rPr>
        <w:t>股权及一家塑料软包装薄膜的</w:t>
      </w:r>
      <w:r>
        <w:rPr>
          <w:spacing w:val="-37"/>
        </w:rPr>
        <w:t> </w:t>
      </w:r>
      <w:r>
        <w:rPr>
          <w:spacing w:val="-37"/>
        </w:rPr>
      </w:r>
      <w:r>
        <w:rPr/>
        <w:t>研发、生产企业。公司股票（股票简称：环球印务，股票代码：</w:t>
      </w:r>
      <w:r>
        <w:rPr>
          <w:rFonts w:ascii="宋体" w:hAnsi="宋体" w:cs="宋体" w:eastAsia="宋体" w:hint="default"/>
        </w:rPr>
        <w:t>002799</w:t>
      </w:r>
      <w:r>
        <w:rPr/>
        <w:t>）自</w:t>
      </w:r>
      <w:r>
        <w:rPr>
          <w:rFonts w:ascii="宋体" w:hAnsi="宋体" w:cs="宋体" w:eastAsia="宋体" w:hint="default"/>
        </w:rPr>
        <w:t>2018 </w:t>
      </w:r>
      <w:r>
        <w:rPr/>
        <w:t>年</w:t>
      </w:r>
      <w:r>
        <w:rPr>
          <w:rFonts w:ascii="宋体" w:hAnsi="宋体" w:cs="宋体" w:eastAsia="宋体" w:hint="default"/>
        </w:rPr>
        <w:t>3</w:t>
      </w:r>
      <w:r>
        <w:rPr>
          <w:rFonts w:ascii="宋体" w:hAnsi="宋体" w:cs="宋体" w:eastAsia="宋体" w:hint="default"/>
          <w:spacing w:val="-5"/>
        </w:rPr>
        <w:t> </w:t>
      </w:r>
      <w:r>
        <w:rPr>
          <w:spacing w:val="-3"/>
        </w:rPr>
        <w:t>月</w:t>
      </w:r>
      <w:r>
        <w:rPr>
          <w:rFonts w:ascii="宋体" w:hAnsi="宋体" w:cs="宋体" w:eastAsia="宋体" w:hint="default"/>
          <w:spacing w:val="-3"/>
        </w:rPr>
        <w:t>1</w:t>
      </w:r>
      <w:r>
        <w:rPr>
          <w:spacing w:val="-3"/>
        </w:rPr>
        <w:t>日（星期四）开</w:t>
      </w:r>
      <w:r>
        <w:rPr>
          <w:w w:val="100"/>
        </w:rPr>
        <w:t> </w:t>
      </w:r>
      <w:r>
        <w:rPr>
          <w:spacing w:val="-2"/>
        </w:rPr>
        <w:t>市时起停牌，并于同日发布了《西安环球印务股份有限公司筹划重大资产重组的停牌公告》（公告编号：</w:t>
      </w:r>
      <w:r>
        <w:rPr>
          <w:spacing w:val="-21"/>
        </w:rPr>
        <w:t> </w:t>
      </w:r>
      <w:r>
        <w:rPr>
          <w:spacing w:val="-21"/>
        </w:rPr>
      </w:r>
      <w:r>
        <w:rPr>
          <w:rFonts w:ascii="宋体" w:hAnsi="宋体" w:cs="宋体" w:eastAsia="宋体" w:hint="default"/>
        </w:rPr>
        <w:t>2018-006</w:t>
      </w:r>
      <w:r>
        <w:rPr/>
        <w:t>）</w:t>
      </w:r>
    </w:p>
    <w:p>
      <w:pPr>
        <w:pStyle w:val="Heading2"/>
        <w:spacing w:line="240" w:lineRule="auto" w:before="167"/>
        <w:ind w:right="0"/>
        <w:jc w:val="left"/>
        <w:rPr>
          <w:b w:val="0"/>
          <w:bCs w:val="0"/>
        </w:rPr>
      </w:pPr>
      <w:r>
        <w:rPr/>
        <w:t>二十、公司子公司重大事项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7"/>
        <w:ind w:right="206" w:firstLine="420"/>
        <w:jc w:val="left"/>
      </w:pPr>
      <w:r>
        <w:rPr/>
        <w:t>公司子公司陕西永鑫纸业包装有限公司实施增资扩股。具体详情请见公司于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日在巨潮资</w:t>
      </w:r>
      <w:r>
        <w:rPr>
          <w:w w:val="100"/>
        </w:rPr>
        <w:t> </w:t>
      </w:r>
      <w:r>
        <w:rPr>
          <w:spacing w:val="-2"/>
        </w:rPr>
        <w:t>讯网（</w:t>
      </w:r>
      <w:hyperlink r:id="rId10">
        <w:r>
          <w:rPr>
            <w:rFonts w:ascii="Times New Roman" w:hAnsi="Times New Roman" w:cs="Times New Roman" w:eastAsia="Times New Roman" w:hint="default"/>
            <w:spacing w:val="-2"/>
          </w:rPr>
          <w:t>www.cninfo.com.cn</w:t>
        </w:r>
      </w:hyperlink>
      <w:r>
        <w:rPr>
          <w:spacing w:val="-2"/>
        </w:rPr>
        <w:t>）上发布的《关于子公司增资扩股的公告》（公告编号：</w:t>
      </w:r>
      <w:r>
        <w:rPr>
          <w:rFonts w:ascii="Times New Roman" w:hAnsi="Times New Roman" w:cs="Times New Roman" w:eastAsia="Times New Roman" w:hint="default"/>
          <w:spacing w:val="-2"/>
        </w:rPr>
        <w:t>2017-041</w:t>
      </w:r>
      <w:r>
        <w:rPr>
          <w:spacing w:val="-2"/>
        </w:rPr>
        <w:t>）及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46"/>
        </w:rPr>
        <w:t> </w:t>
      </w:r>
      <w:r>
        <w:rPr/>
        <w:t>月</w:t>
      </w:r>
      <w:r>
        <w:rPr>
          <w:rFonts w:ascii="Times New Roman" w:hAnsi="Times New Roman" w:cs="Times New Roman" w:eastAsia="Times New Roman" w:hint="default"/>
        </w:rPr>
        <w:t>24</w:t>
      </w:r>
      <w:r>
        <w:rPr/>
        <w:t>日在巨潮资讯网（</w:t>
      </w:r>
      <w:hyperlink r:id="rId10">
        <w:r>
          <w:rPr>
            <w:rFonts w:ascii="Times New Roman" w:hAnsi="Times New Roman" w:cs="Times New Roman" w:eastAsia="Times New Roman" w:hint="default"/>
          </w:rPr>
          <w:t>www.cninfo.com.cn</w:t>
        </w:r>
      </w:hyperlink>
      <w:r>
        <w:rPr/>
        <w:t>）上发布的《关于子公司增资扩股的进展公告》（公告编号：</w:t>
      </w:r>
      <w:r>
        <w:rPr>
          <w:w w:val="100"/>
        </w:rPr>
        <w:t> </w:t>
      </w:r>
      <w:r>
        <w:rPr>
          <w:rFonts w:ascii="Times New Roman" w:hAnsi="Times New Roman" w:cs="Times New Roman" w:eastAsia="Times New Roman" w:hint="default"/>
        </w:rPr>
        <w:t>2017-049</w:t>
      </w:r>
      <w:r>
        <w:rPr/>
        <w:t>）。</w:t>
      </w:r>
    </w:p>
    <w:p>
      <w:pPr>
        <w:spacing w:after="0" w:line="386" w:lineRule="auto"/>
        <w:jc w:val="left"/>
        <w:sectPr>
          <w:pgSz w:w="11910" w:h="16840"/>
          <w:pgMar w:header="0" w:footer="980" w:top="150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456" w:lineRule="exact"/>
        <w:ind w:left="2964" w:right="0"/>
        <w:jc w:val="left"/>
        <w:rPr>
          <w:b w:val="0"/>
          <w:bCs w:val="0"/>
        </w:rPr>
      </w:pPr>
      <w:bookmarkStart w:name="_bookmark6" w:id="7"/>
      <w:bookmarkEnd w:id="7"/>
      <w:r>
        <w:rPr>
          <w:b w:val="0"/>
          <w:bCs w:val="0"/>
        </w:rPr>
      </w:r>
      <w:r>
        <w:rPr/>
        <w:t>第六节 </w:t>
      </w:r>
      <w:r>
        <w:rPr>
          <w:spacing w:val="11"/>
        </w:rPr>
        <w:t> </w:t>
      </w:r>
      <w:r>
        <w:rPr/>
        <w:t>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848"/>
        <w:gridCol w:w="975"/>
        <w:gridCol w:w="706"/>
        <w:gridCol w:w="780"/>
        <w:gridCol w:w="874"/>
        <w:gridCol w:w="963"/>
        <w:gridCol w:w="934"/>
        <w:gridCol w:w="937"/>
        <w:gridCol w:w="962"/>
        <w:gridCol w:w="708"/>
      </w:tblGrid>
      <w:tr>
        <w:trPr>
          <w:trHeight w:val="207" w:hRule="exact"/>
        </w:trPr>
        <w:tc>
          <w:tcPr>
            <w:tcW w:w="18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8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4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48" w:type="dxa"/>
            <w:vMerge w:val="restart"/>
            <w:tcBorders>
              <w:top w:val="nil" w:sz="6" w:space="0" w:color="auto"/>
              <w:left w:val="single" w:sz="4" w:space="0" w:color="000000"/>
              <w:right w:val="single" w:sz="4" w:space="0" w:color="000000"/>
            </w:tcBorders>
            <w:shd w:val="clear" w:color="auto" w:fill="D2D2D2"/>
          </w:tcPr>
          <w:p>
            <w:pPr/>
          </w:p>
        </w:tc>
        <w:tc>
          <w:tcPr>
            <w:tcW w:w="1681" w:type="dxa"/>
            <w:gridSpan w:val="2"/>
            <w:vMerge/>
            <w:tcBorders>
              <w:left w:val="single" w:sz="4" w:space="0" w:color="000000"/>
              <w:bottom w:val="single" w:sz="4" w:space="0" w:color="000000"/>
              <w:right w:val="single" w:sz="4" w:space="0" w:color="000000"/>
            </w:tcBorders>
            <w:shd w:val="clear" w:color="auto" w:fill="D2D2D2"/>
          </w:tcPr>
          <w:p>
            <w:pPr/>
          </w:p>
        </w:tc>
        <w:tc>
          <w:tcPr>
            <w:tcW w:w="4487" w:type="dxa"/>
            <w:gridSpan w:val="5"/>
            <w:vMerge/>
            <w:tcBorders>
              <w:left w:val="single" w:sz="4" w:space="0" w:color="000000"/>
              <w:bottom w:val="single" w:sz="4" w:space="0" w:color="000000"/>
              <w:right w:val="single" w:sz="4" w:space="0" w:color="000000"/>
            </w:tcBorders>
            <w:shd w:val="clear" w:color="auto" w:fill="D2D2D2"/>
          </w:tcPr>
          <w:p>
            <w:pPr/>
          </w:p>
        </w:tc>
        <w:tc>
          <w:tcPr>
            <w:tcW w:w="1670"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848" w:type="dxa"/>
            <w:vMerge/>
            <w:tcBorders>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48"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874" w:type="dxa"/>
            <w:vMerge/>
            <w:tcBorders>
              <w:left w:val="single" w:sz="4" w:space="0" w:color="000000"/>
              <w:bottom w:val="single" w:sz="4" w:space="0" w:color="000000"/>
              <w:right w:val="single" w:sz="4" w:space="0" w:color="000000"/>
            </w:tcBorders>
            <w:shd w:val="clear" w:color="auto" w:fill="D2D2D2"/>
          </w:tcPr>
          <w:p>
            <w:pPr/>
          </w:p>
        </w:tc>
        <w:tc>
          <w:tcPr>
            <w:tcW w:w="963"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62"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24,375,000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-26,250,000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73,125,000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48.75%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75"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48,750,000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48.75%</w:t>
            </w:r>
          </w:p>
        </w:tc>
        <w:tc>
          <w:tcPr>
            <w:tcW w:w="7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24,375,000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24,375,000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73,125,000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48.75%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26.25%</w:t>
            </w:r>
          </w:p>
        </w:tc>
        <w:tc>
          <w:tcPr>
            <w:tcW w:w="7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-26,250,000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-26,250,000</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26.25%</w:t>
            </w:r>
          </w:p>
        </w:tc>
        <w:tc>
          <w:tcPr>
            <w:tcW w:w="7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-26,250,000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-26,250,000</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75"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25,625,000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26,250,000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51,875,000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51.25%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25,625,000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26,250,000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51,875,000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51.25%</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50,000,000</w:t>
            </w:r>
          </w:p>
        </w:tc>
        <w:tc>
          <w:tcPr>
            <w:tcW w:w="963"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3"/>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日，首次公开发行前已发行股份</w:t>
      </w:r>
      <w:r>
        <w:rPr>
          <w:rFonts w:ascii="Times New Roman" w:hAnsi="Times New Roman" w:cs="Times New Roman" w:eastAsia="Times New Roman" w:hint="default"/>
        </w:rPr>
        <w:t>2,625.00</w:t>
      </w:r>
      <w:r>
        <w:rPr/>
        <w:t>万股解除限售；</w:t>
      </w:r>
    </w:p>
    <w:p>
      <w:pPr>
        <w:pStyle w:val="BodyText"/>
        <w:spacing w:line="256" w:lineRule="auto" w:before="62"/>
        <w:ind w:right="148"/>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27</w:t>
      </w:r>
      <w:r>
        <w:rPr>
          <w:spacing w:val="-2"/>
        </w:rPr>
        <w:t>日，公司完成</w:t>
      </w:r>
      <w:r>
        <w:rPr>
          <w:rFonts w:ascii="Times New Roman" w:hAnsi="Times New Roman" w:cs="Times New Roman" w:eastAsia="Times New Roman" w:hint="default"/>
          <w:spacing w:val="-2"/>
        </w:rPr>
        <w:t>2016</w:t>
      </w:r>
      <w:r>
        <w:rPr>
          <w:spacing w:val="-2"/>
        </w:rPr>
        <w:t>年度权益分派，以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100,000,000</w:t>
      </w:r>
      <w:r>
        <w:rPr>
          <w:spacing w:val="-2"/>
        </w:rPr>
        <w:t>股为基数，向全</w:t>
      </w:r>
      <w:r>
        <w:rPr>
          <w:spacing w:val="-15"/>
        </w:rPr>
        <w:t> </w:t>
      </w:r>
      <w:r>
        <w:rPr>
          <w:spacing w:val="-15"/>
        </w:rPr>
      </w:r>
      <w:r>
        <w:rPr>
          <w:spacing w:val="-2"/>
        </w:rPr>
        <w:t>体股东每</w:t>
      </w:r>
      <w:r>
        <w:rPr>
          <w:rFonts w:ascii="Times New Roman" w:hAnsi="Times New Roman" w:cs="Times New Roman" w:eastAsia="Times New Roman" w:hint="default"/>
          <w:spacing w:val="-2"/>
        </w:rPr>
        <w:t>10</w:t>
      </w:r>
      <w:r>
        <w:rPr>
          <w:spacing w:val="-2"/>
        </w:rPr>
        <w:t>股派发现金红利人民币</w:t>
      </w:r>
      <w:r>
        <w:rPr>
          <w:rFonts w:ascii="Times New Roman" w:hAnsi="Times New Roman" w:cs="Times New Roman" w:eastAsia="Times New Roman" w:hint="default"/>
          <w:spacing w:val="-2"/>
        </w:rPr>
        <w:t>2</w:t>
      </w:r>
      <w:r>
        <w:rPr>
          <w:spacing w:val="-2"/>
        </w:rPr>
        <w:t>元（含税），共计派发现金</w:t>
      </w:r>
      <w:r>
        <w:rPr>
          <w:rFonts w:ascii="Times New Roman" w:hAnsi="Times New Roman" w:cs="Times New Roman" w:eastAsia="Times New Roman" w:hint="default"/>
          <w:spacing w:val="-2"/>
        </w:rPr>
        <w:t>20,000,000</w:t>
      </w:r>
      <w:r>
        <w:rPr>
          <w:spacing w:val="-2"/>
        </w:rPr>
        <w:t>元。同时用可供股东分配的利润</w:t>
      </w:r>
      <w:r>
        <w:rPr>
          <w:spacing w:val="-34"/>
        </w:rPr>
        <w:t> </w:t>
      </w:r>
      <w:r>
        <w:rPr>
          <w:spacing w:val="-34"/>
        </w:rPr>
      </w:r>
      <w:r>
        <w:rPr/>
        <w:t>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w:t>
      </w:r>
      <w:r>
        <w:rPr/>
        <w:t>股（含税），共计送红股</w:t>
      </w:r>
      <w:r>
        <w:rPr>
          <w:rFonts w:ascii="Times New Roman" w:hAnsi="Times New Roman" w:cs="Times New Roman" w:eastAsia="Times New Roman" w:hint="default"/>
        </w:rPr>
        <w:t>50,000,000</w:t>
      </w:r>
      <w:r>
        <w:rPr/>
        <w:t>股，不进行资本公积转增股本。</w:t>
      </w:r>
    </w:p>
    <w:p>
      <w:pPr>
        <w:spacing w:line="240" w:lineRule="auto" w:before="1"/>
        <w:rPr>
          <w:rFonts w:ascii="宋体" w:hAnsi="宋体" w:cs="宋体" w:eastAsia="宋体" w:hint="default"/>
          <w:sz w:val="32"/>
          <w:szCs w:val="3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3"/>
        <w:ind w:right="0"/>
        <w:jc w:val="left"/>
      </w:pPr>
      <w:r>
        <w:rPr/>
        <w:t>（</w:t>
      </w:r>
      <w:r>
        <w:rPr>
          <w:rFonts w:ascii="Times New Roman" w:hAnsi="Times New Roman" w:cs="Times New Roman" w:eastAsia="Times New Roman" w:hint="default"/>
        </w:rPr>
        <w:t>1</w:t>
      </w:r>
      <w:r>
        <w:rPr/>
        <w:t>）首发前已发行股份</w:t>
      </w:r>
      <w:r>
        <w:rPr>
          <w:rFonts w:ascii="Times New Roman" w:hAnsi="Times New Roman" w:cs="Times New Roman" w:eastAsia="Times New Roman" w:hint="default"/>
        </w:rPr>
        <w:t>2,625.00</w:t>
      </w:r>
      <w:r>
        <w:rPr/>
        <w:t>万股限售期为</w:t>
      </w:r>
      <w:r>
        <w:rPr>
          <w:rFonts w:ascii="Times New Roman" w:hAnsi="Times New Roman" w:cs="Times New Roman" w:eastAsia="Times New Roman" w:hint="default"/>
        </w:rPr>
        <w:t>12</w:t>
      </w:r>
      <w:r>
        <w:rPr/>
        <w:t>个月，至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日，限售期已届满；</w:t>
      </w:r>
    </w:p>
    <w:p>
      <w:pPr>
        <w:pStyle w:val="BodyText"/>
        <w:spacing w:line="256" w:lineRule="auto" w:before="21"/>
        <w:ind w:right="148"/>
        <w:jc w:val="left"/>
      </w:pPr>
      <w:r>
        <w:rPr>
          <w:spacing w:val="-2"/>
        </w:rPr>
        <w:t>（</w:t>
      </w: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2016</w:t>
      </w:r>
      <w:r>
        <w:rPr>
          <w:spacing w:val="-2"/>
        </w:rPr>
        <w:t>年度利润分配方案已经</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日召开的</w:t>
      </w:r>
      <w:r>
        <w:rPr>
          <w:rFonts w:ascii="Times New Roman" w:hAnsi="Times New Roman" w:cs="Times New Roman" w:eastAsia="Times New Roman" w:hint="default"/>
          <w:spacing w:val="-2"/>
        </w:rPr>
        <w:t>2016</w:t>
      </w:r>
      <w:r>
        <w:rPr>
          <w:spacing w:val="-2"/>
        </w:rPr>
        <w:t>年年度股东大会审议通过，具体内容详见</w:t>
      </w:r>
      <w:r>
        <w:rPr>
          <w:spacing w:val="-33"/>
        </w:rPr>
        <w:t> </w:t>
      </w:r>
      <w:r>
        <w:rPr>
          <w:spacing w:val="-33"/>
        </w:rPr>
      </w:r>
      <w:r>
        <w:rPr/>
        <w:t>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日披露于《中国证券报》、《上海证券报》、《证券时报》、《证券日报》和巨潮资讯</w:t>
      </w:r>
      <w:r>
        <w:rPr>
          <w:w w:val="100"/>
        </w:rPr>
        <w:t> </w:t>
      </w:r>
      <w:r>
        <w:rPr/>
        <w:t>网（</w:t>
      </w:r>
      <w:hyperlink r:id="rId10">
        <w:r>
          <w:rPr>
            <w:rFonts w:ascii="Times New Roman" w:hAnsi="Times New Roman" w:cs="Times New Roman" w:eastAsia="Times New Roman" w:hint="default"/>
          </w:rPr>
          <w:t>http://www.cninfo.com.cn</w:t>
        </w:r>
      </w:hyperlink>
      <w:r>
        <w:rPr/>
        <w:t>）上的《</w:t>
      </w:r>
      <w:r>
        <w:rPr>
          <w:rFonts w:ascii="Times New Roman" w:hAnsi="Times New Roman" w:cs="Times New Roman" w:eastAsia="Times New Roman" w:hint="default"/>
        </w:rPr>
        <w:t>2016</w:t>
      </w:r>
      <w:r>
        <w:rPr/>
        <w:t>年度股东大会决议公告》（公告编号</w:t>
      </w:r>
      <w:r>
        <w:rPr>
          <w:rFonts w:ascii="Times New Roman" w:hAnsi="Times New Roman" w:cs="Times New Roman" w:eastAsia="Times New Roman" w:hint="default"/>
        </w:rPr>
        <w:t>2017-031</w:t>
      </w:r>
      <w:r>
        <w:rPr/>
        <w:t>）。</w:t>
      </w:r>
    </w:p>
    <w:p>
      <w:pPr>
        <w:spacing w:line="240" w:lineRule="auto" w:before="12"/>
        <w:rPr>
          <w:rFonts w:ascii="宋体" w:hAnsi="宋体" w:cs="宋体" w:eastAsia="宋体" w:hint="default"/>
          <w:sz w:val="28"/>
          <w:szCs w:val="2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83"/>
        <w:ind w:right="0"/>
        <w:jc w:val="left"/>
      </w:pPr>
      <w:r>
        <w:rPr>
          <w:rFonts w:ascii="Times New Roman" w:hAnsi="Times New Roman" w:cs="Times New Roman" w:eastAsia="Times New Roman" w:hint="default"/>
        </w:rPr>
        <w:t>2016</w:t>
      </w:r>
      <w:r>
        <w:rPr/>
        <w:t>年权益分派中所送红股已于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日计入股东证券账户。</w:t>
      </w:r>
    </w:p>
    <w:p>
      <w:pPr>
        <w:spacing w:after="0" w:line="240" w:lineRule="auto"/>
        <w:jc w:val="left"/>
        <w:sectPr>
          <w:pgSz w:w="11910" w:h="16840"/>
          <w:pgMar w:header="0" w:footer="980" w:top="1500" w:bottom="1160" w:left="980" w:right="980"/>
        </w:sectPr>
      </w:pPr>
    </w:p>
    <w:p>
      <w:pPr>
        <w:spacing w:line="240" w:lineRule="auto" w:before="2"/>
        <w:rPr>
          <w:rFonts w:ascii="宋体" w:hAnsi="宋体" w:cs="宋体" w:eastAsia="宋体" w:hint="default"/>
          <w:sz w:val="28"/>
          <w:szCs w:val="2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0" w:firstLine="336"/>
        <w:jc w:val="left"/>
      </w:pPr>
      <w:r>
        <w:rPr/>
        <w:t>报告期内公司完成了</w:t>
      </w:r>
      <w:r>
        <w:rPr>
          <w:rFonts w:ascii="Times New Roman" w:hAnsi="Times New Roman" w:cs="Times New Roman" w:eastAsia="Times New Roman" w:hint="default"/>
        </w:rPr>
        <w:t>2016</w:t>
      </w:r>
      <w:r>
        <w:rPr/>
        <w:t>年度权益分派，以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100,000,000</w:t>
      </w:r>
      <w:r>
        <w:rPr/>
        <w:t>股为基数，向全体股东</w:t>
      </w:r>
      <w:r>
        <w:rPr>
          <w:w w:val="100"/>
        </w:rPr>
        <w:t> </w:t>
      </w:r>
      <w:r>
        <w:rPr>
          <w:spacing w:val="-8"/>
        </w:rPr>
        <w:t>每</w:t>
      </w:r>
      <w:r>
        <w:rPr>
          <w:rFonts w:ascii="Times New Roman" w:hAnsi="Times New Roman" w:cs="Times New Roman" w:eastAsia="Times New Roman" w:hint="default"/>
          <w:spacing w:val="-8"/>
        </w:rPr>
        <w:t>10</w:t>
      </w:r>
      <w:r>
        <w:rPr>
          <w:spacing w:val="-8"/>
        </w:rPr>
        <w:t>股派发现金红利人民币</w:t>
      </w:r>
      <w:r>
        <w:rPr>
          <w:rFonts w:ascii="Times New Roman" w:hAnsi="Times New Roman" w:cs="Times New Roman" w:eastAsia="Times New Roman" w:hint="default"/>
          <w:spacing w:val="-8"/>
        </w:rPr>
        <w:t>2</w:t>
      </w:r>
      <w:r>
        <w:rPr>
          <w:spacing w:val="-8"/>
        </w:rPr>
        <w:t>元（含税），同时用可供股东分配的利润向全体股东每</w:t>
      </w:r>
      <w:r>
        <w:rPr>
          <w:rFonts w:ascii="Times New Roman" w:hAnsi="Times New Roman" w:cs="Times New Roman" w:eastAsia="Times New Roman" w:hint="default"/>
          <w:spacing w:val="-8"/>
        </w:rPr>
        <w:t>10</w:t>
      </w:r>
      <w:r>
        <w:rPr>
          <w:spacing w:val="-8"/>
        </w:rPr>
        <w:t>股送红股</w:t>
      </w:r>
      <w:r>
        <w:rPr>
          <w:rFonts w:ascii="Times New Roman" w:hAnsi="Times New Roman" w:cs="Times New Roman" w:eastAsia="Times New Roman" w:hint="default"/>
          <w:spacing w:val="-8"/>
        </w:rPr>
        <w:t>5</w:t>
      </w:r>
      <w:r>
        <w:rPr>
          <w:spacing w:val="-8"/>
        </w:rPr>
        <w:t>股（含税），</w:t>
      </w:r>
      <w:r>
        <w:rPr>
          <w:spacing w:val="-43"/>
        </w:rPr>
        <w:t> </w:t>
      </w:r>
      <w:r>
        <w:rPr>
          <w:spacing w:val="-43"/>
        </w:rPr>
      </w:r>
      <w:r>
        <w:rPr>
          <w:spacing w:val="-2"/>
        </w:rPr>
        <w:t>分红前公司总股本</w:t>
      </w:r>
      <w:r>
        <w:rPr>
          <w:rFonts w:ascii="Times New Roman" w:hAnsi="Times New Roman" w:cs="Times New Roman" w:eastAsia="Times New Roman" w:hint="default"/>
          <w:spacing w:val="-2"/>
        </w:rPr>
        <w:t>100,000,000</w:t>
      </w:r>
      <w:r>
        <w:rPr>
          <w:spacing w:val="-2"/>
        </w:rPr>
        <w:t>股，分红后总股本增至</w:t>
      </w:r>
      <w:r>
        <w:rPr>
          <w:rFonts w:ascii="Times New Roman" w:hAnsi="Times New Roman" w:cs="Times New Roman" w:eastAsia="Times New Roman" w:hint="default"/>
          <w:spacing w:val="-2"/>
        </w:rPr>
        <w:t>150,000,000</w:t>
      </w:r>
      <w:r>
        <w:rPr>
          <w:spacing w:val="-2"/>
        </w:rPr>
        <w:t>股。上述股本变动使公司</w:t>
      </w:r>
      <w:r>
        <w:rPr>
          <w:rFonts w:ascii="Times New Roman" w:hAnsi="Times New Roman" w:cs="Times New Roman" w:eastAsia="Times New Roman" w:hint="default"/>
          <w:spacing w:val="-2"/>
        </w:rPr>
        <w:t>2017</w:t>
      </w:r>
      <w:r>
        <w:rPr>
          <w:spacing w:val="-2"/>
        </w:rPr>
        <w:t>年度基本每</w:t>
      </w:r>
      <w:r>
        <w:rPr>
          <w:spacing w:val="-17"/>
        </w:rPr>
        <w:t> </w:t>
      </w:r>
      <w:r>
        <w:rPr>
          <w:spacing w:val="-17"/>
        </w:rPr>
      </w:r>
      <w:r>
        <w:rPr/>
        <w:t>股收益及每股净资产等指标被摊薄，具体详见第二节</w:t>
      </w:r>
      <w:r>
        <w:rPr>
          <w:rFonts w:ascii="Times New Roman" w:hAnsi="Times New Roman" w:cs="Times New Roman" w:eastAsia="Times New Roman" w:hint="default"/>
        </w:rPr>
        <w:t>“</w:t>
      </w:r>
      <w:r>
        <w:rPr/>
        <w:t>主要会计数据和财务指标</w:t>
      </w:r>
      <w:r>
        <w:rPr>
          <w:rFonts w:ascii="Times New Roman" w:hAnsi="Times New Roman" w:cs="Times New Roman" w:eastAsia="Times New Roman" w:hint="default"/>
        </w:rPr>
        <w:t>”</w:t>
      </w:r>
      <w:r>
        <w:rPr/>
        <w:t>。</w:t>
      </w:r>
    </w:p>
    <w:p>
      <w:pPr>
        <w:spacing w:before="66"/>
        <w:ind w:left="152"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2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香港原石国际有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比特（香港）投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陕西医药控股集 团有限责任公司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69,375,000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全国社会保障基 金理事会转持二 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73,125,000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56" w:lineRule="auto" w:before="83"/>
        <w:ind w:right="0" w:firstLine="420"/>
        <w:jc w:val="left"/>
      </w:pPr>
      <w:r>
        <w:rPr>
          <w:spacing w:val="-2"/>
        </w:rPr>
        <w:t>报告期内，报告期内公司完成了</w:t>
      </w:r>
      <w:r>
        <w:rPr>
          <w:rFonts w:ascii="Times New Roman" w:hAnsi="Times New Roman" w:cs="Times New Roman" w:eastAsia="Times New Roman" w:hint="default"/>
          <w:spacing w:val="-2"/>
        </w:rPr>
        <w:t>2016</w:t>
      </w:r>
      <w:r>
        <w:rPr>
          <w:spacing w:val="-2"/>
        </w:rPr>
        <w:t>年度权益分派，以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100,000,000</w:t>
      </w:r>
      <w:r>
        <w:rPr>
          <w:spacing w:val="-2"/>
        </w:rPr>
        <w:t>股为基数，</w:t>
      </w:r>
      <w:r>
        <w:rPr>
          <w:w w:val="100"/>
        </w:rPr>
        <w:t> </w:t>
      </w:r>
      <w:r>
        <w:rPr/>
        <w:t>向全体股东每</w:t>
      </w:r>
      <w:r>
        <w:rPr>
          <w:rFonts w:ascii="Times New Roman" w:hAnsi="Times New Roman" w:cs="Times New Roman" w:eastAsia="Times New Roman" w:hint="default"/>
        </w:rPr>
        <w:t>10</w:t>
      </w:r>
      <w:r>
        <w:rPr/>
        <w:t>股派发现金红利人民币</w:t>
      </w:r>
      <w:r>
        <w:rPr>
          <w:rFonts w:ascii="Times New Roman" w:hAnsi="Times New Roman" w:cs="Times New Roman" w:eastAsia="Times New Roman" w:hint="default"/>
        </w:rPr>
        <w:t>2</w:t>
      </w:r>
      <w:r>
        <w:rPr/>
        <w:t>元（含税），同时用可供股东分配的利润向全体股东每</w:t>
      </w:r>
      <w:r>
        <w:rPr>
          <w:rFonts w:ascii="Times New Roman" w:hAnsi="Times New Roman" w:cs="Times New Roman" w:eastAsia="Times New Roman" w:hint="default"/>
        </w:rPr>
        <w:t>10</w:t>
      </w:r>
      <w:r>
        <w:rPr/>
        <w:t>股送红</w:t>
      </w:r>
      <w:r>
        <w:rPr>
          <w:w w:val="100"/>
        </w:rPr>
        <w:t> </w:t>
      </w:r>
      <w:r>
        <w:rPr/>
        <w:t>股</w:t>
      </w:r>
      <w:r>
        <w:rPr>
          <w:rFonts w:ascii="Times New Roman" w:hAnsi="Times New Roman" w:cs="Times New Roman" w:eastAsia="Times New Roman" w:hint="default"/>
        </w:rPr>
        <w:t>5</w:t>
      </w:r>
      <w:r>
        <w:rPr/>
        <w:t>股（含税），分红前公司总股本</w:t>
      </w:r>
      <w:r>
        <w:rPr>
          <w:rFonts w:ascii="Times New Roman" w:hAnsi="Times New Roman" w:cs="Times New Roman" w:eastAsia="Times New Roman" w:hint="default"/>
        </w:rPr>
        <w:t>100,000,000</w:t>
      </w:r>
      <w:r>
        <w:rPr/>
        <w:t>股，分红后总股本增至</w:t>
      </w:r>
      <w:r>
        <w:rPr>
          <w:rFonts w:ascii="Times New Roman" w:hAnsi="Times New Roman" w:cs="Times New Roman" w:eastAsia="Times New Roman" w:hint="default"/>
        </w:rPr>
        <w:t>150,000,000</w:t>
      </w:r>
      <w:r>
        <w:rPr/>
        <w:t>股。</w:t>
      </w:r>
    </w:p>
    <w:p>
      <w:pPr>
        <w:spacing w:after="0" w:line="256" w:lineRule="auto"/>
        <w:jc w:val="left"/>
        <w:sectPr>
          <w:pgSz w:w="11910" w:h="16840"/>
          <w:pgMar w:header="0" w:footer="980" w:top="1500" w:bottom="1160" w:left="980" w:right="9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5056"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pict>
          <v:shape style="position:absolute;margin-left:349.630005pt;margin-top:78.501732pt;width:73.6pt;height:39pt;mso-position-horizontal-relative:page;mso-position-vertical-relative:paragraph;z-index:-755080" type="#_x0000_t202" filled="false" stroked="false">
            <v:textbox inset="0,0,0,0">
              <w:txbxContent>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55.869995pt;margin-top:78.501732pt;width:67.350pt;height:39pt;mso-position-horizontal-relative:page;mso-position-vertical-relative:paragraph;z-index:-755032" coordorigin="7117,1570" coordsize="1347,780">
            <v:shape style="position:absolute;left:7117;top:1570;width:1347;height:780" coordorigin="7117,1570" coordsize="1347,780" path="m7117,2350l8464,2350,8464,1570,7117,1570,7117,235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174"/>
        <w:gridCol w:w="254"/>
        <w:gridCol w:w="912"/>
        <w:gridCol w:w="461"/>
        <w:gridCol w:w="715"/>
        <w:gridCol w:w="905"/>
        <w:gridCol w:w="338"/>
        <w:gridCol w:w="526"/>
        <w:gridCol w:w="709"/>
        <w:gridCol w:w="215"/>
        <w:gridCol w:w="866"/>
        <w:gridCol w:w="299"/>
        <w:gridCol w:w="1012"/>
        <w:gridCol w:w="124"/>
        <w:gridCol w:w="1187"/>
      </w:tblGrid>
      <w:tr>
        <w:trPr>
          <w:trHeight w:val="319" w:hRule="exact"/>
        </w:trPr>
        <w:tc>
          <w:tcPr>
            <w:tcW w:w="1174" w:type="dxa"/>
            <w:vMerge w:val="restart"/>
            <w:tcBorders>
              <w:top w:val="single" w:sz="4" w:space="0" w:color="000000"/>
              <w:left w:val="single" w:sz="4" w:space="0" w:color="000000"/>
              <w:right w:val="single" w:sz="4" w:space="0" w:color="000000"/>
            </w:tcBorders>
            <w:shd w:val="clear" w:color="auto" w:fill="D2D2D2"/>
          </w:tcPr>
          <w:p>
            <w:pPr/>
          </w:p>
        </w:tc>
        <w:tc>
          <w:tcPr>
            <w:tcW w:w="116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12,561</w:t>
            </w:r>
          </w:p>
        </w:tc>
        <w:tc>
          <w:tcPr>
            <w:tcW w:w="11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44"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13,647</w:t>
            </w:r>
          </w:p>
        </w:tc>
        <w:tc>
          <w:tcPr>
            <w:tcW w:w="12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15" w:type="dxa"/>
            <w:tcBorders>
              <w:top w:val="single" w:sz="4" w:space="0" w:color="000000"/>
              <w:left w:val="single" w:sz="4" w:space="0" w:color="000000"/>
              <w:bottom w:val="nil" w:sz="6" w:space="0" w:color="auto"/>
              <w:right w:val="nil" w:sz="6" w:space="0" w:color="auto"/>
            </w:tcBorders>
          </w:tcPr>
          <w:p>
            <w:pPr/>
          </w:p>
        </w:tc>
        <w:tc>
          <w:tcPr>
            <w:tcW w:w="866" w:type="dxa"/>
            <w:tcBorders>
              <w:top w:val="single" w:sz="4" w:space="0" w:color="000000"/>
              <w:left w:val="nil" w:sz="6" w:space="0" w:color="auto"/>
              <w:bottom w:val="nil" w:sz="6" w:space="0" w:color="auto"/>
              <w:right w:val="nil" w:sz="6" w:space="0" w:color="auto"/>
            </w:tcBorders>
          </w:tcPr>
          <w:p>
            <w:pPr/>
          </w:p>
        </w:tc>
        <w:tc>
          <w:tcPr>
            <w:tcW w:w="299" w:type="dxa"/>
            <w:tcBorders>
              <w:top w:val="single" w:sz="4" w:space="0" w:color="000000"/>
              <w:left w:val="nil" w:sz="6" w:space="0" w:color="auto"/>
              <w:bottom w:val="nil" w:sz="6" w:space="0" w:color="auto"/>
              <w:right w:val="single" w:sz="14" w:space="0" w:color="D2D2D2"/>
            </w:tcBorders>
          </w:tcPr>
          <w:p>
            <w:pP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3" w:right="9"/>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3"/>
                <w:sz w:val="18"/>
                <w:szCs w:val="18"/>
              </w:rPr>
              <w:t>数（如有）（参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7"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74" w:type="dxa"/>
            <w:vMerge/>
            <w:tcBorders>
              <w:left w:val="single" w:sz="4" w:space="0" w:color="000000"/>
              <w:bottom w:val="nil" w:sz="6" w:space="0" w:color="auto"/>
              <w:right w:val="single" w:sz="4" w:space="0" w:color="000000"/>
            </w:tcBorders>
            <w:shd w:val="clear" w:color="auto" w:fill="D2D2D2"/>
          </w:tcPr>
          <w:p>
            <w:pPr/>
          </w:p>
        </w:tc>
        <w:tc>
          <w:tcPr>
            <w:tcW w:w="1166" w:type="dxa"/>
            <w:gridSpan w:val="2"/>
            <w:vMerge/>
            <w:tcBorders>
              <w:left w:val="single" w:sz="9" w:space="0" w:color="D2D2D2"/>
              <w:right w:val="single" w:sz="9" w:space="0" w:color="D2D2D2"/>
            </w:tcBorders>
          </w:tcPr>
          <w:p>
            <w:pPr/>
          </w:p>
        </w:tc>
        <w:tc>
          <w:tcPr>
            <w:tcW w:w="11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44" w:type="dxa"/>
            <w:gridSpan w:val="2"/>
            <w:vMerge/>
            <w:tcBorders>
              <w:left w:val="single" w:sz="10" w:space="0" w:color="D2D2D2"/>
              <w:right w:val="single" w:sz="9" w:space="0" w:color="D2D2D2"/>
            </w:tcBorders>
          </w:tcPr>
          <w:p>
            <w:pPr/>
          </w:p>
        </w:tc>
        <w:tc>
          <w:tcPr>
            <w:tcW w:w="12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11"/>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报告期末表决 权恢复的优先 </w:t>
            </w:r>
            <w:r>
              <w:rPr>
                <w:rFonts w:ascii="宋体" w:hAnsi="宋体" w:cs="宋体" w:eastAsia="宋体" w:hint="default"/>
                <w:spacing w:val="-9"/>
                <w:sz w:val="18"/>
                <w:szCs w:val="18"/>
              </w:rPr>
              <w:t>股股东总数（如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有）（参见注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p>
        </w:tc>
        <w:tc>
          <w:tcPr>
            <w:tcW w:w="215" w:type="dxa"/>
            <w:vMerge w:val="restart"/>
            <w:tcBorders>
              <w:top w:val="nil" w:sz="6" w:space="0" w:color="auto"/>
              <w:left w:val="single" w:sz="12" w:space="0" w:color="D2D2D2"/>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single" w:sz="14" w:space="0" w:color="D2D2D2"/>
            </w:tcBorders>
          </w:tcPr>
          <w:p>
            <w:pPr/>
          </w:p>
        </w:tc>
        <w:tc>
          <w:tcPr>
            <w:tcW w:w="1136" w:type="dxa"/>
            <w:gridSpan w:val="2"/>
            <w:vMerge/>
            <w:tcBorders>
              <w:left w:val="single" w:sz="4" w:space="0" w:color="000000"/>
              <w:right w:val="single" w:sz="4" w:space="0" w:color="000000"/>
            </w:tcBorders>
            <w:shd w:val="clear" w:color="auto" w:fill="D2D2D2"/>
          </w:tcPr>
          <w:p>
            <w:pPr/>
          </w:p>
        </w:tc>
        <w:tc>
          <w:tcPr>
            <w:tcW w:w="1187" w:type="dxa"/>
            <w:vMerge/>
            <w:tcBorders>
              <w:left w:val="single" w:sz="12" w:space="0" w:color="D2D2D2"/>
              <w:right w:val="single" w:sz="4" w:space="0" w:color="000000"/>
            </w:tcBorders>
          </w:tcPr>
          <w:p>
            <w:pPr/>
          </w:p>
        </w:tc>
      </w:tr>
      <w:tr>
        <w:trPr>
          <w:trHeight w:val="704" w:hRule="exact"/>
        </w:trPr>
        <w:tc>
          <w:tcPr>
            <w:tcW w:w="11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66" w:type="dxa"/>
            <w:gridSpan w:val="2"/>
            <w:vMerge/>
            <w:tcBorders>
              <w:left w:val="single" w:sz="9" w:space="0" w:color="D2D2D2"/>
              <w:right w:val="single" w:sz="9" w:space="0" w:color="D2D2D2"/>
            </w:tcBorders>
          </w:tcPr>
          <w:p>
            <w:pPr/>
          </w:p>
        </w:tc>
        <w:tc>
          <w:tcPr>
            <w:tcW w:w="1176" w:type="dxa"/>
            <w:gridSpan w:val="2"/>
            <w:vMerge/>
            <w:tcBorders>
              <w:left w:val="single" w:sz="4" w:space="0" w:color="000000"/>
              <w:right w:val="single" w:sz="4" w:space="0" w:color="000000"/>
            </w:tcBorders>
            <w:shd w:val="clear" w:color="auto" w:fill="D2D2D2"/>
          </w:tcPr>
          <w:p>
            <w:pPr/>
          </w:p>
        </w:tc>
        <w:tc>
          <w:tcPr>
            <w:tcW w:w="1244" w:type="dxa"/>
            <w:gridSpan w:val="2"/>
            <w:vMerge/>
            <w:tcBorders>
              <w:left w:val="single" w:sz="10" w:space="0" w:color="D2D2D2"/>
              <w:right w:val="single" w:sz="9" w:space="0" w:color="D2D2D2"/>
            </w:tcBorders>
          </w:tcPr>
          <w:p>
            <w:pPr/>
          </w:p>
        </w:tc>
        <w:tc>
          <w:tcPr>
            <w:tcW w:w="1235" w:type="dxa"/>
            <w:gridSpan w:val="2"/>
            <w:vMerge/>
            <w:tcBorders>
              <w:left w:val="single" w:sz="4" w:space="0" w:color="000000"/>
              <w:right w:val="single" w:sz="4" w:space="0" w:color="000000"/>
            </w:tcBorders>
            <w:shd w:val="clear" w:color="auto" w:fill="D2D2D2"/>
          </w:tcPr>
          <w:p>
            <w:pPr/>
          </w:p>
        </w:tc>
        <w:tc>
          <w:tcPr>
            <w:tcW w:w="215" w:type="dxa"/>
            <w:vMerge/>
            <w:tcBorders>
              <w:left w:val="single" w:sz="12" w:space="0" w:color="D2D2D2"/>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single" w:sz="14"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0</w:t>
            </w:r>
          </w:p>
        </w:tc>
        <w:tc>
          <w:tcPr>
            <w:tcW w:w="1136" w:type="dxa"/>
            <w:gridSpan w:val="2"/>
            <w:vMerge/>
            <w:tcBorders>
              <w:left w:val="single" w:sz="4" w:space="0" w:color="000000"/>
              <w:right w:val="single" w:sz="4" w:space="0" w:color="000000"/>
            </w:tcBorders>
            <w:shd w:val="clear" w:color="auto" w:fill="D2D2D2"/>
          </w:tcPr>
          <w:p>
            <w:pPr/>
          </w:p>
        </w:tc>
        <w:tc>
          <w:tcPr>
            <w:tcW w:w="1187" w:type="dxa"/>
            <w:vMerge/>
            <w:tcBorders>
              <w:left w:val="single" w:sz="12" w:space="0" w:color="D2D2D2"/>
              <w:right w:val="single" w:sz="4" w:space="0" w:color="000000"/>
            </w:tcBorders>
          </w:tcPr>
          <w:p>
            <w:pPr/>
          </w:p>
        </w:tc>
      </w:tr>
      <w:tr>
        <w:trPr>
          <w:trHeight w:val="312" w:hRule="exact"/>
        </w:trPr>
        <w:tc>
          <w:tcPr>
            <w:tcW w:w="1174" w:type="dxa"/>
            <w:vMerge w:val="restart"/>
            <w:tcBorders>
              <w:top w:val="nil" w:sz="6" w:space="0" w:color="auto"/>
              <w:left w:val="single" w:sz="4" w:space="0" w:color="000000"/>
              <w:right w:val="single" w:sz="4" w:space="0" w:color="000000"/>
            </w:tcBorders>
            <w:shd w:val="clear" w:color="auto" w:fill="D2D2D2"/>
          </w:tcPr>
          <w:p>
            <w:pPr/>
          </w:p>
        </w:tc>
        <w:tc>
          <w:tcPr>
            <w:tcW w:w="1166" w:type="dxa"/>
            <w:gridSpan w:val="2"/>
            <w:vMerge/>
            <w:tcBorders>
              <w:left w:val="single" w:sz="9" w:space="0" w:color="D2D2D2"/>
              <w:right w:val="single" w:sz="9" w:space="0" w:color="D2D2D2"/>
            </w:tcBorders>
          </w:tcPr>
          <w:p>
            <w:pPr/>
          </w:p>
        </w:tc>
        <w:tc>
          <w:tcPr>
            <w:tcW w:w="1176" w:type="dxa"/>
            <w:gridSpan w:val="2"/>
            <w:vMerge/>
            <w:tcBorders>
              <w:left w:val="single" w:sz="4" w:space="0" w:color="000000"/>
              <w:bottom w:val="nil" w:sz="6" w:space="0" w:color="auto"/>
              <w:right w:val="single" w:sz="4" w:space="0" w:color="000000"/>
            </w:tcBorders>
            <w:shd w:val="clear" w:color="auto" w:fill="D2D2D2"/>
          </w:tcPr>
          <w:p>
            <w:pPr/>
          </w:p>
        </w:tc>
        <w:tc>
          <w:tcPr>
            <w:tcW w:w="1244" w:type="dxa"/>
            <w:gridSpan w:val="2"/>
            <w:vMerge/>
            <w:tcBorders>
              <w:left w:val="single" w:sz="10" w:space="0" w:color="D2D2D2"/>
              <w:right w:val="single" w:sz="9" w:space="0" w:color="D2D2D2"/>
            </w:tcBorders>
          </w:tcPr>
          <w:p>
            <w:pPr/>
          </w:p>
        </w:tc>
        <w:tc>
          <w:tcPr>
            <w:tcW w:w="1235" w:type="dxa"/>
            <w:gridSpan w:val="2"/>
            <w:vMerge/>
            <w:tcBorders>
              <w:left w:val="single" w:sz="4" w:space="0" w:color="000000"/>
              <w:bottom w:val="nil" w:sz="6" w:space="0" w:color="auto"/>
              <w:right w:val="single" w:sz="4" w:space="0" w:color="000000"/>
            </w:tcBorders>
            <w:shd w:val="clear" w:color="auto" w:fill="D2D2D2"/>
          </w:tcPr>
          <w:p>
            <w:pPr/>
          </w:p>
        </w:tc>
        <w:tc>
          <w:tcPr>
            <w:tcW w:w="215" w:type="dxa"/>
            <w:vMerge/>
            <w:tcBorders>
              <w:left w:val="single" w:sz="12" w:space="0" w:color="D2D2D2"/>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single" w:sz="14" w:space="0" w:color="D2D2D2"/>
            </w:tcBorders>
          </w:tcPr>
          <w:p>
            <w:pPr/>
          </w:p>
        </w:tc>
        <w:tc>
          <w:tcPr>
            <w:tcW w:w="1136" w:type="dxa"/>
            <w:gridSpan w:val="2"/>
            <w:vMerge/>
            <w:tcBorders>
              <w:left w:val="single" w:sz="4" w:space="0" w:color="000000"/>
              <w:right w:val="single" w:sz="4" w:space="0" w:color="000000"/>
            </w:tcBorders>
            <w:shd w:val="clear" w:color="auto" w:fill="D2D2D2"/>
          </w:tcPr>
          <w:p>
            <w:pPr/>
          </w:p>
        </w:tc>
        <w:tc>
          <w:tcPr>
            <w:tcW w:w="1187" w:type="dxa"/>
            <w:vMerge/>
            <w:tcBorders>
              <w:left w:val="single" w:sz="12" w:space="0" w:color="D2D2D2"/>
              <w:right w:val="single" w:sz="4" w:space="0" w:color="000000"/>
            </w:tcBorders>
          </w:tcPr>
          <w:p>
            <w:pPr/>
          </w:p>
        </w:tc>
      </w:tr>
      <w:tr>
        <w:trPr>
          <w:trHeight w:val="322" w:hRule="exact"/>
        </w:trPr>
        <w:tc>
          <w:tcPr>
            <w:tcW w:w="1174" w:type="dxa"/>
            <w:vMerge/>
            <w:tcBorders>
              <w:left w:val="single" w:sz="4" w:space="0" w:color="000000"/>
              <w:bottom w:val="single" w:sz="4" w:space="0" w:color="000000"/>
              <w:right w:val="single" w:sz="4" w:space="0" w:color="000000"/>
            </w:tcBorders>
            <w:shd w:val="clear" w:color="auto" w:fill="D2D2D2"/>
          </w:tcPr>
          <w:p>
            <w:pPr/>
          </w:p>
        </w:tc>
        <w:tc>
          <w:tcPr>
            <w:tcW w:w="1166" w:type="dxa"/>
            <w:gridSpan w:val="2"/>
            <w:vMerge/>
            <w:tcBorders>
              <w:left w:val="single" w:sz="9" w:space="0" w:color="D2D2D2"/>
              <w:bottom w:val="single" w:sz="4" w:space="0" w:color="000000"/>
              <w:right w:val="single" w:sz="9" w:space="0" w:color="D2D2D2"/>
            </w:tcBorders>
          </w:tcPr>
          <w:p>
            <w:pPr/>
          </w:p>
        </w:tc>
        <w:tc>
          <w:tcPr>
            <w:tcW w:w="117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44" w:type="dxa"/>
            <w:gridSpan w:val="2"/>
            <w:vMerge/>
            <w:tcBorders>
              <w:left w:val="single" w:sz="10" w:space="0" w:color="D2D2D2"/>
              <w:bottom w:val="single" w:sz="4" w:space="0" w:color="000000"/>
              <w:right w:val="single" w:sz="9" w:space="0" w:color="D2D2D2"/>
            </w:tcBorders>
          </w:tcPr>
          <w:p>
            <w:pPr/>
          </w:p>
        </w:tc>
        <w:tc>
          <w:tcPr>
            <w:tcW w:w="12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15" w:type="dxa"/>
            <w:tcBorders>
              <w:top w:val="nil" w:sz="6" w:space="0" w:color="auto"/>
              <w:left w:val="single" w:sz="4" w:space="0" w:color="000000"/>
              <w:bottom w:val="single" w:sz="4" w:space="0" w:color="000000"/>
              <w:right w:val="nil" w:sz="6" w:space="0" w:color="auto"/>
            </w:tcBorders>
          </w:tcPr>
          <w:p>
            <w:pPr/>
          </w:p>
        </w:tc>
        <w:tc>
          <w:tcPr>
            <w:tcW w:w="866" w:type="dxa"/>
            <w:tcBorders>
              <w:top w:val="nil" w:sz="6" w:space="0" w:color="auto"/>
              <w:left w:val="nil" w:sz="6" w:space="0" w:color="auto"/>
              <w:bottom w:val="single" w:sz="4" w:space="0" w:color="000000"/>
              <w:right w:val="nil" w:sz="6" w:space="0" w:color="auto"/>
            </w:tcBorders>
          </w:tcPr>
          <w:p>
            <w:pPr/>
          </w:p>
        </w:tc>
        <w:tc>
          <w:tcPr>
            <w:tcW w:w="299" w:type="dxa"/>
            <w:tcBorders>
              <w:top w:val="nil" w:sz="6" w:space="0" w:color="auto"/>
              <w:left w:val="nil" w:sz="6" w:space="0" w:color="auto"/>
              <w:bottom w:val="single" w:sz="4" w:space="0" w:color="000000"/>
              <w:right w:val="single" w:sz="14" w:space="0" w:color="D2D2D2"/>
            </w:tcBorders>
          </w:tcPr>
          <w:p>
            <w:pP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1187" w:type="dxa"/>
            <w:vMerge/>
            <w:tcBorders>
              <w:left w:val="single" w:sz="12" w:space="0" w:color="D2D2D2"/>
              <w:bottom w:val="single" w:sz="4" w:space="0" w:color="000000"/>
              <w:right w:val="single" w:sz="4" w:space="0" w:color="000000"/>
            </w:tcBorders>
          </w:tcPr>
          <w:p>
            <w:pPr/>
          </w:p>
        </w:tc>
      </w:tr>
      <w:tr>
        <w:trPr>
          <w:trHeight w:val="391" w:hRule="exact"/>
        </w:trPr>
        <w:tc>
          <w:tcPr>
            <w:tcW w:w="969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8" w:hRule="exact"/>
        </w:trPr>
        <w:tc>
          <w:tcPr>
            <w:tcW w:w="1428" w:type="dxa"/>
            <w:gridSpan w:val="2"/>
            <w:vMerge w:val="restart"/>
            <w:tcBorders>
              <w:top w:val="single" w:sz="4" w:space="0" w:color="000000"/>
              <w:left w:val="single" w:sz="4" w:space="0" w:color="000000"/>
              <w:right w:val="single" w:sz="4" w:space="0" w:color="000000"/>
            </w:tcBorders>
            <w:shd w:val="clear" w:color="auto" w:fill="D2D2D2"/>
          </w:tcPr>
          <w:p>
            <w:pPr/>
          </w:p>
        </w:tc>
        <w:tc>
          <w:tcPr>
            <w:tcW w:w="1373" w:type="dxa"/>
            <w:gridSpan w:val="2"/>
            <w:vMerge w:val="restart"/>
            <w:tcBorders>
              <w:top w:val="single" w:sz="4" w:space="0" w:color="000000"/>
              <w:left w:val="single" w:sz="4" w:space="0" w:color="000000"/>
              <w:right w:val="single" w:sz="4" w:space="0" w:color="000000"/>
            </w:tcBorders>
            <w:shd w:val="clear" w:color="auto" w:fill="D2D2D2"/>
          </w:tcPr>
          <w:p>
            <w:pPr/>
          </w:p>
        </w:tc>
        <w:tc>
          <w:tcPr>
            <w:tcW w:w="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9" w:right="6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8" w:right="95"/>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9"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2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7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28" w:type="dxa"/>
            <w:gridSpan w:val="2"/>
            <w:vMerge/>
            <w:tcBorders>
              <w:left w:val="single" w:sz="4" w:space="0" w:color="000000"/>
              <w:bottom w:val="nil" w:sz="6" w:space="0" w:color="auto"/>
              <w:right w:val="single" w:sz="4" w:space="0" w:color="000000"/>
            </w:tcBorders>
            <w:shd w:val="clear" w:color="auto" w:fill="D2D2D2"/>
          </w:tcPr>
          <w:p>
            <w:pPr/>
          </w:p>
        </w:tc>
        <w:tc>
          <w:tcPr>
            <w:tcW w:w="1373" w:type="dxa"/>
            <w:gridSpan w:val="2"/>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83" w:right="5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0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8" w:right="6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64" w:type="dxa"/>
            <w:gridSpan w:val="2"/>
            <w:vMerge/>
            <w:tcBorders>
              <w:left w:val="single" w:sz="4" w:space="0" w:color="000000"/>
              <w:right w:val="single" w:sz="4" w:space="0" w:color="000000"/>
            </w:tcBorders>
            <w:shd w:val="clear" w:color="auto" w:fill="D2D2D2"/>
          </w:tcPr>
          <w:p>
            <w:pPr/>
          </w:p>
        </w:tc>
        <w:tc>
          <w:tcPr>
            <w:tcW w:w="924" w:type="dxa"/>
            <w:gridSpan w:val="2"/>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2621" w:type="dxa"/>
            <w:gridSpan w:val="4"/>
            <w:vMerge/>
            <w:tcBorders>
              <w:left w:val="single" w:sz="4" w:space="0" w:color="000000"/>
              <w:right w:val="single" w:sz="4" w:space="0" w:color="000000"/>
            </w:tcBorders>
            <w:shd w:val="clear" w:color="auto" w:fill="D2D2D2"/>
          </w:tcPr>
          <w:p>
            <w:pPr/>
          </w:p>
        </w:tc>
      </w:tr>
      <w:tr>
        <w:trPr>
          <w:trHeight w:val="139" w:hRule="exact"/>
        </w:trPr>
        <w:tc>
          <w:tcPr>
            <w:tcW w:w="142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5" w:type="dxa"/>
            <w:vMerge/>
            <w:tcBorders>
              <w:left w:val="single" w:sz="4" w:space="0" w:color="000000"/>
              <w:right w:val="single" w:sz="4" w:space="0" w:color="000000"/>
            </w:tcBorders>
            <w:shd w:val="clear" w:color="auto" w:fill="D2D2D2"/>
          </w:tcPr>
          <w:p>
            <w:pPr/>
          </w:p>
        </w:tc>
        <w:tc>
          <w:tcPr>
            <w:tcW w:w="905" w:type="dxa"/>
            <w:vMerge/>
            <w:tcBorders>
              <w:left w:val="single" w:sz="4" w:space="0" w:color="000000"/>
              <w:right w:val="single" w:sz="4" w:space="0" w:color="000000"/>
            </w:tcBorders>
            <w:shd w:val="clear" w:color="auto" w:fill="D2D2D2"/>
          </w:tcPr>
          <w:p>
            <w:pPr/>
          </w:p>
        </w:tc>
        <w:tc>
          <w:tcPr>
            <w:tcW w:w="864" w:type="dxa"/>
            <w:gridSpan w:val="2"/>
            <w:vMerge/>
            <w:tcBorders>
              <w:left w:val="single" w:sz="4" w:space="0" w:color="000000"/>
              <w:right w:val="single" w:sz="4" w:space="0" w:color="000000"/>
            </w:tcBorders>
            <w:shd w:val="clear" w:color="auto" w:fill="D2D2D2"/>
          </w:tcPr>
          <w:p>
            <w:pPr/>
          </w:p>
        </w:tc>
        <w:tc>
          <w:tcPr>
            <w:tcW w:w="924" w:type="dxa"/>
            <w:gridSpan w:val="2"/>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2621"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28" w:type="dxa"/>
            <w:gridSpan w:val="2"/>
            <w:vMerge/>
            <w:tcBorders>
              <w:left w:val="single" w:sz="4" w:space="0" w:color="000000"/>
              <w:bottom w:val="nil" w:sz="6" w:space="0" w:color="auto"/>
              <w:right w:val="single" w:sz="4" w:space="0" w:color="000000"/>
            </w:tcBorders>
            <w:shd w:val="clear" w:color="auto" w:fill="D2D2D2"/>
          </w:tcPr>
          <w:p>
            <w:pPr/>
          </w:p>
        </w:tc>
        <w:tc>
          <w:tcPr>
            <w:tcW w:w="1373" w:type="dxa"/>
            <w:gridSpan w:val="2"/>
            <w:vMerge/>
            <w:tcBorders>
              <w:left w:val="single" w:sz="4" w:space="0" w:color="000000"/>
              <w:bottom w:val="nil" w:sz="6" w:space="0" w:color="auto"/>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c>
          <w:tcPr>
            <w:tcW w:w="905" w:type="dxa"/>
            <w:vMerge/>
            <w:tcBorders>
              <w:left w:val="single" w:sz="4" w:space="0" w:color="000000"/>
              <w:right w:val="single" w:sz="4" w:space="0" w:color="000000"/>
            </w:tcBorders>
            <w:shd w:val="clear" w:color="auto" w:fill="D2D2D2"/>
          </w:tcPr>
          <w:p>
            <w:pPr/>
          </w:p>
        </w:tc>
        <w:tc>
          <w:tcPr>
            <w:tcW w:w="864" w:type="dxa"/>
            <w:gridSpan w:val="2"/>
            <w:vMerge/>
            <w:tcBorders>
              <w:left w:val="single" w:sz="4" w:space="0" w:color="000000"/>
              <w:right w:val="single" w:sz="4" w:space="0" w:color="000000"/>
            </w:tcBorders>
            <w:shd w:val="clear" w:color="auto" w:fill="D2D2D2"/>
          </w:tcPr>
          <w:p>
            <w:pPr/>
          </w:p>
        </w:tc>
        <w:tc>
          <w:tcPr>
            <w:tcW w:w="924" w:type="dxa"/>
            <w:gridSpan w:val="2"/>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13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9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28" w:type="dxa"/>
            <w:gridSpan w:val="2"/>
            <w:vMerge w:val="restart"/>
            <w:tcBorders>
              <w:top w:val="nil" w:sz="6" w:space="0" w:color="auto"/>
              <w:left w:val="single" w:sz="4" w:space="0" w:color="000000"/>
              <w:right w:val="single" w:sz="4" w:space="0" w:color="000000"/>
            </w:tcBorders>
            <w:shd w:val="clear" w:color="auto" w:fill="D2D2D2"/>
          </w:tcPr>
          <w:p>
            <w:pPr/>
          </w:p>
        </w:tc>
        <w:tc>
          <w:tcPr>
            <w:tcW w:w="1373" w:type="dxa"/>
            <w:gridSpan w:val="2"/>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905" w:type="dxa"/>
            <w:vMerge/>
            <w:tcBorders>
              <w:left w:val="single" w:sz="4" w:space="0" w:color="000000"/>
              <w:bottom w:val="nil" w:sz="6" w:space="0" w:color="auto"/>
              <w:right w:val="single" w:sz="4" w:space="0" w:color="000000"/>
            </w:tcBorders>
            <w:shd w:val="clear" w:color="auto" w:fill="D2D2D2"/>
          </w:tcPr>
          <w:p>
            <w:pPr/>
          </w:p>
        </w:tc>
        <w:tc>
          <w:tcPr>
            <w:tcW w:w="864" w:type="dxa"/>
            <w:gridSpan w:val="2"/>
            <w:vMerge/>
            <w:tcBorders>
              <w:left w:val="single" w:sz="4" w:space="0" w:color="000000"/>
              <w:right w:val="single" w:sz="4" w:space="0" w:color="000000"/>
            </w:tcBorders>
            <w:shd w:val="clear" w:color="auto" w:fill="D2D2D2"/>
          </w:tcPr>
          <w:p>
            <w:pPr/>
          </w:p>
        </w:tc>
        <w:tc>
          <w:tcPr>
            <w:tcW w:w="924" w:type="dxa"/>
            <w:gridSpan w:val="2"/>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1311" w:type="dxa"/>
            <w:gridSpan w:val="2"/>
            <w:vMerge/>
            <w:tcBorders>
              <w:left w:val="single" w:sz="4" w:space="0" w:color="000000"/>
              <w:right w:val="single" w:sz="4" w:space="0" w:color="000000"/>
            </w:tcBorders>
            <w:shd w:val="clear" w:color="auto" w:fill="D2D2D2"/>
          </w:tcPr>
          <w:p>
            <w:pPr/>
          </w:p>
        </w:tc>
        <w:tc>
          <w:tcPr>
            <w:tcW w:w="1310" w:type="dxa"/>
            <w:gridSpan w:val="2"/>
            <w:vMerge/>
            <w:tcBorders>
              <w:left w:val="single" w:sz="4" w:space="0" w:color="000000"/>
              <w:right w:val="single" w:sz="4" w:space="0" w:color="000000"/>
            </w:tcBorders>
            <w:shd w:val="clear" w:color="auto" w:fill="D2D2D2"/>
          </w:tcPr>
          <w:p>
            <w:pPr/>
          </w:p>
        </w:tc>
      </w:tr>
      <w:tr>
        <w:trPr>
          <w:trHeight w:val="161" w:hRule="exact"/>
        </w:trPr>
        <w:tc>
          <w:tcPr>
            <w:tcW w:w="1428" w:type="dxa"/>
            <w:gridSpan w:val="2"/>
            <w:vMerge/>
            <w:tcBorders>
              <w:left w:val="single" w:sz="4" w:space="0" w:color="000000"/>
              <w:bottom w:val="single" w:sz="4" w:space="0" w:color="000000"/>
              <w:right w:val="single" w:sz="4" w:space="0" w:color="000000"/>
            </w:tcBorders>
            <w:shd w:val="clear" w:color="auto" w:fill="D2D2D2"/>
          </w:tcPr>
          <w:p>
            <w:pPr/>
          </w:p>
        </w:tc>
        <w:tc>
          <w:tcPr>
            <w:tcW w:w="1373" w:type="dxa"/>
            <w:gridSpan w:val="2"/>
            <w:vMerge/>
            <w:tcBorders>
              <w:left w:val="single" w:sz="4" w:space="0" w:color="000000"/>
              <w:bottom w:val="single" w:sz="4" w:space="0" w:color="000000"/>
              <w:right w:val="single" w:sz="4" w:space="0" w:color="000000"/>
            </w:tcBorders>
            <w:shd w:val="clear" w:color="auto" w:fill="D2D2D2"/>
          </w:tcPr>
          <w:p>
            <w:pPr/>
          </w:p>
        </w:tc>
        <w:tc>
          <w:tcPr>
            <w:tcW w:w="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gridSpan w:val="2"/>
            <w:vMerge/>
            <w:tcBorders>
              <w:left w:val="single" w:sz="4" w:space="0" w:color="000000"/>
              <w:bottom w:val="single" w:sz="4" w:space="0" w:color="000000"/>
              <w:right w:val="single" w:sz="4" w:space="0" w:color="000000"/>
            </w:tcBorders>
            <w:shd w:val="clear" w:color="auto" w:fill="D2D2D2"/>
          </w:tcPr>
          <w:p>
            <w:pPr/>
          </w:p>
        </w:tc>
        <w:tc>
          <w:tcPr>
            <w:tcW w:w="924" w:type="dxa"/>
            <w:gridSpan w:val="2"/>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11" w:type="dxa"/>
            <w:gridSpan w:val="2"/>
            <w:vMerge/>
            <w:tcBorders>
              <w:left w:val="single" w:sz="4" w:space="0" w:color="000000"/>
              <w:bottom w:val="single" w:sz="4" w:space="0" w:color="000000"/>
              <w:right w:val="single" w:sz="4" w:space="0" w:color="000000"/>
            </w:tcBorders>
            <w:shd w:val="clear" w:color="auto" w:fill="D2D2D2"/>
          </w:tcPr>
          <w:p>
            <w:pPr/>
          </w:p>
        </w:tc>
        <w:tc>
          <w:tcPr>
            <w:tcW w:w="1310"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陕西医药控股集 团有限责任公司</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69,375,000</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23,125,000</w:t>
            </w:r>
          </w:p>
        </w:tc>
        <w:tc>
          <w:tcPr>
            <w:tcW w:w="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69,375,000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311" w:type="dxa"/>
            <w:gridSpan w:val="2"/>
            <w:tcBorders>
              <w:top w:val="single" w:sz="44" w:space="0" w:color="D2D2D2"/>
              <w:left w:val="single" w:sz="4" w:space="0" w:color="000000"/>
              <w:bottom w:val="single" w:sz="4" w:space="0" w:color="000000"/>
              <w:right w:val="single" w:sz="4" w:space="0" w:color="000000"/>
            </w:tcBorders>
          </w:tcPr>
          <w:p>
            <w:pPr/>
          </w:p>
        </w:tc>
        <w:tc>
          <w:tcPr>
            <w:tcW w:w="1310" w:type="dxa"/>
            <w:gridSpan w:val="2"/>
            <w:tcBorders>
              <w:top w:val="single" w:sz="44" w:space="0" w:color="D2D2D2"/>
              <w:left w:val="single" w:sz="4" w:space="0" w:color="000000"/>
              <w:bottom w:val="single" w:sz="4" w:space="0" w:color="000000"/>
              <w:right w:val="single" w:sz="4" w:space="0" w:color="000000"/>
            </w:tcBorders>
          </w:tcPr>
          <w:p>
            <w:pPr/>
          </w:p>
        </w:tc>
      </w:tr>
      <w:tr>
        <w:trPr>
          <w:trHeight w:val="716" w:hRule="exact"/>
        </w:trPr>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香港原石国际有 限公司</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28,125,000</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9,375,000</w:t>
            </w:r>
          </w:p>
        </w:tc>
        <w:tc>
          <w:tcPr>
            <w:tcW w:w="924"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28,125,000</w:t>
            </w:r>
          </w:p>
        </w:tc>
        <w:tc>
          <w:tcPr>
            <w:tcW w:w="1311" w:type="dxa"/>
            <w:gridSpan w:val="2"/>
            <w:tcBorders>
              <w:top w:val="single" w:sz="4" w:space="0" w:color="000000"/>
              <w:left w:val="single" w:sz="4" w:space="0" w:color="000000"/>
              <w:bottom w:val="single" w:sz="4" w:space="0" w:color="000000"/>
              <w:right w:val="single" w:sz="4" w:space="0" w:color="000000"/>
            </w:tcBorders>
          </w:tcPr>
          <w:p>
            <w:pPr/>
          </w:p>
        </w:tc>
        <w:tc>
          <w:tcPr>
            <w:tcW w:w="1310"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比特（香港）投资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11,250,000</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3,750,000</w:t>
            </w:r>
          </w:p>
        </w:tc>
        <w:tc>
          <w:tcPr>
            <w:tcW w:w="924"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11,250,000</w:t>
            </w:r>
          </w:p>
        </w:tc>
        <w:tc>
          <w:tcPr>
            <w:tcW w:w="1311" w:type="dxa"/>
            <w:gridSpan w:val="2"/>
            <w:tcBorders>
              <w:top w:val="single" w:sz="4" w:space="0" w:color="000000"/>
              <w:left w:val="single" w:sz="4" w:space="0" w:color="000000"/>
              <w:bottom w:val="single" w:sz="4" w:space="0" w:color="000000"/>
              <w:right w:val="single" w:sz="4" w:space="0" w:color="000000"/>
            </w:tcBorders>
          </w:tcPr>
          <w:p>
            <w:pPr/>
          </w:p>
        </w:tc>
        <w:tc>
          <w:tcPr>
            <w:tcW w:w="1310"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2"/>
              <w:jc w:val="both"/>
              <w:rPr>
                <w:rFonts w:ascii="宋体" w:hAnsi="宋体" w:cs="宋体" w:eastAsia="宋体" w:hint="default"/>
                <w:sz w:val="18"/>
                <w:szCs w:val="18"/>
              </w:rPr>
            </w:pPr>
            <w:r>
              <w:rPr>
                <w:rFonts w:ascii="宋体" w:hAnsi="宋体" w:cs="宋体" w:eastAsia="宋体" w:hint="default"/>
                <w:sz w:val="18"/>
                <w:szCs w:val="18"/>
              </w:rPr>
              <w:t>全国社会保障基 金理事会转持二 户</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1,250,000</w:t>
            </w:r>
          </w:p>
        </w:tc>
        <w:tc>
          <w:tcPr>
            <w:tcW w:w="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3,750,000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1311" w:type="dxa"/>
            <w:gridSpan w:val="2"/>
            <w:tcBorders>
              <w:top w:val="single" w:sz="4" w:space="0" w:color="000000"/>
              <w:left w:val="single" w:sz="4" w:space="0" w:color="000000"/>
              <w:bottom w:val="single" w:sz="4" w:space="0" w:color="000000"/>
              <w:right w:val="single" w:sz="4" w:space="0" w:color="000000"/>
            </w:tcBorders>
          </w:tcPr>
          <w:p>
            <w:pPr/>
          </w:p>
        </w:tc>
        <w:tc>
          <w:tcPr>
            <w:tcW w:w="1310"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钟小利</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1,598,384</w:t>
            </w:r>
          </w:p>
        </w:tc>
        <w:tc>
          <w:tcPr>
            <w:tcW w:w="864" w:type="dxa"/>
            <w:gridSpan w:val="2"/>
            <w:tcBorders>
              <w:top w:val="single" w:sz="4" w:space="0" w:color="000000"/>
              <w:left w:val="single" w:sz="4" w:space="0" w:color="000000"/>
              <w:bottom w:val="single" w:sz="4" w:space="0" w:color="000000"/>
              <w:right w:val="single" w:sz="4" w:space="0" w:color="000000"/>
            </w:tcBorders>
          </w:tcPr>
          <w:p>
            <w:pPr/>
          </w:p>
        </w:tc>
        <w:tc>
          <w:tcPr>
            <w:tcW w:w="924"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1,598,384</w:t>
            </w:r>
          </w:p>
        </w:tc>
        <w:tc>
          <w:tcPr>
            <w:tcW w:w="1311" w:type="dxa"/>
            <w:gridSpan w:val="2"/>
            <w:tcBorders>
              <w:top w:val="single" w:sz="4" w:space="0" w:color="000000"/>
              <w:left w:val="single" w:sz="4" w:space="0" w:color="000000"/>
              <w:bottom w:val="single" w:sz="4" w:space="0" w:color="000000"/>
              <w:right w:val="single" w:sz="4" w:space="0" w:color="000000"/>
            </w:tcBorders>
          </w:tcPr>
          <w:p>
            <w:pPr/>
          </w:p>
        </w:tc>
        <w:tc>
          <w:tcPr>
            <w:tcW w:w="1310"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林爱园</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1,333,503</w:t>
            </w:r>
          </w:p>
        </w:tc>
        <w:tc>
          <w:tcPr>
            <w:tcW w:w="864" w:type="dxa"/>
            <w:gridSpan w:val="2"/>
            <w:tcBorders>
              <w:top w:val="single" w:sz="4" w:space="0" w:color="000000"/>
              <w:left w:val="single" w:sz="4" w:space="0" w:color="000000"/>
              <w:bottom w:val="single" w:sz="4" w:space="0" w:color="000000"/>
              <w:right w:val="single" w:sz="4" w:space="0" w:color="000000"/>
            </w:tcBorders>
          </w:tcPr>
          <w:p>
            <w:pPr/>
          </w:p>
        </w:tc>
        <w:tc>
          <w:tcPr>
            <w:tcW w:w="924"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1,333,503</w:t>
            </w:r>
          </w:p>
        </w:tc>
        <w:tc>
          <w:tcPr>
            <w:tcW w:w="1311" w:type="dxa"/>
            <w:gridSpan w:val="2"/>
            <w:tcBorders>
              <w:top w:val="single" w:sz="4" w:space="0" w:color="000000"/>
              <w:left w:val="single" w:sz="4" w:space="0" w:color="000000"/>
              <w:bottom w:val="single" w:sz="4" w:space="0" w:color="000000"/>
              <w:right w:val="single" w:sz="4" w:space="0" w:color="000000"/>
            </w:tcBorders>
          </w:tcPr>
          <w:p>
            <w:pPr/>
          </w:p>
        </w:tc>
        <w:tc>
          <w:tcPr>
            <w:tcW w:w="1310" w:type="dxa"/>
            <w:gridSpan w:val="2"/>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深圳市元宋投资 管理有限公司－ 元成步步为盈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号私募证券投资 基金</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1,203,200</w:t>
            </w:r>
          </w:p>
        </w:tc>
        <w:tc>
          <w:tcPr>
            <w:tcW w:w="864" w:type="dxa"/>
            <w:gridSpan w:val="2"/>
            <w:tcBorders>
              <w:top w:val="single" w:sz="4" w:space="0" w:color="000000"/>
              <w:left w:val="single" w:sz="4" w:space="0" w:color="000000"/>
              <w:bottom w:val="single" w:sz="4" w:space="0" w:color="000000"/>
              <w:right w:val="single" w:sz="4" w:space="0" w:color="000000"/>
            </w:tcBorders>
          </w:tcPr>
          <w:p>
            <w:pPr/>
          </w:p>
        </w:tc>
        <w:tc>
          <w:tcPr>
            <w:tcW w:w="924"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1,203,200</w:t>
            </w:r>
          </w:p>
        </w:tc>
        <w:tc>
          <w:tcPr>
            <w:tcW w:w="1311" w:type="dxa"/>
            <w:gridSpan w:val="2"/>
            <w:tcBorders>
              <w:top w:val="single" w:sz="4" w:space="0" w:color="000000"/>
              <w:left w:val="single" w:sz="4" w:space="0" w:color="000000"/>
              <w:bottom w:val="single" w:sz="4" w:space="0" w:color="000000"/>
              <w:right w:val="single" w:sz="4" w:space="0" w:color="000000"/>
            </w:tcBorders>
          </w:tcPr>
          <w:p>
            <w:pPr/>
          </w:p>
        </w:tc>
        <w:tc>
          <w:tcPr>
            <w:tcW w:w="1310"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朱喜红</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782,900</w:t>
            </w:r>
          </w:p>
        </w:tc>
        <w:tc>
          <w:tcPr>
            <w:tcW w:w="864" w:type="dxa"/>
            <w:gridSpan w:val="2"/>
            <w:tcBorders>
              <w:top w:val="single" w:sz="4" w:space="0" w:color="000000"/>
              <w:left w:val="single" w:sz="4" w:space="0" w:color="000000"/>
              <w:bottom w:val="single" w:sz="4" w:space="0" w:color="000000"/>
              <w:right w:val="single" w:sz="4" w:space="0" w:color="000000"/>
            </w:tcBorders>
          </w:tcPr>
          <w:p>
            <w:pPr/>
          </w:p>
        </w:tc>
        <w:tc>
          <w:tcPr>
            <w:tcW w:w="924"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782,900</w:t>
            </w:r>
          </w:p>
        </w:tc>
        <w:tc>
          <w:tcPr>
            <w:tcW w:w="1311" w:type="dxa"/>
            <w:gridSpan w:val="2"/>
            <w:tcBorders>
              <w:top w:val="single" w:sz="4" w:space="0" w:color="000000"/>
              <w:left w:val="single" w:sz="4" w:space="0" w:color="000000"/>
              <w:bottom w:val="single" w:sz="4" w:space="0" w:color="000000"/>
              <w:right w:val="single" w:sz="4" w:space="0" w:color="000000"/>
            </w:tcBorders>
          </w:tcPr>
          <w:p>
            <w:pPr/>
          </w:p>
        </w:tc>
        <w:tc>
          <w:tcPr>
            <w:tcW w:w="1310"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陈伟斌</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755,300</w:t>
            </w:r>
          </w:p>
        </w:tc>
        <w:tc>
          <w:tcPr>
            <w:tcW w:w="864" w:type="dxa"/>
            <w:gridSpan w:val="2"/>
            <w:tcBorders>
              <w:top w:val="single" w:sz="4" w:space="0" w:color="000000"/>
              <w:left w:val="single" w:sz="4" w:space="0" w:color="000000"/>
              <w:bottom w:val="single" w:sz="4" w:space="0" w:color="000000"/>
              <w:right w:val="single" w:sz="4" w:space="0" w:color="000000"/>
            </w:tcBorders>
          </w:tcPr>
          <w:p>
            <w:pPr/>
          </w:p>
        </w:tc>
        <w:tc>
          <w:tcPr>
            <w:tcW w:w="924"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755,300</w:t>
            </w:r>
          </w:p>
        </w:tc>
        <w:tc>
          <w:tcPr>
            <w:tcW w:w="1311" w:type="dxa"/>
            <w:gridSpan w:val="2"/>
            <w:tcBorders>
              <w:top w:val="single" w:sz="4" w:space="0" w:color="000000"/>
              <w:left w:val="single" w:sz="4" w:space="0" w:color="000000"/>
              <w:bottom w:val="single" w:sz="4" w:space="0" w:color="000000"/>
              <w:right w:val="single" w:sz="4" w:space="0" w:color="000000"/>
            </w:tcBorders>
          </w:tcPr>
          <w:p>
            <w:pPr/>
          </w:p>
        </w:tc>
        <w:tc>
          <w:tcPr>
            <w:tcW w:w="1310"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戴嘉欣</w:t>
            </w:r>
          </w:p>
        </w:tc>
        <w:tc>
          <w:tcPr>
            <w:tcW w:w="1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728,900</w:t>
            </w:r>
          </w:p>
        </w:tc>
        <w:tc>
          <w:tcPr>
            <w:tcW w:w="864" w:type="dxa"/>
            <w:gridSpan w:val="2"/>
            <w:tcBorders>
              <w:top w:val="single" w:sz="4" w:space="0" w:color="000000"/>
              <w:left w:val="single" w:sz="4" w:space="0" w:color="000000"/>
              <w:bottom w:val="single" w:sz="4" w:space="0" w:color="000000"/>
              <w:right w:val="single" w:sz="4" w:space="0" w:color="000000"/>
            </w:tcBorders>
          </w:tcPr>
          <w:p>
            <w:pPr/>
          </w:p>
        </w:tc>
        <w:tc>
          <w:tcPr>
            <w:tcW w:w="924" w:type="dxa"/>
            <w:gridSpan w:val="2"/>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728,900</w:t>
            </w:r>
          </w:p>
        </w:tc>
        <w:tc>
          <w:tcPr>
            <w:tcW w:w="1311" w:type="dxa"/>
            <w:gridSpan w:val="2"/>
            <w:tcBorders>
              <w:top w:val="single" w:sz="4" w:space="0" w:color="000000"/>
              <w:left w:val="single" w:sz="4" w:space="0" w:color="000000"/>
              <w:bottom w:val="single" w:sz="4" w:space="0" w:color="000000"/>
              <w:right w:val="single" w:sz="4" w:space="0" w:color="000000"/>
            </w:tcBorders>
          </w:tcPr>
          <w:p>
            <w:pPr/>
          </w:p>
        </w:tc>
        <w:tc>
          <w:tcPr>
            <w:tcW w:w="1310"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名股东的情况（如有）</w:t>
            </w:r>
          </w:p>
        </w:tc>
        <w:tc>
          <w:tcPr>
            <w:tcW w:w="6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0" w:footer="980" w:top="15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152" w:right="0" w:firstLine="0"/>
        <w:jc w:val="left"/>
        <w:rPr>
          <w:rFonts w:ascii="宋体" w:hAnsi="宋体" w:cs="宋体" w:eastAsia="宋体" w:hint="default"/>
          <w:sz w:val="18"/>
          <w:szCs w:val="18"/>
        </w:rPr>
      </w:pPr>
      <w:r>
        <w:rPr/>
        <w:pict>
          <v:shape style="position:absolute;margin-left:54.959999pt;margin-top:-432.318268pt;width:485.65pt;height:432.1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6"/>
                    <w:gridCol w:w="4280"/>
                    <w:gridCol w:w="1311"/>
                    <w:gridCol w:w="1310"/>
                  </w:tblGrid>
                  <w:tr>
                    <w:trPr>
                      <w:trHeight w:val="168" w:hRule="exact"/>
                    </w:trPr>
                    <w:tc>
                      <w:tcPr>
                        <w:tcW w:w="2796" w:type="dxa"/>
                        <w:tcBorders>
                          <w:top w:val="single" w:sz="10" w:space="0" w:color="000000"/>
                          <w:left w:val="single" w:sz="4" w:space="0" w:color="000000"/>
                          <w:bottom w:val="nil" w:sz="6" w:space="0" w:color="auto"/>
                          <w:right w:val="single" w:sz="4" w:space="0" w:color="000000"/>
                        </w:tcBorders>
                        <w:shd w:val="clear" w:color="auto" w:fill="D2D2D2"/>
                      </w:tcPr>
                      <w:p>
                        <w:pPr/>
                      </w:p>
                    </w:tc>
                    <w:tc>
                      <w:tcPr>
                        <w:tcW w:w="6902" w:type="dxa"/>
                        <w:gridSpan w:val="3"/>
                        <w:vMerge w:val="restart"/>
                        <w:tcBorders>
                          <w:top w:val="single" w:sz="10" w:space="0" w:color="000000"/>
                          <w:left w:val="single" w:sz="10" w:space="0" w:color="D2D2D2"/>
                          <w:right w:val="single" w:sz="4" w:space="0" w:color="000000"/>
                        </w:tcBorders>
                      </w:tcPr>
                      <w:p>
                        <w:pPr>
                          <w:pStyle w:val="TableParagraph"/>
                          <w:spacing w:line="30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陕药集团、全国社会保障基金理事会转持二户等两名限售股股东不存在关联关系或一致 行动关系。此外，公司未获知其他前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名普通股股东之间，是否存在关联关系或一致 行动关系。</w:t>
                        </w:r>
                      </w:p>
                    </w:tc>
                  </w:tr>
                  <w:tr>
                    <w:trPr>
                      <w:trHeight w:val="706" w:hRule="exact"/>
                    </w:trPr>
                    <w:tc>
                      <w:tcPr>
                        <w:tcW w:w="2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902" w:type="dxa"/>
                        <w:gridSpan w:val="3"/>
                        <w:vMerge/>
                        <w:tcBorders>
                          <w:left w:val="single" w:sz="10" w:space="0" w:color="D2D2D2"/>
                          <w:right w:val="single" w:sz="4" w:space="0" w:color="000000"/>
                        </w:tcBorders>
                      </w:tcPr>
                      <w:p>
                        <w:pPr/>
                      </w:p>
                    </w:tc>
                  </w:tr>
                  <w:tr>
                    <w:trPr>
                      <w:trHeight w:val="161" w:hRule="exact"/>
                    </w:trPr>
                    <w:tc>
                      <w:tcPr>
                        <w:tcW w:w="2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6902" w:type="dxa"/>
                        <w:gridSpan w:val="3"/>
                        <w:vMerge/>
                        <w:tcBorders>
                          <w:left w:val="single" w:sz="10" w:space="0" w:color="D2D2D2"/>
                          <w:bottom w:val="single" w:sz="4" w:space="0" w:color="000000"/>
                          <w:right w:val="single" w:sz="4" w:space="0" w:color="000000"/>
                        </w:tcBorders>
                      </w:tcPr>
                      <w:p>
                        <w:pPr/>
                      </w:p>
                    </w:tc>
                  </w:tr>
                  <w:tr>
                    <w:trPr>
                      <w:trHeight w:val="401" w:hRule="exact"/>
                    </w:trPr>
                    <w:tc>
                      <w:tcPr>
                        <w:tcW w:w="9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6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2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796" w:type="dxa"/>
                        <w:vMerge/>
                        <w:tcBorders>
                          <w:left w:val="single" w:sz="4" w:space="0" w:color="000000"/>
                          <w:bottom w:val="nil" w:sz="6" w:space="0" w:color="auto"/>
                          <w:right w:val="single" w:sz="4" w:space="0" w:color="000000"/>
                        </w:tcBorders>
                        <w:shd w:val="clear" w:color="auto" w:fill="D2D2D2"/>
                      </w:tcPr>
                      <w:p>
                        <w:pPr/>
                      </w:p>
                    </w:tc>
                    <w:tc>
                      <w:tcPr>
                        <w:tcW w:w="4280" w:type="dxa"/>
                        <w:vMerge/>
                        <w:tcBorders>
                          <w:left w:val="single" w:sz="4" w:space="0" w:color="000000"/>
                          <w:bottom w:val="nil" w:sz="6" w:space="0" w:color="auto"/>
                          <w:right w:val="single" w:sz="4" w:space="0" w:color="000000"/>
                        </w:tcBorders>
                        <w:shd w:val="clear" w:color="auto" w:fill="D2D2D2"/>
                      </w:tcPr>
                      <w:p>
                        <w:pPr/>
                      </w:p>
                    </w:tc>
                    <w:tc>
                      <w:tcPr>
                        <w:tcW w:w="13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1" w:type="dxa"/>
                        <w:vMerge/>
                        <w:tcBorders>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香港原石国际有限公司</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23"/>
                          <w:jc w:val="right"/>
                          <w:rPr>
                            <w:rFonts w:ascii="Times New Roman" w:hAnsi="Times New Roman" w:cs="Times New Roman" w:eastAsia="Times New Roman" w:hint="default"/>
                            <w:sz w:val="18"/>
                            <w:szCs w:val="18"/>
                          </w:rPr>
                        </w:pPr>
                        <w:r>
                          <w:rPr>
                            <w:rFonts w:ascii="Times New Roman"/>
                            <w:spacing w:val="-1"/>
                            <w:sz w:val="18"/>
                          </w:rPr>
                          <w:t>28,125,000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28,125,000</w:t>
                        </w:r>
                      </w:p>
                    </w:tc>
                  </w:tr>
                  <w:tr>
                    <w:trPr>
                      <w:trHeight w:val="401"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比特（香港）投资有限公司</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25"/>
                          <w:jc w:val="right"/>
                          <w:rPr>
                            <w:rFonts w:ascii="Times New Roman" w:hAnsi="Times New Roman" w:cs="Times New Roman" w:eastAsia="Times New Roman" w:hint="default"/>
                            <w:sz w:val="18"/>
                            <w:szCs w:val="18"/>
                          </w:rPr>
                        </w:pPr>
                        <w:r>
                          <w:rPr>
                            <w:rFonts w:ascii="Times New Roman"/>
                            <w:spacing w:val="-1"/>
                            <w:sz w:val="18"/>
                          </w:rPr>
                          <w:t>11,250,000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11,250,000</w:t>
                        </w:r>
                      </w:p>
                    </w:tc>
                  </w:tr>
                  <w:tr>
                    <w:trPr>
                      <w:trHeight w:val="40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钟小利</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69"/>
                          <w:jc w:val="right"/>
                          <w:rPr>
                            <w:rFonts w:ascii="Times New Roman" w:hAnsi="Times New Roman" w:cs="Times New Roman" w:eastAsia="Times New Roman" w:hint="default"/>
                            <w:sz w:val="18"/>
                            <w:szCs w:val="18"/>
                          </w:rPr>
                        </w:pPr>
                        <w:r>
                          <w:rPr>
                            <w:rFonts w:ascii="Times New Roman"/>
                            <w:spacing w:val="-1"/>
                            <w:sz w:val="18"/>
                          </w:rPr>
                          <w:t>1,598,384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1,598,384</w:t>
                        </w:r>
                      </w:p>
                    </w:tc>
                  </w:tr>
                  <w:tr>
                    <w:trPr>
                      <w:trHeight w:val="401"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林爱园</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69"/>
                          <w:jc w:val="right"/>
                          <w:rPr>
                            <w:rFonts w:ascii="Times New Roman" w:hAnsi="Times New Roman" w:cs="Times New Roman" w:eastAsia="Times New Roman" w:hint="default"/>
                            <w:sz w:val="18"/>
                            <w:szCs w:val="18"/>
                          </w:rPr>
                        </w:pPr>
                        <w:r>
                          <w:rPr>
                            <w:rFonts w:ascii="Times New Roman"/>
                            <w:spacing w:val="-1"/>
                            <w:sz w:val="18"/>
                          </w:rPr>
                          <w:t>1,333,503</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1,333,503</w:t>
                        </w:r>
                      </w:p>
                    </w:tc>
                  </w:tr>
                  <w:tr>
                    <w:trPr>
                      <w:trHeight w:val="715"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深圳市元宋投资管理有限公司－元 成步步为盈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号私募证券投资基金</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69"/>
                          <w:jc w:val="right"/>
                          <w:rPr>
                            <w:rFonts w:ascii="Times New Roman" w:hAnsi="Times New Roman" w:cs="Times New Roman" w:eastAsia="Times New Roman" w:hint="default"/>
                            <w:sz w:val="18"/>
                            <w:szCs w:val="18"/>
                          </w:rPr>
                        </w:pPr>
                        <w:r>
                          <w:rPr>
                            <w:rFonts w:ascii="Times New Roman"/>
                            <w:spacing w:val="-1"/>
                            <w:sz w:val="18"/>
                          </w:rPr>
                          <w:t>1,203,200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1,203,200</w:t>
                        </w:r>
                      </w:p>
                    </w:tc>
                  </w:tr>
                  <w:tr>
                    <w:trPr>
                      <w:trHeight w:val="401"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朱喜红</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782,900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782,900</w:t>
                        </w:r>
                      </w:p>
                    </w:tc>
                  </w:tr>
                  <w:tr>
                    <w:trPr>
                      <w:trHeight w:val="40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陈伟斌</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755,300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755,300</w:t>
                        </w:r>
                      </w:p>
                    </w:tc>
                  </w:tr>
                  <w:tr>
                    <w:trPr>
                      <w:trHeight w:val="401"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戴嘉欣</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728,900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728,900</w:t>
                        </w:r>
                      </w:p>
                    </w:tc>
                  </w:tr>
                  <w:tr>
                    <w:trPr>
                      <w:trHeight w:val="403"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时召芝</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696,650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696,650</w:t>
                        </w:r>
                      </w:p>
                    </w:tc>
                  </w:tr>
                  <w:tr>
                    <w:trPr>
                      <w:trHeight w:val="401"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郑水泉</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618,300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618,300</w:t>
                        </w:r>
                      </w:p>
                    </w:tc>
                  </w:tr>
                  <w:tr>
                    <w:trPr>
                      <w:trHeight w:val="1340"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名无限售流通股股东之间，以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300" w:lineRule="auto" w:before="63"/>
                          <w:ind w:left="24"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 的说明</w:t>
                        </w:r>
                      </w:p>
                    </w:tc>
                    <w:tc>
                      <w:tcPr>
                        <w:tcW w:w="6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31" w:right="101"/>
                          <w:jc w:val="left"/>
                          <w:rPr>
                            <w:rFonts w:ascii="宋体" w:hAnsi="宋体" w:cs="宋体" w:eastAsia="宋体" w:hint="default"/>
                            <w:sz w:val="18"/>
                            <w:szCs w:val="18"/>
                          </w:rPr>
                        </w:pPr>
                        <w:r>
                          <w:rPr>
                            <w:rFonts w:ascii="宋体" w:hAnsi="宋体" w:cs="宋体" w:eastAsia="宋体" w:hint="default"/>
                            <w:sz w:val="18"/>
                            <w:szCs w:val="18"/>
                          </w:rPr>
                          <w:t>公司未获知前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名无限售流通股股东与前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 股东之间是否存在关联关系或一致行动关系。</w:t>
                        </w:r>
                      </w:p>
                    </w:tc>
                  </w:tr>
                  <w:tr>
                    <w:trPr>
                      <w:trHeight w:val="713"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名普通股股东参与融资融券业 务情况说明（如有）</w:t>
                        </w:r>
                      </w:p>
                    </w:tc>
                    <w:tc>
                      <w:tcPr>
                        <w:tcW w:w="69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控股股东性质：地方国有控股 控股股东类型：法人</w:t>
      </w: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6"/>
      </w:tblGrid>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陕西医药控股集团有限 责任公司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翟日强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91610000220575738M</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授权范围内国有资产的 经营管理和监督</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0" w:footer="980" w:top="156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before="2"/>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60" w:lineRule="auto" w:before="0"/>
        <w:ind w:left="152" w:right="6894" w:firstLine="0"/>
        <w:jc w:val="left"/>
        <w:rPr>
          <w:rFonts w:ascii="宋体" w:hAnsi="宋体" w:cs="宋体" w:eastAsia="宋体" w:hint="default"/>
          <w:sz w:val="18"/>
          <w:szCs w:val="18"/>
        </w:rPr>
      </w:pPr>
      <w:r>
        <w:rPr>
          <w:rFonts w:ascii="宋体" w:hAnsi="宋体" w:cs="宋体" w:eastAsia="宋体" w:hint="default"/>
          <w:sz w:val="18"/>
          <w:szCs w:val="18"/>
        </w:rPr>
        <w:t>实际控制人性质：地方国资管理机构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2000"/>
        <w:gridCol w:w="1829"/>
        <w:gridCol w:w="1892"/>
        <w:gridCol w:w="1937"/>
        <w:gridCol w:w="1913"/>
      </w:tblGrid>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21" w:right="71" w:hanging="7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陕西医药控股集团有限 责任公司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翟日强</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91610000220575738M</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授权范围内国有资产的 经营管理和监督</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357" w:lineRule="auto" w:before="65"/>
        <w:ind w:left="152" w:right="5814" w:firstLine="0"/>
        <w:jc w:val="left"/>
        <w:rPr>
          <w:rFonts w:ascii="宋体" w:hAnsi="宋体" w:cs="宋体" w:eastAsia="宋体" w:hint="default"/>
          <w:sz w:val="18"/>
          <w:szCs w:val="18"/>
        </w:rPr>
      </w:pPr>
      <w:r>
        <w:rPr>
          <w:rFonts w:ascii="宋体" w:hAnsi="宋体" w:cs="宋体" w:eastAsia="宋体" w:hint="default"/>
          <w:sz w:val="18"/>
          <w:szCs w:val="18"/>
        </w:rPr>
        <w:t>公司报告期实际控制人未发生变更。 公司与实际控制人之间的产权及控制关系的方框图</w:t>
      </w:r>
    </w:p>
    <w:p>
      <w:pPr>
        <w:spacing w:line="240" w:lineRule="auto" w:before="0"/>
        <w:rPr>
          <w:rFonts w:ascii="宋体" w:hAnsi="宋体" w:cs="宋体" w:eastAsia="宋体" w:hint="default"/>
          <w:sz w:val="25"/>
          <w:szCs w:val="25"/>
        </w:rPr>
      </w:pPr>
    </w:p>
    <w:p>
      <w:pPr>
        <w:spacing w:line="5010" w:lineRule="exact"/>
        <w:ind w:left="1874" w:right="0" w:firstLine="0"/>
        <w:rPr>
          <w:rFonts w:ascii="宋体" w:hAnsi="宋体" w:cs="宋体" w:eastAsia="宋体" w:hint="default"/>
          <w:sz w:val="20"/>
          <w:szCs w:val="20"/>
        </w:rPr>
      </w:pPr>
      <w:r>
        <w:rPr>
          <w:rFonts w:ascii="宋体" w:hAnsi="宋体" w:cs="宋体" w:eastAsia="宋体" w:hint="default"/>
          <w:position w:val="-99"/>
          <w:sz w:val="20"/>
          <w:szCs w:val="20"/>
        </w:rPr>
        <w:drawing>
          <wp:inline distT="0" distB="0" distL="0" distR="0">
            <wp:extent cx="3934760" cy="3181350"/>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7" cstate="print"/>
                    <a:stretch>
                      <a:fillRect/>
                    </a:stretch>
                  </pic:blipFill>
                  <pic:spPr>
                    <a:xfrm>
                      <a:off x="0" y="0"/>
                      <a:ext cx="3934760" cy="3181350"/>
                    </a:xfrm>
                    <a:prstGeom prst="rect">
                      <a:avLst/>
                    </a:prstGeom>
                  </pic:spPr>
                </pic:pic>
              </a:graphicData>
            </a:graphic>
          </wp:inline>
        </w:drawing>
      </w:r>
      <w:r>
        <w:rPr>
          <w:rFonts w:ascii="宋体" w:hAnsi="宋体" w:cs="宋体" w:eastAsia="宋体" w:hint="default"/>
          <w:position w:val="-99"/>
          <w:sz w:val="20"/>
          <w:szCs w:val="20"/>
        </w:rPr>
      </w:r>
    </w:p>
    <w:p>
      <w:pPr>
        <w:spacing w:line="240" w:lineRule="auto" w:before="11"/>
        <w:rPr>
          <w:rFonts w:ascii="宋体" w:hAnsi="宋体" w:cs="宋体" w:eastAsia="宋体" w:hint="default"/>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0" w:top="150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579"/>
        <w:gridCol w:w="1673"/>
        <w:gridCol w:w="1556"/>
        <w:gridCol w:w="1634"/>
        <w:gridCol w:w="2127"/>
      </w:tblGrid>
      <w:tr>
        <w:trPr>
          <w:trHeight w:val="723" w:hRule="exact"/>
        </w:trPr>
        <w:tc>
          <w:tcPr>
            <w:tcW w:w="257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67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53" w:right="84" w:hanging="56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5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63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1"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香港原石国际有限公司</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蔡红军</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对外股权投资</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0" w:top="150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44"/>
        <w:ind w:left="3285" w:right="0"/>
        <w:jc w:val="left"/>
        <w:rPr>
          <w:b w:val="0"/>
          <w:bCs w:val="0"/>
        </w:rPr>
      </w:pPr>
      <w:bookmarkStart w:name="_bookmark7" w:id="8"/>
      <w:bookmarkEnd w:id="8"/>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spacing w:line="338" w:lineRule="auto" w:before="44"/>
        <w:ind w:left="152" w:right="7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0" w:footer="980" w:top="1500" w:bottom="116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1"/>
        <w:spacing w:line="456" w:lineRule="exact"/>
        <w:ind w:left="1679" w:right="0"/>
        <w:jc w:val="left"/>
        <w:rPr>
          <w:b w:val="0"/>
          <w:bCs w:val="0"/>
        </w:rPr>
      </w:pPr>
      <w:bookmarkStart w:name="_bookmark8" w:id="9"/>
      <w:bookmarkEnd w:id="9"/>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二、公司董事、监事、高级管理人员变动情况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工作变动</w:t>
            </w:r>
          </w:p>
        </w:tc>
      </w:tr>
    </w:tbl>
    <w:p>
      <w:pPr>
        <w:spacing w:line="240" w:lineRule="auto" w:before="1"/>
        <w:rPr>
          <w:rFonts w:ascii="宋体" w:hAnsi="宋体" w:cs="宋体" w:eastAsia="宋体" w:hint="default"/>
          <w:sz w:val="18"/>
          <w:szCs w:val="18"/>
        </w:rPr>
      </w:pPr>
    </w:p>
    <w:p>
      <w:pPr>
        <w:pStyle w:val="Heading2"/>
        <w:spacing w:line="367" w:lineRule="exact"/>
        <w:ind w:right="0"/>
        <w:jc w:val="both"/>
        <w:rPr>
          <w:b w:val="0"/>
          <w:bCs w:val="0"/>
        </w:rPr>
      </w:pPr>
      <w:r>
        <w:rPr/>
        <w:t>三、任职情况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364" w:lineRule="auto" w:before="89"/>
        <w:ind w:left="566" w:right="0" w:hanging="414"/>
        <w:jc w:val="left"/>
      </w:pPr>
      <w:r>
        <w:rPr>
          <w:rFonts w:ascii="Microsoft JhengHei" w:hAnsi="Microsoft JhengHei" w:cs="Microsoft JhengHei" w:eastAsia="Microsoft JhengHei" w:hint="default"/>
          <w:b/>
          <w:bCs/>
        </w:rPr>
        <w:t>（一）公司董事任职情况</w:t>
      </w:r>
      <w:r>
        <w:rPr>
          <w:rFonts w:ascii="Microsoft JhengHei" w:hAnsi="Microsoft JhengHei" w:cs="Microsoft JhengHei" w:eastAsia="Microsoft JhengHei" w:hint="default"/>
          <w:b/>
          <w:bCs/>
          <w:spacing w:val="-43"/>
        </w:rPr>
        <w:t> </w:t>
      </w:r>
      <w:r>
        <w:rPr>
          <w:rFonts w:ascii="Microsoft JhengHei" w:hAnsi="Microsoft JhengHei" w:cs="Microsoft JhengHei" w:eastAsia="Microsoft JhengHei" w:hint="default"/>
          <w:b/>
          <w:bCs/>
          <w:spacing w:val="-43"/>
        </w:rPr>
      </w:r>
      <w:r>
        <w:rPr>
          <w:spacing w:val="-4"/>
        </w:rPr>
        <w:t>李移岭，中国国籍，无境外居留权，男，</w:t>
      </w:r>
      <w:r>
        <w:rPr>
          <w:rFonts w:ascii="宋体" w:hAnsi="宋体" w:cs="宋体" w:eastAsia="宋体" w:hint="default"/>
          <w:spacing w:val="-4"/>
        </w:rPr>
        <w:t>1962</w:t>
      </w:r>
      <w:r>
        <w:rPr>
          <w:spacing w:val="-4"/>
        </w:rPr>
        <w:t>年</w:t>
      </w:r>
      <w:r>
        <w:rPr>
          <w:rFonts w:ascii="宋体" w:hAnsi="宋体" w:cs="宋体" w:eastAsia="宋体" w:hint="default"/>
          <w:spacing w:val="-4"/>
        </w:rPr>
        <w:t>2</w:t>
      </w:r>
      <w:r>
        <w:rPr>
          <w:spacing w:val="-4"/>
        </w:rPr>
        <w:t>月出生，中共党员，工商管理硕士（</w:t>
      </w:r>
      <w:r>
        <w:rPr>
          <w:rFonts w:ascii="宋体" w:hAnsi="宋体" w:cs="宋体" w:eastAsia="宋体" w:hint="default"/>
          <w:spacing w:val="-4"/>
        </w:rPr>
        <w:t>MBA</w:t>
      </w:r>
      <w:r>
        <w:rPr>
          <w:spacing w:val="-4"/>
        </w:rPr>
        <w:t>），会计师，</w:t>
      </w:r>
    </w:p>
    <w:p>
      <w:pPr>
        <w:pStyle w:val="BodyText"/>
        <w:spacing w:line="408" w:lineRule="auto" w:before="84"/>
        <w:ind w:right="208"/>
        <w:jc w:val="both"/>
      </w:pPr>
      <w:r>
        <w:rPr>
          <w:spacing w:val="-2"/>
        </w:rPr>
        <w:t>现任公司董事长、党委书记。主要工作经历：</w:t>
      </w:r>
      <w:r>
        <w:rPr>
          <w:rFonts w:ascii="宋体" w:hAnsi="宋体" w:cs="宋体" w:eastAsia="宋体" w:hint="default"/>
          <w:spacing w:val="-2"/>
        </w:rPr>
        <w:t>2001</w:t>
      </w:r>
      <w:r>
        <w:rPr>
          <w:spacing w:val="-2"/>
        </w:rPr>
        <w:t>年至今，历任本公司副总经理、总经理、副董事长、董</w:t>
      </w:r>
      <w:r>
        <w:rPr>
          <w:spacing w:val="-42"/>
        </w:rPr>
        <w:t> </w:t>
      </w:r>
      <w:r>
        <w:rPr>
          <w:spacing w:val="-42"/>
        </w:rPr>
      </w:r>
      <w:r>
        <w:rPr>
          <w:spacing w:val="-2"/>
        </w:rPr>
        <w:t>事长；</w:t>
      </w:r>
      <w:r>
        <w:rPr>
          <w:rFonts w:ascii="宋体" w:hAnsi="宋体" w:cs="宋体" w:eastAsia="宋体" w:hint="default"/>
          <w:spacing w:val="-2"/>
        </w:rPr>
        <w:t>2008</w:t>
      </w:r>
      <w:r>
        <w:rPr>
          <w:spacing w:val="-2"/>
        </w:rPr>
        <w:t>年至今，任陕药集团董事、西安德宝董事长。曾获陕西省优秀企业家、西安市劳动模范、西安</w:t>
      </w:r>
      <w:r>
        <w:rPr>
          <w:spacing w:val="-39"/>
        </w:rPr>
        <w:t> </w:t>
      </w:r>
      <w:r>
        <w:rPr>
          <w:spacing w:val="-39"/>
        </w:rPr>
      </w:r>
      <w:r>
        <w:rPr/>
        <w:t>市科技创新企业家等荣誉称号。</w:t>
      </w:r>
    </w:p>
    <w:p>
      <w:pPr>
        <w:pStyle w:val="BodyText"/>
        <w:spacing w:line="408" w:lineRule="auto" w:before="147"/>
        <w:ind w:right="0" w:firstLine="413"/>
        <w:jc w:val="left"/>
      </w:pPr>
      <w:r>
        <w:rPr/>
        <w:t>孙学军，中国国籍，无境外居留权，男，</w:t>
      </w:r>
      <w:r>
        <w:rPr>
          <w:rFonts w:ascii="宋体" w:hAnsi="宋体" w:cs="宋体" w:eastAsia="宋体" w:hint="default"/>
        </w:rPr>
        <w:t>1969</w:t>
      </w:r>
      <w:r>
        <w:rPr/>
        <w:t>年</w:t>
      </w:r>
      <w:r>
        <w:rPr>
          <w:rFonts w:ascii="宋体" w:hAnsi="宋体" w:cs="宋体" w:eastAsia="宋体" w:hint="default"/>
        </w:rPr>
        <w:t>7</w:t>
      </w:r>
      <w:r>
        <w:rPr/>
        <w:t>月出生，大学本科，工程师，现任公司董事、总经</w:t>
      </w:r>
      <w:r>
        <w:rPr>
          <w:w w:val="100"/>
        </w:rPr>
        <w:t> </w:t>
      </w:r>
      <w:r>
        <w:rPr>
          <w:spacing w:val="-4"/>
        </w:rPr>
        <w:t>理，天津环球董事长，永旭创新执行董事。主要工作经历：</w:t>
      </w:r>
      <w:r>
        <w:rPr>
          <w:rFonts w:ascii="宋体" w:hAnsi="宋体" w:cs="宋体" w:eastAsia="宋体" w:hint="default"/>
          <w:spacing w:val="-4"/>
        </w:rPr>
        <w:t>2001</w:t>
      </w:r>
      <w:r>
        <w:rPr>
          <w:spacing w:val="-4"/>
        </w:rPr>
        <w:t>年至今，历任公司销售部经理、销售总监、</w:t>
      </w:r>
      <w:r>
        <w:rPr>
          <w:spacing w:val="-46"/>
        </w:rPr>
        <w:t> </w:t>
      </w:r>
      <w:r>
        <w:rPr>
          <w:spacing w:val="-46"/>
        </w:rPr>
      </w:r>
      <w:r>
        <w:rPr/>
        <w:t>常务副总经理、总经理和董事，历任天津环球总经理、董事、董事长，永旭创新执行董事。</w:t>
      </w:r>
    </w:p>
    <w:p>
      <w:pPr>
        <w:pStyle w:val="BodyText"/>
        <w:spacing w:line="408" w:lineRule="auto" w:before="147"/>
        <w:ind w:right="0" w:firstLine="413"/>
        <w:jc w:val="left"/>
      </w:pPr>
      <w:r>
        <w:rPr/>
        <w:t>杨军，中国国籍，无境外居留权，男，</w:t>
      </w:r>
      <w:r>
        <w:rPr>
          <w:rFonts w:ascii="宋体" w:hAnsi="宋体" w:cs="宋体" w:eastAsia="宋体" w:hint="default"/>
        </w:rPr>
        <w:t>1963</w:t>
      </w:r>
      <w:r>
        <w:rPr/>
        <w:t>年</w:t>
      </w:r>
      <w:r>
        <w:rPr>
          <w:rFonts w:ascii="宋体" w:hAnsi="宋体" w:cs="宋体" w:eastAsia="宋体" w:hint="default"/>
        </w:rPr>
        <w:t>6</w:t>
      </w:r>
      <w:r>
        <w:rPr/>
        <w:t>月出生，中共党员，研究生学历，高级经济师、会计</w:t>
      </w:r>
      <w:r>
        <w:rPr>
          <w:w w:val="100"/>
        </w:rPr>
        <w:t> </w:t>
      </w:r>
      <w:r>
        <w:rPr/>
        <w:t>师，现任公司董事。主要工作经历：</w:t>
      </w:r>
      <w:r>
        <w:rPr>
          <w:rFonts w:ascii="宋体" w:hAnsi="宋体" w:cs="宋体" w:eastAsia="宋体" w:hint="default"/>
        </w:rPr>
        <w:t>2007</w:t>
      </w:r>
      <w:r>
        <w:rPr/>
        <w:t>年</w:t>
      </w:r>
      <w:r>
        <w:rPr>
          <w:rFonts w:ascii="宋体" w:hAnsi="宋体" w:cs="宋体" w:eastAsia="宋体" w:hint="default"/>
        </w:rPr>
        <w:t>1</w:t>
      </w:r>
      <w:r>
        <w:rPr/>
        <w:t>月至</w:t>
      </w:r>
      <w:r>
        <w:rPr>
          <w:rFonts w:ascii="宋体" w:hAnsi="宋体" w:cs="宋体" w:eastAsia="宋体" w:hint="default"/>
        </w:rPr>
        <w:t>2013</w:t>
      </w:r>
      <w:r>
        <w:rPr/>
        <w:t>年</w:t>
      </w:r>
      <w:r>
        <w:rPr>
          <w:rFonts w:ascii="宋体" w:hAnsi="宋体" w:cs="宋体" w:eastAsia="宋体" w:hint="default"/>
        </w:rPr>
        <w:t>5</w:t>
      </w:r>
      <w:r>
        <w:rPr/>
        <w:t>月任陕药集团总经理办公室主任；</w:t>
      </w:r>
      <w:r>
        <w:rPr>
          <w:rFonts w:ascii="宋体" w:hAnsi="宋体" w:cs="宋体" w:eastAsia="宋体" w:hint="default"/>
        </w:rPr>
        <w:t>2013</w:t>
      </w:r>
      <w:r>
        <w:rPr/>
        <w:t>年</w:t>
      </w:r>
      <w:r>
        <w:rPr>
          <w:rFonts w:ascii="宋体" w:hAnsi="宋体" w:cs="宋体" w:eastAsia="宋体" w:hint="default"/>
        </w:rPr>
        <w:t>5</w:t>
      </w:r>
      <w:r>
        <w:rPr/>
        <w:t>月至</w:t>
      </w:r>
      <w:r>
        <w:rPr>
          <w:spacing w:val="-28"/>
        </w:rPr>
        <w:t> </w:t>
      </w:r>
      <w:r>
        <w:rPr>
          <w:spacing w:val="-4"/>
        </w:rPr>
        <w:t>今任陕药集团董事会办公室主任、董事会秘书。</w:t>
      </w:r>
      <w:r>
        <w:rPr>
          <w:rFonts w:ascii="宋体" w:hAnsi="宋体" w:cs="宋体" w:eastAsia="宋体" w:hint="default"/>
          <w:spacing w:val="-4"/>
        </w:rPr>
        <w:t>2013</w:t>
      </w:r>
      <w:r>
        <w:rPr>
          <w:spacing w:val="-4"/>
        </w:rPr>
        <w:t>年</w:t>
      </w:r>
      <w:r>
        <w:rPr>
          <w:rFonts w:ascii="宋体" w:hAnsi="宋体" w:cs="宋体" w:eastAsia="宋体" w:hint="default"/>
          <w:spacing w:val="-4"/>
        </w:rPr>
        <w:t>10</w:t>
      </w:r>
      <w:r>
        <w:rPr>
          <w:spacing w:val="-4"/>
        </w:rPr>
        <w:t>月至今任国药控股陕西有限公司董事、副董事长；</w:t>
      </w:r>
      <w:r>
        <w:rPr>
          <w:spacing w:val="-40"/>
        </w:rPr>
        <w:t> </w:t>
      </w:r>
      <w:r>
        <w:rPr>
          <w:spacing w:val="-40"/>
        </w:rPr>
      </w:r>
      <w:r>
        <w:rPr>
          <w:rFonts w:ascii="宋体" w:hAnsi="宋体" w:cs="宋体" w:eastAsia="宋体" w:hint="default"/>
        </w:rPr>
        <w:t>2013</w:t>
      </w:r>
      <w:r>
        <w:rPr/>
        <w:t>年</w:t>
      </w:r>
      <w:r>
        <w:rPr>
          <w:rFonts w:ascii="宋体" w:hAnsi="宋体" w:cs="宋体" w:eastAsia="宋体" w:hint="default"/>
        </w:rPr>
        <w:t>11</w:t>
      </w:r>
      <w:r>
        <w:rPr/>
        <w:t>月至今任海欣制药董事、副董事长，陕药天宁制药董事、陕药派昂医药董事；</w:t>
      </w:r>
      <w:r>
        <w:rPr>
          <w:rFonts w:ascii="宋体" w:hAnsi="宋体" w:cs="宋体" w:eastAsia="宋体" w:hint="default"/>
        </w:rPr>
        <w:t>2015</w:t>
      </w:r>
      <w:r>
        <w:rPr/>
        <w:t>年</w:t>
      </w:r>
      <w:r>
        <w:rPr>
          <w:rFonts w:ascii="宋体" w:hAnsi="宋体" w:cs="宋体" w:eastAsia="宋体" w:hint="default"/>
        </w:rPr>
        <w:t>1</w:t>
      </w:r>
      <w:r>
        <w:rPr/>
        <w:t>月至今任</w:t>
      </w:r>
      <w:r>
        <w:rPr>
          <w:spacing w:val="-25"/>
        </w:rPr>
        <w:t> </w:t>
      </w:r>
      <w:r>
        <w:rPr/>
        <w:t>陕药生物制品董事、正大制药董事、副董事长、陕西外经贸实业集团有限公司董事、陕药江兴医化董事、</w:t>
      </w:r>
      <w:r>
        <w:rPr>
          <w:w w:val="100"/>
        </w:rPr>
        <w:t> </w:t>
      </w:r>
      <w:r>
        <w:rPr>
          <w:spacing w:val="-2"/>
        </w:rPr>
        <w:t>陕药山海丹药业董事、威海沿黄董事、副董事长、陕药实业开发董事；</w:t>
      </w:r>
      <w:r>
        <w:rPr>
          <w:rFonts w:ascii="宋体" w:hAnsi="宋体" w:cs="宋体" w:eastAsia="宋体" w:hint="default"/>
          <w:spacing w:val="-2"/>
        </w:rPr>
        <w:t>2013</w:t>
      </w:r>
      <w:r>
        <w:rPr>
          <w:spacing w:val="-2"/>
        </w:rPr>
        <w:t>年</w:t>
      </w:r>
      <w:r>
        <w:rPr>
          <w:rFonts w:ascii="宋体" w:hAnsi="宋体" w:cs="宋体" w:eastAsia="宋体" w:hint="default"/>
          <w:spacing w:val="-2"/>
        </w:rPr>
        <w:t>11</w:t>
      </w:r>
      <w:r>
        <w:rPr>
          <w:spacing w:val="-2"/>
        </w:rPr>
        <w:t>月至今任公司董事；</w:t>
      </w:r>
      <w:r>
        <w:rPr>
          <w:rFonts w:ascii="宋体" w:hAnsi="宋体" w:cs="宋体" w:eastAsia="宋体" w:hint="default"/>
          <w:spacing w:val="-2"/>
        </w:rPr>
        <w:t>2016</w:t>
      </w:r>
      <w:r>
        <w:rPr>
          <w:rFonts w:ascii="宋体" w:hAnsi="宋体" w:cs="宋体" w:eastAsia="宋体" w:hint="default"/>
          <w:spacing w:val="-34"/>
        </w:rPr>
        <w:t> </w:t>
      </w:r>
      <w:r>
        <w:rPr>
          <w:rFonts w:ascii="宋体" w:hAnsi="宋体" w:cs="宋体" w:eastAsia="宋体" w:hint="default"/>
          <w:spacing w:val="-34"/>
        </w:rPr>
      </w:r>
      <w:r>
        <w:rPr>
          <w:spacing w:val="-2"/>
        </w:rPr>
        <w:t>年</w:t>
      </w:r>
      <w:r>
        <w:rPr>
          <w:rFonts w:ascii="宋体" w:hAnsi="宋体" w:cs="宋体" w:eastAsia="宋体" w:hint="default"/>
          <w:spacing w:val="-2"/>
        </w:rPr>
        <w:t>1</w:t>
      </w:r>
      <w:r>
        <w:rPr>
          <w:spacing w:val="-2"/>
        </w:rPr>
        <w:t>月至今任陕西医药控股医药研究院有限公司董事；</w:t>
      </w:r>
      <w:r>
        <w:rPr>
          <w:rFonts w:ascii="宋体" w:hAnsi="宋体" w:cs="宋体" w:eastAsia="宋体" w:hint="default"/>
          <w:spacing w:val="-2"/>
        </w:rPr>
        <w:t>2016</w:t>
      </w:r>
      <w:r>
        <w:rPr>
          <w:spacing w:val="-2"/>
        </w:rPr>
        <w:t>年</w:t>
      </w:r>
      <w:r>
        <w:rPr>
          <w:rFonts w:ascii="宋体" w:hAnsi="宋体" w:cs="宋体" w:eastAsia="宋体" w:hint="default"/>
          <w:spacing w:val="-2"/>
        </w:rPr>
        <w:t>8</w:t>
      </w:r>
      <w:r>
        <w:rPr>
          <w:spacing w:val="-2"/>
        </w:rPr>
        <w:t>月至今任陕西医药控股集团中药投资有限公</w:t>
      </w:r>
      <w:r>
        <w:rPr>
          <w:spacing w:val="-40"/>
        </w:rPr>
        <w:t> </w:t>
      </w:r>
      <w:r>
        <w:rPr>
          <w:spacing w:val="-40"/>
        </w:rPr>
      </w:r>
      <w:r>
        <w:rPr/>
        <w:t>司董事。</w:t>
      </w:r>
    </w:p>
    <w:p>
      <w:pPr>
        <w:spacing w:after="0" w:line="408" w:lineRule="auto"/>
        <w:jc w:val="left"/>
        <w:sectPr>
          <w:pgSz w:w="11910" w:h="16840"/>
          <w:pgMar w:header="0" w:footer="980" w:top="1500" w:bottom="1160" w:left="980" w:right="920"/>
        </w:sectPr>
      </w:pPr>
    </w:p>
    <w:p>
      <w:pPr>
        <w:pStyle w:val="BodyText"/>
        <w:spacing w:line="408" w:lineRule="auto" w:before="116"/>
        <w:ind w:right="206" w:firstLine="413"/>
        <w:jc w:val="both"/>
      </w:pPr>
      <w:r>
        <w:rPr>
          <w:spacing w:val="-2"/>
        </w:rPr>
        <w:t>蔡红军，中国国籍，拥有几内亚比绍居留权，男，</w:t>
      </w:r>
      <w:r>
        <w:rPr>
          <w:rFonts w:ascii="宋体" w:hAnsi="宋体" w:cs="宋体" w:eastAsia="宋体" w:hint="default"/>
          <w:spacing w:val="-2"/>
        </w:rPr>
        <w:t>1970</w:t>
      </w:r>
      <w:r>
        <w:rPr>
          <w:spacing w:val="-2"/>
        </w:rPr>
        <w:t>年</w:t>
      </w:r>
      <w:r>
        <w:rPr>
          <w:rFonts w:ascii="宋体" w:hAnsi="宋体" w:cs="宋体" w:eastAsia="宋体" w:hint="default"/>
          <w:spacing w:val="-2"/>
        </w:rPr>
        <w:t>11</w:t>
      </w:r>
      <w:r>
        <w:rPr>
          <w:spacing w:val="-2"/>
        </w:rPr>
        <w:t>月出生，硕士，现任公司董事。主要工作</w:t>
      </w:r>
      <w:r>
        <w:rPr>
          <w:w w:val="100"/>
        </w:rPr>
        <w:t> </w:t>
      </w:r>
      <w:r>
        <w:rPr>
          <w:spacing w:val="-2"/>
        </w:rPr>
        <w:t>经历：</w:t>
      </w:r>
      <w:r>
        <w:rPr>
          <w:rFonts w:ascii="宋体" w:hAnsi="宋体" w:cs="宋体" w:eastAsia="宋体" w:hint="default"/>
          <w:spacing w:val="-2"/>
        </w:rPr>
        <w:t>2002</w:t>
      </w:r>
      <w:r>
        <w:rPr>
          <w:spacing w:val="-2"/>
        </w:rPr>
        <w:t>年</w:t>
      </w:r>
      <w:r>
        <w:rPr>
          <w:rFonts w:ascii="宋体" w:hAnsi="宋体" w:cs="宋体" w:eastAsia="宋体" w:hint="default"/>
          <w:spacing w:val="-2"/>
        </w:rPr>
        <w:t>6</w:t>
      </w:r>
      <w:r>
        <w:rPr>
          <w:spacing w:val="-2"/>
        </w:rPr>
        <w:t>月起任上海包装物资有限公司董事、总经理；</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月至今任香港原石国际有限公司董事</w:t>
      </w:r>
      <w:r>
        <w:rPr>
          <w:spacing w:val="-36"/>
        </w:rPr>
        <w:t> </w:t>
      </w:r>
      <w:r>
        <w:rPr>
          <w:spacing w:val="-36"/>
        </w:rPr>
      </w:r>
      <w:r>
        <w:rPr>
          <w:spacing w:val="-2"/>
        </w:rPr>
        <w:t>长、总经理；</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月至今任西安环球印务股份有限公司董事；</w:t>
      </w:r>
      <w:r>
        <w:rPr>
          <w:rFonts w:ascii="宋体" w:hAnsi="宋体" w:cs="宋体" w:eastAsia="宋体" w:hint="default"/>
          <w:spacing w:val="-2"/>
        </w:rPr>
        <w:t>2013</w:t>
      </w:r>
      <w:r>
        <w:rPr>
          <w:spacing w:val="-2"/>
        </w:rPr>
        <w:t>年</w:t>
      </w:r>
      <w:r>
        <w:rPr>
          <w:rFonts w:ascii="宋体" w:hAnsi="宋体" w:cs="宋体" w:eastAsia="宋体" w:hint="default"/>
          <w:spacing w:val="-2"/>
        </w:rPr>
        <w:t>6</w:t>
      </w:r>
      <w:r>
        <w:rPr>
          <w:spacing w:val="-2"/>
        </w:rPr>
        <w:t>月至今蔡红军先生任永丽造纸合</w:t>
      </w:r>
      <w:r>
        <w:rPr>
          <w:spacing w:val="-36"/>
        </w:rPr>
        <w:t> </w:t>
      </w:r>
      <w:r>
        <w:rPr>
          <w:spacing w:val="-36"/>
        </w:rPr>
      </w:r>
      <w:r>
        <w:rPr>
          <w:spacing w:val="-2"/>
        </w:rPr>
        <w:t>营会社董事长；</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月至今任上海久日投资管理有限公司法定代表人兼总经理；</w:t>
      </w:r>
      <w:r>
        <w:rPr>
          <w:rFonts w:ascii="宋体" w:hAnsi="宋体" w:cs="宋体" w:eastAsia="宋体" w:hint="default"/>
          <w:spacing w:val="-2"/>
        </w:rPr>
        <w:t>2015</w:t>
      </w:r>
      <w:r>
        <w:rPr>
          <w:spacing w:val="-2"/>
        </w:rPr>
        <w:t>年</w:t>
      </w:r>
      <w:r>
        <w:rPr>
          <w:rFonts w:ascii="宋体" w:hAnsi="宋体" w:cs="宋体" w:eastAsia="宋体" w:hint="default"/>
          <w:spacing w:val="-2"/>
        </w:rPr>
        <w:t>11</w:t>
      </w:r>
      <w:r>
        <w:rPr>
          <w:spacing w:val="-2"/>
        </w:rPr>
        <w:t>月至今任上</w:t>
      </w:r>
      <w:r>
        <w:rPr>
          <w:spacing w:val="-31"/>
        </w:rPr>
        <w:t> </w:t>
      </w:r>
      <w:r>
        <w:rPr>
          <w:spacing w:val="-31"/>
        </w:rPr>
      </w:r>
      <w:r>
        <w:rPr/>
        <w:t>海中科久日置业有限公司董事兼经理。</w:t>
      </w:r>
    </w:p>
    <w:p>
      <w:pPr>
        <w:pStyle w:val="BodyText"/>
        <w:spacing w:line="408" w:lineRule="auto" w:before="147"/>
        <w:ind w:right="208" w:firstLine="413"/>
        <w:jc w:val="both"/>
      </w:pPr>
      <w:r>
        <w:rPr>
          <w:spacing w:val="-6"/>
        </w:rPr>
        <w:t>张明禹，中国国籍，男，</w:t>
      </w:r>
      <w:r>
        <w:rPr>
          <w:rFonts w:ascii="宋体" w:hAnsi="宋体" w:cs="宋体" w:eastAsia="宋体" w:hint="default"/>
          <w:spacing w:val="-6"/>
        </w:rPr>
        <w:t>1950</w:t>
      </w:r>
      <w:r>
        <w:rPr>
          <w:spacing w:val="-6"/>
        </w:rPr>
        <w:t>年出生，中共党员，大学学历，现任公司独立董事。主要工作经历：</w:t>
      </w:r>
      <w:r>
        <w:rPr>
          <w:rFonts w:ascii="宋体" w:hAnsi="宋体" w:cs="宋体" w:eastAsia="宋体" w:hint="default"/>
          <w:spacing w:val="-6"/>
        </w:rPr>
        <w:t>2000</w:t>
      </w:r>
      <w:r>
        <w:rPr>
          <w:rFonts w:ascii="宋体" w:hAnsi="宋体" w:cs="宋体" w:eastAsia="宋体" w:hint="default"/>
          <w:w w:val="100"/>
        </w:rPr>
        <w:t> </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6</w:t>
      </w:r>
      <w:r>
        <w:rPr>
          <w:spacing w:val="-2"/>
        </w:rPr>
        <w:t>月，任中国医药工业公司总经理；</w:t>
      </w:r>
      <w:r>
        <w:rPr>
          <w:rFonts w:ascii="宋体" w:hAnsi="宋体" w:cs="宋体" w:eastAsia="宋体" w:hint="default"/>
          <w:spacing w:val="-2"/>
        </w:rPr>
        <w:t>2004</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10</w:t>
      </w:r>
      <w:r>
        <w:rPr>
          <w:spacing w:val="-2"/>
        </w:rPr>
        <w:t>月，任国药集团工业有限公司董</w:t>
      </w:r>
      <w:r>
        <w:rPr>
          <w:spacing w:val="-30"/>
        </w:rPr>
        <w:t> </w:t>
      </w:r>
      <w:r>
        <w:rPr>
          <w:spacing w:val="-30"/>
        </w:rPr>
      </w:r>
      <w:r>
        <w:rPr/>
        <w:t>事长；</w:t>
      </w:r>
      <w:r>
        <w:rPr>
          <w:rFonts w:ascii="宋体" w:hAnsi="宋体" w:cs="宋体" w:eastAsia="宋体" w:hint="default"/>
        </w:rPr>
        <w:t>2010</w:t>
      </w:r>
      <w:r>
        <w:rPr/>
        <w:t>年</w:t>
      </w:r>
      <w:r>
        <w:rPr>
          <w:rFonts w:ascii="宋体" w:hAnsi="宋体" w:cs="宋体" w:eastAsia="宋体" w:hint="default"/>
        </w:rPr>
        <w:t>10</w:t>
      </w:r>
      <w:r>
        <w:rPr/>
        <w:t>月至今，任中国化学制药工业协会资深副会长。</w:t>
      </w:r>
    </w:p>
    <w:p>
      <w:pPr>
        <w:pStyle w:val="BodyText"/>
        <w:spacing w:line="408" w:lineRule="auto" w:before="145"/>
        <w:ind w:right="194" w:firstLine="413"/>
        <w:jc w:val="both"/>
      </w:pPr>
      <w:r>
        <w:rPr>
          <w:spacing w:val="-2"/>
        </w:rPr>
        <w:t>冯均科，中国国籍，男，</w:t>
      </w:r>
      <w:r>
        <w:rPr>
          <w:rFonts w:ascii="宋体" w:hAnsi="宋体" w:cs="宋体" w:eastAsia="宋体" w:hint="default"/>
          <w:spacing w:val="-2"/>
        </w:rPr>
        <w:t>1958</w:t>
      </w:r>
      <w:r>
        <w:rPr>
          <w:spacing w:val="-2"/>
        </w:rPr>
        <w:t>年出生，中共党员，研究生学历，现任公司独立董事。主要工作经历：</w:t>
      </w:r>
      <w:r>
        <w:rPr>
          <w:w w:val="100"/>
        </w:rPr>
        <w:t> </w:t>
      </w:r>
      <w:r>
        <w:rPr>
          <w:rFonts w:ascii="宋体" w:hAnsi="宋体" w:cs="宋体" w:eastAsia="宋体" w:hint="default"/>
        </w:rPr>
        <w:t>1982</w:t>
      </w:r>
      <w:r>
        <w:rPr/>
        <w:t>年</w:t>
      </w:r>
      <w:r>
        <w:rPr>
          <w:rFonts w:ascii="宋体" w:hAnsi="宋体" w:cs="宋体" w:eastAsia="宋体" w:hint="default"/>
        </w:rPr>
        <w:t>8</w:t>
      </w:r>
      <w:r>
        <w:rPr/>
        <w:t>月至</w:t>
      </w:r>
      <w:r>
        <w:rPr>
          <w:rFonts w:ascii="宋体" w:hAnsi="宋体" w:cs="宋体" w:eastAsia="宋体" w:hint="default"/>
        </w:rPr>
        <w:t>2000</w:t>
      </w:r>
      <w:r>
        <w:rPr/>
        <w:t>年</w:t>
      </w:r>
      <w:r>
        <w:rPr>
          <w:rFonts w:ascii="宋体" w:hAnsi="宋体" w:cs="宋体" w:eastAsia="宋体" w:hint="default"/>
        </w:rPr>
        <w:t>4</w:t>
      </w:r>
      <w:r>
        <w:rPr/>
        <w:t>月，陕西财经学院任教；</w:t>
      </w:r>
      <w:r>
        <w:rPr>
          <w:rFonts w:ascii="宋体" w:hAnsi="宋体" w:cs="宋体" w:eastAsia="宋体" w:hint="default"/>
        </w:rPr>
        <w:t>2000</w:t>
      </w:r>
      <w:r>
        <w:rPr/>
        <w:t>年</w:t>
      </w:r>
      <w:r>
        <w:rPr>
          <w:rFonts w:ascii="宋体" w:hAnsi="宋体" w:cs="宋体" w:eastAsia="宋体" w:hint="default"/>
        </w:rPr>
        <w:t>5</w:t>
      </w:r>
      <w:r>
        <w:rPr/>
        <w:t>月至</w:t>
      </w:r>
      <w:r>
        <w:rPr>
          <w:rFonts w:ascii="宋体" w:hAnsi="宋体" w:cs="宋体" w:eastAsia="宋体" w:hint="default"/>
        </w:rPr>
        <w:t>2006</w:t>
      </w:r>
      <w:r>
        <w:rPr/>
        <w:t>年</w:t>
      </w:r>
      <w:r>
        <w:rPr>
          <w:rFonts w:ascii="宋体" w:hAnsi="宋体" w:cs="宋体" w:eastAsia="宋体" w:hint="default"/>
        </w:rPr>
        <w:t>10</w:t>
      </w:r>
      <w:r>
        <w:rPr/>
        <w:t>月，西安交通大学任教，</w:t>
      </w:r>
      <w:r>
        <w:rPr>
          <w:rFonts w:ascii="宋体" w:hAnsi="宋体" w:cs="宋体" w:eastAsia="宋体" w:hint="default"/>
        </w:rPr>
        <w:t>2006</w:t>
      </w:r>
      <w:r>
        <w:rPr/>
        <w:t>年</w:t>
      </w:r>
      <w:r>
        <w:rPr>
          <w:rFonts w:ascii="宋体" w:hAnsi="宋体" w:cs="宋体" w:eastAsia="宋体" w:hint="default"/>
        </w:rPr>
        <w:t>11</w:t>
      </w:r>
      <w:r>
        <w:rPr/>
        <w:t>月</w:t>
      </w:r>
      <w:r>
        <w:rPr>
          <w:spacing w:val="-29"/>
        </w:rPr>
        <w:t> </w:t>
      </w:r>
      <w:r>
        <w:rPr/>
        <w:t>至今西北大学经济管理学院会计系任教授、主任，博士生导师。</w:t>
      </w:r>
    </w:p>
    <w:p>
      <w:pPr>
        <w:pStyle w:val="BodyText"/>
        <w:spacing w:line="408" w:lineRule="auto" w:before="147"/>
        <w:ind w:right="0" w:firstLine="413"/>
        <w:jc w:val="left"/>
      </w:pPr>
      <w:r>
        <w:rPr>
          <w:spacing w:val="-4"/>
        </w:rPr>
        <w:t>宋林，中国国籍，男，</w:t>
      </w:r>
      <w:r>
        <w:rPr>
          <w:rFonts w:ascii="宋体" w:hAnsi="宋体" w:cs="宋体" w:eastAsia="宋体" w:hint="default"/>
          <w:spacing w:val="-4"/>
        </w:rPr>
        <w:t>1969</w:t>
      </w:r>
      <w:r>
        <w:rPr>
          <w:spacing w:val="-4"/>
        </w:rPr>
        <w:t>年</w:t>
      </w:r>
      <w:r>
        <w:rPr>
          <w:rFonts w:ascii="宋体" w:hAnsi="宋体" w:cs="宋体" w:eastAsia="宋体" w:hint="default"/>
          <w:spacing w:val="-4"/>
        </w:rPr>
        <w:t>12</w:t>
      </w:r>
      <w:r>
        <w:rPr>
          <w:spacing w:val="-4"/>
        </w:rPr>
        <w:t>月出生，中共党员，博士生学历，现任公司独立董事。主要工作经历：</w:t>
      </w:r>
      <w:r>
        <w:rPr>
          <w:w w:val="100"/>
        </w:rPr>
        <w:t> </w:t>
      </w:r>
      <w:r>
        <w:rPr>
          <w:rFonts w:ascii="宋体" w:hAnsi="宋体" w:cs="宋体" w:eastAsia="宋体" w:hint="default"/>
        </w:rPr>
        <w:t>2000</w:t>
      </w:r>
      <w:r>
        <w:rPr/>
        <w:t>年至</w:t>
      </w:r>
      <w:r>
        <w:rPr>
          <w:rFonts w:ascii="宋体" w:hAnsi="宋体" w:cs="宋体" w:eastAsia="宋体" w:hint="default"/>
        </w:rPr>
        <w:t>2013</w:t>
      </w:r>
      <w:r>
        <w:rPr/>
        <w:t>年历任西安交通大学讲师、副教授，现任西安交通大学经济与金融学院产业经济专业教授、</w:t>
      </w:r>
      <w:r>
        <w:rPr>
          <w:w w:val="100"/>
        </w:rPr>
        <w:t> </w:t>
      </w:r>
      <w:r>
        <w:rPr/>
        <w:t>博士生导师；</w:t>
      </w:r>
      <w:r>
        <w:rPr>
          <w:rFonts w:ascii="宋体" w:hAnsi="宋体" w:cs="宋体" w:eastAsia="宋体" w:hint="default"/>
        </w:rPr>
        <w:t>2014</w:t>
      </w:r>
      <w:r>
        <w:rPr/>
        <w:t>年</w:t>
      </w:r>
      <w:r>
        <w:rPr>
          <w:rFonts w:ascii="宋体" w:hAnsi="宋体" w:cs="宋体" w:eastAsia="宋体" w:hint="default"/>
        </w:rPr>
        <w:t>9</w:t>
      </w:r>
      <w:r>
        <w:rPr/>
        <w:t>月至今，任陕西航天动力高科技股份有限公司独立董事；</w:t>
      </w:r>
      <w:r>
        <w:rPr>
          <w:rFonts w:ascii="宋体" w:hAnsi="宋体" w:cs="宋体" w:eastAsia="宋体" w:hint="default"/>
        </w:rPr>
        <w:t>2014</w:t>
      </w:r>
      <w:r>
        <w:rPr/>
        <w:t>年</w:t>
      </w:r>
      <w:r>
        <w:rPr>
          <w:rFonts w:ascii="宋体" w:hAnsi="宋体" w:cs="宋体" w:eastAsia="宋体" w:hint="default"/>
        </w:rPr>
        <w:t>10</w:t>
      </w:r>
      <w:r>
        <w:rPr/>
        <w:t>月至今，任陕西</w:t>
      </w:r>
      <w:r>
        <w:rPr>
          <w:spacing w:val="-26"/>
        </w:rPr>
        <w:t> </w:t>
      </w:r>
      <w:r>
        <w:rPr>
          <w:spacing w:val="-26"/>
        </w:rPr>
      </w:r>
      <w:r>
        <w:rPr/>
        <w:t>建设机械股份有限公司独立董事。</w:t>
      </w:r>
    </w:p>
    <w:p>
      <w:pPr>
        <w:pStyle w:val="BodyText"/>
        <w:spacing w:line="364" w:lineRule="auto" w:before="3"/>
        <w:ind w:left="566" w:right="0" w:hanging="414"/>
        <w:jc w:val="left"/>
      </w:pPr>
      <w:r>
        <w:rPr>
          <w:rFonts w:ascii="Microsoft JhengHei" w:hAnsi="Microsoft JhengHei" w:cs="Microsoft JhengHei" w:eastAsia="Microsoft JhengHei" w:hint="default"/>
          <w:b/>
          <w:bCs/>
        </w:rPr>
        <w:t>（二）公司监事任职情况</w:t>
      </w:r>
      <w:r>
        <w:rPr>
          <w:rFonts w:ascii="Microsoft JhengHei" w:hAnsi="Microsoft JhengHei" w:cs="Microsoft JhengHei" w:eastAsia="Microsoft JhengHei" w:hint="default"/>
          <w:b/>
          <w:bCs/>
          <w:spacing w:val="-43"/>
        </w:rPr>
        <w:t> </w:t>
      </w:r>
      <w:r>
        <w:rPr>
          <w:rFonts w:ascii="Microsoft JhengHei" w:hAnsi="Microsoft JhengHei" w:cs="Microsoft JhengHei" w:eastAsia="Microsoft JhengHei" w:hint="default"/>
          <w:b/>
          <w:bCs/>
          <w:spacing w:val="-43"/>
        </w:rPr>
      </w:r>
      <w:r>
        <w:rPr>
          <w:spacing w:val="-4"/>
        </w:rPr>
        <w:t>张兴才，中国国籍，无境外居留权，</w:t>
      </w:r>
      <w:r>
        <w:rPr>
          <w:rFonts w:ascii="宋体" w:hAnsi="宋体" w:cs="宋体" w:eastAsia="宋体" w:hint="default"/>
          <w:spacing w:val="-4"/>
        </w:rPr>
        <w:t>1964</w:t>
      </w:r>
      <w:r>
        <w:rPr>
          <w:spacing w:val="-4"/>
        </w:rPr>
        <w:t>年</w:t>
      </w:r>
      <w:r>
        <w:rPr>
          <w:rFonts w:ascii="宋体" w:hAnsi="宋体" w:cs="宋体" w:eastAsia="宋体" w:hint="default"/>
          <w:spacing w:val="-4"/>
        </w:rPr>
        <w:t>8</w:t>
      </w:r>
      <w:r>
        <w:rPr>
          <w:spacing w:val="-4"/>
        </w:rPr>
        <w:t>月出生，男，中共党员，大学本科，高级审计师</w:t>
      </w:r>
      <w:r>
        <w:rPr>
          <w:rFonts w:ascii="宋体" w:hAnsi="宋体" w:cs="宋体" w:eastAsia="宋体" w:hint="default"/>
          <w:spacing w:val="-4"/>
        </w:rPr>
        <w:t>,</w:t>
      </w:r>
      <w:r>
        <w:rPr>
          <w:spacing w:val="-4"/>
        </w:rPr>
        <w:t>会计师，</w:t>
      </w:r>
    </w:p>
    <w:p>
      <w:pPr>
        <w:pStyle w:val="BodyText"/>
        <w:spacing w:line="408" w:lineRule="auto" w:before="84"/>
        <w:ind w:right="208"/>
        <w:jc w:val="both"/>
      </w:pPr>
      <w:r>
        <w:rPr/>
        <w:t>现任公司监事会主席。主要工作经历：</w:t>
      </w:r>
      <w:r>
        <w:rPr>
          <w:rFonts w:ascii="宋体" w:hAnsi="宋体" w:cs="宋体" w:eastAsia="宋体" w:hint="default"/>
        </w:rPr>
        <w:t>2009</w:t>
      </w:r>
      <w:r>
        <w:rPr/>
        <w:t>年</w:t>
      </w:r>
      <w:r>
        <w:rPr>
          <w:rFonts w:ascii="宋体" w:hAnsi="宋体" w:cs="宋体" w:eastAsia="宋体" w:hint="default"/>
        </w:rPr>
        <w:t>12</w:t>
      </w:r>
      <w:r>
        <w:rPr/>
        <w:t>月至</w:t>
      </w:r>
      <w:r>
        <w:rPr>
          <w:rFonts w:ascii="宋体" w:hAnsi="宋体" w:cs="宋体" w:eastAsia="宋体" w:hint="default"/>
        </w:rPr>
        <w:t>2013</w:t>
      </w:r>
      <w:r>
        <w:rPr/>
        <w:t>年</w:t>
      </w:r>
      <w:r>
        <w:rPr>
          <w:rFonts w:ascii="宋体" w:hAnsi="宋体" w:cs="宋体" w:eastAsia="宋体" w:hint="default"/>
        </w:rPr>
        <w:t>3</w:t>
      </w:r>
      <w:r>
        <w:rPr/>
        <w:t>月在陕西医药控股集团有限责任公司财务管</w:t>
      </w:r>
      <w:r>
        <w:rPr>
          <w:spacing w:val="-29"/>
        </w:rPr>
        <w:t> </w:t>
      </w:r>
      <w:r>
        <w:rPr>
          <w:spacing w:val="-29"/>
        </w:rPr>
      </w:r>
      <w:r>
        <w:rPr>
          <w:spacing w:val="-6"/>
        </w:rPr>
        <w:t>理部工作，任副经理；</w:t>
      </w:r>
      <w:r>
        <w:rPr>
          <w:rFonts w:ascii="宋体" w:hAnsi="宋体" w:cs="宋体" w:eastAsia="宋体" w:hint="default"/>
          <w:spacing w:val="-6"/>
        </w:rPr>
        <w:t>2013</w:t>
      </w:r>
      <w:r>
        <w:rPr>
          <w:spacing w:val="-6"/>
        </w:rPr>
        <w:t>年</w:t>
      </w:r>
      <w:r>
        <w:rPr>
          <w:rFonts w:ascii="宋体" w:hAnsi="宋体" w:cs="宋体" w:eastAsia="宋体" w:hint="default"/>
          <w:spacing w:val="-6"/>
        </w:rPr>
        <w:t>4</w:t>
      </w:r>
      <w:r>
        <w:rPr>
          <w:spacing w:val="-6"/>
        </w:rPr>
        <w:t>月至</w:t>
      </w:r>
      <w:r>
        <w:rPr>
          <w:rFonts w:ascii="宋体" w:hAnsi="宋体" w:cs="宋体" w:eastAsia="宋体" w:hint="default"/>
          <w:spacing w:val="-6"/>
        </w:rPr>
        <w:t>2016</w:t>
      </w:r>
      <w:r>
        <w:rPr>
          <w:spacing w:val="-6"/>
        </w:rPr>
        <w:t>年</w:t>
      </w:r>
      <w:r>
        <w:rPr>
          <w:rFonts w:ascii="宋体" w:hAnsi="宋体" w:cs="宋体" w:eastAsia="宋体" w:hint="default"/>
          <w:spacing w:val="-6"/>
        </w:rPr>
        <w:t>3</w:t>
      </w:r>
      <w:r>
        <w:rPr>
          <w:spacing w:val="-6"/>
        </w:rPr>
        <w:t>月在陕西医药控股集团有限责任公司审计部工作，任经理；</w:t>
      </w:r>
      <w:r>
        <w:rPr>
          <w:rFonts w:ascii="宋体" w:hAnsi="宋体" w:cs="宋体" w:eastAsia="宋体" w:hint="default"/>
          <w:spacing w:val="-6"/>
        </w:rPr>
        <w:t>2016</w:t>
      </w:r>
      <w:r>
        <w:rPr>
          <w:rFonts w:ascii="宋体" w:hAnsi="宋体" w:cs="宋体" w:eastAsia="宋体" w:hint="default"/>
          <w:spacing w:val="-27"/>
        </w:rPr>
        <w:t> </w:t>
      </w:r>
      <w:r>
        <w:rPr>
          <w:rFonts w:ascii="宋体" w:hAnsi="宋体" w:cs="宋体" w:eastAsia="宋体" w:hint="default"/>
          <w:spacing w:val="-27"/>
        </w:rPr>
      </w:r>
      <w:r>
        <w:rPr>
          <w:spacing w:val="-2"/>
        </w:rPr>
        <w:t>年</w:t>
      </w:r>
      <w:r>
        <w:rPr>
          <w:rFonts w:ascii="宋体" w:hAnsi="宋体" w:cs="宋体" w:eastAsia="宋体" w:hint="default"/>
          <w:spacing w:val="-2"/>
        </w:rPr>
        <w:t>3</w:t>
      </w:r>
      <w:r>
        <w:rPr>
          <w:spacing w:val="-2"/>
        </w:rPr>
        <w:t>月至今</w:t>
      </w:r>
      <w:r>
        <w:rPr>
          <w:rFonts w:ascii="宋体" w:hAnsi="宋体" w:cs="宋体" w:eastAsia="宋体" w:hint="default"/>
          <w:spacing w:val="-2"/>
        </w:rPr>
        <w:t>,</w:t>
      </w:r>
      <w:r>
        <w:rPr>
          <w:spacing w:val="-2"/>
        </w:rPr>
        <w:t>在陕西医药控股集团有限责任公司财务管理部工作，任经理；</w:t>
      </w:r>
      <w:r>
        <w:rPr>
          <w:rFonts w:ascii="宋体" w:hAnsi="宋体" w:cs="宋体" w:eastAsia="宋体" w:hint="default"/>
          <w:spacing w:val="-2"/>
        </w:rPr>
        <w:t>2013</w:t>
      </w:r>
      <w:r>
        <w:rPr>
          <w:spacing w:val="-2"/>
        </w:rPr>
        <w:t>年</w:t>
      </w:r>
      <w:r>
        <w:rPr>
          <w:rFonts w:ascii="宋体" w:hAnsi="宋体" w:cs="宋体" w:eastAsia="宋体" w:hint="default"/>
          <w:spacing w:val="-2"/>
        </w:rPr>
        <w:t>11</w:t>
      </w:r>
      <w:r>
        <w:rPr>
          <w:spacing w:val="-2"/>
        </w:rPr>
        <w:t>月至今任公司监事会主</w:t>
      </w:r>
      <w:r>
        <w:rPr>
          <w:spacing w:val="-40"/>
        </w:rPr>
        <w:t> </w:t>
      </w:r>
      <w:r>
        <w:rPr>
          <w:spacing w:val="-40"/>
        </w:rPr>
      </w:r>
      <w:r>
        <w:rPr/>
        <w:t>席。</w:t>
      </w:r>
    </w:p>
    <w:p>
      <w:pPr>
        <w:pStyle w:val="BodyText"/>
        <w:spacing w:line="408" w:lineRule="auto" w:before="147"/>
        <w:ind w:right="0" w:firstLine="413"/>
        <w:jc w:val="left"/>
      </w:pPr>
      <w:r>
        <w:rPr/>
        <w:t>冯杰，中国国籍，无境外居留权，</w:t>
      </w:r>
      <w:r>
        <w:rPr>
          <w:rFonts w:ascii="宋体" w:hAnsi="宋体" w:cs="宋体" w:eastAsia="宋体" w:hint="default"/>
        </w:rPr>
        <w:t>1968</w:t>
      </w:r>
      <w:r>
        <w:rPr/>
        <w:t>年</w:t>
      </w:r>
      <w:r>
        <w:rPr>
          <w:rFonts w:ascii="宋体" w:hAnsi="宋体" w:cs="宋体" w:eastAsia="宋体" w:hint="default"/>
        </w:rPr>
        <w:t>6</w:t>
      </w:r>
      <w:r>
        <w:rPr/>
        <w:t>月出生，男，中共党员，硕士研究生，高级经济师，现任</w:t>
      </w:r>
      <w:r>
        <w:rPr>
          <w:w w:val="100"/>
        </w:rPr>
        <w:t> </w:t>
      </w:r>
      <w:r>
        <w:rPr/>
        <w:t>公司监事会副主席。主要工作经历： </w:t>
      </w:r>
      <w:r>
        <w:rPr>
          <w:rFonts w:ascii="宋体" w:hAnsi="宋体" w:cs="宋体" w:eastAsia="宋体" w:hint="default"/>
        </w:rPr>
        <w:t>1999</w:t>
      </w:r>
      <w:r>
        <w:rPr/>
        <w:t>年至</w:t>
      </w:r>
      <w:r>
        <w:rPr>
          <w:rFonts w:ascii="宋体" w:hAnsi="宋体" w:cs="宋体" w:eastAsia="宋体" w:hint="default"/>
        </w:rPr>
        <w:t>2008</w:t>
      </w:r>
      <w:r>
        <w:rPr/>
        <w:t>年，历任医药总公司西安医药园副主任、陕药集团财</w:t>
      </w:r>
      <w:r>
        <w:rPr>
          <w:spacing w:val="-31"/>
        </w:rPr>
        <w:t> </w:t>
      </w:r>
      <w:r>
        <w:rPr>
          <w:spacing w:val="-31"/>
        </w:rPr>
      </w:r>
      <w:r>
        <w:rPr>
          <w:spacing w:val="-2"/>
        </w:rPr>
        <w:t>务部副经理；</w:t>
      </w:r>
      <w:r>
        <w:rPr>
          <w:rFonts w:ascii="宋体" w:hAnsi="宋体" w:cs="宋体" w:eastAsia="宋体" w:hint="default"/>
          <w:spacing w:val="-2"/>
        </w:rPr>
        <w:t>2007</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月任公司监事会副主席；</w:t>
      </w:r>
      <w:r>
        <w:rPr>
          <w:rFonts w:ascii="宋体" w:hAnsi="宋体" w:cs="宋体" w:eastAsia="宋体" w:hint="default"/>
          <w:spacing w:val="-2"/>
        </w:rPr>
        <w:t>2008</w:t>
      </w:r>
      <w:r>
        <w:rPr>
          <w:spacing w:val="-2"/>
        </w:rPr>
        <w:t>年至今任陕药集团职工代表监事、</w:t>
      </w:r>
      <w:r>
        <w:rPr>
          <w:rFonts w:ascii="宋体" w:hAnsi="宋体" w:cs="宋体" w:eastAsia="宋体" w:hint="default"/>
          <w:spacing w:val="-2"/>
        </w:rPr>
        <w:t>2008</w:t>
      </w:r>
      <w:r>
        <w:rPr>
          <w:spacing w:val="-2"/>
        </w:rPr>
        <w:t>年</w:t>
      </w:r>
      <w:r>
        <w:rPr>
          <w:spacing w:val="-30"/>
        </w:rPr>
        <w:t> </w:t>
      </w:r>
      <w:r>
        <w:rPr>
          <w:spacing w:val="-4"/>
        </w:rPr>
        <w:t>至</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月任陕药集团对标考核部经理；</w:t>
      </w:r>
      <w:r>
        <w:rPr>
          <w:rFonts w:ascii="宋体" w:hAnsi="宋体" w:cs="宋体" w:eastAsia="宋体" w:hint="default"/>
          <w:spacing w:val="-4"/>
        </w:rPr>
        <w:t>2018</w:t>
      </w:r>
      <w:r>
        <w:rPr>
          <w:spacing w:val="-4"/>
        </w:rPr>
        <w:t>年</w:t>
      </w:r>
      <w:r>
        <w:rPr>
          <w:rFonts w:ascii="宋体" w:hAnsi="宋体" w:cs="宋体" w:eastAsia="宋体" w:hint="default"/>
          <w:spacing w:val="-4"/>
        </w:rPr>
        <w:t>1</w:t>
      </w:r>
      <w:r>
        <w:rPr>
          <w:spacing w:val="-4"/>
        </w:rPr>
        <w:t>月至今任陕药集团董事会办公室主任；</w:t>
      </w:r>
      <w:r>
        <w:rPr>
          <w:rFonts w:ascii="宋体" w:hAnsi="宋体" w:cs="宋体" w:eastAsia="宋体" w:hint="default"/>
          <w:spacing w:val="-4"/>
        </w:rPr>
        <w:t>2018</w:t>
      </w:r>
      <w:r>
        <w:rPr>
          <w:spacing w:val="-4"/>
        </w:rPr>
        <w:t>年</w:t>
      </w:r>
      <w:r>
        <w:rPr>
          <w:rFonts w:ascii="宋体" w:hAnsi="宋体" w:cs="宋体" w:eastAsia="宋体" w:hint="default"/>
          <w:spacing w:val="-4"/>
        </w:rPr>
        <w:t>2</w:t>
      </w:r>
      <w:r>
        <w:rPr>
          <w:spacing w:val="-4"/>
        </w:rPr>
        <w:t>月至今，</w:t>
      </w:r>
      <w:r>
        <w:rPr>
          <w:spacing w:val="-19"/>
        </w:rPr>
        <w:t> </w:t>
      </w:r>
      <w:r>
        <w:rPr>
          <w:spacing w:val="-19"/>
        </w:rPr>
      </w:r>
      <w:r>
        <w:rPr/>
        <w:t>任陕药集团中药产业投资有限责任公司董事、陕药集团天宁制药有限责任公司董事；</w:t>
      </w:r>
      <w:r>
        <w:rPr>
          <w:rFonts w:ascii="宋体" w:hAnsi="宋体" w:cs="宋体" w:eastAsia="宋体" w:hint="default"/>
        </w:rPr>
        <w:t>2018</w:t>
      </w:r>
      <w:r>
        <w:rPr/>
        <w:t>年</w:t>
      </w:r>
      <w:r>
        <w:rPr>
          <w:rFonts w:ascii="宋体" w:hAnsi="宋体" w:cs="宋体" w:eastAsia="宋体" w:hint="default"/>
        </w:rPr>
        <w:t>3</w:t>
      </w:r>
      <w:r>
        <w:rPr/>
        <w:t>月至今，任</w:t>
      </w:r>
      <w:r>
        <w:rPr>
          <w:spacing w:val="-24"/>
        </w:rPr>
        <w:t> </w:t>
      </w:r>
      <w:r>
        <w:rPr>
          <w:spacing w:val="-24"/>
        </w:rPr>
      </w:r>
      <w:r>
        <w:rPr/>
        <w:t>陕西医药控股医药研究院有限公司董事。</w:t>
      </w:r>
    </w:p>
    <w:p>
      <w:pPr>
        <w:pStyle w:val="BodyText"/>
        <w:spacing w:line="240" w:lineRule="auto" w:before="147"/>
        <w:ind w:left="566" w:right="0"/>
        <w:jc w:val="left"/>
      </w:pPr>
      <w:r>
        <w:rPr/>
        <w:t>惠俊玉，中国国籍，无境外居留权，</w:t>
      </w:r>
      <w:r>
        <w:rPr>
          <w:rFonts w:ascii="宋体" w:hAnsi="宋体" w:cs="宋体" w:eastAsia="宋体" w:hint="default"/>
        </w:rPr>
        <w:t>1971</w:t>
      </w:r>
      <w:r>
        <w:rPr/>
        <w:t>年</w:t>
      </w:r>
      <w:r>
        <w:rPr>
          <w:rFonts w:ascii="宋体" w:hAnsi="宋体" w:cs="宋体" w:eastAsia="宋体" w:hint="default"/>
        </w:rPr>
        <w:t>5</w:t>
      </w:r>
      <w:r>
        <w:rPr/>
        <w:t>月出生，男，汉族，中共党员，大学本科学历，工业自</w:t>
      </w:r>
    </w:p>
    <w:p>
      <w:pPr>
        <w:spacing w:after="0" w:line="240" w:lineRule="auto"/>
        <w:jc w:val="left"/>
        <w:sectPr>
          <w:pgSz w:w="11910" w:h="16840"/>
          <w:pgMar w:header="0" w:footer="980" w:top="1500" w:bottom="1160" w:left="980" w:right="920"/>
        </w:sectPr>
      </w:pPr>
    </w:p>
    <w:p>
      <w:pPr>
        <w:pStyle w:val="BodyText"/>
        <w:spacing w:line="408" w:lineRule="auto" w:before="116"/>
        <w:ind w:right="206"/>
        <w:jc w:val="both"/>
      </w:pPr>
      <w:r>
        <w:rPr>
          <w:spacing w:val="-2"/>
        </w:rPr>
        <w:t>动化中级工程师，现任公司研发总监、职工监事；天津环球总经理。主要工作经历：</w:t>
      </w:r>
      <w:r>
        <w:rPr>
          <w:rFonts w:ascii="宋体" w:hAnsi="宋体" w:cs="宋体" w:eastAsia="宋体" w:hint="default"/>
          <w:spacing w:val="-2"/>
        </w:rPr>
        <w:t>2001</w:t>
      </w:r>
      <w:r>
        <w:rPr>
          <w:spacing w:val="-2"/>
        </w:rPr>
        <w:t>年至今历任公司</w:t>
      </w:r>
      <w:r>
        <w:rPr>
          <w:spacing w:val="-39"/>
        </w:rPr>
        <w:t> </w:t>
      </w:r>
      <w:r>
        <w:rPr>
          <w:spacing w:val="-39"/>
        </w:rPr>
      </w:r>
      <w:r>
        <w:rPr/>
        <w:t>工程设备管理部经理、公司研发总监、公司职工监事、生产总监。</w:t>
      </w:r>
      <w:r>
        <w:rPr>
          <w:rFonts w:ascii="宋体" w:hAnsi="宋体" w:cs="宋体" w:eastAsia="宋体" w:hint="default"/>
        </w:rPr>
        <w:t>2009</w:t>
      </w:r>
      <w:r>
        <w:rPr/>
        <w:t>年至今</w:t>
      </w:r>
      <w:r>
        <w:rPr>
          <w:rFonts w:ascii="宋体" w:hAnsi="宋体" w:cs="宋体" w:eastAsia="宋体" w:hint="default"/>
        </w:rPr>
        <w:t>,</w:t>
      </w:r>
      <w:r>
        <w:rPr/>
        <w:t>历任天津环球副总经理、</w:t>
      </w:r>
      <w:r>
        <w:rPr>
          <w:spacing w:val="-25"/>
        </w:rPr>
        <w:t> </w:t>
      </w:r>
      <w:r>
        <w:rPr>
          <w:spacing w:val="-25"/>
        </w:rPr>
      </w:r>
      <w:r>
        <w:rPr/>
        <w:t>常务副总经理、总经理。</w:t>
      </w:r>
    </w:p>
    <w:p>
      <w:pPr>
        <w:spacing w:line="364" w:lineRule="auto" w:before="3"/>
        <w:ind w:left="566" w:right="4074" w:hanging="414"/>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（三）公司高级管理人员任职情况</w:t>
      </w:r>
      <w:r>
        <w:rPr>
          <w:rFonts w:ascii="Microsoft JhengHei" w:hAnsi="Microsoft JhengHei" w:cs="Microsoft JhengHei" w:eastAsia="Microsoft JhengHei" w:hint="default"/>
          <w:b/>
          <w:bCs/>
          <w:spacing w:val="-41"/>
          <w:sz w:val="21"/>
          <w:szCs w:val="21"/>
        </w:rPr>
        <w:t> </w:t>
      </w:r>
      <w:r>
        <w:rPr>
          <w:rFonts w:ascii="Microsoft JhengHei" w:hAnsi="Microsoft JhengHei" w:cs="Microsoft JhengHei" w:eastAsia="Microsoft JhengHei" w:hint="default"/>
          <w:b/>
          <w:bCs/>
          <w:spacing w:val="-41"/>
          <w:sz w:val="21"/>
          <w:szCs w:val="21"/>
        </w:rPr>
      </w:r>
      <w:r>
        <w:rPr>
          <w:rFonts w:ascii="宋体" w:hAnsi="宋体" w:cs="宋体" w:eastAsia="宋体" w:hint="default"/>
          <w:spacing w:val="-2"/>
          <w:sz w:val="21"/>
          <w:szCs w:val="21"/>
        </w:rPr>
        <w:t>孙学军，详见“（一）公司董事任职情况”</w:t>
      </w:r>
    </w:p>
    <w:p>
      <w:pPr>
        <w:spacing w:line="240" w:lineRule="auto" w:before="2"/>
        <w:rPr>
          <w:rFonts w:ascii="宋体" w:hAnsi="宋体" w:cs="宋体" w:eastAsia="宋体" w:hint="default"/>
          <w:sz w:val="14"/>
          <w:szCs w:val="14"/>
        </w:rPr>
      </w:pPr>
    </w:p>
    <w:p>
      <w:pPr>
        <w:pStyle w:val="BodyText"/>
        <w:spacing w:line="408" w:lineRule="auto" w:before="0"/>
        <w:ind w:right="208" w:firstLine="413"/>
        <w:jc w:val="both"/>
      </w:pPr>
      <w:r>
        <w:rPr>
          <w:spacing w:val="-2"/>
        </w:rPr>
        <w:t>赵建平，中国国籍，无境外居留权，</w:t>
      </w:r>
      <w:r>
        <w:rPr>
          <w:rFonts w:ascii="宋体" w:hAnsi="宋体" w:cs="宋体" w:eastAsia="宋体" w:hint="default"/>
          <w:spacing w:val="-2"/>
        </w:rPr>
        <w:t>1968</w:t>
      </w:r>
      <w:r>
        <w:rPr>
          <w:spacing w:val="-2"/>
        </w:rPr>
        <w:t>年</w:t>
      </w:r>
      <w:r>
        <w:rPr>
          <w:rFonts w:ascii="宋体" w:hAnsi="宋体" w:cs="宋体" w:eastAsia="宋体" w:hint="default"/>
          <w:spacing w:val="-2"/>
        </w:rPr>
        <w:t>11</w:t>
      </w:r>
      <w:r>
        <w:rPr>
          <w:spacing w:val="-2"/>
        </w:rPr>
        <w:t>月出生，男，中共党员，大学本科，工程师，高级生产</w:t>
      </w:r>
      <w:r>
        <w:rPr>
          <w:w w:val="100"/>
        </w:rPr>
        <w:t> </w:t>
      </w:r>
      <w:r>
        <w:rPr/>
        <w:t>运作管理师，现任公司副总经理，永鑫包装董事长，天津环球董事。主要工作经历：</w:t>
      </w:r>
      <w:r>
        <w:rPr>
          <w:rFonts w:ascii="宋体" w:hAnsi="宋体" w:cs="宋体" w:eastAsia="宋体" w:hint="default"/>
        </w:rPr>
        <w:t>2001</w:t>
      </w:r>
      <w:r>
        <w:rPr/>
        <w:t>年</w:t>
      </w:r>
      <w:r>
        <w:rPr>
          <w:rFonts w:ascii="宋体" w:hAnsi="宋体" w:cs="宋体" w:eastAsia="宋体" w:hint="default"/>
        </w:rPr>
        <w:t>-2004</w:t>
      </w:r>
      <w:r>
        <w:rPr/>
        <w:t>年任公</w:t>
      </w:r>
      <w:r>
        <w:rPr>
          <w:spacing w:val="-25"/>
        </w:rPr>
        <w:t> </w:t>
      </w:r>
      <w:r>
        <w:rPr/>
        <w:t>司生产部经理；</w:t>
      </w:r>
      <w:r>
        <w:rPr>
          <w:rFonts w:ascii="宋体" w:hAnsi="宋体" w:cs="宋体" w:eastAsia="宋体" w:hint="default"/>
        </w:rPr>
        <w:t>2004</w:t>
      </w:r>
      <w:r>
        <w:rPr/>
        <w:t>年</w:t>
      </w:r>
      <w:r>
        <w:rPr>
          <w:rFonts w:ascii="宋体" w:hAnsi="宋体" w:cs="宋体" w:eastAsia="宋体" w:hint="default"/>
        </w:rPr>
        <w:t>-2010</w:t>
      </w:r>
      <w:r>
        <w:rPr/>
        <w:t>年任永鑫包装副总经理、总经理；</w:t>
      </w:r>
      <w:r>
        <w:rPr>
          <w:rFonts w:ascii="宋体" w:hAnsi="宋体" w:cs="宋体" w:eastAsia="宋体" w:hint="default"/>
        </w:rPr>
        <w:t>2010</w:t>
      </w:r>
      <w:r>
        <w:rPr/>
        <w:t>年至今历任公司总经理助理、副总经</w:t>
      </w:r>
      <w:r>
        <w:rPr>
          <w:spacing w:val="-26"/>
        </w:rPr>
        <w:t> </w:t>
      </w:r>
      <w:r>
        <w:rPr>
          <w:spacing w:val="-26"/>
        </w:rPr>
      </w:r>
      <w:r>
        <w:rPr/>
        <w:t>理、永鑫包装执行董事、天津环球董事、总经理。</w:t>
      </w:r>
    </w:p>
    <w:p>
      <w:pPr>
        <w:pStyle w:val="BodyText"/>
        <w:spacing w:line="408" w:lineRule="auto" w:before="147"/>
        <w:ind w:right="0" w:firstLine="413"/>
        <w:jc w:val="left"/>
      </w:pPr>
      <w:r>
        <w:rPr/>
        <w:t>林蔚，中国国籍，无境外居留权，</w:t>
      </w:r>
      <w:r>
        <w:rPr>
          <w:rFonts w:ascii="宋体" w:hAnsi="宋体" w:cs="宋体" w:eastAsia="宋体" w:hint="default"/>
        </w:rPr>
        <w:t>1970</w:t>
      </w:r>
      <w:r>
        <w:rPr/>
        <w:t>年</w:t>
      </w:r>
      <w:r>
        <w:rPr>
          <w:rFonts w:ascii="宋体" w:hAnsi="宋体" w:cs="宋体" w:eastAsia="宋体" w:hint="default"/>
        </w:rPr>
        <w:t>2</w:t>
      </w:r>
      <w:r>
        <w:rPr/>
        <w:t>月出生，女，中共党员，大专学历，会计师、高级国际财</w:t>
      </w:r>
      <w:r>
        <w:rPr>
          <w:w w:val="100"/>
        </w:rPr>
        <w:t> </w:t>
      </w:r>
      <w:r>
        <w:rPr>
          <w:spacing w:val="-4"/>
        </w:rPr>
        <w:t>务管理师，现任公司总会计师（财务负责人）、董事会秘书，天津环球董事。主要工作经历：</w:t>
      </w:r>
      <w:r>
        <w:rPr>
          <w:rFonts w:ascii="宋体" w:hAnsi="宋体" w:cs="宋体" w:eastAsia="宋体" w:hint="default"/>
          <w:spacing w:val="-4"/>
        </w:rPr>
        <w:t>2001</w:t>
      </w:r>
      <w:r>
        <w:rPr>
          <w:spacing w:val="-4"/>
        </w:rPr>
        <w:t>年至今，</w:t>
      </w:r>
      <w:r>
        <w:rPr>
          <w:spacing w:val="-46"/>
        </w:rPr>
        <w:t> </w:t>
      </w:r>
      <w:r>
        <w:rPr>
          <w:spacing w:val="-46"/>
        </w:rPr>
      </w:r>
      <w:r>
        <w:rPr>
          <w:spacing w:val="-3"/>
        </w:rPr>
        <w:t>历任公司会计主管、经理助理、财务部经理、总会计师（财务负责人）、董事会秘书；天津环球董事；西</w:t>
      </w:r>
      <w:r>
        <w:rPr>
          <w:spacing w:val="-6"/>
        </w:rPr>
        <w:t> </w:t>
      </w:r>
      <w:r>
        <w:rPr>
          <w:spacing w:val="-6"/>
        </w:rPr>
      </w:r>
      <w:r>
        <w:rPr/>
        <w:t>安德宝董事。</w:t>
      </w:r>
    </w:p>
    <w:p>
      <w:pPr>
        <w:pStyle w:val="BodyText"/>
        <w:spacing w:line="408" w:lineRule="auto" w:before="144"/>
        <w:ind w:right="206" w:firstLine="413"/>
        <w:jc w:val="both"/>
      </w:pPr>
      <w:r>
        <w:rPr/>
        <w:t>夏顺伟，中国国籍，无境外居留权男，</w:t>
      </w:r>
      <w:r>
        <w:rPr>
          <w:rFonts w:ascii="宋体" w:hAnsi="宋体" w:cs="宋体" w:eastAsia="宋体" w:hint="default"/>
        </w:rPr>
        <w:t>1964</w:t>
      </w:r>
      <w:r>
        <w:rPr/>
        <w:t>年</w:t>
      </w:r>
      <w:r>
        <w:rPr>
          <w:rFonts w:ascii="宋体" w:hAnsi="宋体" w:cs="宋体" w:eastAsia="宋体" w:hint="default"/>
        </w:rPr>
        <w:t>8</w:t>
      </w:r>
      <w:r>
        <w:rPr/>
        <w:t>月出生，硕士研究生，九三学社社员，高级工程师。</w:t>
      </w:r>
      <w:r>
        <w:rPr>
          <w:w w:val="100"/>
        </w:rPr>
        <w:t> </w:t>
      </w:r>
      <w:r>
        <w:rPr>
          <w:spacing w:val="-2"/>
        </w:rPr>
        <w:t>现任公司副总经理，西安德宝药用包装有限公司董事、总经理。曾获得“西部开发优秀创业者”、“</w:t>
      </w:r>
      <w:r>
        <w:rPr>
          <w:rFonts w:ascii="宋体" w:hAnsi="宋体" w:cs="宋体" w:eastAsia="宋体" w:hint="default"/>
          <w:spacing w:val="-2"/>
        </w:rPr>
        <w:t>2011</w:t>
      </w:r>
      <w:r>
        <w:rPr>
          <w:rFonts w:ascii="宋体" w:hAnsi="宋体" w:cs="宋体" w:eastAsia="宋体" w:hint="default"/>
          <w:spacing w:val="-42"/>
        </w:rPr>
        <w:t> </w:t>
      </w:r>
      <w:r>
        <w:rPr>
          <w:rFonts w:ascii="宋体" w:hAnsi="宋体" w:cs="宋体" w:eastAsia="宋体" w:hint="default"/>
          <w:spacing w:val="-42"/>
        </w:rPr>
      </w:r>
      <w:r>
        <w:rPr>
          <w:spacing w:val="-2"/>
        </w:rPr>
        <w:t>中国优秀创新企业家”、“陕西省医药系统先进工作者”、第五届陕西省优秀企业家”等荣誉称号。主要</w:t>
      </w:r>
      <w:r>
        <w:rPr>
          <w:spacing w:val="-41"/>
        </w:rPr>
        <w:t> </w:t>
      </w:r>
      <w:r>
        <w:rPr>
          <w:spacing w:val="-41"/>
        </w:rPr>
      </w:r>
      <w:r>
        <w:rPr/>
        <w:t>工作经历：</w:t>
      </w:r>
      <w:r>
        <w:rPr>
          <w:rFonts w:ascii="宋体" w:hAnsi="宋体" w:cs="宋体" w:eastAsia="宋体" w:hint="default"/>
        </w:rPr>
        <w:t>1999</w:t>
      </w:r>
      <w:r>
        <w:rPr/>
        <w:t>年</w:t>
      </w:r>
      <w:r>
        <w:rPr>
          <w:rFonts w:ascii="宋体" w:hAnsi="宋体" w:cs="宋体" w:eastAsia="宋体" w:hint="default"/>
        </w:rPr>
        <w:t>7</w:t>
      </w:r>
      <w:r>
        <w:rPr/>
        <w:t>月</w:t>
      </w:r>
      <w:r>
        <w:rPr>
          <w:rFonts w:ascii="宋体" w:hAnsi="宋体" w:cs="宋体" w:eastAsia="宋体" w:hint="default"/>
        </w:rPr>
        <w:t>-2001</w:t>
      </w:r>
      <w:r>
        <w:rPr/>
        <w:t>年</w:t>
      </w:r>
      <w:r>
        <w:rPr>
          <w:rFonts w:ascii="宋体" w:hAnsi="宋体" w:cs="宋体" w:eastAsia="宋体" w:hint="default"/>
        </w:rPr>
        <w:t>5</w:t>
      </w:r>
      <w:r>
        <w:rPr/>
        <w:t>月，在西安德宝药用包装有限公司工作，历任市场部经理、市场总监、执</w:t>
      </w:r>
      <w:r>
        <w:rPr>
          <w:spacing w:val="-28"/>
        </w:rPr>
        <w:t> </w:t>
      </w:r>
      <w:r>
        <w:rPr>
          <w:spacing w:val="-28"/>
        </w:rPr>
      </w:r>
      <w:r>
        <w:rPr/>
        <w:t>行总经理。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5"/>
        <w:ind w:left="152" w:right="8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在其他单位任职情况</w:t>
      </w:r>
    </w:p>
    <w:p>
      <w:pPr>
        <w:spacing w:line="338" w:lineRule="auto" w:before="41"/>
        <w:ind w:left="152" w:right="3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公司现任及报告期内离任董事、监事和高级管理人员近三年证券监管机构处罚的情况</w:t>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41" w:lineRule="auto" w:before="0"/>
        <w:ind w:left="582" w:right="0" w:hanging="431"/>
        <w:jc w:val="left"/>
      </w:pPr>
      <w:r>
        <w:rPr/>
        <w:t>董事、监事、高级管理人员报酬的决策程序、确定依据、实际支付情况</w:t>
      </w:r>
      <w:r>
        <w:rPr>
          <w:w w:val="100"/>
        </w:rPr>
        <w:t> </w:t>
      </w:r>
      <w:r>
        <w:rPr>
          <w:spacing w:val="-2"/>
        </w:rPr>
        <w:t>公司董事（非独立董事）、监事及高级管理人员的年度薪酬根据公司审议通过的绩效考核方案执行，</w:t>
      </w:r>
    </w:p>
    <w:p>
      <w:pPr>
        <w:pStyle w:val="BodyText"/>
        <w:spacing w:line="240" w:lineRule="auto" w:before="16"/>
        <w:ind w:right="0"/>
        <w:jc w:val="left"/>
      </w:pPr>
      <w:r>
        <w:rPr/>
        <w:t>结合年度经营业绩及个人考核情况进行核定。董事会薪酬与考核委员会对公司董事（非独立董事）及高级</w:t>
      </w:r>
    </w:p>
    <w:p>
      <w:pPr>
        <w:spacing w:after="0" w:line="240" w:lineRule="auto"/>
        <w:jc w:val="left"/>
        <w:sectPr>
          <w:pgSz w:w="11910" w:h="16840"/>
          <w:pgMar w:header="0" w:footer="980" w:top="1500" w:bottom="1160" w:left="980" w:right="920"/>
        </w:sectPr>
      </w:pPr>
    </w:p>
    <w:p>
      <w:pPr>
        <w:pStyle w:val="BodyText"/>
        <w:spacing w:line="408" w:lineRule="auto" w:before="116"/>
        <w:ind w:right="0"/>
        <w:jc w:val="left"/>
      </w:pPr>
      <w:r>
        <w:rPr>
          <w:spacing w:val="-2"/>
        </w:rPr>
        <w:t>管理人员的年度工作情况进行评定，年度考核采取工作汇报与综合评议的方式进行。</w:t>
      </w:r>
      <w:r>
        <w:rPr>
          <w:rFonts w:ascii="宋体" w:hAnsi="宋体" w:cs="宋体" w:eastAsia="宋体" w:hint="default"/>
          <w:spacing w:val="-2"/>
        </w:rPr>
        <w:t>2017</w:t>
      </w:r>
      <w:r>
        <w:rPr>
          <w:spacing w:val="-2"/>
        </w:rPr>
        <w:t>年度独立董事年</w:t>
      </w:r>
      <w:r>
        <w:rPr>
          <w:spacing w:val="-39"/>
        </w:rPr>
        <w:t> </w:t>
      </w:r>
      <w:r>
        <w:rPr>
          <w:spacing w:val="-39"/>
        </w:rPr>
      </w:r>
      <w:r>
        <w:rPr/>
        <w:t>薪标准为每人</w:t>
      </w:r>
      <w:r>
        <w:rPr>
          <w:rFonts w:ascii="宋体" w:hAnsi="宋体" w:cs="宋体" w:eastAsia="宋体" w:hint="default"/>
        </w:rPr>
        <w:t>5</w:t>
      </w:r>
      <w:r>
        <w:rPr/>
        <w:t>万元（含税）。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980" w:top="1500" w:bottom="1160" w:left="980" w:right="980"/>
        </w:sectPr>
      </w:pPr>
    </w:p>
    <w:p>
      <w:pPr>
        <w:pStyle w:val="Heading3"/>
        <w:spacing w:line="335" w:lineRule="exact"/>
        <w:ind w:left="2654" w:right="0"/>
        <w:jc w:val="left"/>
        <w:rPr>
          <w:b w:val="0"/>
          <w:bCs w:val="0"/>
        </w:rPr>
      </w:pPr>
      <w:r>
        <w:rPr>
          <w:spacing w:val="-1"/>
        </w:rPr>
        <w:t>公司报告期内董事、监事和高级管理人员报酬情况</w:t>
      </w:r>
      <w:r>
        <w:rPr>
          <w:b w:val="0"/>
          <w:bCs w:val="0"/>
          <w:spacing w:val="-1"/>
        </w:rPr>
      </w:r>
    </w:p>
    <w:p>
      <w:pPr>
        <w:spacing w:line="240" w:lineRule="auto" w:before="7"/>
        <w:rPr>
          <w:rFonts w:ascii="Microsoft JhengHei" w:hAnsi="Microsoft JhengHei" w:cs="Microsoft JhengHei" w:eastAsia="Microsoft JhengHei" w:hint="default"/>
          <w:b/>
          <w:bCs/>
          <w:sz w:val="23"/>
          <w:szCs w:val="23"/>
        </w:rPr>
      </w:pPr>
      <w:r>
        <w:rPr/>
        <w:br w:type="column"/>
      </w:r>
      <w:r>
        <w:rPr>
          <w:rFonts w:ascii="Microsoft JhengHei"/>
          <w:b/>
          <w:sz w:val="23"/>
        </w:rPr>
      </w:r>
    </w:p>
    <w:p>
      <w:pPr>
        <w:spacing w:before="0"/>
        <w:ind w:left="1559"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280" w:left="980" w:right="980"/>
          <w:cols w:num="2" w:equalWidth="0">
            <w:col w:w="7294" w:space="40"/>
            <w:col w:w="2616"/>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李移岭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74.69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孙学军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张明禹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冯均科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宋林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张兴才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冯杰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惠俊玉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410" w:right="46" w:hanging="360"/>
              <w:jc w:val="left"/>
              <w:rPr>
                <w:rFonts w:ascii="宋体" w:hAnsi="宋体" w:cs="宋体" w:eastAsia="宋体" w:hint="default"/>
                <w:sz w:val="18"/>
                <w:szCs w:val="18"/>
              </w:rPr>
            </w:pPr>
            <w:r>
              <w:rPr>
                <w:rFonts w:ascii="宋体" w:hAnsi="宋体" w:cs="宋体" w:eastAsia="宋体" w:hint="default"/>
                <w:sz w:val="18"/>
                <w:szCs w:val="18"/>
              </w:rPr>
              <w:t>董事会秘书、总 会计师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赵建平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夏顺伟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常鹏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329.75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五、公司员工情况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841</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841</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580" w:bottom="280" w:left="980" w:right="980"/>
        </w:sectPr>
      </w:pPr>
    </w:p>
    <w:p>
      <w:pPr>
        <w:spacing w:line="240" w:lineRule="auto" w:before="2"/>
        <w:rPr>
          <w:rFonts w:ascii="Microsoft JhengHei" w:hAnsi="Microsoft JhengHei" w:cs="Microsoft JhengHei" w:eastAsia="Microsoft JhengHei" w:hint="default"/>
          <w:b/>
          <w:bCs/>
          <w:sz w:val="2"/>
          <w:szCs w:val="2"/>
        </w:rPr>
      </w:pPr>
    </w:p>
    <w:tbl>
      <w:tblPr>
        <w:tblW w:w="0" w:type="auto"/>
        <w:jc w:val="left"/>
        <w:tblInd w:w="120" w:type="dxa"/>
        <w:tblLayout w:type="fixed"/>
        <w:tblCellMar>
          <w:top w:w="0" w:type="dxa"/>
          <w:left w:w="0" w:type="dxa"/>
          <w:bottom w:w="0" w:type="dxa"/>
          <w:right w:w="0" w:type="dxa"/>
        </w:tblCellMar>
        <w:tblLook w:val="01E0"/>
      </w:tblPr>
      <w:tblGrid>
        <w:gridCol w:w="4767"/>
        <w:gridCol w:w="4792"/>
      </w:tblGrid>
      <w:tr>
        <w:trPr>
          <w:trHeight w:val="406" w:hRule="exact"/>
        </w:trPr>
        <w:tc>
          <w:tcPr>
            <w:tcW w:w="9559" w:type="dxa"/>
            <w:gridSpan w:val="2"/>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530</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210</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841</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大学（含大专）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281</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高中或中专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556</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841</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left="112" w:right="0"/>
        <w:jc w:val="both"/>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left="112" w:right="206" w:firstLine="336"/>
        <w:jc w:val="both"/>
      </w:pPr>
      <w:r>
        <w:rPr/>
        <w:t>公司实行以绩效为导向的薪酬与绩效管理制度，薪酬计发在岗位价值基础上充分体现对员工工作绩效</w:t>
      </w:r>
      <w:r>
        <w:rPr>
          <w:w w:val="100"/>
        </w:rPr>
        <w:t> </w:t>
      </w:r>
      <w:r>
        <w:rPr>
          <w:spacing w:val="-2"/>
        </w:rPr>
        <w:t>和执业能力的肯定，同时，依照政策为员工提供五险一金、带薪休假和培训、福利用餐、住宿等待遇，并</w:t>
      </w:r>
      <w:r>
        <w:rPr>
          <w:spacing w:val="-45"/>
        </w:rPr>
        <w:t> </w:t>
      </w:r>
      <w:r>
        <w:rPr>
          <w:spacing w:val="-45"/>
        </w:rPr>
      </w:r>
      <w:r>
        <w:rPr>
          <w:spacing w:val="-2"/>
        </w:rPr>
        <w:t>以行业市场为导向，结合地区差异和物价水平的变化，逐年完善企业薪酬结构与体系，形成了原则清晰又</w:t>
      </w:r>
      <w:r>
        <w:rPr>
          <w:spacing w:val="-43"/>
        </w:rPr>
        <w:t> </w:t>
      </w:r>
      <w:r>
        <w:rPr>
          <w:spacing w:val="-43"/>
        </w:rPr>
      </w:r>
      <w:r>
        <w:rPr/>
        <w:t>适度灵活的积极型薪酬政策。</w:t>
      </w:r>
    </w:p>
    <w:p>
      <w:pPr>
        <w:spacing w:line="240" w:lineRule="auto" w:before="6"/>
        <w:rPr>
          <w:rFonts w:ascii="宋体" w:hAnsi="宋体" w:cs="宋体" w:eastAsia="宋体" w:hint="default"/>
          <w:sz w:val="15"/>
          <w:szCs w:val="15"/>
        </w:rPr>
      </w:pPr>
    </w:p>
    <w:p>
      <w:pPr>
        <w:pStyle w:val="BodyText"/>
        <w:spacing w:line="496" w:lineRule="auto" w:before="0"/>
        <w:ind w:left="449" w:right="0" w:hanging="337"/>
        <w:jc w:val="left"/>
      </w:pPr>
      <w:r>
        <w:rPr>
          <w:rFonts w:ascii="Times New Roman" w:hAnsi="Times New Roman" w:cs="Times New Roman" w:eastAsia="Times New Roman" w:hint="default"/>
          <w:b/>
          <w:bCs/>
        </w:rPr>
        <w:t>3</w:t>
      </w:r>
      <w:r>
        <w:rPr>
          <w:rFonts w:ascii="Microsoft JhengHei" w:hAnsi="Microsoft JhengHei" w:cs="Microsoft JhengHei" w:eastAsia="Microsoft JhengHei" w:hint="default"/>
          <w:b/>
          <w:bCs/>
        </w:rPr>
        <w:t>、培训计划</w:t>
      </w:r>
      <w:r>
        <w:rPr>
          <w:rFonts w:ascii="Microsoft JhengHei" w:hAnsi="Microsoft JhengHei" w:cs="Microsoft JhengHei" w:eastAsia="Microsoft JhengHei" w:hint="default"/>
          <w:b/>
          <w:bCs/>
          <w:spacing w:val="-46"/>
        </w:rPr>
        <w:t> </w:t>
      </w:r>
      <w:r>
        <w:rPr/>
        <w:t>公司一贯非常重视员工培训，认为培训是促进人才培养和公司进步的重要途径，人力资源部按年度收</w:t>
      </w:r>
    </w:p>
    <w:p>
      <w:pPr>
        <w:pStyle w:val="BodyText"/>
        <w:spacing w:line="243" w:lineRule="exact" w:before="0"/>
        <w:ind w:left="112" w:right="0"/>
        <w:jc w:val="both"/>
      </w:pPr>
      <w:r>
        <w:rPr>
          <w:spacing w:val="-5"/>
        </w:rPr>
        <w:t>集和分析管理需求、制定和执行培训计划，从环境安全、精益生产、专业技术、特殊工种技能、通用管理、</w:t>
      </w:r>
    </w:p>
    <w:p>
      <w:pPr>
        <w:spacing w:line="240" w:lineRule="auto" w:before="10"/>
        <w:rPr>
          <w:rFonts w:ascii="宋体" w:hAnsi="宋体" w:cs="宋体" w:eastAsia="宋体" w:hint="default"/>
          <w:sz w:val="14"/>
          <w:szCs w:val="14"/>
        </w:rPr>
      </w:pPr>
    </w:p>
    <w:p>
      <w:pPr>
        <w:pStyle w:val="BodyText"/>
        <w:spacing w:line="408" w:lineRule="auto" w:before="0"/>
        <w:ind w:left="112" w:right="206"/>
        <w:jc w:val="both"/>
      </w:pPr>
      <w:r>
        <w:rPr>
          <w:spacing w:val="-2"/>
        </w:rPr>
        <w:t>企业文化、新员工等多个维度，合理筹划课程，多层次选择培训方式，以员工成长和企业受益并重为终极</w:t>
      </w:r>
      <w:r>
        <w:rPr>
          <w:spacing w:val="-47"/>
        </w:rPr>
        <w:t> </w:t>
      </w:r>
      <w:r>
        <w:rPr>
          <w:spacing w:val="-47"/>
        </w:rPr>
      </w:r>
      <w:r>
        <w:rPr>
          <w:spacing w:val="-2"/>
        </w:rPr>
        <w:t>落脚点，推动员工自我提升与团队改善的有机结合，很好地促进了员工工作绩效和企业经营业绩的同步提</w:t>
      </w:r>
      <w:r>
        <w:rPr>
          <w:spacing w:val="-44"/>
        </w:rPr>
        <w:t> </w:t>
      </w:r>
      <w:r>
        <w:rPr>
          <w:spacing w:val="-44"/>
        </w:rPr>
      </w:r>
      <w:r>
        <w:rPr/>
        <w:t>升。</w:t>
      </w:r>
    </w:p>
    <w:p>
      <w:pPr>
        <w:spacing w:line="240" w:lineRule="auto" w:before="6"/>
        <w:rPr>
          <w:rFonts w:ascii="宋体" w:hAnsi="宋体" w:cs="宋体" w:eastAsia="宋体" w:hint="default"/>
          <w:sz w:val="15"/>
          <w:szCs w:val="15"/>
        </w:rPr>
      </w:pPr>
    </w:p>
    <w:p>
      <w:pPr>
        <w:pStyle w:val="Heading3"/>
        <w:spacing w:line="240" w:lineRule="auto"/>
        <w:ind w:left="112"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0" w:footer="980" w:top="1500" w:bottom="1160" w:left="102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44"/>
        <w:ind w:left="3750" w:right="3806"/>
        <w:jc w:val="center"/>
        <w:rPr>
          <w:b w:val="0"/>
          <w:bCs w:val="0"/>
        </w:rPr>
      </w:pPr>
      <w:bookmarkStart w:name="_bookmark9" w:id="10"/>
      <w:bookmarkEnd w:id="10"/>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一、公司治理的基本状况</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BodyText"/>
        <w:spacing w:line="408" w:lineRule="auto" w:before="0"/>
        <w:ind w:right="206" w:firstLine="420"/>
        <w:jc w:val="both"/>
      </w:pPr>
      <w:r>
        <w:rPr>
          <w:spacing w:val="-2"/>
        </w:rPr>
        <w:t>报告期内，公司严格按照《公司法》、《证券法》、《上市公司治理准则》、《深圳证券交易所股票</w:t>
      </w:r>
      <w:r>
        <w:rPr>
          <w:w w:val="100"/>
        </w:rPr>
        <w:t> </w:t>
      </w:r>
      <w:r>
        <w:rPr>
          <w:spacing w:val="-2"/>
        </w:rPr>
        <w:t>上市规则》、《深圳证券交易所中小企业板上市公司规范运作指引》和中国证监会及深圳证券交易所其他</w:t>
      </w:r>
      <w:r>
        <w:rPr>
          <w:spacing w:val="-44"/>
        </w:rPr>
        <w:t> </w:t>
      </w:r>
      <w:r>
        <w:rPr>
          <w:spacing w:val="-44"/>
        </w:rPr>
      </w:r>
      <w:r>
        <w:rPr>
          <w:spacing w:val="-2"/>
        </w:rPr>
        <w:t>有关法律法规的要求，不断完善公司的法人治理结构，建立健全公司内控制度，股东大会、董事会和监事</w:t>
      </w:r>
      <w:r>
        <w:rPr>
          <w:spacing w:val="-47"/>
        </w:rPr>
        <w:t> </w:t>
      </w:r>
      <w:r>
        <w:rPr>
          <w:spacing w:val="-47"/>
        </w:rPr>
      </w:r>
      <w:r>
        <w:rPr>
          <w:spacing w:val="-2"/>
        </w:rPr>
        <w:t>会运作规范，独立董事、董事会各专门委员会各司其职，不断加强公司管理，控制防范风险，规范公司运</w:t>
      </w:r>
      <w:r>
        <w:rPr>
          <w:spacing w:val="-43"/>
        </w:rPr>
        <w:t> </w:t>
      </w:r>
      <w:r>
        <w:rPr>
          <w:spacing w:val="-43"/>
        </w:rPr>
      </w:r>
      <w:r>
        <w:rPr/>
        <w:t>作，提高运行效率。</w:t>
      </w:r>
    </w:p>
    <w:p>
      <w:pPr>
        <w:pStyle w:val="Heading3"/>
        <w:spacing w:line="268" w:lineRule="exact"/>
        <w:ind w:right="0"/>
        <w:jc w:val="left"/>
        <w:rPr>
          <w:b w:val="0"/>
          <w:bCs w:val="0"/>
        </w:rPr>
      </w:pPr>
      <w:r>
        <w:rPr/>
        <w:t>（一）关于股东与股东大会</w:t>
      </w:r>
      <w:r>
        <w:rPr>
          <w:b w:val="0"/>
          <w:bCs w:val="0"/>
        </w:rPr>
      </w:r>
    </w:p>
    <w:p>
      <w:pPr>
        <w:pStyle w:val="BodyText"/>
        <w:spacing w:line="400" w:lineRule="auto" w:before="90"/>
        <w:ind w:right="0" w:firstLine="420"/>
        <w:jc w:val="left"/>
      </w:pPr>
      <w:r>
        <w:rPr/>
        <w:t>报告期内，公司共召开</w:t>
      </w:r>
      <w:r>
        <w:rPr>
          <w:rFonts w:ascii="Times New Roman" w:hAnsi="Times New Roman" w:cs="Times New Roman" w:eastAsia="Times New Roman" w:hint="default"/>
        </w:rPr>
        <w:t>1</w:t>
      </w:r>
      <w:r>
        <w:rPr/>
        <w:t>次股东大会。股东大会的召集召开程序、提案审议程序、决策程序均符合相</w:t>
      </w:r>
      <w:r>
        <w:rPr>
          <w:w w:val="100"/>
        </w:rPr>
        <w:t> </w:t>
      </w:r>
      <w:r>
        <w:rPr>
          <w:spacing w:val="-2"/>
        </w:rPr>
        <w:t>关规定，保证全体股东，尤其是中小股东能按其所持股份享有平等权利，并能充分行使其相应的权利。同</w:t>
      </w:r>
      <w:r>
        <w:rPr>
          <w:spacing w:val="-44"/>
        </w:rPr>
        <w:t> </w:t>
      </w:r>
      <w:r>
        <w:rPr>
          <w:spacing w:val="-44"/>
        </w:rPr>
      </w:r>
      <w:r>
        <w:rPr>
          <w:spacing w:val="-2"/>
        </w:rPr>
        <w:t>时，公司严格执行《深圳证券交易所上市公司股东大会网络投票实施细则》，保证了全体股东对公司重大</w:t>
      </w:r>
      <w:r>
        <w:rPr>
          <w:spacing w:val="-47"/>
        </w:rPr>
        <w:t> </w:t>
      </w:r>
      <w:r>
        <w:rPr>
          <w:spacing w:val="-47"/>
        </w:rPr>
      </w:r>
      <w:r>
        <w:rPr/>
        <w:t>事项的知情权、参与权及表决权，切实维护了全体股东的合法权益，尤其是中小投资者的权益。</w:t>
      </w:r>
    </w:p>
    <w:p>
      <w:pPr>
        <w:pStyle w:val="Heading3"/>
        <w:spacing w:line="274" w:lineRule="exact"/>
        <w:ind w:right="0"/>
        <w:jc w:val="left"/>
        <w:rPr>
          <w:b w:val="0"/>
          <w:bCs w:val="0"/>
        </w:rPr>
      </w:pPr>
      <w:r>
        <w:rPr/>
        <w:t>（二）关于控股股东与公司的关系</w:t>
      </w:r>
      <w:r>
        <w:rPr>
          <w:b w:val="0"/>
          <w:bCs w:val="0"/>
        </w:rPr>
      </w:r>
    </w:p>
    <w:p>
      <w:pPr>
        <w:pStyle w:val="BodyText"/>
        <w:spacing w:line="386" w:lineRule="auto" w:before="90"/>
        <w:ind w:right="300" w:firstLine="420"/>
        <w:jc w:val="both"/>
      </w:pPr>
      <w:r>
        <w:rPr>
          <w:spacing w:val="-2"/>
        </w:rPr>
        <w:t>公司拥有独立的业务和经营自主能力，在业务、人员、资产、机构、财务等方面与控股股东做到</w:t>
      </w:r>
      <w:r>
        <w:rPr>
          <w:rFonts w:ascii="Times New Roman" w:hAnsi="Times New Roman" w:cs="Times New Roman" w:eastAsia="Times New Roman" w:hint="default"/>
          <w:spacing w:val="-2"/>
        </w:rPr>
        <w:t>“</w:t>
      </w:r>
      <w:r>
        <w:rPr>
          <w:spacing w:val="-2"/>
        </w:rPr>
        <w:t>五</w:t>
      </w:r>
      <w:r>
        <w:rPr>
          <w:w w:val="100"/>
        </w:rPr>
        <w:t> </w:t>
      </w:r>
      <w:r>
        <w:rPr>
          <w:spacing w:val="-2"/>
        </w:rPr>
        <w:t>独立</w:t>
      </w:r>
      <w:r>
        <w:rPr>
          <w:rFonts w:ascii="Times New Roman" w:hAnsi="Times New Roman" w:cs="Times New Roman" w:eastAsia="Times New Roman" w:hint="default"/>
          <w:spacing w:val="-2"/>
        </w:rPr>
        <w:t>”</w:t>
      </w:r>
      <w:r>
        <w:rPr>
          <w:spacing w:val="-2"/>
        </w:rPr>
        <w:t>。公司董事会、监事会和内部机构能够独立运作。报告期内，公司与控股股东及其他关联方不存在</w:t>
      </w:r>
      <w:r>
        <w:rPr>
          <w:spacing w:val="-22"/>
        </w:rPr>
        <w:t> </w:t>
      </w:r>
      <w:r>
        <w:rPr>
          <w:spacing w:val="-22"/>
        </w:rPr>
      </w:r>
      <w:r>
        <w:rPr/>
        <w:t>非经营性资金往来的情况，亦不存在控股股东及其他关联方以其他方式变相资金占用的情形。</w:t>
      </w:r>
    </w:p>
    <w:p>
      <w:pPr>
        <w:pStyle w:val="Heading3"/>
        <w:spacing w:line="287" w:lineRule="exact"/>
        <w:ind w:right="0"/>
        <w:jc w:val="left"/>
        <w:rPr>
          <w:b w:val="0"/>
          <w:bCs w:val="0"/>
        </w:rPr>
      </w:pPr>
      <w:r>
        <w:rPr/>
        <w:t>（三）关于董事与董事会</w:t>
      </w:r>
      <w:r>
        <w:rPr>
          <w:b w:val="0"/>
          <w:bCs w:val="0"/>
        </w:rPr>
      </w:r>
    </w:p>
    <w:p>
      <w:pPr>
        <w:pStyle w:val="BodyText"/>
        <w:spacing w:line="408" w:lineRule="auto" w:before="90"/>
        <w:ind w:right="0" w:firstLine="420"/>
        <w:jc w:val="left"/>
      </w:pPr>
      <w:r>
        <w:rPr/>
        <w:t>报告期内，公司共召开</w:t>
      </w:r>
      <w:r>
        <w:rPr>
          <w:rFonts w:ascii="宋体" w:hAnsi="宋体" w:cs="宋体" w:eastAsia="宋体" w:hint="default"/>
        </w:rPr>
        <w:t>5</w:t>
      </w:r>
      <w:r>
        <w:rPr/>
        <w:t>次董事会会议。公司董事会人数和人员结构符合有关法律法规的要求。公司</w:t>
      </w:r>
      <w:r>
        <w:rPr>
          <w:w w:val="100"/>
        </w:rPr>
        <w:t> </w:t>
      </w:r>
      <w:r>
        <w:rPr>
          <w:spacing w:val="-3"/>
        </w:rPr>
        <w:t>董事会能够按照《公司法》等法律法规及《公司章程》、《董事会议事规则》等内控制度的要求召集、召</w:t>
      </w:r>
      <w:r>
        <w:rPr>
          <w:spacing w:val="-5"/>
        </w:rPr>
        <w:t> </w:t>
      </w:r>
      <w:r>
        <w:rPr>
          <w:spacing w:val="-5"/>
        </w:rPr>
      </w:r>
      <w:r>
        <w:rPr>
          <w:spacing w:val="-2"/>
        </w:rPr>
        <w:t>开董事会。公司全体董事均能认真履行董事职责，诚实守信、勤勉尽责。公司独立董事独立履行职责，维</w:t>
      </w:r>
      <w:r>
        <w:rPr>
          <w:spacing w:val="-43"/>
        </w:rPr>
        <w:t> </w:t>
      </w:r>
      <w:r>
        <w:rPr>
          <w:spacing w:val="-43"/>
        </w:rPr>
      </w:r>
      <w:r>
        <w:rPr/>
        <w:t>护公司整体利益，尤其关注中小股东合法权益不受侵害，对重大及重要事项发表独立意见。</w:t>
      </w:r>
    </w:p>
    <w:p>
      <w:pPr>
        <w:pStyle w:val="Heading3"/>
        <w:spacing w:line="268" w:lineRule="exact"/>
        <w:ind w:right="0"/>
        <w:jc w:val="left"/>
        <w:rPr>
          <w:b w:val="0"/>
          <w:bCs w:val="0"/>
        </w:rPr>
      </w:pPr>
      <w:r>
        <w:rPr/>
        <w:t>（四）关于监事和监事会</w:t>
      </w:r>
      <w:r>
        <w:rPr>
          <w:b w:val="0"/>
          <w:bCs w:val="0"/>
        </w:rPr>
      </w:r>
    </w:p>
    <w:p>
      <w:pPr>
        <w:pStyle w:val="BodyText"/>
        <w:spacing w:line="408" w:lineRule="auto" w:before="90"/>
        <w:ind w:right="0" w:firstLine="420"/>
        <w:jc w:val="left"/>
      </w:pPr>
      <w:r>
        <w:rPr/>
        <w:t>报告期内，公司共召开</w:t>
      </w:r>
      <w:r>
        <w:rPr>
          <w:rFonts w:ascii="宋体" w:hAnsi="宋体" w:cs="宋体" w:eastAsia="宋体" w:hint="default"/>
        </w:rPr>
        <w:t>5</w:t>
      </w:r>
      <w:r>
        <w:rPr/>
        <w:t>次监事会会议。公司监事会人数和人员结构符合有关法律法规的要求，公司</w:t>
      </w:r>
      <w:r>
        <w:rPr>
          <w:w w:val="100"/>
        </w:rPr>
        <w:t> </w:t>
      </w:r>
      <w:r>
        <w:rPr>
          <w:spacing w:val="-2"/>
        </w:rPr>
        <w:t>全体监事严格按照《公司法》、《监事会议事规则》以及《公司章程》的相关规定，规范监事会的召集、</w:t>
      </w:r>
      <w:r>
        <w:rPr>
          <w:spacing w:val="-20"/>
        </w:rPr>
        <w:t> </w:t>
      </w:r>
      <w:r>
        <w:rPr>
          <w:spacing w:val="-20"/>
        </w:rPr>
      </w:r>
      <w:r>
        <w:rPr>
          <w:spacing w:val="-2"/>
        </w:rPr>
        <w:t>召开和表决。公司监事在日常工作中本着对股东负责的态度，勤勉尽责的履行监督职责，对公司的财务和</w:t>
      </w:r>
      <w:r>
        <w:rPr>
          <w:spacing w:val="-43"/>
        </w:rPr>
        <w:t> </w:t>
      </w:r>
      <w:r>
        <w:rPr>
          <w:spacing w:val="-43"/>
        </w:rPr>
      </w:r>
      <w:r>
        <w:rPr/>
        <w:t>公司董事、高级管理人员履行职责情况进行监督。</w:t>
      </w:r>
    </w:p>
    <w:p>
      <w:pPr>
        <w:pStyle w:val="Heading3"/>
        <w:spacing w:line="268" w:lineRule="exact"/>
        <w:ind w:right="0"/>
        <w:jc w:val="left"/>
        <w:rPr>
          <w:b w:val="0"/>
          <w:bCs w:val="0"/>
        </w:rPr>
      </w:pPr>
      <w:r>
        <w:rPr/>
        <w:t>（五）关于利益相关者</w:t>
      </w:r>
      <w:r>
        <w:rPr>
          <w:b w:val="0"/>
          <w:bCs w:val="0"/>
        </w:rPr>
      </w:r>
    </w:p>
    <w:p>
      <w:pPr>
        <w:pStyle w:val="BodyText"/>
        <w:spacing w:line="408" w:lineRule="auto" w:before="90"/>
        <w:ind w:right="0" w:firstLine="420"/>
        <w:jc w:val="left"/>
      </w:pPr>
      <w:r>
        <w:rPr>
          <w:spacing w:val="-5"/>
        </w:rPr>
        <w:t>公司能够充分尊重和维护相关利益者的合法权益，加强与各方的沟通、交流和合作，实现股东、员工、</w:t>
      </w:r>
      <w:r>
        <w:rPr>
          <w:w w:val="100"/>
        </w:rPr>
        <w:t> </w:t>
      </w:r>
      <w:r>
        <w:rPr/>
        <w:t>社会等各方利益的协调平衡，共同推动公司持续、稳定、健康地发展。</w:t>
      </w:r>
    </w:p>
    <w:p>
      <w:pPr>
        <w:spacing w:after="0" w:line="408" w:lineRule="auto"/>
        <w:jc w:val="left"/>
        <w:sectPr>
          <w:pgSz w:w="11910" w:h="16840"/>
          <w:pgMar w:header="0" w:footer="980" w:top="1500" w:bottom="1160" w:left="980" w:right="9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4912" coordorigin="1104,44" coordsize="9698,2">
            <v:shape style="position:absolute;left:1104;top:44;width:9698;height:2" coordorigin="1104,44" coordsize="9698,0" path="m1104,44l10802,44e" filled="false" stroked="true" strokeweight=".72pt" strokecolor="#000000">
              <v:path arrowok="t"/>
            </v:shape>
            <w10:wrap type="none"/>
          </v:group>
        </w:pict>
      </w:r>
      <w:r>
        <w:rPr/>
        <w:t>（六）关于信息披露与透明度</w:t>
      </w:r>
      <w:r>
        <w:rPr>
          <w:b w:val="0"/>
          <w:bCs w:val="0"/>
        </w:rPr>
      </w:r>
    </w:p>
    <w:p>
      <w:pPr>
        <w:spacing w:line="403" w:lineRule="auto" w:before="90"/>
        <w:ind w:left="152" w:right="0" w:firstLine="420"/>
        <w:jc w:val="left"/>
        <w:rPr>
          <w:rFonts w:ascii="宋体" w:hAnsi="宋体" w:cs="宋体" w:eastAsia="宋体" w:hint="default"/>
          <w:sz w:val="18"/>
          <w:szCs w:val="18"/>
        </w:rPr>
      </w:pPr>
      <w:r>
        <w:rPr>
          <w:rFonts w:ascii="宋体" w:hAnsi="宋体" w:cs="宋体" w:eastAsia="宋体" w:hint="default"/>
          <w:spacing w:val="-2"/>
          <w:sz w:val="21"/>
          <w:szCs w:val="21"/>
        </w:rPr>
        <w:t>报告期内，公司严格按照有关法律法规的要求，公平对待所有股东，真实、准确、完整、及时地向股</w:t>
      </w:r>
      <w:r>
        <w:rPr>
          <w:rFonts w:ascii="宋体" w:hAnsi="宋体" w:cs="宋体" w:eastAsia="宋体" w:hint="default"/>
          <w:w w:val="100"/>
          <w:sz w:val="21"/>
          <w:szCs w:val="21"/>
        </w:rPr>
        <w:t> </w:t>
      </w:r>
      <w:r>
        <w:rPr>
          <w:rFonts w:ascii="宋体" w:hAnsi="宋体" w:cs="宋体" w:eastAsia="宋体" w:hint="default"/>
          <w:sz w:val="21"/>
          <w:szCs w:val="21"/>
        </w:rPr>
        <w:t>东提供相关信息，提高公司透明度，保障全体股东的合法权益。</w:t>
      </w:r>
      <w:r>
        <w:rPr>
          <w:rFonts w:ascii="宋体" w:hAnsi="宋体" w:cs="宋体" w:eastAsia="宋体" w:hint="default"/>
          <w:spacing w:val="-3"/>
          <w:w w:val="100"/>
          <w:sz w:val="21"/>
          <w:szCs w:val="21"/>
        </w:rPr>
        <w:t> </w:t>
      </w: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0"/>
        <w:ind w:left="152" w:right="2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10" w:lineRule="auto" w:before="0"/>
        <w:ind w:right="0" w:firstLine="420"/>
        <w:jc w:val="left"/>
      </w:pPr>
      <w:r>
        <w:rPr>
          <w:spacing w:val="-2"/>
        </w:rPr>
        <w:t>报告期内，公司在业务、人员、资产、机构、财务等方面均与控股股东保持独立，不存在不能保证独</w:t>
      </w:r>
      <w:r>
        <w:rPr>
          <w:w w:val="100"/>
        </w:rPr>
        <w:t> </w:t>
      </w:r>
      <w:r>
        <w:rPr/>
        <w:t>立性或不能保持自主经营能力的情况。</w:t>
      </w:r>
    </w:p>
    <w:p>
      <w:pPr>
        <w:pStyle w:val="Heading3"/>
        <w:spacing w:line="266" w:lineRule="exact"/>
        <w:ind w:right="0"/>
        <w:jc w:val="left"/>
        <w:rPr>
          <w:b w:val="0"/>
          <w:bCs w:val="0"/>
        </w:rPr>
      </w:pPr>
      <w:r>
        <w:rPr/>
        <w:t>（一）业务独立情况</w:t>
      </w:r>
      <w:r>
        <w:rPr>
          <w:b w:val="0"/>
          <w:bCs w:val="0"/>
        </w:rPr>
      </w:r>
    </w:p>
    <w:p>
      <w:pPr>
        <w:pStyle w:val="BodyText"/>
        <w:spacing w:line="408" w:lineRule="auto" w:before="90"/>
        <w:ind w:right="0" w:firstLine="420"/>
        <w:jc w:val="left"/>
      </w:pPr>
      <w:r>
        <w:rPr>
          <w:spacing w:val="-2"/>
        </w:rPr>
        <w:t>公司具备独立完整的业务，拥有独立的经营场所，独立对外签订合同，开展业务，不存在对股东单位</w:t>
      </w:r>
      <w:r>
        <w:rPr>
          <w:w w:val="100"/>
        </w:rPr>
        <w:t> </w:t>
      </w:r>
      <w:r>
        <w:rPr/>
        <w:t>及其他关联方的业务依赖。本公司控股股东和实际控制人均出具了避免同业竞争的承诺函。</w:t>
      </w:r>
    </w:p>
    <w:p>
      <w:pPr>
        <w:pStyle w:val="Heading3"/>
        <w:spacing w:line="268" w:lineRule="exact"/>
        <w:ind w:right="0"/>
        <w:jc w:val="left"/>
        <w:rPr>
          <w:b w:val="0"/>
          <w:bCs w:val="0"/>
        </w:rPr>
      </w:pPr>
      <w:r>
        <w:rPr/>
        <w:t>（二）资产完整情况</w:t>
      </w:r>
      <w:r>
        <w:rPr>
          <w:b w:val="0"/>
          <w:bCs w:val="0"/>
        </w:rPr>
      </w:r>
    </w:p>
    <w:p>
      <w:pPr>
        <w:pStyle w:val="BodyText"/>
        <w:spacing w:line="408" w:lineRule="auto" w:before="90"/>
        <w:ind w:right="0" w:firstLine="420"/>
        <w:jc w:val="left"/>
      </w:pPr>
      <w:r>
        <w:rPr>
          <w:spacing w:val="-2"/>
        </w:rPr>
        <w:t>公司拥有独立完整的房屋、土地、配套设施等经营性资产以及商标。公司对所有资产拥有完全的控制</w:t>
      </w:r>
      <w:r>
        <w:rPr>
          <w:w w:val="100"/>
        </w:rPr>
        <w:t> </w:t>
      </w:r>
      <w:r>
        <w:rPr/>
        <w:t>和支配权，报告期内，不存在资产、资金被股东占用而损害公司利益的情况。</w:t>
      </w:r>
    </w:p>
    <w:p>
      <w:pPr>
        <w:pStyle w:val="Heading3"/>
        <w:spacing w:line="268" w:lineRule="exact"/>
        <w:ind w:right="0"/>
        <w:jc w:val="left"/>
        <w:rPr>
          <w:b w:val="0"/>
          <w:bCs w:val="0"/>
        </w:rPr>
      </w:pPr>
      <w:r>
        <w:rPr/>
        <w:t>（三）人员独立情况</w:t>
      </w:r>
      <w:r>
        <w:rPr>
          <w:b w:val="0"/>
          <w:bCs w:val="0"/>
        </w:rPr>
      </w:r>
    </w:p>
    <w:p>
      <w:pPr>
        <w:pStyle w:val="BodyText"/>
        <w:spacing w:line="408" w:lineRule="auto" w:before="90"/>
        <w:ind w:right="0" w:firstLine="420"/>
        <w:jc w:val="left"/>
      </w:pPr>
      <w:r>
        <w:rPr/>
        <w:t>公司设立了人力资源部门，有独立且完整的包括人事、劳动关系、培训、招聘、薪酬及绩效考核等在</w:t>
      </w:r>
      <w:r>
        <w:rPr>
          <w:w w:val="100"/>
        </w:rPr>
        <w:t> </w:t>
      </w:r>
      <w:r>
        <w:rPr>
          <w:spacing w:val="-2"/>
        </w:rPr>
        <w:t>内的人力体系管理模块，完全独立于公司股东。公司董事、监事及高级管理人员的选任均严格按照《公司</w:t>
      </w:r>
      <w:r>
        <w:rPr>
          <w:spacing w:val="-50"/>
        </w:rPr>
        <w:t> </w:t>
      </w:r>
      <w:r>
        <w:rPr>
          <w:spacing w:val="-50"/>
        </w:rPr>
      </w:r>
      <w:r>
        <w:rPr>
          <w:spacing w:val="-5"/>
        </w:rPr>
        <w:t>法》、《公司章程》及其他相关法律法规规定的程序，不存在超越公司股东大会和董事会的人事任免决定。 </w:t>
      </w:r>
      <w:r>
        <w:rPr>
          <w:spacing w:val="-5"/>
        </w:rPr>
      </w:r>
      <w:r>
        <w:rPr>
          <w:spacing w:val="-2"/>
        </w:rPr>
        <w:t>公司总经理、副总经理、财务负责人、董事会秘书等高级管理人员和核心技术人员均没有在与本公司业务</w:t>
      </w:r>
      <w:r>
        <w:rPr>
          <w:spacing w:val="-42"/>
        </w:rPr>
        <w:t> </w:t>
      </w:r>
      <w:r>
        <w:rPr>
          <w:spacing w:val="-42"/>
        </w:rPr>
      </w:r>
      <w:r>
        <w:rPr/>
        <w:t>相同或相近的其他企业任职。</w:t>
      </w:r>
    </w:p>
    <w:p>
      <w:pPr>
        <w:pStyle w:val="Heading3"/>
        <w:spacing w:line="268" w:lineRule="exact"/>
        <w:ind w:right="0"/>
        <w:jc w:val="left"/>
        <w:rPr>
          <w:b w:val="0"/>
          <w:bCs w:val="0"/>
        </w:rPr>
      </w:pPr>
      <w:r>
        <w:rPr/>
        <w:t>（四）机构独立情况</w:t>
      </w:r>
      <w:r>
        <w:rPr>
          <w:b w:val="0"/>
          <w:bCs w:val="0"/>
        </w:rPr>
      </w:r>
    </w:p>
    <w:p>
      <w:pPr>
        <w:pStyle w:val="BodyText"/>
        <w:spacing w:line="408" w:lineRule="auto" w:before="90"/>
        <w:ind w:right="0" w:firstLine="420"/>
        <w:jc w:val="left"/>
      </w:pPr>
      <w:r>
        <w:rPr>
          <w:spacing w:val="-5"/>
        </w:rPr>
        <w:t>公司机构设置方案不存在受控股股东及其他任何单位或个人干预的情形。公司按照《公司法》的要求，</w:t>
      </w:r>
      <w:r>
        <w:rPr>
          <w:w w:val="100"/>
        </w:rPr>
        <w:t> </w:t>
      </w:r>
      <w:r>
        <w:rPr>
          <w:spacing w:val="-2"/>
        </w:rPr>
        <w:t>建立健全了股东大会、董事会、监事会和经营管理层的组织结构体系，与关联企业在机构上完全独立。股</w:t>
      </w:r>
      <w:r>
        <w:rPr>
          <w:spacing w:val="-47"/>
        </w:rPr>
        <w:t> </w:t>
      </w:r>
      <w:r>
        <w:rPr>
          <w:spacing w:val="-47"/>
        </w:rPr>
      </w:r>
      <w:r>
        <w:rPr>
          <w:spacing w:val="-5"/>
        </w:rPr>
        <w:t>东依照《公司法》和公司章程的规定提名董事、监事参与公司的管理，并不直接干预公司的生产经营活动。</w:t>
      </w:r>
    </w:p>
    <w:p>
      <w:pPr>
        <w:pStyle w:val="Heading3"/>
        <w:spacing w:line="269" w:lineRule="exact"/>
        <w:ind w:right="0"/>
        <w:jc w:val="left"/>
        <w:rPr>
          <w:b w:val="0"/>
          <w:bCs w:val="0"/>
        </w:rPr>
      </w:pPr>
      <w:r>
        <w:rPr/>
        <w:t>（五）财务独立情况</w:t>
      </w:r>
      <w:r>
        <w:rPr>
          <w:b w:val="0"/>
          <w:bCs w:val="0"/>
        </w:rPr>
      </w:r>
    </w:p>
    <w:p>
      <w:pPr>
        <w:pStyle w:val="BodyText"/>
        <w:spacing w:line="408" w:lineRule="auto" w:before="90"/>
        <w:ind w:right="0" w:firstLine="420"/>
        <w:jc w:val="left"/>
      </w:pPr>
      <w:r>
        <w:rPr>
          <w:spacing w:val="-5"/>
        </w:rPr>
        <w:t>公司开设了独立的银行账户。公司作为独立的纳税人，依法独立纳税。公司设有独立的财务会计部门，</w:t>
      </w:r>
      <w:r>
        <w:rPr>
          <w:w w:val="100"/>
        </w:rPr>
        <w:t> </w:t>
      </w:r>
      <w:r>
        <w:rPr/>
        <w:t>制定了《财务管理制度》等规章制度，建立了独立的财务核算体系及规范、独立的财务会计制度，独立进</w:t>
      </w:r>
      <w:r>
        <w:rPr>
          <w:w w:val="100"/>
        </w:rPr>
        <w:t> </w:t>
      </w:r>
      <w:r>
        <w:rPr/>
        <w:t>行财务决策，财务人员无兼职情况。</w:t>
      </w:r>
    </w:p>
    <w:p>
      <w:pPr>
        <w:spacing w:after="0" w:line="408" w:lineRule="auto"/>
        <w:jc w:val="left"/>
        <w:sectPr>
          <w:pgSz w:w="11910" w:h="16840"/>
          <w:pgMar w:header="0" w:footer="980" w:top="1500" w:bottom="1160" w:left="980" w:right="920"/>
        </w:sectPr>
      </w:pPr>
    </w:p>
    <w:p>
      <w:pPr>
        <w:pStyle w:val="Heading2"/>
        <w:spacing w:line="355" w:lineRule="exact"/>
        <w:ind w:right="0"/>
        <w:jc w:val="left"/>
        <w:rPr>
          <w:b w:val="0"/>
          <w:bCs w:val="0"/>
        </w:rPr>
      </w:pPr>
      <w:r>
        <w:rPr/>
        <w:pict>
          <v:group style="position:absolute;margin-left:55.200001pt;margin-top:2.202064pt;width:484.9pt;height:.1pt;mso-position-horizontal-relative:page;mso-position-vertical-relative:paragraph;z-index:-754888" coordorigin="1104,44" coordsize="9698,2">
            <v:shape style="position:absolute;left:1104;top:44;width:9698;height:2" coordorigin="1104,44" coordsize="9698,0" path="m1104,44l10802,44e" filled="false" stroked="true" strokeweight=".72pt" strokecolor="#000000">
              <v:path arrowok="t"/>
            </v:shape>
            <w10:wrap type="none"/>
          </v:group>
        </w:pict>
      </w: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300" w:lineRule="auto"/>
              <w:ind w:left="703" w:right="45" w:hanging="654"/>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72.51%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7" w:lineRule="auto" w:before="63"/>
              <w:ind w:left="24" w:right="23" w:hanging="1"/>
              <w:jc w:val="center"/>
              <w:rPr>
                <w:rFonts w:ascii="宋体" w:hAnsi="宋体" w:cs="宋体" w:eastAsia="宋体" w:hint="default"/>
                <w:sz w:val="18"/>
                <w:szCs w:val="18"/>
              </w:rPr>
            </w:pPr>
            <w:r>
              <w:rPr>
                <w:rFonts w:ascii="Times New Roman" w:hAnsi="Times New Roman" w:cs="Times New Roman" w:eastAsia="Times New Roman" w:hint="default"/>
                <w:spacing w:val="-12"/>
                <w:sz w:val="18"/>
                <w:szCs w:val="18"/>
              </w:rPr>
              <w:t>.com.cn/</w:t>
            </w:r>
            <w:r>
              <w:rPr>
                <w:rFonts w:ascii="宋体" w:hAnsi="宋体" w:cs="宋体" w:eastAsia="宋体" w:hint="default"/>
                <w:spacing w:val="-12"/>
                <w:sz w:val="18"/>
                <w:szCs w:val="18"/>
              </w:rPr>
              <w:t>）《西安环球</w:t>
            </w:r>
            <w:r>
              <w:rPr>
                <w:rFonts w:ascii="宋体" w:hAnsi="宋体" w:cs="宋体" w:eastAsia="宋体" w:hint="default"/>
                <w:sz w:val="18"/>
                <w:szCs w:val="18"/>
              </w:rPr>
              <w:t> 印务股份有限公司 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 大会决议公告》</w:t>
            </w:r>
          </w:p>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2017-024</w:t>
            </w:r>
            <w:r>
              <w:rPr>
                <w:rFonts w:ascii="宋体" w:hAnsi="宋体" w:cs="宋体" w:eastAsia="宋体" w:hint="default"/>
                <w:sz w:val="18"/>
                <w:szCs w:val="18"/>
              </w:rPr>
              <w:t>）</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张明禹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3" w:right="0"/>
              <w:jc w:val="lef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冯均科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宋林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3" w:right="0"/>
              <w:jc w:val="lef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报告期内，公司不存在独立董事连续两次未亲自出席董事会的情形。</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after="0" w:line="340" w:lineRule="auto"/>
        <w:jc w:val="left"/>
        <w:rPr>
          <w:rFonts w:ascii="宋体" w:hAnsi="宋体" w:cs="宋体" w:eastAsia="宋体" w:hint="default"/>
          <w:sz w:val="18"/>
          <w:szCs w:val="18"/>
        </w:rPr>
        <w:sectPr>
          <w:pgSz w:w="11910" w:h="16840"/>
          <w:pgMar w:header="0"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4864"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408" w:lineRule="auto" w:before="159"/>
        <w:ind w:right="206" w:firstLine="420"/>
        <w:jc w:val="both"/>
      </w:pPr>
      <w:r>
        <w:rPr>
          <w:spacing w:val="-3"/>
        </w:rPr>
        <w:t>报告期内，公司独立董事积极出席相关会议，认真审阅各项议案，客观地发表自己的看法和观点，了</w:t>
      </w:r>
      <w:r>
        <w:rPr>
          <w:w w:val="100"/>
        </w:rPr>
        <w:t> </w:t>
      </w:r>
      <w:r>
        <w:rPr>
          <w:spacing w:val="-2"/>
        </w:rPr>
        <w:t>解公司运营、经营状况、内部控制以及董事会决议和股东大会决议的执行情况。公司独立董事利用自己的</w:t>
      </w:r>
      <w:r>
        <w:rPr>
          <w:spacing w:val="-42"/>
        </w:rPr>
        <w:t> </w:t>
      </w:r>
      <w:r>
        <w:rPr>
          <w:spacing w:val="-42"/>
        </w:rPr>
      </w:r>
      <w:r>
        <w:rPr>
          <w:spacing w:val="-2"/>
        </w:rPr>
        <w:t>专业知识，积极地向公司提出了许多有建设性的宝贵意见和建议。公司董事会、高管团队认真听取了独立</w:t>
      </w:r>
      <w:r>
        <w:rPr>
          <w:spacing w:val="-44"/>
        </w:rPr>
        <w:t> </w:t>
      </w:r>
      <w:r>
        <w:rPr>
          <w:spacing w:val="-44"/>
        </w:rPr>
      </w:r>
      <w:r>
        <w:rPr>
          <w:spacing w:val="-2"/>
        </w:rPr>
        <w:t>董事的意见，不断优化公司管理结构、明确部门职能、优化业务流程，深入开展公司治理、加大公司内部</w:t>
      </w:r>
      <w:r>
        <w:rPr>
          <w:spacing w:val="-43"/>
        </w:rPr>
        <w:t> </w:t>
      </w:r>
      <w:r>
        <w:rPr>
          <w:spacing w:val="-43"/>
        </w:rPr>
      </w:r>
      <w:r>
        <w:rPr>
          <w:spacing w:val="-2"/>
        </w:rPr>
        <w:t>审核力度和内控建设，加强对公司产业链的研究和布局，构建合理的产业拓展布局，不断提高公司的管理</w:t>
      </w:r>
      <w:r>
        <w:rPr>
          <w:spacing w:val="-44"/>
        </w:rPr>
        <w:t> </w:t>
      </w:r>
      <w:r>
        <w:rPr>
          <w:spacing w:val="-44"/>
        </w:rPr>
      </w:r>
      <w:r>
        <w:rPr/>
        <w:t>水平。</w:t>
      </w:r>
    </w:p>
    <w:p>
      <w:pPr>
        <w:pStyle w:val="Heading2"/>
        <w:spacing w:line="240" w:lineRule="auto" w:before="167"/>
        <w:ind w:right="0"/>
        <w:jc w:val="left"/>
        <w:rPr>
          <w:b w:val="0"/>
          <w:bCs w:val="0"/>
        </w:rPr>
      </w:pPr>
      <w:r>
        <w:rPr/>
        <w:t>六、董事会下设专门委员会在报告期内履行职责情况</w:t>
      </w:r>
      <w:r>
        <w:rPr>
          <w:b w:val="0"/>
          <w:bCs w:val="0"/>
        </w:rPr>
      </w:r>
    </w:p>
    <w:p>
      <w:pPr>
        <w:spacing w:line="240" w:lineRule="auto" w:before="7"/>
        <w:rPr>
          <w:rFonts w:ascii="Microsoft JhengHei" w:hAnsi="Microsoft JhengHei" w:cs="Microsoft JhengHei" w:eastAsia="Microsoft JhengHei" w:hint="default"/>
          <w:b/>
          <w:bCs/>
          <w:sz w:val="21"/>
          <w:szCs w:val="21"/>
        </w:rPr>
      </w:pPr>
    </w:p>
    <w:p>
      <w:pPr>
        <w:pStyle w:val="BodyText"/>
        <w:spacing w:line="408" w:lineRule="auto" w:before="0"/>
        <w:ind w:right="0" w:firstLine="420"/>
        <w:jc w:val="left"/>
      </w:pPr>
      <w:r>
        <w:rPr>
          <w:spacing w:val="-5"/>
        </w:rPr>
        <w:t>公司董事会下设四个专门委员会，分别为战略委员会、提名委员会、审计委员会、薪酬与考核委员会。</w:t>
      </w:r>
      <w:r>
        <w:rPr>
          <w:w w:val="100"/>
        </w:rPr>
        <w:t> </w:t>
      </w:r>
      <w:r>
        <w:rPr>
          <w:rFonts w:ascii="宋体" w:hAnsi="宋体" w:cs="宋体" w:eastAsia="宋体" w:hint="default"/>
          <w:spacing w:val="-2"/>
        </w:rPr>
        <w:t>2017</w:t>
      </w:r>
      <w:r>
        <w:rPr>
          <w:spacing w:val="-2"/>
        </w:rPr>
        <w:t>年各专门委员会本着勤勉尽职的原则，按照有关法律法规、规范性文件及公司各专门委员会工作制度</w:t>
      </w:r>
      <w:r>
        <w:rPr>
          <w:spacing w:val="-40"/>
        </w:rPr>
        <w:t> </w:t>
      </w:r>
      <w:r>
        <w:rPr>
          <w:spacing w:val="-40"/>
        </w:rPr>
      </w:r>
      <w:r>
        <w:rPr/>
        <w:t>的有关规定开展相关工作。报告期内，各专门委员会履职情况如下：</w:t>
      </w:r>
    </w:p>
    <w:p>
      <w:pPr>
        <w:pStyle w:val="BodyText"/>
        <w:spacing w:line="408" w:lineRule="auto"/>
        <w:ind w:left="573" w:right="0" w:hanging="421"/>
        <w:jc w:val="left"/>
      </w:pPr>
      <w:r>
        <w:rPr/>
        <w:t>（一）战略委员会</w:t>
      </w:r>
      <w:r>
        <w:rPr>
          <w:w w:val="100"/>
        </w:rPr>
        <w:t> </w:t>
      </w:r>
      <w:r>
        <w:rPr>
          <w:spacing w:val="-3"/>
        </w:rPr>
        <w:t>报告期内，战略委员会根据《董事会各专门委员会工作制度》及其他有关规定积极开展工作，认真履</w:t>
      </w:r>
    </w:p>
    <w:p>
      <w:pPr>
        <w:pStyle w:val="BodyText"/>
        <w:spacing w:line="408" w:lineRule="auto"/>
        <w:ind w:right="0"/>
        <w:jc w:val="left"/>
      </w:pPr>
      <w:r>
        <w:rPr/>
        <w:t>行职责。报告期内，战略委员会按规定召开了</w:t>
      </w:r>
      <w:r>
        <w:rPr>
          <w:rFonts w:ascii="宋体" w:hAnsi="宋体" w:cs="宋体" w:eastAsia="宋体" w:hint="default"/>
        </w:rPr>
        <w:t>3</w:t>
      </w:r>
      <w:r>
        <w:rPr/>
        <w:t>次会议。根据公司经营发展要求，加强业务服务专业化，</w:t>
      </w:r>
      <w:r>
        <w:rPr>
          <w:w w:val="100"/>
        </w:rPr>
        <w:t> </w:t>
      </w:r>
      <w:r>
        <w:rPr>
          <w:spacing w:val="-7"/>
        </w:rPr>
        <w:t>提升市场响应速度，对公司内部组织结构的调整进行了审议与讨论，并同意将该方案提交董事会审议；</w:t>
      </w:r>
      <w:r>
        <w:rPr>
          <w:rFonts w:ascii="宋体" w:hAnsi="宋体" w:cs="宋体" w:eastAsia="宋体" w:hint="default"/>
          <w:spacing w:val="-7"/>
        </w:rPr>
        <w:t>2017</w:t>
      </w:r>
      <w:r>
        <w:rPr>
          <w:rFonts w:ascii="宋体" w:hAnsi="宋体" w:cs="宋体" w:eastAsia="宋体" w:hint="default"/>
          <w:spacing w:val="-3"/>
        </w:rPr>
        <w:t> </w:t>
      </w:r>
      <w:r>
        <w:rPr>
          <w:rFonts w:ascii="宋体" w:hAnsi="宋体" w:cs="宋体" w:eastAsia="宋体" w:hint="default"/>
          <w:spacing w:val="-3"/>
        </w:rPr>
      </w:r>
      <w:r>
        <w:rPr>
          <w:spacing w:val="-2"/>
        </w:rPr>
        <w:t>年度，公司与关联方共同投资设立参股公司，及对子公司陕西永鑫进行增资扩股并引进有实力的战略伙伴</w:t>
      </w:r>
      <w:r>
        <w:rPr>
          <w:spacing w:val="-42"/>
        </w:rPr>
        <w:t> </w:t>
      </w:r>
      <w:r>
        <w:rPr>
          <w:spacing w:val="-42"/>
        </w:rPr>
      </w:r>
      <w:r>
        <w:rPr>
          <w:spacing w:val="-2"/>
        </w:rPr>
        <w:t>等重大投资事项，战略委员会给出了具有前瞻性的专业意见，并同意上述议案提交董事会审议，为公司持</w:t>
      </w:r>
      <w:r>
        <w:rPr>
          <w:spacing w:val="-44"/>
        </w:rPr>
        <w:t> </w:t>
      </w:r>
      <w:r>
        <w:rPr>
          <w:spacing w:val="-44"/>
        </w:rPr>
      </w:r>
      <w:r>
        <w:rPr/>
        <w:t>续、稳健发展提供了科学的战略决策及战略层面的支持。</w:t>
      </w:r>
    </w:p>
    <w:p>
      <w:pPr>
        <w:pStyle w:val="BodyText"/>
        <w:spacing w:line="408" w:lineRule="auto"/>
        <w:ind w:left="573" w:right="0" w:hanging="421"/>
        <w:jc w:val="left"/>
      </w:pPr>
      <w:r>
        <w:rPr/>
        <w:t>（二）提名委员会</w:t>
      </w:r>
      <w:r>
        <w:rPr>
          <w:w w:val="100"/>
        </w:rPr>
        <w:t> </w:t>
      </w:r>
      <w:r>
        <w:rPr>
          <w:spacing w:val="-2"/>
        </w:rPr>
        <w:t>报告期内，提名委员会根据《公司章程》、《董事会各专门委员会工作制度》及其他有关规定积极开</w:t>
      </w:r>
    </w:p>
    <w:p>
      <w:pPr>
        <w:pStyle w:val="BodyText"/>
        <w:spacing w:line="408" w:lineRule="auto"/>
        <w:ind w:right="0"/>
        <w:jc w:val="left"/>
      </w:pPr>
      <w:r>
        <w:rPr/>
        <w:t>展工作，认真履行职责。报告期内，提名委员会按规定召开了</w:t>
      </w:r>
      <w:r>
        <w:rPr>
          <w:rFonts w:ascii="宋体" w:hAnsi="宋体" w:cs="宋体" w:eastAsia="宋体" w:hint="default"/>
        </w:rPr>
        <w:t>3</w:t>
      </w:r>
      <w:r>
        <w:rPr/>
        <w:t>次会议，审议了董事会换届选举时董事候</w:t>
      </w:r>
      <w:r>
        <w:rPr>
          <w:w w:val="100"/>
        </w:rPr>
        <w:t> </w:t>
      </w:r>
      <w:r>
        <w:rPr>
          <w:spacing w:val="-2"/>
        </w:rPr>
        <w:t>选人、高级管理人员的任职资格，并向董事会提出建议；并对向子公司委派董事的人选及公司副总经理的</w:t>
      </w:r>
      <w:r>
        <w:rPr>
          <w:spacing w:val="-44"/>
        </w:rPr>
        <w:t> </w:t>
      </w:r>
      <w:r>
        <w:rPr>
          <w:spacing w:val="-44"/>
        </w:rPr>
      </w:r>
      <w:r>
        <w:rPr/>
        <w:t>人员变动进行审议。</w:t>
      </w:r>
    </w:p>
    <w:p>
      <w:pPr>
        <w:pStyle w:val="BodyText"/>
        <w:spacing w:line="408" w:lineRule="auto"/>
        <w:ind w:left="573" w:right="0" w:hanging="421"/>
        <w:jc w:val="left"/>
      </w:pPr>
      <w:r>
        <w:rPr/>
        <w:t>（三）审计委员会</w:t>
      </w:r>
      <w:r>
        <w:rPr>
          <w:w w:val="100"/>
        </w:rPr>
        <w:t> </w:t>
      </w:r>
      <w:r>
        <w:rPr>
          <w:spacing w:val="-3"/>
        </w:rPr>
        <w:t>报告期内，审计委员会根据《董事会各专门委员会工作制度》及其他有关规定积极开展工作，认真履</w:t>
      </w:r>
    </w:p>
    <w:p>
      <w:pPr>
        <w:pStyle w:val="BodyText"/>
        <w:spacing w:line="408" w:lineRule="auto"/>
        <w:ind w:right="0"/>
        <w:jc w:val="left"/>
      </w:pPr>
      <w:r>
        <w:rPr/>
        <w:t>行职责。</w:t>
      </w:r>
      <w:r>
        <w:rPr>
          <w:rFonts w:ascii="宋体" w:hAnsi="宋体" w:cs="宋体" w:eastAsia="宋体" w:hint="default"/>
        </w:rPr>
        <w:t>2017</w:t>
      </w:r>
      <w:r>
        <w:rPr/>
        <w:t>年，审计委员会共召开了</w:t>
      </w:r>
      <w:r>
        <w:rPr>
          <w:rFonts w:ascii="宋体" w:hAnsi="宋体" w:cs="宋体" w:eastAsia="宋体" w:hint="default"/>
        </w:rPr>
        <w:t>4</w:t>
      </w:r>
      <w:r>
        <w:rPr/>
        <w:t>次会议，审议了公司的审计报告、日常关联交易、一季度报告、</w:t>
      </w:r>
      <w:r>
        <w:rPr>
          <w:w w:val="100"/>
        </w:rPr>
        <w:t> </w:t>
      </w:r>
      <w:r>
        <w:rPr>
          <w:spacing w:val="-2"/>
        </w:rPr>
        <w:t>半年度报告及三季度报告等相关议案，定期了解公司财务状况和经营情况，督促和指导公司内审部对公司</w:t>
      </w:r>
    </w:p>
    <w:p>
      <w:pPr>
        <w:spacing w:after="0" w:line="408" w:lineRule="auto"/>
        <w:jc w:val="left"/>
        <w:sectPr>
          <w:pgSz w:w="11910" w:h="16840"/>
          <w:pgMar w:header="0" w:footer="980" w:top="150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59"/>
        <w:ind w:right="146"/>
        <w:jc w:val="both"/>
      </w:pPr>
      <w:r>
        <w:rPr>
          <w:spacing w:val="-2"/>
        </w:rPr>
        <w:t>财务管理运行情况进行定期和不定期的检查和评估；审查了公司内部控制制度及执行情况，审核了公司所</w:t>
      </w:r>
      <w:r>
        <w:rPr>
          <w:spacing w:val="-43"/>
        </w:rPr>
        <w:t> </w:t>
      </w:r>
      <w:r>
        <w:rPr>
          <w:spacing w:val="-43"/>
        </w:rPr>
      </w:r>
      <w:r>
        <w:rPr>
          <w:spacing w:val="-2"/>
        </w:rPr>
        <w:t>有重要的会计政策，委员会认为公司内控制度体系符合法律、法规及《公司章程》的要求，适应当前生产</w:t>
      </w:r>
      <w:r>
        <w:rPr>
          <w:spacing w:val="-43"/>
        </w:rPr>
        <w:t> </w:t>
      </w:r>
      <w:r>
        <w:rPr>
          <w:spacing w:val="-43"/>
        </w:rPr>
      </w:r>
      <w:r>
        <w:rPr/>
        <w:t>经营实际情况的需要。</w:t>
      </w:r>
    </w:p>
    <w:p>
      <w:pPr>
        <w:pStyle w:val="BodyText"/>
        <w:spacing w:line="408" w:lineRule="auto"/>
        <w:ind w:left="573" w:right="0" w:hanging="421"/>
        <w:jc w:val="left"/>
      </w:pPr>
      <w:r>
        <w:rPr/>
        <w:t>（四）薪酬与考核委员会</w:t>
      </w:r>
      <w:r>
        <w:rPr>
          <w:w w:val="100"/>
        </w:rPr>
        <w:t> </w:t>
      </w:r>
      <w:r>
        <w:rPr>
          <w:spacing w:val="-2"/>
        </w:rPr>
        <w:t>报告期内，薪酬与考核委员会根据《董事会各专门委员会工作制度》及其他有关规定积极开展工作，</w:t>
      </w:r>
    </w:p>
    <w:p>
      <w:pPr>
        <w:pStyle w:val="BodyText"/>
        <w:spacing w:line="408" w:lineRule="auto"/>
        <w:ind w:right="0"/>
        <w:jc w:val="left"/>
      </w:pPr>
      <w:r>
        <w:rPr/>
        <w:t>认真履行职责，按规定累计召开了</w:t>
      </w:r>
      <w:r>
        <w:rPr>
          <w:rFonts w:ascii="宋体" w:hAnsi="宋体" w:cs="宋体" w:eastAsia="宋体" w:hint="default"/>
        </w:rPr>
        <w:t>3</w:t>
      </w:r>
      <w:r>
        <w:rPr/>
        <w:t>次会议。对公司经营管理层人员的</w:t>
      </w:r>
      <w:r>
        <w:rPr>
          <w:rFonts w:ascii="宋体" w:hAnsi="宋体" w:cs="宋体" w:eastAsia="宋体" w:hint="default"/>
        </w:rPr>
        <w:t>2016</w:t>
      </w:r>
      <w:r>
        <w:rPr/>
        <w:t>年度奖金情况进行了审核，认</w:t>
      </w:r>
      <w:r>
        <w:rPr>
          <w:w w:val="100"/>
        </w:rPr>
        <w:t> </w:t>
      </w:r>
      <w:r>
        <w:rPr>
          <w:spacing w:val="-2"/>
        </w:rPr>
        <w:t>为其薪酬标准和年度薪酬总额的确定符合公司相关薪酬管理制度的规定。对新修订的《西安环球印务股份</w:t>
      </w:r>
      <w:r>
        <w:rPr>
          <w:spacing w:val="-44"/>
        </w:rPr>
        <w:t> </w:t>
      </w:r>
      <w:r>
        <w:rPr>
          <w:spacing w:val="-44"/>
        </w:rPr>
      </w:r>
      <w:r>
        <w:rPr>
          <w:spacing w:val="-2"/>
        </w:rPr>
        <w:t>有限公司领导班子薪酬绩效考核管理办法》及制订的《西安环球印务股份有限公司领导班子薪酬绩效实施</w:t>
      </w:r>
      <w:r>
        <w:rPr>
          <w:spacing w:val="-44"/>
        </w:rPr>
        <w:t> </w:t>
      </w:r>
      <w:r>
        <w:rPr>
          <w:spacing w:val="-44"/>
        </w:rPr>
      </w:r>
      <w:r>
        <w:rPr>
          <w:spacing w:val="-2"/>
        </w:rPr>
        <w:t>细则》进行了审议，认为公司修订的管理办法及制订的实施细则符合国家相关法律、法规的规定，符合企</w:t>
      </w:r>
      <w:r>
        <w:rPr>
          <w:spacing w:val="-44"/>
        </w:rPr>
        <w:t> </w:t>
      </w:r>
      <w:r>
        <w:rPr>
          <w:spacing w:val="-44"/>
        </w:rPr>
      </w:r>
      <w:r>
        <w:rPr/>
        <w:t>业的实际情况，同意该议案提交董事会审议。</w:t>
      </w:r>
    </w:p>
    <w:p>
      <w:pPr>
        <w:pStyle w:val="Heading2"/>
        <w:spacing w:line="240" w:lineRule="auto" w:before="167"/>
        <w:ind w:right="0"/>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8"/>
        <w:rPr>
          <w:rFonts w:ascii="Microsoft JhengHei" w:hAnsi="Microsoft JhengHei" w:cs="Microsoft JhengHei" w:eastAsia="Microsoft JhengHei" w:hint="default"/>
          <w:b/>
          <w:bCs/>
          <w:sz w:val="21"/>
          <w:szCs w:val="21"/>
        </w:rPr>
      </w:pPr>
    </w:p>
    <w:p>
      <w:pPr>
        <w:pStyle w:val="BodyText"/>
        <w:spacing w:line="408" w:lineRule="auto" w:before="0"/>
        <w:ind w:right="146" w:firstLine="336"/>
        <w:jc w:val="both"/>
      </w:pPr>
      <w:r>
        <w:rPr>
          <w:spacing w:val="-2"/>
        </w:rPr>
        <w:t>公司高级管理人员均由董事会聘任，其薪酬与考核以公司经济效益及工作目标为出发点，根据公司年</w:t>
      </w:r>
      <w:r>
        <w:rPr>
          <w:w w:val="100"/>
        </w:rPr>
        <w:t> </w:t>
      </w:r>
      <w:r>
        <w:rPr>
          <w:spacing w:val="-2"/>
        </w:rPr>
        <w:t>度经营计划和高级管理人员分管工作的职责，由董事会薪酬与考核委员会对高级管理人员的工作能力、履</w:t>
      </w:r>
      <w:r>
        <w:rPr>
          <w:spacing w:val="-43"/>
        </w:rPr>
        <w:t> </w:t>
      </w:r>
      <w:r>
        <w:rPr>
          <w:spacing w:val="-43"/>
        </w:rPr>
      </w:r>
      <w:r>
        <w:rPr>
          <w:spacing w:val="-2"/>
        </w:rPr>
        <w:t>职情况、责任目标完成情况等进行综合考核，确定高级管理人员的年度薪酬水平。报告期内，公司董事会</w:t>
      </w:r>
      <w:r>
        <w:rPr>
          <w:spacing w:val="-47"/>
        </w:rPr>
        <w:t> </w:t>
      </w:r>
      <w:r>
        <w:rPr>
          <w:spacing w:val="-47"/>
        </w:rPr>
      </w:r>
      <w:r>
        <w:rPr>
          <w:spacing w:val="-2"/>
        </w:rPr>
        <w:t>审议通过了新修订的《西安环球印务股份有限公司领导班子薪酬绩效考核管理办法》及制订的《西安环球</w:t>
      </w:r>
      <w:r>
        <w:rPr>
          <w:spacing w:val="-42"/>
        </w:rPr>
        <w:t> </w:t>
      </w:r>
      <w:r>
        <w:rPr>
          <w:spacing w:val="-42"/>
        </w:rPr>
      </w:r>
      <w:r>
        <w:rPr/>
        <w:t>印务股份有限公司领导班子薪酬绩效实施细则》。</w:t>
      </w:r>
    </w:p>
    <w:p>
      <w:pPr>
        <w:pStyle w:val="Heading2"/>
        <w:spacing w:line="240" w:lineRule="auto" w:before="167"/>
        <w:ind w:right="0"/>
        <w:jc w:val="left"/>
        <w:rPr>
          <w:b w:val="0"/>
          <w:bCs w:val="0"/>
        </w:rPr>
      </w:pPr>
      <w:r>
        <w:rPr/>
        <w:t>九、内部控制评价报告</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0"/>
              <w:jc w:val="left"/>
              <w:rPr>
                <w:rFonts w:ascii="宋体" w:hAnsi="宋体" w:cs="宋体" w:eastAsia="宋体" w:hint="default"/>
                <w:sz w:val="18"/>
                <w:szCs w:val="18"/>
              </w:rPr>
            </w:pPr>
            <w:r>
              <w:rPr>
                <w:rFonts w:ascii="宋体" w:hAnsi="宋体" w:cs="宋体" w:eastAsia="宋体" w:hint="default"/>
                <w:spacing w:val="-3"/>
                <w:w w:val="99"/>
                <w:sz w:val="18"/>
                <w:szCs w:val="18"/>
              </w:rPr>
              <w:t>巨潮资讯网（</w:t>
            </w:r>
            <w:hyperlink r:id="rId10">
              <w:r>
                <w:rPr>
                  <w:rFonts w:ascii="Times New Roman" w:hAnsi="Times New Roman" w:cs="Times New Roman" w:eastAsia="Times New Roman" w:hint="default"/>
                  <w:spacing w:val="-3"/>
                  <w:w w:val="99"/>
                  <w:sz w:val="18"/>
                  <w:szCs w:val="18"/>
                </w:rPr>
                <w:t>http://www.cninfo.com.cn/</w:t>
              </w:r>
            </w:hyperlink>
            <w:r>
              <w:rPr>
                <w:rFonts w:ascii="宋体" w:hAnsi="宋体" w:cs="宋体" w:eastAsia="宋体" w:hint="default"/>
                <w:spacing w:val="-3"/>
                <w:w w:val="99"/>
                <w:sz w:val="18"/>
                <w:szCs w:val="18"/>
              </w:rPr>
              <w:t>）《西安环球印务股份有限公司内部控制有</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宋体" w:hAnsi="宋体" w:cs="宋体" w:eastAsia="宋体" w:hint="default"/>
                <w:sz w:val="18"/>
                <w:szCs w:val="18"/>
              </w:rPr>
              <w:t>效性认定的自我评价报告》</w:t>
            </w:r>
          </w:p>
        </w:tc>
      </w:tr>
    </w:tbl>
    <w:p>
      <w:pPr>
        <w:spacing w:after="0" w:line="297" w:lineRule="auto"/>
        <w:jc w:val="left"/>
        <w:rPr>
          <w:rFonts w:ascii="宋体" w:hAnsi="宋体" w:cs="宋体" w:eastAsia="宋体" w:hint="default"/>
          <w:sz w:val="18"/>
          <w:szCs w:val="18"/>
        </w:rPr>
        <w:sectPr>
          <w:pgSz w:w="11910" w:h="16840"/>
          <w:pgMar w:header="0" w:footer="980" w:top="150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00002pt;margin-top:76.919983pt;width:479.3pt;height:654.7pt;mso-position-horizontal-relative:page;mso-position-vertical-relative:page;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723" w:hRule="exact"/>
                    </w:trPr>
                    <w:tc>
                      <w:tcPr>
                        <w:tcW w:w="31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10"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0" w:lineRule="auto" w:before="49"/>
                          <w:ind w:left="23" w:right="41"/>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、财务报告重大缺陷的迹象包括：（</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）控</w:t>
                        </w:r>
                        <w:r>
                          <w:rPr>
                            <w:rFonts w:ascii="宋体" w:hAnsi="宋体" w:cs="宋体" w:eastAsia="宋体" w:hint="default"/>
                            <w:spacing w:val="-87"/>
                            <w:sz w:val="18"/>
                            <w:szCs w:val="18"/>
                          </w:rPr>
                          <w:t> </w:t>
                        </w:r>
                        <w:r>
                          <w:rPr>
                            <w:rFonts w:ascii="宋体" w:hAnsi="宋体" w:cs="宋体" w:eastAsia="宋体" w:hint="default"/>
                            <w:spacing w:val="-5"/>
                            <w:sz w:val="18"/>
                            <w:szCs w:val="18"/>
                          </w:rPr>
                          <w:t>制环境无效；（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）公司董事、监事和高级</w:t>
                        </w:r>
                        <w:r>
                          <w:rPr>
                            <w:rFonts w:ascii="宋体" w:hAnsi="宋体" w:cs="宋体" w:eastAsia="宋体" w:hint="default"/>
                            <w:spacing w:val="-86"/>
                            <w:sz w:val="18"/>
                            <w:szCs w:val="18"/>
                          </w:rPr>
                          <w:t> </w:t>
                        </w:r>
                        <w:r>
                          <w:rPr>
                            <w:rFonts w:ascii="宋体" w:hAnsi="宋体" w:cs="宋体" w:eastAsia="宋体" w:hint="default"/>
                            <w:spacing w:val="-5"/>
                            <w:sz w:val="18"/>
                            <w:szCs w:val="18"/>
                          </w:rPr>
                          <w:t>管理人员的舞弊行为；（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）未被公司内部</w:t>
                        </w:r>
                        <w:r>
                          <w:rPr>
                            <w:rFonts w:ascii="宋体" w:hAnsi="宋体" w:cs="宋体" w:eastAsia="宋体" w:hint="default"/>
                            <w:spacing w:val="-86"/>
                            <w:sz w:val="18"/>
                            <w:szCs w:val="18"/>
                          </w:rPr>
                          <w:t> </w:t>
                        </w:r>
                        <w:r>
                          <w:rPr>
                            <w:rFonts w:ascii="宋体" w:hAnsi="宋体" w:cs="宋体" w:eastAsia="宋体" w:hint="default"/>
                            <w:sz w:val="18"/>
                            <w:szCs w:val="18"/>
                          </w:rPr>
                          <w:t>控制识别的当期财务报告中的重大错报；</w:t>
                        </w:r>
                      </w:p>
                      <w:p>
                        <w:pPr>
                          <w:pStyle w:val="TableParagraph"/>
                          <w:spacing w:line="307" w:lineRule="auto" w:before="31"/>
                          <w:ind w:left="23" w:right="1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）审计委员会和审计部门对公司的对外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财务报告和财务报告内部控制监督无效。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、财务报告重要缺陷：（</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）未依照公认会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r>
                          <w:rPr>
                            <w:rFonts w:ascii="宋体" w:hAnsi="宋体" w:cs="宋体" w:eastAsia="宋体" w:hint="default"/>
                            <w:spacing w:val="-84"/>
                            <w:sz w:val="18"/>
                            <w:szCs w:val="18"/>
                          </w:rPr>
                          <w:t> </w:t>
                        </w: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6"/>
                            <w:sz w:val="18"/>
                            <w:szCs w:val="18"/>
                          </w:rPr>
                          <w:t> </w:t>
                        </w:r>
                        <w:r>
                          <w:rPr>
                            <w:rFonts w:ascii="宋体" w:hAnsi="宋体" w:cs="宋体" w:eastAsia="宋体" w:hint="default"/>
                            <w:sz w:val="18"/>
                            <w:szCs w:val="18"/>
                          </w:rPr>
                          <w:t>或特殊交易的账务处理没有建立相应的控 制机制或没有实施且没有相应的补偿性控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6"/>
                            <w:sz w:val="18"/>
                            <w:szCs w:val="18"/>
                          </w:rPr>
                          <w:t> </w:t>
                        </w:r>
                        <w:r>
                          <w:rPr>
                            <w:rFonts w:ascii="宋体" w:hAnsi="宋体" w:cs="宋体" w:eastAsia="宋体" w:hint="default"/>
                            <w:sz w:val="18"/>
                            <w:szCs w:val="18"/>
                          </w:rPr>
                          <w:t>在一项或多项缺陷且不能合理保证编制的 财务报表达到真实、准确的目标。</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20"/>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03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2189"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定量标准以营业收入、资产总额作为衡量 </w:t>
                        </w:r>
                        <w:r>
                          <w:rPr>
                            <w:rFonts w:ascii="宋体" w:hAnsi="宋体" w:cs="宋体" w:eastAsia="宋体" w:hint="default"/>
                            <w:spacing w:val="-4"/>
                            <w:sz w:val="18"/>
                            <w:szCs w:val="18"/>
                          </w:rPr>
                          <w:t>指标。</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、内部控制缺陷可能导致或导致的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损失与利润表相关的，以营业收入指标衡 量。如果该缺陷单独或连同其他缺陷可能 导致的财务报告错报金额小于营业收入的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，则认定为一般缺陷；如果超过营业收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，则为重要缺陷；如 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，则认定为重大缺</w:t>
                        </w:r>
                        <w:r>
                          <w:rPr>
                            <w:rFonts w:ascii="宋体" w:hAnsi="宋体" w:cs="宋体" w:eastAsia="宋体" w:hint="default"/>
                            <w:sz w:val="18"/>
                            <w:szCs w:val="18"/>
                          </w:rPr>
                          <w:t> </w:t>
                        </w:r>
                        <w:r>
                          <w:rPr>
                            <w:rFonts w:ascii="宋体" w:hAnsi="宋体" w:cs="宋体" w:eastAsia="宋体" w:hint="default"/>
                            <w:spacing w:val="-4"/>
                            <w:sz w:val="18"/>
                            <w:szCs w:val="18"/>
                          </w:rPr>
                          <w:t>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、内部控制缺陷可能导致或导致的损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失与资产管理相关的，以资产总额指标衡 量。如果该缺陷单独或连同其他缺陷可能 导致的财务报告错报金额小于资产总额的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，则认定为一般缺陷；如果超过资产 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 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认定为重大缺陷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6" w:right="134"/>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3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2189"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p>
      <w:pPr>
        <w:spacing w:line="1872" w:lineRule="exact"/>
        <w:ind w:left="66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152.1pt;height:93.65pt;mso-position-horizontal-relative:char;mso-position-vertical-relative:line" coordorigin="0,0" coordsize="3042,1873">
            <v:group style="position:absolute;left:0;top:0;width:3042;height:1873" coordorigin="0,0" coordsize="3042,1873">
              <v:shape style="position:absolute;left:0;top:0;width:3042;height:1873" coordorigin="0,0" coordsize="3042,1873" path="m0,1872l3041,1872,3041,0,0,0,0,1872xe" filled="true" fillcolor="#ffffff" stroked="false">
                <v:path arrowok="t"/>
                <v:fill type="solid"/>
              </v:shape>
            </v:group>
          </v:group>
        </w:pict>
      </w:r>
      <w:r>
        <w:rPr>
          <w:rFonts w:ascii="Times New Roman" w:hAnsi="Times New Roman" w:cs="Times New Roman" w:eastAsia="Times New Roman" w:hint="default"/>
          <w:position w:val="-36"/>
          <w:sz w:val="20"/>
          <w:szCs w:val="20"/>
        </w:rPr>
      </w:r>
    </w:p>
    <w:p>
      <w:pPr>
        <w:spacing w:after="0" w:line="1872" w:lineRule="exact"/>
        <w:rPr>
          <w:rFonts w:ascii="Times New Roman" w:hAnsi="Times New Roman" w:cs="Times New Roman" w:eastAsia="Times New Roman" w:hint="default"/>
          <w:sz w:val="20"/>
          <w:szCs w:val="20"/>
        </w:rPr>
        <w:sectPr>
          <w:pgSz w:w="11910" w:h="16840"/>
          <w:pgMar w:header="0" w:footer="980" w:top="1560" w:bottom="1160" w:left="1020" w:right="1020"/>
        </w:sectPr>
      </w:pPr>
    </w:p>
    <w:p>
      <w:pPr>
        <w:pStyle w:val="Heading2"/>
        <w:spacing w:line="355" w:lineRule="exact"/>
        <w:ind w:right="0"/>
        <w:jc w:val="left"/>
        <w:rPr>
          <w:b w:val="0"/>
          <w:bCs w:val="0"/>
        </w:rPr>
      </w:pPr>
      <w:r>
        <w:rPr/>
        <w:pict>
          <v:group style="position:absolute;margin-left:55.200001pt;margin-top:2.202064pt;width:484.9pt;height:.1pt;mso-position-horizontal-relative:page;mso-position-vertical-relative:paragraph;z-index:-754768" coordorigin="1104,44" coordsize="9698,2">
            <v:shape style="position:absolute;left:1104;top:44;width:9698;height:2" coordorigin="1104,44" coordsize="9698,0" path="m1104,44l10802,44e" filled="false" stroked="true" strokeweight=".72pt" strokecolor="#000000">
              <v:path arrowok="t"/>
            </v:shape>
            <w10:wrap type="none"/>
          </v:group>
        </w:pict>
      </w:r>
      <w:r>
        <w:rPr/>
        <w:t>十、内部控制审计报告或鉴证报告</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3"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210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453" w:lineRule="auto" w:before="153"/>
              <w:ind w:left="444" w:right="17"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西安环球印务股份有限公司全体股东</w:t>
            </w:r>
            <w:r>
              <w:rPr>
                <w:rFonts w:ascii="宋体" w:hAnsi="宋体" w:cs="宋体" w:eastAsia="宋体" w:hint="default"/>
                <w:sz w:val="21"/>
                <w:szCs w:val="21"/>
              </w:rPr>
              <w:t>：</w:t>
            </w:r>
            <w:r>
              <w:rPr>
                <w:rFonts w:ascii="宋体" w:hAnsi="宋体" w:cs="宋体" w:eastAsia="宋体" w:hint="default"/>
                <w:spacing w:val="-91"/>
                <w:sz w:val="21"/>
                <w:szCs w:val="21"/>
              </w:rPr>
              <w:t> </w:t>
            </w:r>
            <w:r>
              <w:rPr>
                <w:rFonts w:ascii="宋体" w:hAnsi="宋体" w:cs="宋体" w:eastAsia="宋体" w:hint="default"/>
                <w:spacing w:val="-5"/>
                <w:w w:val="100"/>
                <w:sz w:val="21"/>
                <w:szCs w:val="21"/>
              </w:rPr>
              <w:t>我们接受委托，审核了后附的西安环球印务股份有限公司（以下简称“贵公司”）管理层按照财政部</w:t>
            </w:r>
          </w:p>
          <w:p>
            <w:pPr>
              <w:pStyle w:val="TableParagraph"/>
              <w:spacing w:line="408" w:lineRule="auto" w:before="6"/>
              <w:ind w:left="24" w:right="19"/>
              <w:jc w:val="both"/>
              <w:rPr>
                <w:rFonts w:ascii="宋体" w:hAnsi="宋体" w:cs="宋体" w:eastAsia="宋体" w:hint="default"/>
                <w:sz w:val="21"/>
                <w:szCs w:val="21"/>
              </w:rPr>
            </w:pPr>
            <w:r>
              <w:rPr>
                <w:rFonts w:ascii="宋体" w:hAnsi="宋体" w:cs="宋体" w:eastAsia="宋体" w:hint="default"/>
                <w:spacing w:val="-2"/>
                <w:w w:val="100"/>
                <w:sz w:val="21"/>
                <w:szCs w:val="21"/>
              </w:rPr>
              <w:t>颁发的《企业内部控制基本规范》（财会</w:t>
            </w:r>
            <w:r>
              <w:rPr>
                <w:rFonts w:ascii="宋体" w:hAnsi="宋体" w:cs="宋体" w:eastAsia="宋体" w:hint="default"/>
                <w:spacing w:val="-2"/>
                <w:w w:val="100"/>
                <w:sz w:val="21"/>
                <w:szCs w:val="21"/>
              </w:rPr>
              <w:t>[2008]7</w:t>
            </w:r>
            <w:r>
              <w:rPr>
                <w:rFonts w:ascii="宋体" w:hAnsi="宋体" w:cs="宋体" w:eastAsia="宋体" w:hint="default"/>
                <w:spacing w:val="-2"/>
                <w:w w:val="100"/>
                <w:sz w:val="21"/>
                <w:szCs w:val="21"/>
              </w:rPr>
              <w:t>号）及相关规定对</w:t>
            </w:r>
            <w:r>
              <w:rPr>
                <w:rFonts w:ascii="宋体" w:hAnsi="宋体" w:cs="宋体" w:eastAsia="宋体" w:hint="default"/>
                <w:spacing w:val="-2"/>
                <w:w w:val="100"/>
                <w:sz w:val="21"/>
                <w:szCs w:val="21"/>
              </w:rPr>
              <w:t>2017</w:t>
            </w:r>
            <w:r>
              <w:rPr>
                <w:rFonts w:ascii="宋体" w:hAnsi="宋体" w:cs="宋体" w:eastAsia="宋体" w:hint="default"/>
                <w:spacing w:val="-2"/>
                <w:w w:val="100"/>
                <w:sz w:val="21"/>
                <w:szCs w:val="21"/>
              </w:rPr>
              <w:t>年</w:t>
            </w:r>
            <w:r>
              <w:rPr>
                <w:rFonts w:ascii="宋体" w:hAnsi="宋体" w:cs="宋体" w:eastAsia="宋体" w:hint="default"/>
                <w:spacing w:val="-2"/>
                <w:w w:val="100"/>
                <w:sz w:val="21"/>
                <w:szCs w:val="21"/>
              </w:rPr>
              <w:t>12</w:t>
            </w:r>
            <w:r>
              <w:rPr>
                <w:rFonts w:ascii="宋体" w:hAnsi="宋体" w:cs="宋体" w:eastAsia="宋体" w:hint="default"/>
                <w:spacing w:val="-2"/>
                <w:w w:val="100"/>
                <w:sz w:val="21"/>
                <w:szCs w:val="21"/>
              </w:rPr>
              <w:t>月</w:t>
            </w:r>
            <w:r>
              <w:rPr>
                <w:rFonts w:ascii="宋体" w:hAnsi="宋体" w:cs="宋体" w:eastAsia="宋体" w:hint="default"/>
                <w:spacing w:val="-2"/>
                <w:w w:val="100"/>
                <w:sz w:val="21"/>
                <w:szCs w:val="21"/>
              </w:rPr>
              <w:t>31</w:t>
            </w:r>
            <w:r>
              <w:rPr>
                <w:rFonts w:ascii="宋体" w:hAnsi="宋体" w:cs="宋体" w:eastAsia="宋体" w:hint="default"/>
                <w:spacing w:val="-2"/>
                <w:w w:val="100"/>
                <w:sz w:val="21"/>
                <w:szCs w:val="21"/>
              </w:rPr>
              <w:t>日与财务报表相关的内</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部控制有效性认定的自我评价报告。</w:t>
            </w:r>
          </w:p>
          <w:p>
            <w:pPr>
              <w:pStyle w:val="TableParagraph"/>
              <w:spacing w:line="456" w:lineRule="auto" w:before="136"/>
              <w:ind w:left="864" w:right="22" w:hanging="418"/>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一、管理层对内部控制的责任</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1"/>
                <w:szCs w:val="21"/>
              </w:rPr>
              <w:t>按照财政部颁布的《企业内部控制基本规范》及相关具体规范和有关法律法规的规定，设计、</w:t>
            </w:r>
          </w:p>
          <w:p>
            <w:pPr>
              <w:pStyle w:val="TableParagraph"/>
              <w:spacing w:line="408" w:lineRule="auto" w:before="1"/>
              <w:ind w:left="24" w:right="19"/>
              <w:jc w:val="both"/>
              <w:rPr>
                <w:rFonts w:ascii="宋体" w:hAnsi="宋体" w:cs="宋体" w:eastAsia="宋体" w:hint="default"/>
                <w:sz w:val="21"/>
                <w:szCs w:val="21"/>
              </w:rPr>
            </w:pPr>
            <w:r>
              <w:rPr>
                <w:rFonts w:ascii="宋体" w:hAnsi="宋体" w:cs="宋体" w:eastAsia="宋体" w:hint="default"/>
                <w:spacing w:val="-3"/>
                <w:sz w:val="21"/>
                <w:szCs w:val="21"/>
              </w:rPr>
              <w:t>实施和维护有效性的内部控制，对</w:t>
            </w:r>
            <w:r>
              <w:rPr>
                <w:rFonts w:ascii="宋体" w:hAnsi="宋体" w:cs="宋体" w:eastAsia="宋体" w:hint="default"/>
                <w:spacing w:val="-42"/>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pacing w:val="-3"/>
                <w:sz w:val="21"/>
                <w:szCs w:val="21"/>
              </w:rPr>
              <w:t>日与财务报表相关的内部控制有效性作出认定，并对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上述认定负责，是贵公司管理层的责任。</w:t>
            </w:r>
          </w:p>
          <w:p>
            <w:pPr>
              <w:pStyle w:val="TableParagraph"/>
              <w:spacing w:line="456" w:lineRule="auto" w:before="135"/>
              <w:ind w:left="444" w:right="22"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二、注册会计师的责任</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pacing w:val="-46"/>
                <w:sz w:val="21"/>
                <w:szCs w:val="21"/>
              </w:rPr>
            </w:r>
            <w:r>
              <w:rPr>
                <w:rFonts w:ascii="宋体" w:hAnsi="宋体" w:cs="宋体" w:eastAsia="宋体" w:hint="default"/>
                <w:sz w:val="21"/>
                <w:szCs w:val="21"/>
              </w:rPr>
              <w:t>我们的责任是在实施鉴证工作的基础上对内部控制有效性认定发表鉴证意见。我们按照《中国注册</w:t>
            </w:r>
          </w:p>
          <w:p>
            <w:pPr>
              <w:pStyle w:val="TableParagraph"/>
              <w:spacing w:line="408" w:lineRule="auto" w:before="1"/>
              <w:ind w:left="24" w:right="19"/>
              <w:jc w:val="both"/>
              <w:rPr>
                <w:rFonts w:ascii="宋体" w:hAnsi="宋体" w:cs="宋体" w:eastAsia="宋体" w:hint="default"/>
                <w:sz w:val="21"/>
                <w:szCs w:val="21"/>
              </w:rPr>
            </w:pPr>
            <w:r>
              <w:rPr>
                <w:rFonts w:ascii="宋体" w:hAnsi="宋体" w:cs="宋体" w:eastAsia="宋体" w:hint="default"/>
                <w:sz w:val="21"/>
                <w:szCs w:val="21"/>
              </w:rPr>
              <w:t>会计师其他鉴证业务准则第 </w:t>
            </w:r>
            <w:r>
              <w:rPr>
                <w:rFonts w:ascii="宋体" w:hAnsi="宋体" w:cs="宋体" w:eastAsia="宋体" w:hint="default"/>
                <w:sz w:val="21"/>
                <w:szCs w:val="21"/>
              </w:rPr>
              <w:t>3101</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历史财务信息或审阅以外的鉴证业务》的规定执行鉴证业务。该准</w:t>
            </w:r>
            <w:r>
              <w:rPr>
                <w:rFonts w:ascii="宋体" w:hAnsi="宋体" w:cs="宋体" w:eastAsia="宋体" w:hint="default"/>
                <w:w w:val="100"/>
                <w:sz w:val="21"/>
                <w:szCs w:val="21"/>
              </w:rPr>
              <w:t> </w:t>
            </w:r>
            <w:r>
              <w:rPr>
                <w:rFonts w:ascii="宋体" w:hAnsi="宋体" w:cs="宋体" w:eastAsia="宋体" w:hint="default"/>
                <w:sz w:val="21"/>
                <w:szCs w:val="21"/>
              </w:rPr>
              <w:t>则要求我们遵守中国注册会计师职业道德守则，计划和实施鉴证工作，以对鉴证对象信息是否不存在重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大错报获得合理保证。</w:t>
            </w:r>
          </w:p>
          <w:p>
            <w:pPr>
              <w:pStyle w:val="TableParagraph"/>
              <w:spacing w:line="408" w:lineRule="auto" w:before="87"/>
              <w:ind w:left="24" w:right="22" w:firstLine="420"/>
              <w:jc w:val="left"/>
              <w:rPr>
                <w:rFonts w:ascii="宋体" w:hAnsi="宋体" w:cs="宋体" w:eastAsia="宋体" w:hint="default"/>
                <w:sz w:val="21"/>
                <w:szCs w:val="21"/>
              </w:rPr>
            </w:pPr>
            <w:r>
              <w:rPr>
                <w:rFonts w:ascii="宋体" w:hAnsi="宋体" w:cs="宋体" w:eastAsia="宋体" w:hint="default"/>
                <w:sz w:val="21"/>
                <w:szCs w:val="21"/>
              </w:rPr>
              <w:t>在鉴证过程中，我们实施了包括内部控制的了解，评估重大缺陷存在的风险，根据评估的风险测试</w:t>
            </w:r>
            <w:r>
              <w:rPr>
                <w:rFonts w:ascii="宋体" w:hAnsi="宋体" w:cs="宋体" w:eastAsia="宋体" w:hint="default"/>
                <w:w w:val="100"/>
                <w:sz w:val="21"/>
                <w:szCs w:val="21"/>
              </w:rPr>
              <w:t> </w:t>
            </w:r>
            <w:r>
              <w:rPr>
                <w:rFonts w:ascii="宋体" w:hAnsi="宋体" w:cs="宋体" w:eastAsia="宋体" w:hint="default"/>
                <w:sz w:val="21"/>
                <w:szCs w:val="21"/>
              </w:rPr>
              <w:t>和评价内部控制设计的合理性和运行的有效性，以及我们认为的其他必要程序。</w:t>
            </w:r>
          </w:p>
          <w:p>
            <w:pPr>
              <w:pStyle w:val="TableParagraph"/>
              <w:spacing w:line="470" w:lineRule="auto" w:before="84"/>
              <w:ind w:left="490" w:right="1711" w:hanging="46"/>
              <w:jc w:val="left"/>
              <w:rPr>
                <w:rFonts w:ascii="宋体" w:hAnsi="宋体" w:cs="宋体" w:eastAsia="宋体" w:hint="default"/>
                <w:sz w:val="21"/>
                <w:szCs w:val="21"/>
              </w:rPr>
            </w:pPr>
            <w:r>
              <w:rPr>
                <w:rFonts w:ascii="宋体" w:hAnsi="宋体" w:cs="宋体" w:eastAsia="宋体" w:hint="default"/>
                <w:sz w:val="21"/>
                <w:szCs w:val="21"/>
              </w:rPr>
              <w:t>我们相信，我们获取的证据是充分、适当的，为发表鉴证意见提供了基础。</w:t>
            </w:r>
            <w:r>
              <w:rPr>
                <w:rFonts w:ascii="宋体" w:hAnsi="宋体" w:cs="宋体" w:eastAsia="宋体" w:hint="default"/>
                <w:w w:val="100"/>
                <w:sz w:val="21"/>
                <w:szCs w:val="21"/>
              </w:rPr>
              <w:t> </w:t>
            </w:r>
            <w:r>
              <w:rPr>
                <w:rFonts w:ascii="Microsoft JhengHei" w:hAnsi="Microsoft JhengHei" w:cs="Microsoft JhengHei" w:eastAsia="Microsoft JhengHei" w:hint="default"/>
                <w:b/>
                <w:bCs/>
                <w:sz w:val="21"/>
                <w:szCs w:val="21"/>
              </w:rPr>
              <w:t>三、内部控制的固有局限性</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内部控制固有的局限性，存在错误或舞弊而导致的错报未被发现的可能性。此外</w:t>
            </w:r>
          </w:p>
          <w:p>
            <w:pPr>
              <w:pStyle w:val="TableParagraph"/>
              <w:spacing w:line="405" w:lineRule="auto" w:before="150"/>
              <w:ind w:left="24" w:right="19"/>
              <w:jc w:val="both"/>
              <w:rPr>
                <w:rFonts w:ascii="宋体" w:hAnsi="宋体" w:cs="宋体" w:eastAsia="宋体" w:hint="default"/>
                <w:sz w:val="21"/>
                <w:szCs w:val="21"/>
              </w:rPr>
            </w:pPr>
            <w:r>
              <w:rPr>
                <w:rFonts w:ascii="宋体" w:hAnsi="宋体" w:cs="宋体" w:eastAsia="宋体" w:hint="default"/>
                <w:sz w:val="21"/>
                <w:szCs w:val="21"/>
              </w:rPr>
              <w:t>由于情况的变化可能导致内部控制变得不恰当，或降低对控制政策、程序遵循的程度，根据内部控制评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价结果推测未来内部控制有效性具有一定的风险。</w:t>
            </w:r>
          </w:p>
          <w:p>
            <w:pPr>
              <w:pStyle w:val="TableParagraph"/>
              <w:spacing w:line="240" w:lineRule="auto" w:before="137"/>
              <w:ind w:left="4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四、鉴证结论</w:t>
            </w:r>
            <w:r>
              <w:rPr>
                <w:rFonts w:ascii="Microsoft JhengHei" w:hAnsi="Microsoft JhengHei" w:cs="Microsoft JhengHei" w:eastAsia="Microsoft JhengHei" w:hint="default"/>
                <w:sz w:val="21"/>
                <w:szCs w:val="21"/>
              </w:rPr>
            </w: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我们认为，贵公司按照财政部颁布的《企业内部控制基本规范》及相关具体规范，于</w:t>
            </w:r>
            <w:r>
              <w:rPr>
                <w:rFonts w:ascii="宋体" w:hAnsi="宋体" w:cs="宋体" w:eastAsia="宋体" w:hint="default"/>
                <w:spacing w:val="-38"/>
                <w:sz w:val="21"/>
                <w:szCs w:val="21"/>
              </w:rPr>
              <w:t> </w:t>
            </w:r>
            <w:r>
              <w:rPr>
                <w:rFonts w:ascii="宋体" w:hAnsi="宋体" w:cs="宋体" w:eastAsia="宋体" w:hint="default"/>
                <w:sz w:val="21"/>
                <w:szCs w:val="21"/>
              </w:rPr>
              <w:t>2017</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p>
        </w:tc>
      </w:tr>
    </w:tbl>
    <w:p>
      <w:pPr>
        <w:spacing w:after="0" w:line="240" w:lineRule="auto"/>
        <w:jc w:val="left"/>
        <w:rPr>
          <w:rFonts w:ascii="宋体" w:hAnsi="宋体" w:cs="宋体" w:eastAsia="宋体" w:hint="default"/>
          <w:sz w:val="21"/>
          <w:szCs w:val="21"/>
        </w:rPr>
        <w:sectPr>
          <w:pgSz w:w="11910" w:h="16840"/>
          <w:pgMar w:header="0" w:footer="980" w:top="150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62"/>
        <w:gridCol w:w="6909"/>
      </w:tblGrid>
      <w:tr>
        <w:trPr>
          <w:trHeight w:val="4623" w:hRule="exact"/>
        </w:trPr>
        <w:tc>
          <w:tcPr>
            <w:tcW w:w="9571" w:type="dxa"/>
            <w:gridSpan w:val="2"/>
            <w:tcBorders>
              <w:top w:val="single" w:sz="10" w:space="0" w:color="000000"/>
              <w:left w:val="single" w:sz="4" w:space="0" w:color="000000"/>
              <w:bottom w:val="single" w:sz="4" w:space="0" w:color="000000"/>
              <w:right w:val="single" w:sz="4" w:space="0" w:color="000000"/>
            </w:tcBorders>
          </w:tcPr>
          <w:p>
            <w:pPr>
              <w:pStyle w:val="TableParagraph"/>
              <w:spacing w:line="444" w:lineRule="auto" w:before="64"/>
              <w:ind w:left="444" w:right="3178" w:hanging="421"/>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日在所有重大方面保持了与财务报表编制相关的有效的内部控制。</w:t>
            </w:r>
            <w:r>
              <w:rPr>
                <w:rFonts w:ascii="宋体" w:hAnsi="宋体" w:cs="宋体" w:eastAsia="宋体" w:hint="default"/>
                <w:w w:val="100"/>
                <w:sz w:val="21"/>
                <w:szCs w:val="21"/>
              </w:rPr>
              <w:t> </w:t>
            </w:r>
            <w:r>
              <w:rPr>
                <w:rFonts w:ascii="宋体" w:hAnsi="宋体" w:cs="宋体" w:eastAsia="宋体" w:hint="default"/>
                <w:sz w:val="21"/>
                <w:szCs w:val="21"/>
              </w:rPr>
              <w:t>本结论是在受到鉴证报告中指出的固有限制的条件下形成的。</w:t>
            </w:r>
          </w:p>
          <w:p>
            <w:pPr>
              <w:pStyle w:val="TableParagraph"/>
              <w:spacing w:line="388" w:lineRule="auto" w:before="104"/>
              <w:ind w:left="444" w:right="20" w:firstLine="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五、对报告使用者和使用目的的限制</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21"/>
                <w:szCs w:val="21"/>
              </w:rPr>
              <w:t>本鉴证报告仅供贵公司年度报告披露时使用，不得用作任何其他目的。我们同意本鉴证报告作为贵</w:t>
            </w:r>
          </w:p>
          <w:p>
            <w:pPr>
              <w:pStyle w:val="TableParagraph"/>
              <w:spacing w:line="240" w:lineRule="auto" w:before="3"/>
              <w:ind w:left="24" w:right="0"/>
              <w:jc w:val="left"/>
              <w:rPr>
                <w:rFonts w:ascii="宋体" w:hAnsi="宋体" w:cs="宋体" w:eastAsia="宋体" w:hint="default"/>
                <w:sz w:val="21"/>
                <w:szCs w:val="21"/>
              </w:rPr>
            </w:pPr>
            <w:r>
              <w:rPr>
                <w:rFonts w:ascii="宋体" w:hAnsi="宋体" w:cs="宋体" w:eastAsia="宋体" w:hint="default"/>
                <w:sz w:val="21"/>
                <w:szCs w:val="21"/>
              </w:rPr>
              <w:t>公司年度报告的必备文件，随同其他文件一起报送并对外披露。</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tabs>
                <w:tab w:pos="4438" w:val="left" w:leader="none"/>
              </w:tabs>
              <w:spacing w:line="240" w:lineRule="auto"/>
              <w:ind w:left="24" w:right="0"/>
              <w:jc w:val="left"/>
              <w:rPr>
                <w:rFonts w:ascii="宋体" w:hAnsi="宋体" w:cs="宋体" w:eastAsia="宋体" w:hint="default"/>
                <w:sz w:val="21"/>
                <w:szCs w:val="21"/>
              </w:rPr>
            </w:pPr>
            <w:r>
              <w:rPr>
                <w:rFonts w:ascii="宋体" w:hAnsi="宋体" w:cs="宋体" w:eastAsia="宋体" w:hint="default"/>
                <w:spacing w:val="-2"/>
                <w:sz w:val="21"/>
                <w:szCs w:val="21"/>
              </w:rPr>
              <w:t>希格玛会计师事务所（特殊普通合伙）</w:t>
              <w:tab/>
              <w:t>中国注册会计师：王侠</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436" w:right="0"/>
              <w:jc w:val="left"/>
              <w:rPr>
                <w:rFonts w:ascii="宋体" w:hAnsi="宋体" w:cs="宋体" w:eastAsia="宋体" w:hint="default"/>
                <w:sz w:val="21"/>
                <w:szCs w:val="21"/>
              </w:rPr>
            </w:pPr>
            <w:r>
              <w:rPr>
                <w:rFonts w:ascii="宋体" w:hAnsi="宋体" w:cs="宋体" w:eastAsia="宋体" w:hint="default"/>
                <w:sz w:val="21"/>
                <w:szCs w:val="21"/>
              </w:rPr>
              <w:t>中国注册会计师：杨树杰</w:t>
            </w:r>
          </w:p>
          <w:p>
            <w:pPr>
              <w:pStyle w:val="TableParagraph"/>
              <w:spacing w:line="240" w:lineRule="auto" w:before="154"/>
              <w:ind w:right="19"/>
              <w:jc w:val="right"/>
              <w:rPr>
                <w:rFonts w:ascii="宋体" w:hAnsi="宋体" w:cs="宋体" w:eastAsia="宋体" w:hint="default"/>
                <w:sz w:val="21"/>
                <w:szCs w:val="21"/>
              </w:rPr>
            </w:pPr>
            <w:r>
              <w:rPr>
                <w:rFonts w:ascii="宋体" w:hAnsi="宋体" w:cs="宋体" w:eastAsia="宋体" w:hint="default"/>
                <w:spacing w:val="-2"/>
                <w:sz w:val="21"/>
                <w:szCs w:val="21"/>
              </w:rPr>
              <w:t>二〇一八年三月三十日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w:t>
            </w:r>
            <w:hyperlink r:id="rId10">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w:t>
              </w:r>
            </w:hyperlink>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w:t>
            </w:r>
            <w:r>
              <w:rPr>
                <w:rFonts w:ascii="宋体" w:hAnsi="宋体" w:cs="宋体" w:eastAsia="宋体" w:hint="default"/>
                <w:spacing w:val="-3"/>
                <w:sz w:val="18"/>
                <w:szCs w:val="18"/>
              </w:rPr>
              <w:t>鉴</w:t>
            </w:r>
            <w:r>
              <w:rPr>
                <w:rFonts w:ascii="宋体" w:hAnsi="宋体" w:cs="宋体" w:eastAsia="宋体" w:hint="default"/>
                <w:sz w:val="18"/>
                <w:szCs w:val="18"/>
              </w:rPr>
              <w:t>证报告》</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12" w:right="385"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5"/>
        <w:ind w:left="112" w:right="3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39"/>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0" w:footer="980" w:top="150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44"/>
        <w:ind w:left="3125" w:right="0"/>
        <w:jc w:val="left"/>
        <w:rPr>
          <w:b w:val="0"/>
          <w:bCs w:val="0"/>
        </w:rPr>
      </w:pPr>
      <w:bookmarkStart w:name="_bookmark10" w:id="11"/>
      <w:bookmarkEnd w:id="11"/>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0" w:footer="980" w:top="1500" w:bottom="116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1"/>
        <w:spacing w:line="456" w:lineRule="exact"/>
        <w:ind w:right="658"/>
        <w:jc w:val="center"/>
        <w:rPr>
          <w:b w:val="0"/>
          <w:bCs w:val="0"/>
        </w:rPr>
      </w:pPr>
      <w:bookmarkStart w:name="_bookmark11" w:id="12"/>
      <w:bookmarkEnd w:id="12"/>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希格玛会计师事务所（特殊普通合伙）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希会审字</w:t>
            </w:r>
            <w:r>
              <w:rPr>
                <w:rFonts w:ascii="Times New Roman" w:hAnsi="Times New Roman" w:cs="Times New Roman" w:eastAsia="Times New Roman" w:hint="default"/>
                <w:sz w:val="18"/>
                <w:szCs w:val="18"/>
              </w:rPr>
              <w:t>(2018)1230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王侠、杨树杰</w:t>
            </w:r>
          </w:p>
        </w:tc>
      </w:tr>
    </w:tbl>
    <w:p>
      <w:pPr>
        <w:spacing w:line="240" w:lineRule="auto" w:before="17"/>
        <w:rPr>
          <w:rFonts w:ascii="Microsoft JhengHei" w:hAnsi="Microsoft JhengHei" w:cs="Microsoft JhengHei" w:eastAsia="Microsoft JhengHei" w:hint="default"/>
          <w:b/>
          <w:bCs/>
          <w:sz w:val="3"/>
          <w:szCs w:val="3"/>
        </w:rPr>
      </w:pPr>
    </w:p>
    <w:p>
      <w:pPr>
        <w:pStyle w:val="Heading3"/>
        <w:spacing w:line="335" w:lineRule="exact"/>
        <w:ind w:left="657" w:right="657"/>
        <w:jc w:val="center"/>
        <w:rPr>
          <w:b w:val="0"/>
          <w:bCs w:val="0"/>
        </w:rPr>
      </w:pPr>
      <w:r>
        <w:rPr/>
        <w:t>审计报告正文</w:t>
      </w:r>
      <w:r>
        <w:rPr>
          <w:b w:val="0"/>
          <w:bCs w:val="0"/>
        </w:rPr>
      </w:r>
    </w:p>
    <w:p>
      <w:pPr>
        <w:spacing w:line="240" w:lineRule="auto" w:before="14"/>
        <w:rPr>
          <w:rFonts w:ascii="Microsoft JhengHei" w:hAnsi="Microsoft JhengHei" w:cs="Microsoft JhengHei" w:eastAsia="Microsoft JhengHei" w:hint="default"/>
          <w:b/>
          <w:bCs/>
          <w:sz w:val="10"/>
          <w:szCs w:val="10"/>
        </w:rPr>
      </w:pPr>
    </w:p>
    <w:p>
      <w:pPr>
        <w:pStyle w:val="Heading3"/>
        <w:spacing w:line="335" w:lineRule="exact"/>
        <w:ind w:right="0"/>
        <w:jc w:val="both"/>
        <w:rPr>
          <w:b w:val="0"/>
          <w:bCs w:val="0"/>
        </w:rPr>
      </w:pPr>
      <w:r>
        <w:rPr/>
        <w:t>西安环球印务股份有限公司全体股东：</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453" w:lineRule="auto" w:before="0"/>
        <w:ind w:left="633" w:right="0" w:firstLine="81"/>
        <w:jc w:val="left"/>
      </w:pPr>
      <w:r>
        <w:rPr>
          <w:rFonts w:ascii="Microsoft JhengHei" w:hAnsi="Microsoft JhengHei" w:cs="Microsoft JhengHei" w:eastAsia="Microsoft JhengHei" w:hint="default"/>
          <w:b/>
          <w:bCs/>
        </w:rPr>
        <w:t>一、审计意见</w:t>
      </w:r>
      <w:r>
        <w:rPr>
          <w:rFonts w:ascii="Microsoft JhengHei" w:hAnsi="Microsoft JhengHei" w:cs="Microsoft JhengHei" w:eastAsia="Microsoft JhengHei" w:hint="default"/>
          <w:b/>
          <w:bCs/>
          <w:w w:val="100"/>
        </w:rPr>
        <w:t> </w:t>
      </w:r>
      <w:r>
        <w:rPr>
          <w:spacing w:val="-3"/>
        </w:rPr>
        <w:t>我们审计了西安环球股份有限公司（以下简称贵公司）财务报表，包括</w:t>
      </w: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日的合并及母公</w:t>
      </w:r>
    </w:p>
    <w:p>
      <w:pPr>
        <w:pStyle w:val="BodyText"/>
        <w:spacing w:line="408" w:lineRule="auto" w:before="6"/>
        <w:ind w:right="146"/>
        <w:jc w:val="both"/>
      </w:pPr>
      <w:r>
        <w:rPr>
          <w:spacing w:val="-2"/>
        </w:rPr>
        <w:t>司资产负债表，</w:t>
      </w:r>
      <w:r>
        <w:rPr>
          <w:rFonts w:ascii="宋体" w:hAnsi="宋体" w:cs="宋体" w:eastAsia="宋体" w:hint="default"/>
          <w:spacing w:val="-2"/>
        </w:rPr>
        <w:t>2017</w:t>
      </w:r>
      <w:r>
        <w:rPr>
          <w:spacing w:val="-2"/>
        </w:rPr>
        <w:t>年度的合并及母公司利润表、合并及母公司现金流量表、合并及母公司股东权益变动</w:t>
      </w:r>
      <w:r>
        <w:rPr>
          <w:spacing w:val="-40"/>
        </w:rPr>
        <w:t> </w:t>
      </w:r>
      <w:r>
        <w:rPr>
          <w:spacing w:val="-40"/>
        </w:rPr>
      </w:r>
      <w:r>
        <w:rPr/>
        <w:t>表以及相关财务报表附注。</w:t>
      </w:r>
    </w:p>
    <w:p>
      <w:pPr>
        <w:pStyle w:val="BodyText"/>
        <w:spacing w:line="408" w:lineRule="auto" w:before="85"/>
        <w:ind w:right="0" w:firstLine="480"/>
        <w:jc w:val="left"/>
      </w:pPr>
      <w:r>
        <w:rPr>
          <w:spacing w:val="-2"/>
        </w:rPr>
        <w:t>我们认为，后附的财务报表在所有重大方面按照企业会计准则的规定编制，公允反映了贵公司</w:t>
      </w:r>
      <w:r>
        <w:rPr>
          <w:rFonts w:ascii="宋体" w:hAnsi="宋体" w:cs="宋体" w:eastAsia="宋体" w:hint="default"/>
          <w:spacing w:val="-2"/>
        </w:rPr>
        <w:t>2017</w:t>
      </w:r>
      <w:r>
        <w:rPr>
          <w:rFonts w:ascii="宋体" w:hAnsi="宋体" w:cs="宋体" w:eastAsia="宋体" w:hint="default"/>
          <w:w w:val="100"/>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2017</w:t>
      </w:r>
      <w:r>
        <w:rPr/>
        <w:t>年度的合并及母公司经营成果和现金流量。</w:t>
      </w:r>
    </w:p>
    <w:p>
      <w:pPr>
        <w:spacing w:line="451" w:lineRule="auto" w:before="137"/>
        <w:ind w:left="633" w:right="0" w:firstLine="8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二、形成审计意见的基础</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4"/>
          <w:sz w:val="21"/>
          <w:szCs w:val="21"/>
        </w:rPr>
        <w:t>我们按照中国注册会计师审计准则的规定执行了审计工作。审计报告的“注册会计师对财务报表审计</w:t>
      </w:r>
    </w:p>
    <w:p>
      <w:pPr>
        <w:pStyle w:val="BodyText"/>
        <w:spacing w:line="408" w:lineRule="auto" w:before="8"/>
        <w:ind w:right="146"/>
        <w:jc w:val="both"/>
      </w:pPr>
      <w:r>
        <w:rPr>
          <w:spacing w:val="-2"/>
        </w:rPr>
        <w:t>的责任”部分进一步阐述了我们在这些准则下的责任。按照中国注册会计师职业道德守则，我们独立于贵</w:t>
      </w:r>
      <w:r>
        <w:rPr>
          <w:spacing w:val="-42"/>
        </w:rPr>
        <w:t> </w:t>
      </w:r>
      <w:r>
        <w:rPr>
          <w:spacing w:val="-42"/>
        </w:rPr>
      </w:r>
      <w:r>
        <w:rPr>
          <w:spacing w:val="-2"/>
        </w:rPr>
        <w:t>公司，并履行了职业道德方面的其他责任。我们相信，我们获取的审计证据是充分、适当的，为发表审计</w:t>
      </w:r>
      <w:r>
        <w:rPr>
          <w:spacing w:val="-43"/>
        </w:rPr>
        <w:t> </w:t>
      </w:r>
      <w:r>
        <w:rPr>
          <w:spacing w:val="-43"/>
        </w:rPr>
      </w:r>
      <w:r>
        <w:rPr/>
        <w:t>意见提供了基础。</w:t>
      </w:r>
    </w:p>
    <w:p>
      <w:pPr>
        <w:pStyle w:val="BodyText"/>
        <w:spacing w:line="386" w:lineRule="auto" w:before="138"/>
        <w:ind w:left="573" w:right="0" w:firstLine="141"/>
        <w:jc w:val="left"/>
      </w:pPr>
      <w:r>
        <w:rPr>
          <w:rFonts w:ascii="Microsoft JhengHei" w:hAnsi="Microsoft JhengHei" w:cs="Microsoft JhengHei" w:eastAsia="Microsoft JhengHei" w:hint="default"/>
          <w:b/>
          <w:bCs/>
        </w:rPr>
        <w:t>三、关键审计事项</w:t>
      </w:r>
      <w:r>
        <w:rPr>
          <w:rFonts w:ascii="Microsoft JhengHei" w:hAnsi="Microsoft JhengHei" w:cs="Microsoft JhengHei" w:eastAsia="Microsoft JhengHei" w:hint="default"/>
          <w:b/>
          <w:bCs/>
          <w:w w:val="100"/>
        </w:rPr>
        <w:t> </w:t>
      </w:r>
      <w:r>
        <w:rPr>
          <w:spacing w:val="-2"/>
        </w:rPr>
        <w:t>关键审计事项是我们根据职业判断，认为对本期财务报表审计最为重要的事项。这些事项的应对以对</w:t>
      </w:r>
    </w:p>
    <w:p>
      <w:pPr>
        <w:pStyle w:val="BodyText"/>
        <w:spacing w:line="355" w:lineRule="auto" w:before="7"/>
        <w:ind w:right="146"/>
        <w:jc w:val="both"/>
      </w:pPr>
      <w:r>
        <w:rPr>
          <w:spacing w:val="-2"/>
        </w:rPr>
        <w:t>财务报表整体进行审计并形成审计意见为背景，我们不对这些事项单独发表意见。我们对下述每一事项在</w:t>
      </w:r>
      <w:r>
        <w:rPr>
          <w:spacing w:val="-42"/>
        </w:rPr>
        <w:t> </w:t>
      </w:r>
      <w:r>
        <w:rPr>
          <w:spacing w:val="-42"/>
        </w:rPr>
      </w:r>
      <w:r>
        <w:rPr>
          <w:spacing w:val="-2"/>
        </w:rPr>
        <w:t>审计中是如何应对的描述也以此为背景。我们已经履行了本报告“注册会计师对财务报表审计的责任”部</w:t>
      </w:r>
      <w:r>
        <w:rPr>
          <w:spacing w:val="-43"/>
        </w:rPr>
        <w:t> </w:t>
      </w:r>
      <w:r>
        <w:rPr>
          <w:spacing w:val="-43"/>
        </w:rPr>
      </w:r>
      <w:r>
        <w:rPr>
          <w:spacing w:val="-2"/>
        </w:rPr>
        <w:t>分阐述的责任，包括与这些关键审计事项相关的责任。相应地，我们的审计工作包括执行为应对评估的财</w:t>
      </w:r>
      <w:r>
        <w:rPr>
          <w:spacing w:val="-43"/>
        </w:rPr>
        <w:t> </w:t>
      </w:r>
      <w:r>
        <w:rPr>
          <w:spacing w:val="-43"/>
        </w:rPr>
      </w:r>
      <w:r>
        <w:rPr>
          <w:spacing w:val="-2"/>
        </w:rPr>
        <w:t>务报表重大错报风险而设计的审计程序。我们执行审计程序的结果，包括应对下述关键审计事项所执行的</w:t>
      </w:r>
    </w:p>
    <w:p>
      <w:pPr>
        <w:spacing w:after="0" w:line="355" w:lineRule="auto"/>
        <w:jc w:val="both"/>
        <w:sectPr>
          <w:pgSz w:w="11910" w:h="16840"/>
          <w:pgMar w:header="0" w:footer="980" w:top="1500" w:bottom="1160" w:left="980" w:right="980"/>
        </w:sectPr>
      </w:pPr>
    </w:p>
    <w:p>
      <w:pPr>
        <w:pStyle w:val="BodyText"/>
        <w:spacing w:line="434" w:lineRule="auto" w:before="17"/>
        <w:ind w:left="575" w:right="4458" w:hanging="423"/>
        <w:jc w:val="left"/>
        <w:rPr>
          <w:rFonts w:ascii="Microsoft JhengHei" w:hAnsi="Microsoft JhengHei" w:cs="Microsoft JhengHei" w:eastAsia="Microsoft JhengHei" w:hint="default"/>
        </w:rPr>
      </w:pPr>
      <w:r>
        <w:rPr/>
        <w:pict>
          <v:group style="position:absolute;margin-left:55.200001pt;margin-top:2.193643pt;width:484.9pt;height:.1pt;mso-position-horizontal-relative:page;mso-position-vertical-relative:paragraph;z-index:-754720" coordorigin="1104,44" coordsize="9698,2">
            <v:shape style="position:absolute;left:1104;top:44;width:9698;height:2" coordorigin="1104,44" coordsize="9698,0" path="m1104,44l10802,44e" filled="false" stroked="true" strokeweight=".72pt" strokecolor="#000000">
              <v:path arrowok="t"/>
            </v:shape>
            <w10:wrap type="none"/>
          </v:group>
        </w:pict>
      </w:r>
      <w:r>
        <w:rPr>
          <w:spacing w:val="-2"/>
        </w:rPr>
        <w:t>程序，为财务报表整体发表审计意见提供了基础。</w:t>
      </w:r>
      <w:r>
        <w:rPr>
          <w:spacing w:val="-62"/>
        </w:rPr>
        <w:t> </w:t>
      </w:r>
      <w:r>
        <w:rPr>
          <w:spacing w:val="-62"/>
        </w:rPr>
      </w:r>
      <w:r>
        <w:rPr>
          <w:rFonts w:ascii="Microsoft JhengHei" w:hAnsi="Microsoft JhengHei" w:cs="Microsoft JhengHei" w:eastAsia="Microsoft JhengHei" w:hint="default"/>
          <w:b/>
          <w:bCs/>
        </w:rPr>
        <w:t>收入确认</w:t>
      </w:r>
      <w:r>
        <w:rPr>
          <w:rFonts w:ascii="Microsoft JhengHei" w:hAnsi="Microsoft JhengHei" w:cs="Microsoft JhengHei" w:eastAsia="Microsoft JhengHei" w:hint="default"/>
        </w:rPr>
      </w:r>
    </w:p>
    <w:p>
      <w:pPr>
        <w:pStyle w:val="BodyText"/>
        <w:spacing w:line="240" w:lineRule="auto" w:before="41"/>
        <w:ind w:left="573" w:right="0"/>
        <w:jc w:val="left"/>
      </w:pPr>
      <w:r>
        <w:rPr/>
        <w:t>（一）事项描述</w:t>
      </w:r>
    </w:p>
    <w:p>
      <w:pPr>
        <w:spacing w:line="240" w:lineRule="auto" w:before="1"/>
        <w:rPr>
          <w:rFonts w:ascii="宋体" w:hAnsi="宋体" w:cs="宋体" w:eastAsia="宋体" w:hint="default"/>
          <w:sz w:val="22"/>
          <w:szCs w:val="22"/>
        </w:rPr>
      </w:pPr>
    </w:p>
    <w:p>
      <w:pPr>
        <w:pStyle w:val="BodyText"/>
        <w:spacing w:line="357" w:lineRule="auto" w:before="0"/>
        <w:ind w:right="129" w:firstLine="420"/>
        <w:jc w:val="left"/>
      </w:pPr>
      <w:r>
        <w:rPr>
          <w:spacing w:val="-5"/>
          <w:w w:val="100"/>
        </w:rPr>
        <w:t>如贵公司财务报表附注“五、（三十）营业收入和营业成本”所述，</w:t>
      </w:r>
      <w:r>
        <w:rPr>
          <w:rFonts w:ascii="宋体" w:hAnsi="宋体" w:cs="宋体" w:eastAsia="宋体" w:hint="default"/>
          <w:spacing w:val="-5"/>
          <w:w w:val="100"/>
        </w:rPr>
        <w:t>2017</w:t>
      </w:r>
      <w:r>
        <w:rPr>
          <w:rFonts w:ascii="宋体" w:hAnsi="宋体" w:cs="宋体" w:eastAsia="宋体" w:hint="default"/>
          <w:spacing w:val="-11"/>
          <w:w w:val="100"/>
        </w:rPr>
        <w:t> </w:t>
      </w:r>
      <w:r>
        <w:rPr>
          <w:spacing w:val="-2"/>
          <w:w w:val="100"/>
        </w:rPr>
        <w:t>年度，贵公司营业收入金额</w:t>
      </w:r>
      <w:r>
        <w:rPr>
          <w:w w:val="100"/>
        </w:rPr>
        <w:t> </w:t>
      </w:r>
      <w:r>
        <w:rPr>
          <w:rFonts w:ascii="宋体" w:hAnsi="宋体" w:cs="宋体" w:eastAsia="宋体" w:hint="default"/>
        </w:rPr>
        <w:t>43,821.15</w:t>
      </w:r>
      <w:r>
        <w:rPr>
          <w:rFonts w:ascii="宋体" w:hAnsi="宋体" w:cs="宋体" w:eastAsia="宋体" w:hint="default"/>
          <w:spacing w:val="-26"/>
        </w:rPr>
        <w:t> </w:t>
      </w:r>
      <w:r>
        <w:rPr/>
        <w:t>万元，主要为医药、酒类食品及其他纸盒，瓦楞纸箱等纸质包装销售收入，其中：医药及其他</w:t>
      </w:r>
      <w:r>
        <w:rPr>
          <w:w w:val="100"/>
        </w:rPr>
        <w:t> </w:t>
      </w:r>
      <w:r>
        <w:rPr/>
        <w:t>纸盒销售收入</w:t>
      </w:r>
      <w:r>
        <w:rPr>
          <w:spacing w:val="-53"/>
        </w:rPr>
        <w:t> </w:t>
      </w:r>
      <w:r>
        <w:rPr>
          <w:rFonts w:ascii="宋体" w:hAnsi="宋体" w:cs="宋体" w:eastAsia="宋体" w:hint="default"/>
        </w:rPr>
        <w:t>38,423.73</w:t>
      </w:r>
      <w:r>
        <w:rPr>
          <w:rFonts w:ascii="宋体" w:hAnsi="宋体" w:cs="宋体" w:eastAsia="宋体" w:hint="default"/>
          <w:spacing w:val="-56"/>
        </w:rPr>
        <w:t> </w:t>
      </w:r>
      <w:r>
        <w:rPr/>
        <w:t>万元，占营业收入总额的</w:t>
      </w:r>
      <w:r>
        <w:rPr>
          <w:spacing w:val="-56"/>
        </w:rPr>
        <w:t> </w:t>
      </w:r>
      <w:r>
        <w:rPr>
          <w:rFonts w:ascii="宋体" w:hAnsi="宋体" w:cs="宋体" w:eastAsia="宋体" w:hint="default"/>
        </w:rPr>
        <w:t>87.68%</w:t>
      </w:r>
      <w:r>
        <w:rPr/>
        <w:t>。医药及其他纸盒采用订单式生产的销售方式，</w:t>
      </w:r>
      <w:r>
        <w:rPr>
          <w:w w:val="100"/>
        </w:rPr>
        <w:t> </w:t>
      </w:r>
      <w:r>
        <w:rPr>
          <w:spacing w:val="-2"/>
        </w:rPr>
        <w:t>收入的确认取决于货物的交付方式，以及客户对于货物交付的确认，通常情况，贵公司与客户约定的交货</w:t>
      </w:r>
      <w:r>
        <w:rPr>
          <w:spacing w:val="-44"/>
        </w:rPr>
        <w:t> </w:t>
      </w:r>
      <w:r>
        <w:rPr>
          <w:spacing w:val="-44"/>
        </w:rPr>
      </w:r>
      <w:r>
        <w:rPr>
          <w:spacing w:val="-2"/>
        </w:rPr>
        <w:t>方式为在规定的时间、周期送货上门，并经客户确认收货。客户规定的交货时间、确认收货的程序、时间</w:t>
      </w:r>
      <w:r>
        <w:rPr>
          <w:spacing w:val="-43"/>
        </w:rPr>
        <w:t> </w:t>
      </w:r>
      <w:r>
        <w:rPr>
          <w:spacing w:val="-43"/>
        </w:rPr>
      </w:r>
      <w:r>
        <w:rPr>
          <w:spacing w:val="-2"/>
        </w:rPr>
        <w:t>存在差异，这导致收入的确认时点存在不确定性，截止性可能存在重大错报风险。我们认为，该事项对于</w:t>
      </w:r>
      <w:r>
        <w:rPr>
          <w:spacing w:val="-47"/>
        </w:rPr>
        <w:t> </w:t>
      </w:r>
      <w:r>
        <w:rPr>
          <w:spacing w:val="-47"/>
        </w:rPr>
      </w:r>
      <w:r>
        <w:rPr/>
        <w:t>我们的审计而言是重要的，因为贵公司收入确认时点的确定，对财务报表收入金额产生重要影响。</w:t>
      </w:r>
    </w:p>
    <w:p>
      <w:pPr>
        <w:spacing w:line="240" w:lineRule="auto" w:before="3"/>
        <w:rPr>
          <w:rFonts w:ascii="宋体" w:hAnsi="宋体" w:cs="宋体" w:eastAsia="宋体" w:hint="default"/>
          <w:sz w:val="14"/>
          <w:szCs w:val="14"/>
        </w:rPr>
      </w:pPr>
    </w:p>
    <w:p>
      <w:pPr>
        <w:pStyle w:val="BodyText"/>
        <w:spacing w:line="240" w:lineRule="auto" w:before="0"/>
        <w:ind w:left="573" w:right="0"/>
        <w:jc w:val="left"/>
      </w:pPr>
      <w:r>
        <w:rPr/>
        <w:t>（二）审计应对</w:t>
      </w:r>
    </w:p>
    <w:p>
      <w:pPr>
        <w:spacing w:line="240" w:lineRule="auto" w:before="1"/>
        <w:rPr>
          <w:rFonts w:ascii="宋体" w:hAnsi="宋体" w:cs="宋体" w:eastAsia="宋体" w:hint="default"/>
          <w:sz w:val="22"/>
          <w:szCs w:val="22"/>
        </w:rPr>
      </w:pPr>
    </w:p>
    <w:p>
      <w:pPr>
        <w:pStyle w:val="BodyText"/>
        <w:spacing w:line="357" w:lineRule="auto" w:before="0"/>
        <w:ind w:right="0" w:firstLine="420"/>
        <w:jc w:val="left"/>
      </w:pPr>
      <w:r>
        <w:rPr/>
        <w:t>我们实施的与收入确认相关的重大错报风险（被认为是特别风险）的审计程序包括但不限于：我们了</w:t>
      </w:r>
      <w:r>
        <w:rPr>
          <w:w w:val="100"/>
        </w:rPr>
        <w:t> </w:t>
      </w:r>
      <w:r>
        <w:rPr>
          <w:spacing w:val="-2"/>
        </w:rPr>
        <w:t>解、评估并测试了收入确认的相关内部控制设计、执行的有效性；获取主要客户销售订单，对订单关键条</w:t>
      </w:r>
      <w:r>
        <w:rPr>
          <w:spacing w:val="-50"/>
        </w:rPr>
        <w:t> </w:t>
      </w:r>
      <w:r>
        <w:rPr>
          <w:spacing w:val="-50"/>
        </w:rPr>
      </w:r>
      <w:r>
        <w:rPr>
          <w:spacing w:val="-4"/>
          <w:w w:val="100"/>
        </w:rPr>
        <w:t>款进行核实，如（</w:t>
      </w:r>
      <w:r>
        <w:rPr>
          <w:rFonts w:ascii="宋体" w:hAnsi="宋体" w:cs="宋体" w:eastAsia="宋体" w:hint="default"/>
          <w:spacing w:val="-4"/>
          <w:w w:val="100"/>
        </w:rPr>
        <w:t>1</w:t>
      </w:r>
      <w:r>
        <w:rPr>
          <w:spacing w:val="-4"/>
          <w:w w:val="100"/>
        </w:rPr>
        <w:t>）发货及验收；（</w:t>
      </w:r>
      <w:r>
        <w:rPr>
          <w:rFonts w:ascii="宋体" w:hAnsi="宋体" w:cs="宋体" w:eastAsia="宋体" w:hint="default"/>
          <w:spacing w:val="-4"/>
          <w:w w:val="100"/>
        </w:rPr>
        <w:t>2</w:t>
      </w:r>
      <w:r>
        <w:rPr>
          <w:spacing w:val="-4"/>
          <w:w w:val="100"/>
        </w:rPr>
        <w:t>）付款及结算等，分析主要客户销售订单关键条款前后期变动情况，</w:t>
      </w:r>
      <w:r>
        <w:rPr>
          <w:spacing w:val="-104"/>
          <w:w w:val="100"/>
        </w:rPr>
        <w:t> </w:t>
      </w:r>
      <w:r>
        <w:rPr>
          <w:spacing w:val="-104"/>
          <w:w w:val="100"/>
        </w:rPr>
      </w:r>
      <w:r>
        <w:rPr>
          <w:spacing w:val="-2"/>
        </w:rPr>
        <w:t>确定是否存在异常变动；实施实质性分析程序，比较前后期销售量、销售收入变动情况，并实施追加审计</w:t>
      </w:r>
      <w:r>
        <w:rPr>
          <w:spacing w:val="-50"/>
        </w:rPr>
        <w:t> </w:t>
      </w:r>
      <w:r>
        <w:rPr>
          <w:spacing w:val="-50"/>
        </w:rPr>
      </w:r>
      <w:r>
        <w:rPr/>
        <w:t>程序；获取收入明细账及客户销售订单、出库单、收货单、销售发票等实施细节测试；对资产负债表日前</w:t>
      </w:r>
      <w:r>
        <w:rPr>
          <w:w w:val="100"/>
        </w:rPr>
        <w:t> </w:t>
      </w:r>
      <w:r>
        <w:rPr/>
        <w:t>后收入确认凭证实施截止性测试。</w:t>
      </w:r>
    </w:p>
    <w:p>
      <w:pPr>
        <w:spacing w:line="240" w:lineRule="auto" w:before="9"/>
        <w:rPr>
          <w:rFonts w:ascii="宋体" w:hAnsi="宋体" w:cs="宋体" w:eastAsia="宋体" w:hint="default"/>
          <w:sz w:val="16"/>
          <w:szCs w:val="16"/>
        </w:rPr>
      </w:pPr>
    </w:p>
    <w:p>
      <w:pPr>
        <w:pStyle w:val="BodyText"/>
        <w:spacing w:line="386" w:lineRule="auto" w:before="0"/>
        <w:ind w:left="573" w:right="208" w:firstLine="60"/>
        <w:jc w:val="left"/>
      </w:pPr>
      <w:r>
        <w:rPr>
          <w:rFonts w:ascii="Microsoft JhengHei" w:hAnsi="Microsoft JhengHei" w:cs="Microsoft JhengHei" w:eastAsia="Microsoft JhengHei" w:hint="default"/>
          <w:b/>
          <w:bCs/>
        </w:rPr>
        <w:t>四、其他信息</w:t>
      </w:r>
      <w:r>
        <w:rPr>
          <w:rFonts w:ascii="Microsoft JhengHei" w:hAnsi="Microsoft JhengHei" w:cs="Microsoft JhengHei" w:eastAsia="Microsoft JhengHei" w:hint="default"/>
          <w:b/>
          <w:bCs/>
          <w:w w:val="100"/>
        </w:rPr>
        <w:t> </w:t>
      </w:r>
      <w:r>
        <w:rPr>
          <w:spacing w:val="-2"/>
          <w:w w:val="100"/>
        </w:rPr>
        <w:t>贵公司管理层（以下简称“管理层”）对其他信息负责。其他信息包括年度报告中涵盖的信息，但不</w:t>
      </w:r>
    </w:p>
    <w:p>
      <w:pPr>
        <w:pStyle w:val="BodyText"/>
        <w:spacing w:line="240" w:lineRule="auto" w:before="7"/>
        <w:ind w:right="0"/>
        <w:jc w:val="left"/>
      </w:pPr>
      <w:r>
        <w:rPr/>
        <w:t>包括财务报表和我们的审计报告。</w:t>
      </w:r>
    </w:p>
    <w:p>
      <w:pPr>
        <w:pStyle w:val="BodyText"/>
        <w:spacing w:line="560" w:lineRule="atLeast" w:before="4"/>
        <w:ind w:left="573" w:right="0"/>
        <w:jc w:val="left"/>
      </w:pPr>
      <w:r>
        <w:rPr/>
        <w:t>我们对财务报表发表的审计意见不涵盖其他信息，我们也不对其他信息发表任何形式的鉴证结论。</w:t>
      </w:r>
      <w:r>
        <w:rPr>
          <w:w w:val="100"/>
        </w:rPr>
        <w:t> </w:t>
      </w:r>
      <w:r>
        <w:rPr>
          <w:spacing w:val="-2"/>
        </w:rPr>
        <w:t>结合我们对财务报表的审计，我们的责任是阅读其他信息，在此过程中，考虑其他信息是否与财务报</w:t>
      </w:r>
    </w:p>
    <w:p>
      <w:pPr>
        <w:pStyle w:val="BodyText"/>
        <w:spacing w:line="240" w:lineRule="auto" w:before="135"/>
        <w:ind w:right="0"/>
        <w:jc w:val="left"/>
      </w:pPr>
      <w:r>
        <w:rPr/>
        <w:t>表或我们在审计过程中了解到的情况存在重大不一致或者似乎存在重大错报。</w:t>
      </w:r>
    </w:p>
    <w:p>
      <w:pPr>
        <w:spacing w:line="240" w:lineRule="auto" w:before="2"/>
        <w:rPr>
          <w:rFonts w:ascii="宋体" w:hAnsi="宋体" w:cs="宋体" w:eastAsia="宋体" w:hint="default"/>
          <w:sz w:val="22"/>
          <w:szCs w:val="22"/>
        </w:rPr>
      </w:pPr>
    </w:p>
    <w:p>
      <w:pPr>
        <w:pStyle w:val="BodyText"/>
        <w:spacing w:line="355" w:lineRule="auto" w:before="0"/>
        <w:ind w:right="0" w:firstLine="420"/>
        <w:jc w:val="left"/>
      </w:pPr>
      <w:r>
        <w:rPr>
          <w:spacing w:val="-2"/>
        </w:rPr>
        <w:t>基于我们已执行的工作，如果我们确定其他信息存在重大错报，我们应当报告该事实。在这方面，我</w:t>
      </w:r>
      <w:r>
        <w:rPr>
          <w:w w:val="100"/>
        </w:rPr>
        <w:t> </w:t>
      </w:r>
      <w:r>
        <w:rPr/>
        <w:t>们无任何事项需要报告。</w:t>
      </w:r>
    </w:p>
    <w:p>
      <w:pPr>
        <w:spacing w:line="240" w:lineRule="auto" w:before="11"/>
        <w:rPr>
          <w:rFonts w:ascii="宋体" w:hAnsi="宋体" w:cs="宋体" w:eastAsia="宋体" w:hint="default"/>
          <w:sz w:val="16"/>
          <w:szCs w:val="16"/>
        </w:rPr>
      </w:pPr>
    </w:p>
    <w:p>
      <w:pPr>
        <w:spacing w:line="453" w:lineRule="auto" w:before="0"/>
        <w:ind w:left="633" w:right="0" w:firstLine="8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五、管理层和治理层对财务报表的责任</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贵公司管理层（以下简称管理层）负责按照企业会计准则的规定编制财务报表，使其实现公允反映，</w:t>
      </w:r>
    </w:p>
    <w:p>
      <w:pPr>
        <w:pStyle w:val="BodyText"/>
        <w:spacing w:line="240" w:lineRule="auto" w:before="6"/>
        <w:ind w:right="0"/>
        <w:jc w:val="left"/>
      </w:pPr>
      <w:r>
        <w:rPr/>
        <w:t>并设计、执行和维护必要的内部控制，以使财务报表不存在由于舞弊或错误导致的重大错报。</w:t>
      </w:r>
    </w:p>
    <w:p>
      <w:pPr>
        <w:spacing w:after="0" w:line="240" w:lineRule="auto"/>
        <w:jc w:val="left"/>
        <w:sectPr>
          <w:pgSz w:w="11910" w:h="16840"/>
          <w:pgMar w:header="0" w:footer="980" w:top="150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408" w:lineRule="auto" w:before="59"/>
        <w:ind w:right="0" w:firstLine="480"/>
        <w:jc w:val="left"/>
      </w:pPr>
      <w:r>
        <w:rPr>
          <w:spacing w:val="-6"/>
        </w:rPr>
        <w:t>在编制财务报表时，管理层负责评估贵公司的持续经营能力，披露与持续经营相关的事项（如适用），</w:t>
      </w:r>
      <w:r>
        <w:rPr>
          <w:w w:val="100"/>
        </w:rPr>
        <w:t> </w:t>
      </w:r>
      <w:r>
        <w:rPr/>
        <w:t>并运用持续经营假设，除非管理层计划清算贵公司、终止运营或别无其他现实的选择。</w:t>
      </w:r>
    </w:p>
    <w:p>
      <w:pPr>
        <w:pStyle w:val="BodyText"/>
        <w:spacing w:line="240" w:lineRule="auto" w:before="87"/>
        <w:ind w:left="714" w:right="0" w:hanging="82"/>
        <w:jc w:val="left"/>
      </w:pPr>
      <w:r>
        <w:rPr/>
        <w:t>治理层负责监督贵公司的财务报告过程。</w:t>
      </w:r>
    </w:p>
    <w:p>
      <w:pPr>
        <w:spacing w:line="240" w:lineRule="auto" w:before="8"/>
        <w:rPr>
          <w:rFonts w:ascii="宋体" w:hAnsi="宋体" w:cs="宋体" w:eastAsia="宋体" w:hint="default"/>
          <w:sz w:val="21"/>
          <w:szCs w:val="21"/>
        </w:rPr>
      </w:pPr>
    </w:p>
    <w:p>
      <w:pPr>
        <w:spacing w:line="388" w:lineRule="auto" w:before="0"/>
        <w:ind w:left="573" w:right="0" w:firstLine="14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六、注册会计师对财务报表审计的责任</w:t>
      </w:r>
      <w:r>
        <w:rPr>
          <w:rFonts w:ascii="Microsoft JhengHei" w:hAnsi="Microsoft JhengHei" w:cs="Microsoft JhengHei" w:eastAsia="Microsoft JhengHei"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BodyText"/>
        <w:spacing w:line="355" w:lineRule="auto" w:before="3"/>
        <w:ind w:right="206"/>
        <w:jc w:val="both"/>
      </w:pP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spacing w:line="240" w:lineRule="auto" w:before="8"/>
        <w:rPr>
          <w:rFonts w:ascii="宋体" w:hAnsi="宋体" w:cs="宋体" w:eastAsia="宋体" w:hint="default"/>
          <w:sz w:val="14"/>
          <w:szCs w:val="14"/>
        </w:rPr>
      </w:pPr>
    </w:p>
    <w:p>
      <w:pPr>
        <w:pStyle w:val="BodyText"/>
        <w:spacing w:line="355" w:lineRule="auto" w:before="0"/>
        <w:ind w:right="0" w:firstLine="420"/>
        <w:jc w:val="left"/>
      </w:pPr>
      <w:r>
        <w:rPr>
          <w:spacing w:val="-2"/>
        </w:rPr>
        <w:t>在按照审计准则执行审计工作的过程中，我们运用职业判断，并保持职业怀疑。同时，我们也执行以</w:t>
      </w:r>
      <w:r>
        <w:rPr>
          <w:w w:val="100"/>
        </w:rPr>
        <w:t> </w:t>
      </w:r>
      <w:r>
        <w:rPr/>
        <w:t>下工作：</w:t>
      </w:r>
    </w:p>
    <w:p>
      <w:pPr>
        <w:spacing w:line="240" w:lineRule="auto" w:before="5"/>
        <w:rPr>
          <w:rFonts w:ascii="宋体" w:hAnsi="宋体" w:cs="宋体" w:eastAsia="宋体" w:hint="default"/>
          <w:sz w:val="14"/>
          <w:szCs w:val="14"/>
        </w:rPr>
      </w:pPr>
    </w:p>
    <w:p>
      <w:pPr>
        <w:pStyle w:val="BodyText"/>
        <w:spacing w:line="357" w:lineRule="auto" w:before="0"/>
        <w:ind w:right="0" w:firstLine="420"/>
        <w:jc w:val="left"/>
      </w:pPr>
      <w:r>
        <w:rPr/>
        <w:t>（一）识别和评估由于舞弊或错误导致的财务报表重大错报风险，设计和实施审计程序以应对这些风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 </w:t>
      </w:r>
      <w:r>
        <w:rPr>
          <w:spacing w:val="-5"/>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spacing w:line="240" w:lineRule="auto" w:before="3"/>
        <w:rPr>
          <w:rFonts w:ascii="宋体" w:hAnsi="宋体" w:cs="宋体" w:eastAsia="宋体" w:hint="default"/>
          <w:sz w:val="14"/>
          <w:szCs w:val="14"/>
        </w:rPr>
      </w:pPr>
    </w:p>
    <w:p>
      <w:pPr>
        <w:pStyle w:val="BodyText"/>
        <w:spacing w:line="240" w:lineRule="auto" w:before="0"/>
        <w:ind w:left="573" w:right="0"/>
        <w:jc w:val="left"/>
      </w:pPr>
      <w:r>
        <w:rPr/>
        <w:t>（二）了解与审计相关的内部控制，以设计恰当的审计程序。</w:t>
      </w:r>
    </w:p>
    <w:p>
      <w:pPr>
        <w:spacing w:line="240" w:lineRule="auto" w:before="2"/>
        <w:rPr>
          <w:rFonts w:ascii="宋体" w:hAnsi="宋体" w:cs="宋体" w:eastAsia="宋体" w:hint="default"/>
          <w:sz w:val="22"/>
          <w:szCs w:val="22"/>
        </w:rPr>
      </w:pPr>
    </w:p>
    <w:p>
      <w:pPr>
        <w:pStyle w:val="BodyText"/>
        <w:spacing w:line="240" w:lineRule="auto" w:before="0"/>
        <w:ind w:left="573" w:right="0"/>
        <w:jc w:val="left"/>
      </w:pPr>
      <w:r>
        <w:rPr/>
        <w:t>（三）评价管理层选用会计政策的恰当性和作出会计估计及相关披露的合理性。</w:t>
      </w:r>
    </w:p>
    <w:p>
      <w:pPr>
        <w:spacing w:line="240" w:lineRule="auto" w:before="1"/>
        <w:rPr>
          <w:rFonts w:ascii="宋体" w:hAnsi="宋体" w:cs="宋体" w:eastAsia="宋体" w:hint="default"/>
          <w:sz w:val="22"/>
          <w:szCs w:val="22"/>
        </w:rPr>
      </w:pPr>
    </w:p>
    <w:p>
      <w:pPr>
        <w:pStyle w:val="BodyText"/>
        <w:spacing w:line="357" w:lineRule="auto" w:before="0"/>
        <w:ind w:right="206" w:firstLine="420"/>
        <w:jc w:val="both"/>
      </w:pPr>
      <w:r>
        <w:rPr>
          <w:spacing w:val="-2"/>
        </w:rPr>
        <w:t>（四）对管理层使用持续经营假设的恰当性得出结论。同时，根据获取的审计证据，就可能导致对贵</w:t>
      </w:r>
      <w:r>
        <w:rPr>
          <w:w w:val="100"/>
        </w:rPr>
        <w:t> </w:t>
      </w:r>
      <w:r>
        <w:rPr>
          <w:spacing w:val="-2"/>
        </w:rPr>
        <w:t>公司持续经营能力产生重大疑虑的事项或情况是否存在重大不确定性得出结论。如果我们得出结论认为存</w:t>
      </w:r>
      <w:r>
        <w:rPr>
          <w:spacing w:val="-43"/>
        </w:rPr>
        <w:t> </w:t>
      </w:r>
      <w:r>
        <w:rPr>
          <w:spacing w:val="-43"/>
        </w:rPr>
      </w:r>
      <w:r>
        <w:rPr>
          <w:spacing w:val="-2"/>
        </w:rPr>
        <w:t>在重大不确定性，审计准则要求我们在审计报告中提请报表使用者注意财务报表中的相关披露；如果披露</w:t>
      </w:r>
      <w:r>
        <w:rPr>
          <w:spacing w:val="-42"/>
        </w:rPr>
        <w:t> </w:t>
      </w:r>
      <w:r>
        <w:rPr>
          <w:spacing w:val="-42"/>
        </w:rPr>
      </w:r>
      <w:r>
        <w:rPr>
          <w:spacing w:val="-2"/>
        </w:rPr>
        <w:t>不充分，我们应当发表非无保留意见。我们的结论基于截至审计报告日可获得的信息。然而，未来的事项</w:t>
      </w:r>
      <w:r>
        <w:rPr>
          <w:spacing w:val="-47"/>
        </w:rPr>
        <w:t> </w:t>
      </w:r>
      <w:r>
        <w:rPr>
          <w:spacing w:val="-47"/>
        </w:rPr>
      </w:r>
      <w:r>
        <w:rPr/>
        <w:t>或情况可能导致贵公司不能持续经营。</w:t>
      </w:r>
    </w:p>
    <w:p>
      <w:pPr>
        <w:spacing w:line="240" w:lineRule="auto" w:before="3"/>
        <w:rPr>
          <w:rFonts w:ascii="宋体" w:hAnsi="宋体" w:cs="宋体" w:eastAsia="宋体" w:hint="default"/>
          <w:sz w:val="14"/>
          <w:szCs w:val="14"/>
        </w:rPr>
      </w:pPr>
    </w:p>
    <w:p>
      <w:pPr>
        <w:pStyle w:val="BodyText"/>
        <w:spacing w:line="357" w:lineRule="auto" w:before="0"/>
        <w:ind w:right="209" w:firstLine="420"/>
        <w:jc w:val="left"/>
      </w:pPr>
      <w:r>
        <w:rPr>
          <w:spacing w:val="-2"/>
          <w:w w:val="100"/>
        </w:rPr>
        <w:t>（五）评价财务报表的总体列报、结构和内容（包括披露），并评价财务报表是否公允反映相关交易</w:t>
      </w:r>
      <w:r>
        <w:rPr>
          <w:w w:val="100"/>
        </w:rPr>
        <w:t> </w:t>
      </w:r>
      <w:r>
        <w:rPr/>
        <w:t>和事项。</w:t>
      </w:r>
    </w:p>
    <w:p>
      <w:pPr>
        <w:spacing w:line="240" w:lineRule="auto" w:before="4"/>
        <w:rPr>
          <w:rFonts w:ascii="宋体" w:hAnsi="宋体" w:cs="宋体" w:eastAsia="宋体" w:hint="default"/>
          <w:sz w:val="14"/>
          <w:szCs w:val="14"/>
        </w:rPr>
      </w:pPr>
    </w:p>
    <w:p>
      <w:pPr>
        <w:pStyle w:val="BodyText"/>
        <w:spacing w:line="355" w:lineRule="auto" w:before="0"/>
        <w:ind w:right="0" w:firstLine="420"/>
        <w:jc w:val="left"/>
      </w:pPr>
      <w:r>
        <w:rPr>
          <w:spacing w:val="-2"/>
        </w:rPr>
        <w:t>（六）就贵公司中实体或业务活动的财务信息获取充分、适当的审计证据，以对财务报表发表审计意</w:t>
      </w:r>
      <w:r>
        <w:rPr>
          <w:w w:val="100"/>
        </w:rPr>
        <w:t> </w:t>
      </w:r>
      <w:r>
        <w:rPr/>
        <w:t>见。我们负责指导、监督和执行集团审计，并对审计意见承担全部责任。</w:t>
      </w:r>
    </w:p>
    <w:p>
      <w:pPr>
        <w:spacing w:line="240" w:lineRule="auto" w:before="5"/>
        <w:rPr>
          <w:rFonts w:ascii="宋体" w:hAnsi="宋体" w:cs="宋体" w:eastAsia="宋体" w:hint="default"/>
          <w:sz w:val="14"/>
          <w:szCs w:val="14"/>
        </w:rPr>
      </w:pPr>
    </w:p>
    <w:p>
      <w:pPr>
        <w:pStyle w:val="BodyText"/>
        <w:spacing w:line="355" w:lineRule="auto" w:before="0"/>
        <w:ind w:right="0" w:firstLine="420"/>
        <w:jc w:val="left"/>
      </w:pPr>
      <w:r>
        <w:rPr>
          <w:spacing w:val="-2"/>
        </w:rPr>
        <w:t>我们与治理层就计划的审计范围、时间安排和重大审计发现等事项进行沟通，包括沟通我们在审计中</w:t>
      </w:r>
      <w:r>
        <w:rPr>
          <w:w w:val="100"/>
        </w:rPr>
        <w:t> </w:t>
      </w:r>
      <w:r>
        <w:rPr/>
        <w:t>识别出的值得关注的内部控制缺陷。</w:t>
      </w:r>
    </w:p>
    <w:p>
      <w:pPr>
        <w:spacing w:line="240" w:lineRule="auto" w:before="8"/>
        <w:rPr>
          <w:rFonts w:ascii="宋体" w:hAnsi="宋体" w:cs="宋体" w:eastAsia="宋体" w:hint="default"/>
          <w:sz w:val="14"/>
          <w:szCs w:val="14"/>
        </w:rPr>
      </w:pPr>
    </w:p>
    <w:p>
      <w:pPr>
        <w:pStyle w:val="BodyText"/>
        <w:spacing w:line="355" w:lineRule="auto" w:before="0"/>
        <w:ind w:right="0" w:firstLine="420"/>
        <w:jc w:val="left"/>
      </w:pPr>
      <w:r>
        <w:rPr>
          <w:spacing w:val="-2"/>
        </w:rPr>
        <w:t>我们还就已遵守与独立性相关的职业道德要求向治理层提供声明，并与治理层沟通可能被合理认为影</w:t>
      </w:r>
      <w:r>
        <w:rPr>
          <w:w w:val="100"/>
        </w:rPr>
        <w:t> </w:t>
      </w:r>
      <w:r>
        <w:rPr>
          <w:spacing w:val="-5"/>
          <w:w w:val="100"/>
        </w:rPr>
        <w:t>响我们独立性的所有关系和其他事项，以及相关的防范措施（如适用）。</w:t>
      </w:r>
    </w:p>
    <w:p>
      <w:pPr>
        <w:spacing w:after="0" w:line="355" w:lineRule="auto"/>
        <w:jc w:val="left"/>
        <w:sectPr>
          <w:pgSz w:w="11910" w:h="16840"/>
          <w:pgMar w:header="0" w:footer="980" w:top="1500" w:bottom="1160" w:left="980" w:right="920"/>
        </w:sectPr>
      </w:pPr>
    </w:p>
    <w:p>
      <w:pPr>
        <w:pStyle w:val="BodyText"/>
        <w:spacing w:line="357" w:lineRule="auto" w:before="17"/>
        <w:ind w:right="146" w:firstLine="420"/>
        <w:jc w:val="both"/>
      </w:pPr>
      <w:r>
        <w:rPr/>
        <w:pict>
          <v:group style="position:absolute;margin-left:55.200001pt;margin-top:2.193643pt;width:484.9pt;height:.1pt;mso-position-horizontal-relative:page;mso-position-vertical-relative:paragraph;z-index:-754672" coordorigin="1104,44" coordsize="9698,2">
            <v:shape style="position:absolute;left:1104;top:44;width:9698;height:2" coordorigin="1104,44" coordsize="9698,0" path="m1104,44l10802,44e" filled="false" stroked="true" strokeweight=".72pt" strokecolor="#000000">
              <v:path arrowok="t"/>
            </v:shape>
            <w10:wrap type="none"/>
          </v:group>
        </w:pict>
      </w: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7"/>
        </w:rPr>
        <w:t> </w:t>
      </w:r>
      <w:r>
        <w:rPr>
          <w:spacing w:val="-47"/>
        </w:rPr>
      </w:r>
      <w:r>
        <w:rPr>
          <w:spacing w:val="-2"/>
        </w:rPr>
        <w:t>理预期在审计报告中沟通某事项造成的负面后果超过在公众利益方面产生的益处，我们确定不应在审计报</w:t>
      </w:r>
      <w:r>
        <w:rPr>
          <w:spacing w:val="-43"/>
        </w:rPr>
        <w:t> </w:t>
      </w:r>
      <w:r>
        <w:rPr>
          <w:spacing w:val="-43"/>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tabs>
          <w:tab w:pos="4567" w:val="left" w:leader="none"/>
        </w:tabs>
        <w:spacing w:line="240" w:lineRule="auto" w:before="0"/>
        <w:ind w:right="0"/>
        <w:jc w:val="left"/>
      </w:pPr>
      <w:r>
        <w:rPr>
          <w:spacing w:val="-2"/>
        </w:rPr>
        <w:t>希格玛会计师事务所（特殊普通合伙）</w:t>
        <w:tab/>
        <w:t>中国注册会计师：王侠</w:t>
      </w:r>
    </w:p>
    <w:p>
      <w:pPr>
        <w:spacing w:line="240" w:lineRule="auto" w:before="1"/>
        <w:rPr>
          <w:rFonts w:ascii="宋体" w:hAnsi="宋体" w:cs="宋体" w:eastAsia="宋体" w:hint="default"/>
          <w:sz w:val="22"/>
          <w:szCs w:val="22"/>
        </w:rPr>
      </w:pPr>
    </w:p>
    <w:p>
      <w:pPr>
        <w:pStyle w:val="BodyText"/>
        <w:spacing w:line="240" w:lineRule="auto" w:before="0"/>
        <w:ind w:left="657" w:right="2"/>
        <w:jc w:val="center"/>
        <w:rPr>
          <w:rFonts w:ascii="宋体" w:hAnsi="宋体" w:cs="宋体" w:eastAsia="宋体" w:hint="default"/>
        </w:rPr>
      </w:pPr>
      <w:r>
        <w:rPr>
          <w:rFonts w:ascii="宋体" w:hAnsi="宋体" w:cs="宋体" w:eastAsia="宋体" w:hint="default"/>
        </w:rPr>
        <w:t>(</w:t>
      </w:r>
      <w:r>
        <w:rPr/>
        <w:t>项目合伙人</w:t>
      </w:r>
      <w:r>
        <w:rPr>
          <w:rFonts w:ascii="宋体" w:hAnsi="宋体" w:cs="宋体" w:eastAsia="宋体" w:hint="default"/>
        </w:rPr>
        <w:t>)</w:t>
      </w:r>
    </w:p>
    <w:p>
      <w:pPr>
        <w:spacing w:line="240" w:lineRule="auto" w:before="9"/>
        <w:rPr>
          <w:rFonts w:ascii="宋体" w:hAnsi="宋体" w:cs="宋体" w:eastAsia="宋体" w:hint="default"/>
          <w:sz w:val="29"/>
          <w:szCs w:val="29"/>
        </w:rPr>
      </w:pPr>
    </w:p>
    <w:p>
      <w:pPr>
        <w:pStyle w:val="BodyText"/>
        <w:tabs>
          <w:tab w:pos="2255" w:val="left" w:leader="none"/>
          <w:tab w:pos="4564" w:val="left" w:leader="none"/>
        </w:tabs>
        <w:spacing w:line="544" w:lineRule="auto" w:before="0"/>
        <w:ind w:left="5403" w:right="2438" w:hanging="4199"/>
        <w:jc w:val="left"/>
      </w:pPr>
      <w:r>
        <w:rPr/>
        <w:t>中国</w:t>
        <w:tab/>
      </w:r>
      <w:r>
        <w:rPr>
          <w:spacing w:val="-1"/>
        </w:rPr>
        <w:t>西安市</w:t>
        <w:tab/>
      </w:r>
      <w:r>
        <w:rPr>
          <w:spacing w:val="-2"/>
        </w:rPr>
        <w:t>中国注册会计师：杨树杰</w:t>
      </w:r>
      <w:r>
        <w:rPr>
          <w:spacing w:val="-85"/>
        </w:rPr>
        <w:t> </w:t>
      </w:r>
      <w:r>
        <w:rPr>
          <w:spacing w:val="-85"/>
        </w:rPr>
      </w:r>
      <w:r>
        <w:rPr>
          <w:spacing w:val="-2"/>
        </w:rPr>
        <w:t>二○一八年三月三十日</w:t>
      </w:r>
    </w:p>
    <w:p>
      <w:pPr>
        <w:pStyle w:val="Heading2"/>
        <w:spacing w:line="240" w:lineRule="auto" w:before="48"/>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0" w:footer="980" w:top="1500" w:bottom="116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编制单位：西安环球印务股份有限公司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280" w:left="980" w:right="980"/>
          <w:cols w:num="3" w:equalWidth="0">
            <w:col w:w="3213" w:space="863"/>
            <w:col w:w="1642" w:space="3202"/>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133,348,582.02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112,129,883.14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30,908,516.58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28,786,611.24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124,268,146.32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121,803,633.90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1,625,282.97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4,039,066.27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980"/>
        </w:sectPr>
      </w:pPr>
    </w:p>
    <w:p>
      <w:pPr>
        <w:spacing w:line="240" w:lineRule="auto" w:before="5"/>
        <w:rPr>
          <w:rFonts w:ascii="Times New Roman" w:hAnsi="Times New Roman" w:cs="Times New Roman" w:eastAsia="Times New Roman" w:hint="default"/>
          <w:sz w:val="17"/>
          <w:szCs w:val="17"/>
        </w:rPr>
      </w:pPr>
      <w:r>
        <w:rPr/>
        <w:pict>
          <v:shape style="position:absolute;margin-left:57pt;margin-top:76.679985pt;width:478.7pt;height:684.95pt;mso-position-horizontal-relative:page;mso-position-vertical-relative:page;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16"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2,210,308.58</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2,588,109.75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1,466,521.64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729,225.51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86,954,430.60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67,977,715.10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9,967.44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1,979,293.24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380,791,756.15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340,033,538.15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66,133,080.25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40,698,958.40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264,271,572.23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254,847,488.12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22,915,440.57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26,728,130.11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27,188,553.21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27,558,410.33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182,522.18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182,522.18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1,651,184.62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626,550.80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2,007,040.07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1,942,752.03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384,349,393.13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352,584,811.97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765,141,149.28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692,618,350.12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121,992,465.89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66,181,907.04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80" w:top="1560" w:bottom="1160" w:left="1040" w:right="1020"/>
        </w:sectPr>
      </w:pPr>
    </w:p>
    <w:p>
      <w:pPr>
        <w:spacing w:line="240" w:lineRule="auto" w:before="5"/>
        <w:rPr>
          <w:rFonts w:ascii="Times New Roman" w:hAnsi="Times New Roman" w:cs="Times New Roman" w:eastAsia="Times New Roman" w:hint="default"/>
          <w:sz w:val="17"/>
          <w:szCs w:val="17"/>
        </w:rPr>
      </w:pPr>
      <w:r>
        <w:rPr/>
        <w:pict>
          <v:shape style="position:absolute;margin-left:57pt;margin-top:76.679985pt;width:478.7pt;height:680.5pt;mso-position-horizontal-relative:page;mso-position-vertical-relative:page;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728"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10" w:space="0" w:color="000000"/>
                          <w:left w:val="single" w:sz="10" w:space="0" w:color="D2D2D2"/>
                          <w:bottom w:val="single" w:sz="4" w:space="0" w:color="000000"/>
                          <w:right w:val="single" w:sz="4" w:space="0" w:color="000000"/>
                        </w:tcBorders>
                      </w:tcPr>
                      <w:p>
                        <w:pPr/>
                      </w:p>
                    </w:tc>
                    <w:tc>
                      <w:tcPr>
                        <w:tcW w:w="3303"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6,807,889.18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12,712,984.95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89,995,973.23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82,907,503.62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3,009,778.11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1,506,951.29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6,760,189.53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985,443.02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1,297,252.58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3,054,126.97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116,727.00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219,916.68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4,545,530.09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8,933,530.29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234,525,805.61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176,502,363.86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18,139.32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18,139.32</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80" w:top="1560" w:bottom="1160" w:left="1040" w:right="1020"/>
        </w:sectPr>
      </w:pPr>
    </w:p>
    <w:p>
      <w:pPr>
        <w:spacing w:line="240" w:lineRule="auto" w:before="9"/>
        <w:rPr>
          <w:rFonts w:ascii="Times New Roman" w:hAnsi="Times New Roman" w:cs="Times New Roman" w:eastAsia="Times New Roman"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16"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234,538,431.47</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176,520,503.18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148,359,523.47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148,340,922.48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30,936,160.02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28,731,910.54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189,429,452.11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239,025,013.92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518,725,135.60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516,097,846.94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11,877,582.21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530,602,717.81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516,097,846.94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765,141,149.28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692,618,350.12</w:t>
            </w:r>
          </w:p>
        </w:tc>
      </w:tr>
    </w:tbl>
    <w:p>
      <w:pPr>
        <w:spacing w:line="240" w:lineRule="auto" w:before="11"/>
        <w:rPr>
          <w:rFonts w:ascii="Times New Roman" w:hAnsi="Times New Roman" w:cs="Times New Roman" w:eastAsia="Times New Roman" w:hint="default"/>
          <w:sz w:val="22"/>
          <w:szCs w:val="22"/>
        </w:rPr>
      </w:pPr>
    </w:p>
    <w:p>
      <w:pPr>
        <w:tabs>
          <w:tab w:pos="3689" w:val="left" w:leader="none"/>
          <w:tab w:pos="7803" w:val="left" w:leader="none"/>
        </w:tabs>
        <w:spacing w:before="44"/>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法定代表人：李移岭</w:t>
        <w:tab/>
        <w:t>主管会计工作负责人：林蔚</w:t>
        <w:tab/>
        <w:t>会计机构负责人：夏美莹</w:t>
      </w:r>
    </w:p>
    <w:p>
      <w:pPr>
        <w:spacing w:line="240" w:lineRule="auto" w:before="12"/>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78,646,816.76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64,123,207.10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28,296,885.25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23,946,668.44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102,566,595.43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85,399,579.61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14,861,552.51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6,701,896.63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2,210,308.58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2,588,109.75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8,712,284.91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15,786,409.49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500" w:bottom="116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7pt;margin-top:76.679985pt;width:478.7pt;height:680.5pt;mso-position-horizontal-relative:page;mso-position-vertical-relative:page;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16"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54,516,559.97</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35,814,141.93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1,740,864.37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289,811,003.41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236,100,877.32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265,101,906.63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231,587,784.78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115,797,235.73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107,534,123.69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7,292,157.65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16,124,092.12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12,479,926.43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13,009,291.90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422,435.34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253,220.36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859,535.34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837,009.47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401,953,197.12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369,345,522.32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691,764,200.53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605,446,399.64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110,098,146.15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40,181,907.04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70,444,499.09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58,185,762.44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1,362,439.97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522,932.96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4,561,359.25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920,567.78</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80" w:top="1560" w:bottom="1160" w:left="1040" w:right="1020"/>
        </w:sectPr>
      </w:pPr>
    </w:p>
    <w:p>
      <w:pPr>
        <w:spacing w:line="240" w:lineRule="auto" w:before="5"/>
        <w:rPr>
          <w:rFonts w:ascii="Times New Roman" w:hAnsi="Times New Roman" w:cs="Times New Roman" w:eastAsia="Times New Roman" w:hint="default"/>
          <w:sz w:val="17"/>
          <w:szCs w:val="17"/>
        </w:rPr>
      </w:pPr>
      <w:r>
        <w:rPr/>
        <w:pict>
          <v:shape style="position:absolute;margin-left:57pt;margin-top:76.679985pt;width:478.7pt;height:684.95pt;mso-position-horizontal-relative:page;mso-position-vertical-relative:page;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16"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1,452,997.10</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1,876,278.00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116,727.00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219,916.68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3,015,916.93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4,869,414.46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191,052,085.49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106,776,779.36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191,052,085.49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106,776,779.36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147,940,922.48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147,940,922.48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30,936,160.02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28,731,910.54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171,835,032.54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221,996,787.26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500,712,115.04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498,669,620.28</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80" w:top="1560" w:bottom="1160" w:left="1040" w:right="1020"/>
        </w:sectPr>
      </w:pPr>
    </w:p>
    <w:p>
      <w:pPr>
        <w:spacing w:line="240" w:lineRule="auto" w:before="9"/>
        <w:rPr>
          <w:rFonts w:ascii="Times New Roman" w:hAnsi="Times New Roman" w:cs="Times New Roman" w:eastAsia="Times New Roman" w:hint="default"/>
          <w:sz w:val="2"/>
          <w:szCs w:val="2"/>
        </w:rPr>
      </w:pPr>
      <w:r>
        <w:rPr/>
        <w:pict>
          <v:group style="position:absolute;margin-left:211.009995pt;margin-top:670.719971pt;width:158.9pt;height:20.65pt;mso-position-horizontal-relative:page;mso-position-vertical-relative:page;z-index:-754552" coordorigin="4220,13414" coordsize="3178,413">
            <v:group style="position:absolute;left:4231;top:13425;width:2;height:392" coordorigin="4231,13425" coordsize="2,392">
              <v:shape style="position:absolute;left:4231;top:13425;width:2;height:392" coordorigin="4231,13425" coordsize="0,392" path="m4231,13425l4231,13816e" filled="false" stroked="true" strokeweight="1.08pt" strokecolor="#ffffff">
                <v:path arrowok="t"/>
              </v:shape>
            </v:group>
            <v:group style="position:absolute;left:4242;top:13425;width:3157;height:392" coordorigin="4242,13425" coordsize="3157,392">
              <v:shape style="position:absolute;left:4242;top:13425;width:3157;height:392" coordorigin="4242,13425" coordsize="3157,392" path="m4242,13816l7398,13816,7398,13425,4242,13425,4242,13816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16" w:hRule="exact"/>
        </w:trPr>
        <w:tc>
          <w:tcPr>
            <w:tcW w:w="29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143" w:right="0"/>
              <w:jc w:val="left"/>
              <w:rPr>
                <w:rFonts w:ascii="Times New Roman" w:hAnsi="Times New Roman" w:cs="Times New Roman" w:eastAsia="Times New Roman" w:hint="default"/>
                <w:sz w:val="18"/>
                <w:szCs w:val="18"/>
              </w:rPr>
            </w:pPr>
            <w:r>
              <w:rPr>
                <w:rFonts w:ascii="Times New Roman"/>
                <w:sz w:val="18"/>
              </w:rPr>
              <w:t>691,764,200.53</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143" w:right="0"/>
              <w:jc w:val="left"/>
              <w:rPr>
                <w:rFonts w:ascii="Times New Roman" w:hAnsi="Times New Roman" w:cs="Times New Roman" w:eastAsia="Times New Roman" w:hint="default"/>
                <w:sz w:val="18"/>
                <w:szCs w:val="18"/>
              </w:rPr>
            </w:pPr>
            <w:r>
              <w:rPr>
                <w:rFonts w:ascii="Times New Roman"/>
                <w:sz w:val="18"/>
              </w:rPr>
              <w:t>605,446,399.64</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left="112" w:right="385"/>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438,211,497.30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387,502,466.93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438,211,497.30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387,502,466.93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418,401,438.37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364,155,826.95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352,100,780.08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304,828,581.04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5,216,734.04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4,063,287.30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29,137,507.28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23,627,357.83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28,165,079.42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24,702,611.31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2,700,887.60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6,428,322.04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1,080,449.95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505,667.43</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5,232,540.18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4,564,355.58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5,232,540.18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4,698,673.82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-1,114,287.69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-198,762.38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2,849,756.00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26,778,067.42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27,712,233.18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500" w:bottom="1160" w:left="1020" w:right="1020"/>
        </w:sectPr>
      </w:pPr>
    </w:p>
    <w:tbl>
      <w:tblPr>
        <w:tblW w:w="0" w:type="auto"/>
        <w:jc w:val="left"/>
        <w:tblInd w:w="109" w:type="dxa"/>
        <w:tblLayout w:type="fixed"/>
        <w:tblCellMar>
          <w:top w:w="0" w:type="dxa"/>
          <w:left w:w="0" w:type="dxa"/>
          <w:bottom w:w="0" w:type="dxa"/>
          <w:right w:w="0" w:type="dxa"/>
        </w:tblCellMar>
        <w:tblLook w:val="01E0"/>
      </w:tblPr>
      <w:tblGrid>
        <w:gridCol w:w="3068"/>
        <w:gridCol w:w="1117"/>
        <w:gridCol w:w="2105"/>
        <w:gridCol w:w="3277"/>
      </w:tblGrid>
      <w:tr>
        <w:trPr>
          <w:trHeight w:val="416" w:hRule="exact"/>
        </w:trPr>
        <w:tc>
          <w:tcPr>
            <w:tcW w:w="306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66,991.47</w:t>
            </w:r>
          </w:p>
        </w:tc>
        <w:tc>
          <w:tcPr>
            <w:tcW w:w="3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5,062,837.81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53,058.01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4"/>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042" w:right="0"/>
              <w:jc w:val="left"/>
              <w:rPr>
                <w:rFonts w:ascii="Times New Roman" w:hAnsi="Times New Roman" w:cs="Times New Roman" w:eastAsia="Times New Roman" w:hint="default"/>
                <w:sz w:val="18"/>
                <w:szCs w:val="18"/>
              </w:rPr>
            </w:pPr>
            <w:r>
              <w:rPr>
                <w:rFonts w:ascii="Times New Roman"/>
                <w:sz w:val="18"/>
              </w:rPr>
              <w:t>26,792,000.88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32,775,070.99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4,374,830.01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5,979,085.67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22,417,170.87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26,795,985.32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22,417,170.87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26,795,985.32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22,608,687.67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26,795,985.32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-191,516.80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2"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4"/>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4"/>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4"/>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22,417,170.87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26,795,985.32</w:t>
            </w:r>
          </w:p>
        </w:tc>
      </w:tr>
    </w:tbl>
    <w:p>
      <w:pPr>
        <w:rPr>
          <w:sz w:val="2"/>
          <w:szCs w:val="2"/>
        </w:rPr>
      </w:pPr>
      <w:r>
        <w:rPr/>
        <w:pict>
          <v:group style="position:absolute;margin-left:211.009995pt;margin-top:117.79998pt;width:158.9pt;height:20.8pt;mso-position-horizontal-relative:page;mso-position-vertical-relative:page;z-index:-754528" coordorigin="4220,2356" coordsize="3178,416">
            <v:group style="position:absolute;left:4231;top:2367;width:2;height:394" coordorigin="4231,2367" coordsize="2,394">
              <v:shape style="position:absolute;left:4231;top:2367;width:2;height:394" coordorigin="4231,2367" coordsize="0,394" path="m4231,2367l4231,2760e" filled="false" stroked="true" strokeweight="1.08pt" strokecolor="#ffffff">
                <v:path arrowok="t"/>
              </v:shape>
            </v:group>
            <v:group style="position:absolute;left:4242;top:2367;width:3157;height:394" coordorigin="4242,2367" coordsize="3157,394">
              <v:shape style="position:absolute;left:4242;top:2367;width:3157;height:394" coordorigin="4242,2367" coordsize="3157,394" path="m4242,2760l7398,2760,7398,2367,4242,2367,4242,2760xe" filled="true" fillcolor="#ffffff" stroked="false">
                <v:path arrowok="t"/>
                <v:fill type="solid"/>
              </v:shape>
            </v:group>
            <w10:wrap type="none"/>
          </v:group>
        </w:pict>
      </w:r>
    </w:p>
    <w:p>
      <w:pPr>
        <w:spacing w:after="0"/>
        <w:rPr>
          <w:sz w:val="2"/>
          <w:szCs w:val="2"/>
        </w:rPr>
        <w:sectPr>
          <w:pgSz w:w="11910" w:h="16840"/>
          <w:pgMar w:header="0" w:footer="980" w:top="1520" w:bottom="1160" w:left="1020" w:right="1020"/>
        </w:sectPr>
      </w:pPr>
    </w:p>
    <w:p>
      <w:pPr>
        <w:spacing w:line="240" w:lineRule="auto" w:before="6"/>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057"/>
        <w:gridCol w:w="3222"/>
        <w:gridCol w:w="3277"/>
      </w:tblGrid>
      <w:tr>
        <w:trPr>
          <w:trHeight w:val="728" w:hRule="exact"/>
        </w:trPr>
        <w:tc>
          <w:tcPr>
            <w:tcW w:w="305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22,608,687.67</w:t>
            </w:r>
          </w:p>
        </w:tc>
        <w:tc>
          <w:tcPr>
            <w:tcW w:w="3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26,795,985.32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-191,516.80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w:t>
            </w:r>
          </w:p>
        </w:tc>
      </w:tr>
    </w:tbl>
    <w:p>
      <w:pPr>
        <w:tabs>
          <w:tab w:pos="3718" w:val="left" w:leader="none"/>
          <w:tab w:pos="7861" w:val="left" w:leader="none"/>
        </w:tabs>
        <w:spacing w:line="588" w:lineRule="auto" w:before="49"/>
        <w:ind w:left="112" w:right="202"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pacing w:val="-3"/>
          <w:sz w:val="18"/>
          <w:szCs w:val="18"/>
        </w:rPr>
        <w:t>元。 </w:t>
      </w:r>
      <w:r>
        <w:rPr>
          <w:rFonts w:ascii="宋体" w:hAnsi="宋体" w:cs="宋体" w:eastAsia="宋体" w:hint="default"/>
          <w:sz w:val="18"/>
          <w:szCs w:val="18"/>
        </w:rPr>
        <w:t>法定代表人：李移岭</w:t>
        <w:tab/>
      </w:r>
      <w:r>
        <w:rPr>
          <w:rFonts w:ascii="宋体" w:hAnsi="宋体" w:cs="宋体" w:eastAsia="宋体" w:hint="default"/>
          <w:spacing w:val="-1"/>
          <w:sz w:val="18"/>
          <w:szCs w:val="18"/>
        </w:rPr>
        <w:t>主管会计工作负责人：林蔚</w:t>
        <w:tab/>
      </w:r>
      <w:r>
        <w:rPr>
          <w:rFonts w:ascii="宋体" w:hAnsi="宋体" w:cs="宋体" w:eastAsia="宋体" w:hint="default"/>
          <w:sz w:val="18"/>
          <w:szCs w:val="18"/>
        </w:rPr>
        <w:t>会计机构负责人：林蔚</w:t>
      </w:r>
    </w:p>
    <w:p>
      <w:pPr>
        <w:pStyle w:val="Heading3"/>
        <w:spacing w:line="240" w:lineRule="auto" w:before="28"/>
        <w:ind w:left="112" w:right="385"/>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355,392,271.97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319,012,535.61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290,844,381.81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258,011,603.84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2,752,140.83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2,278,223.26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22,103,634.78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17,383,930.74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19,729,865.42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16,373,106.07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2,309,808.45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2,506,753.37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150,172.50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205,613.82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5,232,540.18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4,698,673.82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5,232,540.18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4,698,673.82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-725,290.04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1,562,467.39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2,461,300.00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24,470,818.32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28,514,445.72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63,991.47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4,922,037.81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24,534,809.78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33,436,483.53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2,492,315.02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4,071,602.97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22,042,494.76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29,364,880.56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0" w:top="15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335" w:lineRule="exact"/>
        <w:ind w:left="112" w:right="385"/>
        <w:jc w:val="left"/>
        <w:rPr>
          <w:b w:val="0"/>
          <w:bCs w:val="0"/>
        </w:rPr>
      </w:pPr>
      <w:r>
        <w:rPr/>
        <w:pict>
          <v:shape style="position:absolute;margin-left:57pt;margin-top:-543.065002pt;width:478.7pt;height:530.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728"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22,042,494.76</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29,364,880.56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4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22,042,494.76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29,364,880.56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r>
                </w:tbl>
                <w:p>
                  <w:pPr/>
                </w:p>
              </w:txbxContent>
            </v:textbox>
            <w10:wrap type="none"/>
          </v:shape>
        </w:pict>
      </w:r>
      <w:r>
        <w:rPr>
          <w:rFonts w:ascii="Times New Roman" w:hAnsi="Times New Roman" w:cs="Times New Roman" w:eastAsia="Times New Roman" w:hint="default"/>
        </w:rPr>
        <w:t>5</w:t>
      </w:r>
      <w:r>
        <w:rPr/>
        <w:t>、合并现金流量表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957"/>
        <w:gridCol w:w="3299"/>
        <w:gridCol w:w="3303"/>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2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36" w:right="0"/>
              <w:jc w:val="left"/>
              <w:rPr>
                <w:rFonts w:ascii="Times New Roman" w:hAnsi="Times New Roman" w:cs="Times New Roman" w:eastAsia="Times New Roman" w:hint="default"/>
                <w:sz w:val="18"/>
                <w:szCs w:val="18"/>
              </w:rPr>
            </w:pPr>
            <w:r>
              <w:rPr>
                <w:rFonts w:ascii="Times New Roman"/>
                <w:sz w:val="18"/>
              </w:rPr>
              <w:t>474,875,377.54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496,149,292.25</w:t>
            </w:r>
          </w:p>
        </w:tc>
      </w:tr>
      <w:tr>
        <w:trPr>
          <w:trHeight w:val="715"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99"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560" w:bottom="116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7pt;margin-top:76.679985pt;width:478.7pt;height:678.1pt;mso-position-horizontal-relative:page;mso-position-vertical-relative:page;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16"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10" w:space="0" w:color="000000"/>
                          <w:left w:val="single" w:sz="9" w:space="0" w:color="D2D2D2"/>
                          <w:bottom w:val="single" w:sz="4" w:space="0" w:color="000000"/>
                          <w:right w:val="single" w:sz="4" w:space="0" w:color="000000"/>
                        </w:tcBorders>
                      </w:tcPr>
                      <w:p>
                        <w:pPr/>
                      </w:p>
                    </w:tc>
                    <w:tc>
                      <w:tcPr>
                        <w:tcW w:w="3303" w:type="dxa"/>
                        <w:tcBorders>
                          <w:top w:val="single" w:sz="10"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5,455,735.52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6,634,555.13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480,331,113.06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502,783,847.38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297,096,492.49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340,674,755.45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82,308,935.74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75,350,987.74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29,049,605.86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28,424,409.12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19,964,128.53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17,067,413.14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428,419,162.62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461,517,565.45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51,911,950.44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41,266,281.93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5,176,219.50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2,898,698.43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105,598.11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386,227.00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80" w:top="1560" w:bottom="1160" w:left="104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p>
      <w:pPr>
        <w:pStyle w:val="Heading3"/>
        <w:spacing w:line="335" w:lineRule="exact"/>
        <w:ind w:left="112" w:right="385"/>
        <w:jc w:val="left"/>
        <w:rPr>
          <w:b w:val="0"/>
          <w:bCs w:val="0"/>
        </w:rPr>
      </w:pPr>
      <w:r>
        <w:rPr/>
        <w:pict>
          <v:shape style="position:absolute;margin-left:57pt;margin-top:-610.265015pt;width:478.7pt;height:597.7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16"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10" w:space="0" w:color="000000"/>
                          <w:left w:val="single" w:sz="9"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5,281,817.61</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3,284,925.43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38,103,982.82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42,918,174.98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63,103,982.82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42,918,174.98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-57,822,165.21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-39,633,249.55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12,120,000.00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111,443,814.20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110,778,921.47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123,563,814.20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289,278,921.47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69,633,255.35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220,852,887.88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22,791,587.49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7,185,652.12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92,457,142.84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234,658,540.00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31,106,671.36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54,620,381.47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25,196,456.59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56,253,413.85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107,578,026.05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51,324,612.20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132,774,482.64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107,578,026.05</w:t>
                        </w:r>
                      </w:p>
                    </w:tc>
                  </w:tr>
                </w:tbl>
                <w:p>
                  <w:pPr/>
                </w:p>
              </w:txbxContent>
            </v:textbox>
            <w10:wrap type="none"/>
          </v:shape>
        </w:pict>
      </w: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29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80" w:top="1560" w:bottom="116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7pt;margin-top:76.679985pt;width:478.7pt;height:682.55pt;mso-position-horizontal-relative:page;mso-position-vertical-relative:page;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0"/>
                    <w:gridCol w:w="3316"/>
                    <w:gridCol w:w="3303"/>
                  </w:tblGrid>
                  <w:tr>
                    <w:trPr>
                      <w:trHeight w:val="416" w:hRule="exact"/>
                    </w:trPr>
                    <w:tc>
                      <w:tcPr>
                        <w:tcW w:w="294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10"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396,060,815.33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367,747,880.28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4,511,220.55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5,630,138.13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400,572,035.88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373,378,018.41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261,664,517.41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267,209,392.77</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56,834,097.02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52,460,270.35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16,244,980.31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19,606,396.16</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14,538,853.51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7,853,421.38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349,282,448.25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347,129,480.66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51,289,587.63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26,248,537.75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5,176,219.50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2,898,698.43</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70,598.11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361,427.00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5,246,817.61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3,260,125.43</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16,231,236.46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29,451,916.98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33,080,000.00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112,451,100.00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49,311,236.46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141,903,016.98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-44,064,418.85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-138,642,891.55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178,500,000.00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99,549,494.46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84,778,921.47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99,549,494.46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263,278,921.47</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0" w:footer="980" w:top="1560" w:bottom="1160" w:left="1040" w:right="1020"/>
        </w:sectPr>
      </w:pPr>
    </w:p>
    <w:p>
      <w:pPr>
        <w:spacing w:line="240" w:lineRule="auto" w:before="9"/>
        <w:rPr>
          <w:rFonts w:ascii="Times New Roman" w:hAnsi="Times New Roman" w:cs="Times New Roman" w:eastAsia="Times New Roman"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16" w:hRule="exact"/>
        </w:trPr>
        <w:tc>
          <w:tcPr>
            <w:tcW w:w="29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69,633,255.35</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114,232,153.18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22,617,798.23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2,982,401.14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92,251,053.58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123,834,554.32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7,298,440.88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139,444,367.15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14,523,609.66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27,050,013.35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64,123,207.10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37,073,193.75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78,646,816.76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64,123,207.10</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left="112" w:right="385"/>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after="0" w:line="335" w:lineRule="exact"/>
        <w:jc w:val="left"/>
        <w:sectPr>
          <w:pgSz w:w="11910" w:h="16840"/>
          <w:pgMar w:header="0" w:footer="980" w:top="1500" w:bottom="1160" w:left="1020" w:right="1020"/>
        </w:sectPr>
      </w:pPr>
    </w:p>
    <w:p>
      <w:pPr>
        <w:spacing w:before="2"/>
        <w:ind w:left="140" w:right="0" w:firstLine="0"/>
        <w:jc w:val="left"/>
        <w:rPr>
          <w:rFonts w:ascii="Microsoft JhengHei" w:hAnsi="Microsoft JhengHei" w:cs="Microsoft JhengHei" w:eastAsia="Microsoft JhengHei" w:hint="default"/>
          <w:sz w:val="18"/>
          <w:szCs w:val="18"/>
        </w:rPr>
      </w:pPr>
      <w:r>
        <w:rPr/>
        <w:pict>
          <v:group style="position:absolute;margin-left:70.559998pt;margin-top:2.195227pt;width:700.9pt;height:.1pt;mso-position-horizontal-relative:page;mso-position-vertical-relative:paragraph;z-index:-754408" coordorigin="1411,44" coordsize="14018,2">
            <v:shape style="position:absolute;left:1411;top:44;width:14018;height:2" coordorigin="1411,44" coordsize="14018,0" path="m1411,44l15429,44e" filled="false" stroked="true" strokeweight=".72pt" strokecolor="#000000">
              <v:path arrowok="t"/>
            </v:shape>
            <w10:wrap type="none"/>
          </v:group>
        </w:pict>
      </w: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p>
      <w:pPr>
        <w:spacing w:before="96"/>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30"/>
        <w:gridCol w:w="1193"/>
        <w:gridCol w:w="622"/>
        <w:gridCol w:w="625"/>
        <w:gridCol w:w="626"/>
        <w:gridCol w:w="1181"/>
        <w:gridCol w:w="821"/>
        <w:gridCol w:w="821"/>
        <w:gridCol w:w="821"/>
        <w:gridCol w:w="1092"/>
        <w:gridCol w:w="821"/>
        <w:gridCol w:w="1181"/>
        <w:gridCol w:w="1090"/>
        <w:gridCol w:w="1183"/>
      </w:tblGrid>
      <w:tr>
        <w:trPr>
          <w:trHeight w:val="402" w:hRule="exact"/>
        </w:trPr>
        <w:tc>
          <w:tcPr>
            <w:tcW w:w="1930" w:type="dxa"/>
            <w:vMerge w:val="restart"/>
            <w:tcBorders>
              <w:top w:val="single" w:sz="4" w:space="0" w:color="000000"/>
              <w:left w:val="single" w:sz="4" w:space="0" w:color="000000"/>
              <w:right w:val="single" w:sz="4" w:space="0" w:color="000000"/>
            </w:tcBorders>
            <w:shd w:val="clear" w:color="auto" w:fill="D2D2D2"/>
          </w:tcPr>
          <w:p>
            <w:pPr/>
          </w:p>
        </w:tc>
        <w:tc>
          <w:tcPr>
            <w:tcW w:w="1207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1930" w:type="dxa"/>
            <w:vMerge/>
            <w:tcBorders>
              <w:left w:val="single" w:sz="4" w:space="0" w:color="000000"/>
              <w:bottom w:val="nil" w:sz="6" w:space="0" w:color="auto"/>
              <w:right w:val="single" w:sz="4" w:space="0" w:color="000000"/>
            </w:tcBorders>
            <w:shd w:val="clear" w:color="auto" w:fill="D2D2D2"/>
          </w:tcPr>
          <w:p>
            <w:pPr/>
          </w:p>
        </w:tc>
        <w:tc>
          <w:tcPr>
            <w:tcW w:w="980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2" w:hRule="exact"/>
        </w:trPr>
        <w:tc>
          <w:tcPr>
            <w:tcW w:w="19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803" w:type="dxa"/>
            <w:gridSpan w:val="11"/>
            <w:vMerge/>
            <w:tcBorders>
              <w:left w:val="single" w:sz="4" w:space="0" w:color="000000"/>
              <w:bottom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496" w:right="47"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4" w:hRule="exact"/>
        </w:trPr>
        <w:tc>
          <w:tcPr>
            <w:tcW w:w="1930" w:type="dxa"/>
            <w:vMerge/>
            <w:tcBorders>
              <w:left w:val="single" w:sz="4" w:space="0" w:color="000000"/>
              <w:bottom w:val="single" w:sz="4" w:space="0" w:color="FFFFFF"/>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8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14" w:right="47"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5" w:right="4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3" w:right="4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93" w:hRule="exact"/>
        </w:trPr>
        <w:tc>
          <w:tcPr>
            <w:tcW w:w="1930"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73"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21"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0" w:type="dxa"/>
            <w:vMerge/>
            <w:tcBorders>
              <w:left w:val="single" w:sz="4" w:space="0" w:color="000000"/>
              <w:right w:val="single" w:sz="4" w:space="0" w:color="000000"/>
            </w:tcBorders>
            <w:shd w:val="clear" w:color="auto" w:fill="D2D2D2"/>
          </w:tcPr>
          <w:p>
            <w:pPr/>
          </w:p>
        </w:tc>
        <w:tc>
          <w:tcPr>
            <w:tcW w:w="1183" w:type="dxa"/>
            <w:vMerge/>
            <w:tcBorders>
              <w:left w:val="single" w:sz="4" w:space="0" w:color="000000"/>
              <w:right w:val="single" w:sz="4" w:space="0" w:color="000000"/>
            </w:tcBorders>
            <w:shd w:val="clear" w:color="auto" w:fill="D2D2D2"/>
          </w:tcPr>
          <w:p>
            <w:pPr/>
          </w:p>
        </w:tc>
      </w:tr>
      <w:tr>
        <w:trPr>
          <w:trHeight w:val="179" w:hRule="exact"/>
        </w:trPr>
        <w:tc>
          <w:tcPr>
            <w:tcW w:w="1930"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6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r>
      <w:tr>
        <w:trPr>
          <w:trHeight w:val="210" w:hRule="exact"/>
        </w:trPr>
        <w:tc>
          <w:tcPr>
            <w:tcW w:w="193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622" w:type="dxa"/>
            <w:vMerge/>
            <w:tcBorders>
              <w:left w:val="single" w:sz="4" w:space="0" w:color="000000"/>
              <w:bottom w:val="single" w:sz="4" w:space="0" w:color="000000"/>
              <w:right w:val="single" w:sz="4" w:space="0" w:color="000000"/>
            </w:tcBorders>
            <w:shd w:val="clear" w:color="auto" w:fill="D2D2D2"/>
          </w:tcPr>
          <w:p>
            <w:pPr/>
          </w:p>
        </w:tc>
        <w:tc>
          <w:tcPr>
            <w:tcW w:w="625" w:type="dxa"/>
            <w:vMerge/>
            <w:tcBorders>
              <w:left w:val="single" w:sz="4" w:space="0" w:color="000000"/>
              <w:bottom w:val="single" w:sz="4" w:space="0" w:color="000000"/>
              <w:right w:val="single" w:sz="4" w:space="0" w:color="000000"/>
            </w:tcBorders>
            <w:shd w:val="clear" w:color="auto" w:fill="D2D2D2"/>
          </w:tcPr>
          <w:p>
            <w:pPr/>
          </w:p>
        </w:tc>
        <w:tc>
          <w:tcPr>
            <w:tcW w:w="626"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148,340,922.48</w:t>
            </w:r>
          </w:p>
        </w:tc>
        <w:tc>
          <w:tcPr>
            <w:tcW w:w="821" w:type="dxa"/>
            <w:tcBorders>
              <w:top w:val="single" w:sz="17" w:space="0" w:color="D2D2D2"/>
              <w:left w:val="single" w:sz="4" w:space="0" w:color="000000"/>
              <w:bottom w:val="single" w:sz="4" w:space="0" w:color="000000"/>
              <w:right w:val="single" w:sz="4" w:space="0" w:color="000000"/>
            </w:tcBorders>
          </w:tcPr>
          <w:p>
            <w:pPr/>
          </w:p>
        </w:tc>
        <w:tc>
          <w:tcPr>
            <w:tcW w:w="821" w:type="dxa"/>
            <w:tcBorders>
              <w:top w:val="single" w:sz="17" w:space="0" w:color="D2D2D2"/>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28,731,910.54</w:t>
            </w:r>
          </w:p>
        </w:tc>
        <w:tc>
          <w:tcPr>
            <w:tcW w:w="821" w:type="dxa"/>
            <w:tcBorders>
              <w:top w:val="single" w:sz="17" w:space="0" w:color="D2D2D2"/>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239,025,013.92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516,097,846.94</w:t>
            </w:r>
          </w:p>
        </w:tc>
      </w:tr>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3"/>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148,340,922.48</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28,731,910.54</w:t>
            </w: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239,025,013.92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516,097,846.94</w:t>
            </w:r>
          </w:p>
        </w:tc>
      </w:tr>
      <w:tr>
        <w:trPr>
          <w:trHeight w:val="715"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18,600.99</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2,204,249.48</w:t>
            </w: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-49,595,561.81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11,877,582.21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14,504,870.87</w:t>
            </w:r>
          </w:p>
        </w:tc>
      </w:tr>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22,608,687.67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-191,516.80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22,417,170.87</w:t>
            </w:r>
          </w:p>
        </w:tc>
      </w:tr>
      <w:tr>
        <w:trPr>
          <w:trHeight w:val="715"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（二）所有者投入和减少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18,600.99</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12,069,099.01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62,087,700.00</w:t>
            </w:r>
          </w:p>
        </w:tc>
      </w:tr>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12,087,700.00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62,087,700.00</w:t>
            </w:r>
          </w:p>
        </w:tc>
      </w:tr>
      <w:tr>
        <w:trPr>
          <w:trHeight w:val="716"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18,600.99</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-18,600.99</w:t>
            </w: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8"/>
          <w:footerReference w:type="default" r:id="rId19"/>
          <w:pgSz w:w="16840" w:h="11910" w:orient="landscape"/>
          <w:pgMar w:header="852" w:footer="980" w:top="1500" w:bottom="1160" w:left="1300" w:right="1280"/>
          <w:pgNumType w:start="89"/>
        </w:sectPr>
      </w:pPr>
    </w:p>
    <w:tbl>
      <w:tblPr>
        <w:tblW w:w="0" w:type="auto"/>
        <w:jc w:val="left"/>
        <w:tblInd w:w="106" w:type="dxa"/>
        <w:tblLayout w:type="fixed"/>
        <w:tblCellMar>
          <w:top w:w="0" w:type="dxa"/>
          <w:left w:w="0" w:type="dxa"/>
          <w:bottom w:w="0" w:type="dxa"/>
          <w:right w:w="0" w:type="dxa"/>
        </w:tblCellMar>
        <w:tblLook w:val="01E0"/>
      </w:tblPr>
      <w:tblGrid>
        <w:gridCol w:w="1954"/>
        <w:gridCol w:w="1181"/>
        <w:gridCol w:w="622"/>
        <w:gridCol w:w="625"/>
        <w:gridCol w:w="626"/>
        <w:gridCol w:w="1181"/>
        <w:gridCol w:w="821"/>
        <w:gridCol w:w="821"/>
        <w:gridCol w:w="821"/>
        <w:gridCol w:w="1092"/>
        <w:gridCol w:w="821"/>
        <w:gridCol w:w="1181"/>
        <w:gridCol w:w="1090"/>
        <w:gridCol w:w="1183"/>
      </w:tblGrid>
      <w:tr>
        <w:trPr>
          <w:trHeight w:val="415" w:hRule="exact"/>
        </w:trPr>
        <w:tc>
          <w:tcPr>
            <w:tcW w:w="195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10" w:space="0" w:color="000000"/>
              <w:left w:val="single" w:sz="4" w:space="0" w:color="000000"/>
              <w:bottom w:val="single" w:sz="4" w:space="0" w:color="000000"/>
              <w:right w:val="single" w:sz="4" w:space="0" w:color="000000"/>
            </w:tcBorders>
          </w:tcPr>
          <w:p>
            <w:pPr/>
          </w:p>
        </w:tc>
        <w:tc>
          <w:tcPr>
            <w:tcW w:w="622" w:type="dxa"/>
            <w:tcBorders>
              <w:top w:val="single" w:sz="10" w:space="0" w:color="000000"/>
              <w:left w:val="single" w:sz="4" w:space="0" w:color="000000"/>
              <w:bottom w:val="single" w:sz="4" w:space="0" w:color="000000"/>
              <w:right w:val="single" w:sz="4" w:space="0" w:color="000000"/>
            </w:tcBorders>
          </w:tcPr>
          <w:p>
            <w:pPr/>
          </w:p>
        </w:tc>
        <w:tc>
          <w:tcPr>
            <w:tcW w:w="625" w:type="dxa"/>
            <w:tcBorders>
              <w:top w:val="single" w:sz="10" w:space="0" w:color="000000"/>
              <w:left w:val="single" w:sz="4" w:space="0" w:color="000000"/>
              <w:bottom w:val="single" w:sz="4" w:space="0" w:color="000000"/>
              <w:right w:val="single" w:sz="4" w:space="0" w:color="000000"/>
            </w:tcBorders>
          </w:tcPr>
          <w:p>
            <w:pPr/>
          </w:p>
        </w:tc>
        <w:tc>
          <w:tcPr>
            <w:tcW w:w="626"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
        </w:tc>
        <w:tc>
          <w:tcPr>
            <w:tcW w:w="821" w:type="dxa"/>
            <w:tcBorders>
              <w:top w:val="single" w:sz="10" w:space="0" w:color="000000"/>
              <w:left w:val="single" w:sz="4" w:space="0" w:color="000000"/>
              <w:bottom w:val="single" w:sz="4" w:space="0" w:color="000000"/>
              <w:right w:val="single" w:sz="4" w:space="0" w:color="000000"/>
            </w:tcBorders>
          </w:tcPr>
          <w:p>
            <w:pPr/>
          </w:p>
        </w:tc>
        <w:tc>
          <w:tcPr>
            <w:tcW w:w="821" w:type="dxa"/>
            <w:tcBorders>
              <w:top w:val="single" w:sz="10" w:space="0" w:color="000000"/>
              <w:left w:val="single" w:sz="4" w:space="0" w:color="000000"/>
              <w:bottom w:val="single" w:sz="4" w:space="0" w:color="000000"/>
              <w:right w:val="single" w:sz="4" w:space="0" w:color="000000"/>
            </w:tcBorders>
          </w:tcPr>
          <w:p>
            <w:pPr/>
          </w:p>
        </w:tc>
        <w:tc>
          <w:tcPr>
            <w:tcW w:w="821" w:type="dxa"/>
            <w:tcBorders>
              <w:top w:val="single" w:sz="10" w:space="0" w:color="000000"/>
              <w:left w:val="single" w:sz="4" w:space="0" w:color="000000"/>
              <w:bottom w:val="single" w:sz="4" w:space="0" w:color="000000"/>
              <w:right w:val="single" w:sz="4" w:space="0" w:color="000000"/>
            </w:tcBorders>
          </w:tcPr>
          <w:p>
            <w:pPr/>
          </w:p>
        </w:tc>
        <w:tc>
          <w:tcPr>
            <w:tcW w:w="10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2,204,249.48</w:t>
            </w:r>
          </w:p>
        </w:tc>
        <w:tc>
          <w:tcPr>
            <w:tcW w:w="821" w:type="dxa"/>
            <w:tcBorders>
              <w:top w:val="single" w:sz="10" w:space="0" w:color="000000"/>
              <w:left w:val="single" w:sz="4" w:space="0" w:color="000000"/>
              <w:bottom w:val="single" w:sz="4" w:space="0" w:color="000000"/>
              <w:right w:val="single" w:sz="4" w:space="0" w:color="000000"/>
            </w:tcBorders>
          </w:tcPr>
          <w:p>
            <w:pP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-72,204,249.48</w:t>
            </w:r>
          </w:p>
        </w:tc>
        <w:tc>
          <w:tcPr>
            <w:tcW w:w="1090" w:type="dxa"/>
            <w:tcBorders>
              <w:top w:val="single" w:sz="10" w:space="0" w:color="000000"/>
              <w:left w:val="single" w:sz="4" w:space="0" w:color="000000"/>
              <w:bottom w:val="single" w:sz="4" w:space="0" w:color="000000"/>
              <w:right w:val="single" w:sz="4" w:space="0" w:color="000000"/>
            </w:tcBorders>
          </w:tcPr>
          <w:p>
            <w:pPr/>
          </w:p>
        </w:tc>
        <w:tc>
          <w:tcPr>
            <w:tcW w:w="118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-70,000,000.00</w:t>
            </w:r>
          </w:p>
        </w:tc>
      </w:tr>
      <w:tr>
        <w:trPr>
          <w:trHeight w:val="401"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8" w:right="0"/>
              <w:jc w:val="center"/>
              <w:rPr>
                <w:rFonts w:ascii="Times New Roman" w:hAnsi="Times New Roman" w:cs="Times New Roman" w:eastAsia="Times New Roman" w:hint="default"/>
                <w:sz w:val="18"/>
                <w:szCs w:val="18"/>
              </w:rPr>
            </w:pPr>
            <w:r>
              <w:rPr>
                <w:rFonts w:ascii="Times New Roman"/>
                <w:sz w:val="18"/>
              </w:rPr>
              <w:t>2,204,249.48</w:t>
            </w: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6" w:right="0"/>
              <w:jc w:val="center"/>
              <w:rPr>
                <w:rFonts w:ascii="Times New Roman" w:hAnsi="Times New Roman" w:cs="Times New Roman" w:eastAsia="Times New Roman" w:hint="default"/>
                <w:sz w:val="18"/>
                <w:szCs w:val="18"/>
              </w:rPr>
            </w:pPr>
            <w:r>
              <w:rPr>
                <w:rFonts w:ascii="Times New Roman"/>
                <w:sz w:val="18"/>
              </w:rPr>
              <w:t>-2,204,249.48</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4"/>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-70,000,000.00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-70,000,000.00</w:t>
            </w:r>
          </w:p>
        </w:tc>
      </w:tr>
      <w:tr>
        <w:trPr>
          <w:trHeight w:val="404"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4"/>
              <w:ind w:left="23"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（四）所有者权益内部结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21"/>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．资本公积转增资本（或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4"/>
              <w:ind w:left="23" w:right="21"/>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．盈余公积转增资本（或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Times New Roman" w:hAnsi="Times New Roman" w:cs="Times New Roman" w:eastAsia="Times New Roman" w:hint="default"/>
                <w:sz w:val="18"/>
                <w:szCs w:val="18"/>
              </w:rPr>
            </w:pPr>
            <w:r>
              <w:rPr>
                <w:rFonts w:ascii="Times New Roman"/>
                <w:sz w:val="18"/>
              </w:rPr>
              <w:t>150,000,000.00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 w:right="0"/>
              <w:jc w:val="left"/>
              <w:rPr>
                <w:rFonts w:ascii="Times New Roman" w:hAnsi="Times New Roman" w:cs="Times New Roman" w:eastAsia="Times New Roman" w:hint="default"/>
                <w:sz w:val="18"/>
                <w:szCs w:val="18"/>
              </w:rPr>
            </w:pPr>
            <w:r>
              <w:rPr>
                <w:rFonts w:ascii="Times New Roman"/>
                <w:sz w:val="18"/>
              </w:rPr>
              <w:t>148,359,523.47</w:t>
            </w: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30,936,160.02</w:t>
            </w:r>
          </w:p>
        </w:tc>
        <w:tc>
          <w:tcPr>
            <w:tcW w:w="82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 w:right="0"/>
              <w:jc w:val="center"/>
              <w:rPr>
                <w:rFonts w:ascii="Times New Roman" w:hAnsi="Times New Roman" w:cs="Times New Roman" w:eastAsia="Times New Roman" w:hint="default"/>
                <w:sz w:val="18"/>
                <w:szCs w:val="18"/>
              </w:rPr>
            </w:pPr>
            <w:r>
              <w:rPr>
                <w:rFonts w:ascii="Times New Roman"/>
                <w:sz w:val="18"/>
              </w:rPr>
              <w:t>189,429,452.11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 w:right="0"/>
              <w:jc w:val="left"/>
              <w:rPr>
                <w:rFonts w:ascii="Times New Roman" w:hAnsi="Times New Roman" w:cs="Times New Roman" w:eastAsia="Times New Roman" w:hint="default"/>
                <w:sz w:val="18"/>
                <w:szCs w:val="18"/>
              </w:rPr>
            </w:pPr>
            <w:r>
              <w:rPr>
                <w:rFonts w:ascii="Times New Roman"/>
                <w:sz w:val="18"/>
              </w:rPr>
              <w:t>11,877,582.21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530,602,717.81</w:t>
            </w:r>
          </w:p>
        </w:tc>
      </w:tr>
    </w:tbl>
    <w:p>
      <w:pPr>
        <w:spacing w:line="240" w:lineRule="auto" w:before="10"/>
        <w:rPr>
          <w:rFonts w:ascii="宋体" w:hAnsi="宋体" w:cs="宋体" w:eastAsia="宋体" w:hint="default"/>
          <w:sz w:val="26"/>
          <w:szCs w:val="26"/>
        </w:rPr>
      </w:pPr>
    </w:p>
    <w:p>
      <w:pPr>
        <w:spacing w:line="300" w:lineRule="exact" w:before="0"/>
        <w:ind w:left="14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p>
      <w:pPr>
        <w:spacing w:before="96"/>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70"/>
        <w:gridCol w:w="12136"/>
      </w:tblGrid>
      <w:tr>
        <w:trPr>
          <w:trHeight w:val="402"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6840" w:h="11910" w:orient="landscape"/>
          <w:pgMar w:header="852" w:footer="980" w:top="1520" w:bottom="1160" w:left="1300" w:right="1280"/>
        </w:sectPr>
      </w:pPr>
    </w:p>
    <w:p>
      <w:pPr>
        <w:spacing w:line="240" w:lineRule="auto" w:before="5"/>
        <w:rPr>
          <w:rFonts w:ascii="Times New Roman" w:hAnsi="Times New Roman" w:cs="Times New Roman" w:eastAsia="Times New Roman" w:hint="default"/>
          <w:sz w:val="17"/>
          <w:szCs w:val="17"/>
        </w:rPr>
      </w:pPr>
      <w:r>
        <w:rPr/>
        <w:pict>
          <v:shape style="position:absolute;margin-left:70.919998pt;margin-top:76.94001pt;width:701.05pt;height:438.7pt;mso-position-horizontal-relative:page;mso-position-vertical-relative:page;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6"/>
                    <w:gridCol w:w="1505"/>
                    <w:gridCol w:w="533"/>
                    <w:gridCol w:w="701"/>
                    <w:gridCol w:w="264"/>
                    <w:gridCol w:w="1493"/>
                    <w:gridCol w:w="691"/>
                    <w:gridCol w:w="615"/>
                    <w:gridCol w:w="562"/>
                    <w:gridCol w:w="1454"/>
                    <w:gridCol w:w="415"/>
                    <w:gridCol w:w="1683"/>
                    <w:gridCol w:w="533"/>
                    <w:gridCol w:w="1711"/>
                  </w:tblGrid>
                  <w:tr>
                    <w:trPr>
                      <w:trHeight w:val="406" w:hRule="exact"/>
                    </w:trPr>
                    <w:tc>
                      <w:tcPr>
                        <w:tcW w:w="1846" w:type="dxa"/>
                        <w:vMerge w:val="restart"/>
                        <w:tcBorders>
                          <w:top w:val="single" w:sz="10" w:space="0" w:color="000000"/>
                          <w:left w:val="single" w:sz="4" w:space="0" w:color="000000"/>
                          <w:right w:val="single" w:sz="4" w:space="0" w:color="000000"/>
                        </w:tcBorders>
                        <w:shd w:val="clear" w:color="auto" w:fill="D2D2D2"/>
                      </w:tcPr>
                      <w:p>
                        <w:pPr/>
                      </w:p>
                    </w:tc>
                    <w:tc>
                      <w:tcPr>
                        <w:tcW w:w="9916" w:type="dxa"/>
                        <w:gridSpan w:val="11"/>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33" w:type="dxa"/>
                        <w:vMerge w:val="restart"/>
                        <w:tcBorders>
                          <w:top w:val="single" w:sz="10" w:space="0" w:color="000000"/>
                          <w:left w:val="single" w:sz="4" w:space="0" w:color="000000"/>
                          <w:right w:val="single" w:sz="4" w:space="0" w:color="000000"/>
                        </w:tcBorders>
                        <w:shd w:val="clear" w:color="auto" w:fill="D2D2D2"/>
                      </w:tcPr>
                      <w:p>
                        <w:pPr/>
                      </w:p>
                    </w:tc>
                    <w:tc>
                      <w:tcPr>
                        <w:tcW w:w="1711" w:type="dxa"/>
                        <w:vMerge w:val="restart"/>
                        <w:tcBorders>
                          <w:top w:val="single" w:sz="10" w:space="0" w:color="000000"/>
                          <w:left w:val="single" w:sz="4" w:space="0" w:color="000000"/>
                          <w:right w:val="single" w:sz="4" w:space="0" w:color="000000"/>
                        </w:tcBorders>
                        <w:shd w:val="clear" w:color="auto" w:fill="D2D2D2"/>
                      </w:tcPr>
                      <w:p>
                        <w:pPr/>
                      </w:p>
                    </w:tc>
                  </w:tr>
                  <w:tr>
                    <w:trPr>
                      <w:trHeight w:val="276" w:hRule="exact"/>
                    </w:trPr>
                    <w:tc>
                      <w:tcPr>
                        <w:tcW w:w="1846" w:type="dxa"/>
                        <w:vMerge/>
                        <w:tcBorders>
                          <w:left w:val="single" w:sz="4" w:space="0" w:color="000000"/>
                          <w:right w:val="single" w:sz="4" w:space="0" w:color="000000"/>
                        </w:tcBorders>
                        <w:shd w:val="clear" w:color="auto" w:fill="D2D2D2"/>
                      </w:tcPr>
                      <w:p>
                        <w:pPr/>
                      </w:p>
                    </w:tc>
                    <w:tc>
                      <w:tcPr>
                        <w:tcW w:w="1505" w:type="dxa"/>
                        <w:vMerge w:val="restart"/>
                        <w:tcBorders>
                          <w:top w:val="single" w:sz="4" w:space="0" w:color="000000"/>
                          <w:left w:val="single" w:sz="4" w:space="0" w:color="000000"/>
                          <w:right w:val="single" w:sz="4" w:space="0" w:color="000000"/>
                        </w:tcBorders>
                        <w:shd w:val="clear" w:color="auto" w:fill="D2D2D2"/>
                      </w:tcPr>
                      <w:p>
                        <w:pPr/>
                      </w:p>
                    </w:tc>
                    <w:tc>
                      <w:tcPr>
                        <w:tcW w:w="14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93" w:type="dxa"/>
                        <w:vMerge w:val="restart"/>
                        <w:tcBorders>
                          <w:top w:val="single" w:sz="4" w:space="0" w:color="000000"/>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
                    </w:tc>
                    <w:tc>
                      <w:tcPr>
                        <w:tcW w:w="615" w:type="dxa"/>
                        <w:vMerge w:val="restart"/>
                        <w:tcBorders>
                          <w:top w:val="single" w:sz="4" w:space="0" w:color="000000"/>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2" w:right="110"/>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683" w:type="dxa"/>
                        <w:vMerge w:val="restart"/>
                        <w:tcBorders>
                          <w:top w:val="single" w:sz="4" w:space="0" w:color="000000"/>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1711" w:type="dxa"/>
                        <w:vMerge/>
                        <w:tcBorders>
                          <w:left w:val="single" w:sz="4" w:space="0" w:color="000000"/>
                          <w:right w:val="single" w:sz="4" w:space="0" w:color="000000"/>
                        </w:tcBorders>
                        <w:shd w:val="clear" w:color="auto" w:fill="D2D2D2"/>
                      </w:tcPr>
                      <w:p>
                        <w:pPr/>
                      </w:p>
                    </w:tc>
                  </w:tr>
                  <w:tr>
                    <w:trPr>
                      <w:trHeight w:val="125" w:hRule="exact"/>
                    </w:trPr>
                    <w:tc>
                      <w:tcPr>
                        <w:tcW w:w="1846" w:type="dxa"/>
                        <w:vMerge/>
                        <w:tcBorders>
                          <w:left w:val="single" w:sz="4" w:space="0" w:color="000000"/>
                          <w:right w:val="single" w:sz="4" w:space="0" w:color="000000"/>
                        </w:tcBorders>
                        <w:shd w:val="clear" w:color="auto" w:fill="D2D2D2"/>
                      </w:tcPr>
                      <w:p>
                        <w:pPr/>
                      </w:p>
                    </w:tc>
                    <w:tc>
                      <w:tcPr>
                        <w:tcW w:w="1505" w:type="dxa"/>
                        <w:vMerge/>
                        <w:tcBorders>
                          <w:left w:val="single" w:sz="4" w:space="0" w:color="000000"/>
                          <w:right w:val="single" w:sz="4" w:space="0" w:color="000000"/>
                        </w:tcBorders>
                        <w:shd w:val="clear" w:color="auto" w:fill="D2D2D2"/>
                      </w:tcPr>
                      <w:p>
                        <w:pPr/>
                      </w:p>
                    </w:tc>
                    <w:tc>
                      <w:tcPr>
                        <w:tcW w:w="1498" w:type="dxa"/>
                        <w:gridSpan w:val="3"/>
                        <w:vMerge/>
                        <w:tcBorders>
                          <w:left w:val="single" w:sz="4" w:space="0" w:color="000000"/>
                          <w:bottom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shd w:val="clear" w:color="auto" w:fill="D2D2D2"/>
                      </w:tcPr>
                      <w:p>
                        <w:pPr/>
                      </w:p>
                    </w:tc>
                    <w:tc>
                      <w:tcPr>
                        <w:tcW w:w="691"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1454"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683"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1" w:right="7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1711" w:type="dxa"/>
                        <w:vMerge/>
                        <w:tcBorders>
                          <w:left w:val="single" w:sz="4" w:space="0" w:color="000000"/>
                          <w:right w:val="single" w:sz="4" w:space="0" w:color="000000"/>
                        </w:tcBorders>
                        <w:shd w:val="clear" w:color="auto" w:fill="D2D2D2"/>
                      </w:tcPr>
                      <w:p>
                        <w:pPr/>
                      </w:p>
                    </w:tc>
                  </w:tr>
                  <w:tr>
                    <w:trPr>
                      <w:trHeight w:val="210" w:hRule="exact"/>
                    </w:trPr>
                    <w:tc>
                      <w:tcPr>
                        <w:tcW w:w="1846" w:type="dxa"/>
                        <w:vMerge/>
                        <w:tcBorders>
                          <w:left w:val="single" w:sz="4" w:space="0" w:color="000000"/>
                          <w:right w:val="single" w:sz="4" w:space="0" w:color="000000"/>
                        </w:tcBorders>
                        <w:shd w:val="clear" w:color="auto" w:fill="D2D2D2"/>
                      </w:tcPr>
                      <w:p>
                        <w:pPr/>
                      </w:p>
                    </w:tc>
                    <w:tc>
                      <w:tcPr>
                        <w:tcW w:w="1505" w:type="dxa"/>
                        <w:vMerge/>
                        <w:tcBorders>
                          <w:left w:val="single" w:sz="4" w:space="0" w:color="000000"/>
                          <w:right w:val="single" w:sz="4" w:space="0" w:color="000000"/>
                        </w:tcBorders>
                        <w:shd w:val="clear" w:color="auto" w:fill="D2D2D2"/>
                      </w:tcPr>
                      <w:p>
                        <w:pPr/>
                      </w:p>
                    </w:tc>
                    <w:tc>
                      <w:tcPr>
                        <w:tcW w:w="533" w:type="dxa"/>
                        <w:vMerge w:val="restart"/>
                        <w:tcBorders>
                          <w:top w:val="single" w:sz="4" w:space="0" w:color="000000"/>
                          <w:left w:val="single" w:sz="4" w:space="0" w:color="000000"/>
                          <w:right w:val="single" w:sz="4" w:space="0" w:color="000000"/>
                        </w:tcBorders>
                        <w:shd w:val="clear" w:color="auto" w:fill="D2D2D2"/>
                      </w:tcPr>
                      <w:p>
                        <w:pPr/>
                      </w:p>
                    </w:tc>
                    <w:tc>
                      <w:tcPr>
                        <w:tcW w:w="701" w:type="dxa"/>
                        <w:vMerge w:val="restart"/>
                        <w:tcBorders>
                          <w:top w:val="single" w:sz="4" w:space="0" w:color="000000"/>
                          <w:left w:val="single" w:sz="4" w:space="0" w:color="000000"/>
                          <w:right w:val="single" w:sz="4" w:space="0" w:color="000000"/>
                        </w:tcBorders>
                        <w:shd w:val="clear" w:color="auto" w:fill="D2D2D2"/>
                      </w:tcPr>
                      <w:p>
                        <w:pPr/>
                      </w:p>
                    </w:tc>
                    <w:tc>
                      <w:tcPr>
                        <w:tcW w:w="264" w:type="dxa"/>
                        <w:vMerge w:val="restart"/>
                        <w:tcBorders>
                          <w:top w:val="single" w:sz="4" w:space="0" w:color="000000"/>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15"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454"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683"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1711"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846" w:type="dxa"/>
                        <w:vMerge/>
                        <w:tcBorders>
                          <w:left w:val="single" w:sz="4" w:space="0" w:color="000000"/>
                          <w:right w:val="single" w:sz="4" w:space="0" w:color="000000"/>
                        </w:tcBorders>
                        <w:shd w:val="clear" w:color="auto" w:fill="D2D2D2"/>
                      </w:tcPr>
                      <w:p>
                        <w:pPr/>
                      </w:p>
                    </w:tc>
                    <w:tc>
                      <w:tcPr>
                        <w:tcW w:w="1505"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right w:val="single" w:sz="4" w:space="0" w:color="000000"/>
                        </w:tcBorders>
                        <w:shd w:val="clear" w:color="auto" w:fill="D2D2D2"/>
                      </w:tcPr>
                      <w:p>
                        <w:pPr/>
                      </w:p>
                    </w:tc>
                    <w:tc>
                      <w:tcPr>
                        <w:tcW w:w="264" w:type="dxa"/>
                        <w:vMerge/>
                        <w:tcBorders>
                          <w:left w:val="single" w:sz="4" w:space="0" w:color="000000"/>
                          <w:bottom w:val="nil" w:sz="6" w:space="0" w:color="auto"/>
                          <w:right w:val="single" w:sz="4" w:space="0" w:color="000000"/>
                        </w:tcBorders>
                        <w:shd w:val="clear" w:color="auto" w:fill="D2D2D2"/>
                      </w:tcPr>
                      <w:p>
                        <w:pPr/>
                      </w:p>
                    </w:tc>
                    <w:tc>
                      <w:tcPr>
                        <w:tcW w:w="1493"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251" w:right="19" w:hanging="228"/>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61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31" w:right="3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96" w:right="9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54" w:type="dxa"/>
                        <w:vMerge/>
                        <w:tcBorders>
                          <w:left w:val="single" w:sz="4" w:space="0" w:color="000000"/>
                          <w:bottom w:val="nil" w:sz="6" w:space="0" w:color="auto"/>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683"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1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2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6" w:hRule="exact"/>
                    </w:trPr>
                    <w:tc>
                      <w:tcPr>
                        <w:tcW w:w="1846" w:type="dxa"/>
                        <w:vMerge/>
                        <w:tcBorders>
                          <w:left w:val="single" w:sz="4" w:space="0" w:color="000000"/>
                          <w:right w:val="single" w:sz="4" w:space="0" w:color="000000"/>
                        </w:tcBorders>
                        <w:shd w:val="clear" w:color="auto" w:fill="D2D2D2"/>
                      </w:tcPr>
                      <w:p>
                        <w:pPr/>
                      </w:p>
                    </w:tc>
                    <w:tc>
                      <w:tcPr>
                        <w:tcW w:w="15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94"/>
                          <w:ind w:left="170" w:right="83"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701" w:type="dxa"/>
                        <w:vMerge/>
                        <w:tcBorders>
                          <w:left w:val="single" w:sz="4" w:space="0" w:color="000000"/>
                          <w:bottom w:val="nil" w:sz="6" w:space="0" w:color="auto"/>
                          <w:right w:val="single" w:sz="4" w:space="0" w:color="000000"/>
                        </w:tcBorders>
                        <w:shd w:val="clear" w:color="auto" w:fill="D2D2D2"/>
                      </w:tcPr>
                      <w:p>
                        <w:pPr/>
                      </w:p>
                    </w:tc>
                    <w:tc>
                      <w:tcPr>
                        <w:tcW w:w="26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94"/>
                          <w:ind w:left="35" w:right="36"/>
                          <w:jc w:val="left"/>
                          <w:rPr>
                            <w:rFonts w:ascii="宋体" w:hAnsi="宋体" w:cs="宋体" w:eastAsia="宋体" w:hint="default"/>
                            <w:sz w:val="18"/>
                            <w:szCs w:val="18"/>
                          </w:rPr>
                        </w:pPr>
                        <w:r>
                          <w:rPr>
                            <w:rFonts w:ascii="宋体" w:hAnsi="宋体" w:cs="宋体" w:eastAsia="宋体" w:hint="default"/>
                            <w:sz w:val="18"/>
                            <w:szCs w:val="18"/>
                          </w:rPr>
                          <w:t>其 他</w:t>
                        </w:r>
                      </w:p>
                    </w:tc>
                    <w:tc>
                      <w:tcPr>
                        <w:tcW w:w="1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91"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14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15" w:type="dxa"/>
                        <w:vMerge/>
                        <w:tcBorders>
                          <w:left w:val="single" w:sz="4" w:space="0" w:color="000000"/>
                          <w:right w:val="single" w:sz="4" w:space="0" w:color="000000"/>
                        </w:tcBorders>
                        <w:shd w:val="clear" w:color="auto" w:fill="D2D2D2"/>
                      </w:tcPr>
                      <w:p>
                        <w:pPr/>
                      </w:p>
                    </w:tc>
                    <w:tc>
                      <w:tcPr>
                        <w:tcW w:w="16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33" w:type="dxa"/>
                        <w:vMerge/>
                        <w:tcBorders>
                          <w:left w:val="single" w:sz="4" w:space="0" w:color="000000"/>
                          <w:right w:val="single" w:sz="4" w:space="0" w:color="000000"/>
                        </w:tcBorders>
                        <w:shd w:val="clear" w:color="auto" w:fill="D2D2D2"/>
                      </w:tcPr>
                      <w:p>
                        <w:pPr/>
                      </w:p>
                    </w:tc>
                    <w:tc>
                      <w:tcPr>
                        <w:tcW w:w="1711"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846" w:type="dxa"/>
                        <w:vMerge/>
                        <w:tcBorders>
                          <w:left w:val="single" w:sz="4" w:space="0" w:color="000000"/>
                          <w:right w:val="single" w:sz="4" w:space="0" w:color="000000"/>
                        </w:tcBorders>
                        <w:shd w:val="clear" w:color="auto" w:fill="D2D2D2"/>
                      </w:tcPr>
                      <w:p>
                        <w:pPr/>
                      </w:p>
                    </w:tc>
                    <w:tc>
                      <w:tcPr>
                        <w:tcW w:w="1505"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7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64"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bottom w:val="nil" w:sz="6" w:space="0" w:color="auto"/>
                          <w:right w:val="single" w:sz="4" w:space="0" w:color="000000"/>
                        </w:tcBorders>
                        <w:shd w:val="clear" w:color="auto" w:fill="D2D2D2"/>
                      </w:tcPr>
                      <w:p>
                        <w:pPr/>
                      </w:p>
                    </w:tc>
                    <w:tc>
                      <w:tcPr>
                        <w:tcW w:w="691"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1454" w:type="dxa"/>
                        <w:vMerge/>
                        <w:tcBorders>
                          <w:left w:val="single" w:sz="4" w:space="0" w:color="000000"/>
                          <w:bottom w:val="nil" w:sz="6" w:space="0" w:color="auto"/>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683"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1711" w:type="dxa"/>
                        <w:vMerge w:val="restart"/>
                        <w:tcBorders>
                          <w:top w:val="nil" w:sz="6" w:space="0" w:color="auto"/>
                          <w:left w:val="single" w:sz="4" w:space="0" w:color="000000"/>
                          <w:right w:val="single" w:sz="4" w:space="0" w:color="000000"/>
                        </w:tcBorders>
                        <w:shd w:val="clear" w:color="auto" w:fill="D2D2D2"/>
                      </w:tcPr>
                      <w:p>
                        <w:pPr/>
                      </w:p>
                    </w:tc>
                  </w:tr>
                  <w:tr>
                    <w:trPr>
                      <w:trHeight w:val="133" w:hRule="exact"/>
                    </w:trPr>
                    <w:tc>
                      <w:tcPr>
                        <w:tcW w:w="1846" w:type="dxa"/>
                        <w:vMerge/>
                        <w:tcBorders>
                          <w:left w:val="single" w:sz="4" w:space="0" w:color="000000"/>
                          <w:right w:val="single" w:sz="4" w:space="0" w:color="000000"/>
                        </w:tcBorders>
                        <w:shd w:val="clear" w:color="auto" w:fill="D2D2D2"/>
                      </w:tcPr>
                      <w:p>
                        <w:pPr/>
                      </w:p>
                    </w:tc>
                    <w:tc>
                      <w:tcPr>
                        <w:tcW w:w="1505"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1493"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15"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nil" w:sz="6" w:space="0" w:color="auto"/>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683"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1711" w:type="dxa"/>
                        <w:vMerge/>
                        <w:tcBorders>
                          <w:left w:val="single" w:sz="4" w:space="0" w:color="000000"/>
                          <w:right w:val="single" w:sz="4" w:space="0" w:color="000000"/>
                        </w:tcBorders>
                        <w:shd w:val="clear" w:color="auto" w:fill="D2D2D2"/>
                      </w:tcPr>
                      <w:p>
                        <w:pPr/>
                      </w:p>
                    </w:tc>
                  </w:tr>
                  <w:tr>
                    <w:trPr>
                      <w:trHeight w:val="190" w:hRule="exact"/>
                    </w:trPr>
                    <w:tc>
                      <w:tcPr>
                        <w:tcW w:w="1846" w:type="dxa"/>
                        <w:vMerge/>
                        <w:tcBorders>
                          <w:left w:val="single" w:sz="4" w:space="0" w:color="000000"/>
                          <w:right w:val="single" w:sz="4" w:space="0" w:color="000000"/>
                        </w:tcBorders>
                        <w:shd w:val="clear" w:color="auto" w:fill="D2D2D2"/>
                      </w:tcPr>
                      <w:p>
                        <w:pPr/>
                      </w:p>
                    </w:tc>
                    <w:tc>
                      <w:tcPr>
                        <w:tcW w:w="1505"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701" w:type="dxa"/>
                        <w:vMerge w:val="restart"/>
                        <w:tcBorders>
                          <w:top w:val="nil" w:sz="6" w:space="0" w:color="auto"/>
                          <w:left w:val="single" w:sz="4" w:space="0" w:color="000000"/>
                          <w:right w:val="single" w:sz="4" w:space="0" w:color="000000"/>
                        </w:tcBorders>
                        <w:shd w:val="clear" w:color="auto" w:fill="D2D2D2"/>
                      </w:tcPr>
                      <w:p>
                        <w:pPr/>
                      </w:p>
                    </w:tc>
                    <w:tc>
                      <w:tcPr>
                        <w:tcW w:w="264" w:type="dxa"/>
                        <w:vMerge/>
                        <w:tcBorders>
                          <w:left w:val="single" w:sz="4" w:space="0" w:color="000000"/>
                          <w:bottom w:val="nil" w:sz="6" w:space="0" w:color="auto"/>
                          <w:right w:val="single" w:sz="4" w:space="0" w:color="000000"/>
                        </w:tcBorders>
                        <w:shd w:val="clear" w:color="auto" w:fill="D2D2D2"/>
                      </w:tcPr>
                      <w:p>
                        <w:pPr/>
                      </w:p>
                    </w:tc>
                    <w:tc>
                      <w:tcPr>
                        <w:tcW w:w="1493" w:type="dxa"/>
                        <w:vMerge/>
                        <w:tcBorders>
                          <w:left w:val="single" w:sz="4" w:space="0" w:color="000000"/>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
                    </w:tc>
                    <w:tc>
                      <w:tcPr>
                        <w:tcW w:w="615"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1454" w:type="dxa"/>
                        <w:vMerge/>
                        <w:tcBorders>
                          <w:left w:val="single" w:sz="4" w:space="0" w:color="000000"/>
                          <w:right w:val="single" w:sz="4" w:space="0" w:color="000000"/>
                        </w:tcBorders>
                        <w:shd w:val="clear" w:color="auto" w:fill="D2D2D2"/>
                      </w:tcPr>
                      <w:p>
                        <w:pPr/>
                      </w:p>
                    </w:tc>
                    <w:tc>
                      <w:tcPr>
                        <w:tcW w:w="415" w:type="dxa"/>
                        <w:vMerge/>
                        <w:tcBorders>
                          <w:left w:val="single" w:sz="4" w:space="0" w:color="000000"/>
                          <w:right w:val="single" w:sz="4" w:space="0" w:color="000000"/>
                        </w:tcBorders>
                        <w:shd w:val="clear" w:color="auto" w:fill="D2D2D2"/>
                      </w:tcPr>
                      <w:p>
                        <w:pPr/>
                      </w:p>
                    </w:tc>
                    <w:tc>
                      <w:tcPr>
                        <w:tcW w:w="1683"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
                    </w:tc>
                    <w:tc>
                      <w:tcPr>
                        <w:tcW w:w="1711" w:type="dxa"/>
                        <w:vMerge/>
                        <w:tcBorders>
                          <w:left w:val="single" w:sz="4" w:space="0" w:color="000000"/>
                          <w:right w:val="single" w:sz="4" w:space="0" w:color="000000"/>
                        </w:tcBorders>
                        <w:shd w:val="clear" w:color="auto" w:fill="D2D2D2"/>
                      </w:tcPr>
                      <w:p>
                        <w:pPr/>
                      </w:p>
                    </w:tc>
                  </w:tr>
                  <w:tr>
                    <w:trPr>
                      <w:trHeight w:val="428"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1505"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2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3"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1683"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17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2,916,394.13</w:t>
                        </w: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25,795,422.48</w:t>
                        </w: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215,165,516.66</w:t>
                        </w: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318,877,333.27</w:t>
                        </w:r>
                      </w:p>
                    </w:tc>
                  </w:tr>
                  <w:tr>
                    <w:trPr>
                      <w:trHeight w:val="401"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5" w:type="dxa"/>
                        <w:tcBorders>
                          <w:top w:val="single" w:sz="4" w:space="0" w:color="000000"/>
                          <w:left w:val="single" w:sz="13"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505" w:type="dxa"/>
                        <w:tcBorders>
                          <w:top w:val="single" w:sz="4" w:space="0" w:color="000000"/>
                          <w:left w:val="single" w:sz="13"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505" w:type="dxa"/>
                        <w:tcBorders>
                          <w:top w:val="single" w:sz="4" w:space="0" w:color="000000"/>
                          <w:left w:val="single" w:sz="13"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其他</w:t>
                        </w:r>
                      </w:p>
                    </w:tc>
                    <w:tc>
                      <w:tcPr>
                        <w:tcW w:w="1505" w:type="dxa"/>
                        <w:tcBorders>
                          <w:top w:val="single" w:sz="4" w:space="0" w:color="000000"/>
                          <w:left w:val="single" w:sz="13"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2,916,394.13</w:t>
                        </w: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25,795,422.48</w:t>
                        </w: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215,165,516.66</w:t>
                        </w: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318,877,333.27</w:t>
                        </w:r>
                      </w:p>
                    </w:tc>
                  </w:tr>
                  <w:tr>
                    <w:trPr>
                      <w:trHeight w:val="715"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145,424,528.35</w:t>
                        </w: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2,936,488.06</w:t>
                        </w: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23,859,497.26</w:t>
                        </w: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197,220,513.67</w:t>
                        </w:r>
                      </w:p>
                    </w:tc>
                  </w:tr>
                  <w:tr>
                    <w:trPr>
                      <w:trHeight w:val="401"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05" w:type="dxa"/>
                        <w:tcBorders>
                          <w:top w:val="single" w:sz="4" w:space="0" w:color="000000"/>
                          <w:left w:val="single" w:sz="13"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26,795,985.32</w:t>
                        </w: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26,795,985.32</w:t>
                        </w:r>
                      </w:p>
                    </w:tc>
                  </w:tr>
                  <w:tr>
                    <w:trPr>
                      <w:trHeight w:val="715"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22"/>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5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145,424,528.35</w:t>
                        </w: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170,424,528.35</w:t>
                        </w:r>
                      </w:p>
                    </w:tc>
                  </w:tr>
                  <w:tr>
                    <w:trPr>
                      <w:trHeight w:val="401"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5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145,424,528.35</w:t>
                        </w: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170,424,528.35</w:t>
                        </w:r>
                      </w:p>
                    </w:tc>
                  </w:tr>
                  <w:tr>
                    <w:trPr>
                      <w:trHeight w:val="715"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．其他权益工具持有者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投入资本</w:t>
                        </w:r>
                      </w:p>
                    </w:tc>
                    <w:tc>
                      <w:tcPr>
                        <w:tcW w:w="1505" w:type="dxa"/>
                        <w:tcBorders>
                          <w:top w:val="single" w:sz="4" w:space="0" w:color="000000"/>
                          <w:left w:val="single" w:sz="13"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 w:right="1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．股份支付计入所有者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权益的金额</w:t>
                        </w:r>
                      </w:p>
                    </w:tc>
                    <w:tc>
                      <w:tcPr>
                        <w:tcW w:w="1505" w:type="dxa"/>
                        <w:tcBorders>
                          <w:top w:val="single" w:sz="4" w:space="0" w:color="000000"/>
                          <w:left w:val="single" w:sz="13"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52" w:footer="980" w:top="1560" w:bottom="1160" w:left="1300" w:right="1280"/>
        </w:sectPr>
      </w:pPr>
    </w:p>
    <w:tbl>
      <w:tblPr>
        <w:tblW w:w="0" w:type="auto"/>
        <w:jc w:val="left"/>
        <w:tblInd w:w="106" w:type="dxa"/>
        <w:tblLayout w:type="fixed"/>
        <w:tblCellMar>
          <w:top w:w="0" w:type="dxa"/>
          <w:left w:w="0" w:type="dxa"/>
          <w:bottom w:w="0" w:type="dxa"/>
          <w:right w:w="0" w:type="dxa"/>
        </w:tblCellMar>
        <w:tblLook w:val="01E0"/>
      </w:tblPr>
      <w:tblGrid>
        <w:gridCol w:w="1870"/>
        <w:gridCol w:w="1493"/>
        <w:gridCol w:w="533"/>
        <w:gridCol w:w="701"/>
        <w:gridCol w:w="264"/>
        <w:gridCol w:w="1493"/>
        <w:gridCol w:w="691"/>
        <w:gridCol w:w="615"/>
        <w:gridCol w:w="562"/>
        <w:gridCol w:w="1454"/>
        <w:gridCol w:w="415"/>
        <w:gridCol w:w="1683"/>
        <w:gridCol w:w="533"/>
        <w:gridCol w:w="1711"/>
      </w:tblGrid>
      <w:tr>
        <w:trPr>
          <w:trHeight w:val="415" w:hRule="exact"/>
        </w:trPr>
        <w:tc>
          <w:tcPr>
            <w:tcW w:w="187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3"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701" w:type="dxa"/>
            <w:tcBorders>
              <w:top w:val="single" w:sz="10" w:space="0" w:color="000000"/>
              <w:left w:val="single" w:sz="4" w:space="0" w:color="000000"/>
              <w:bottom w:val="single" w:sz="4" w:space="0" w:color="000000"/>
              <w:right w:val="single" w:sz="4" w:space="0" w:color="000000"/>
            </w:tcBorders>
          </w:tcPr>
          <w:p>
            <w:pPr/>
          </w:p>
        </w:tc>
        <w:tc>
          <w:tcPr>
            <w:tcW w:w="264" w:type="dxa"/>
            <w:tcBorders>
              <w:top w:val="single" w:sz="10" w:space="0" w:color="000000"/>
              <w:left w:val="single" w:sz="4" w:space="0" w:color="000000"/>
              <w:bottom w:val="single" w:sz="4" w:space="0" w:color="000000"/>
              <w:right w:val="single" w:sz="4" w:space="0" w:color="000000"/>
            </w:tcBorders>
          </w:tcPr>
          <w:p>
            <w:pPr/>
          </w:p>
        </w:tc>
        <w:tc>
          <w:tcPr>
            <w:tcW w:w="1493" w:type="dxa"/>
            <w:tcBorders>
              <w:top w:val="single" w:sz="10" w:space="0" w:color="000000"/>
              <w:left w:val="single" w:sz="4" w:space="0" w:color="000000"/>
              <w:bottom w:val="single" w:sz="4" w:space="0" w:color="000000"/>
              <w:right w:val="single" w:sz="4" w:space="0" w:color="000000"/>
            </w:tcBorders>
          </w:tcPr>
          <w:p>
            <w:pPr/>
          </w:p>
        </w:tc>
        <w:tc>
          <w:tcPr>
            <w:tcW w:w="691" w:type="dxa"/>
            <w:tcBorders>
              <w:top w:val="single" w:sz="10" w:space="0" w:color="000000"/>
              <w:left w:val="single" w:sz="4" w:space="0" w:color="000000"/>
              <w:bottom w:val="single" w:sz="4" w:space="0" w:color="000000"/>
              <w:right w:val="single" w:sz="4" w:space="0" w:color="000000"/>
            </w:tcBorders>
          </w:tcPr>
          <w:p>
            <w:pPr/>
          </w:p>
        </w:tc>
        <w:tc>
          <w:tcPr>
            <w:tcW w:w="615" w:type="dxa"/>
            <w:tcBorders>
              <w:top w:val="single" w:sz="10" w:space="0" w:color="000000"/>
              <w:left w:val="single" w:sz="4" w:space="0" w:color="000000"/>
              <w:bottom w:val="single" w:sz="4" w:space="0" w:color="000000"/>
              <w:right w:val="single" w:sz="4" w:space="0" w:color="000000"/>
            </w:tcBorders>
          </w:tcPr>
          <w:p>
            <w:pPr/>
          </w:p>
        </w:tc>
        <w:tc>
          <w:tcPr>
            <w:tcW w:w="562" w:type="dxa"/>
            <w:tcBorders>
              <w:top w:val="single" w:sz="10" w:space="0" w:color="000000"/>
              <w:left w:val="single" w:sz="4" w:space="0" w:color="000000"/>
              <w:bottom w:val="single" w:sz="4" w:space="0" w:color="000000"/>
              <w:right w:val="single" w:sz="4" w:space="0" w:color="000000"/>
            </w:tcBorders>
          </w:tcPr>
          <w:p>
            <w:pPr/>
          </w:p>
        </w:tc>
        <w:tc>
          <w:tcPr>
            <w:tcW w:w="1454" w:type="dxa"/>
            <w:tcBorders>
              <w:top w:val="single" w:sz="10" w:space="0" w:color="000000"/>
              <w:left w:val="single" w:sz="4" w:space="0" w:color="000000"/>
              <w:bottom w:val="single" w:sz="4" w:space="0" w:color="000000"/>
              <w:right w:val="single" w:sz="4" w:space="0" w:color="000000"/>
            </w:tcBorders>
          </w:tcPr>
          <w:p>
            <w:pPr/>
          </w:p>
        </w:tc>
        <w:tc>
          <w:tcPr>
            <w:tcW w:w="415" w:type="dxa"/>
            <w:tcBorders>
              <w:top w:val="single" w:sz="10" w:space="0" w:color="000000"/>
              <w:left w:val="single" w:sz="4" w:space="0" w:color="000000"/>
              <w:bottom w:val="single" w:sz="4" w:space="0" w:color="000000"/>
              <w:right w:val="single" w:sz="4" w:space="0" w:color="000000"/>
            </w:tcBorders>
          </w:tcPr>
          <w:p>
            <w:pPr/>
          </w:p>
        </w:tc>
        <w:tc>
          <w:tcPr>
            <w:tcW w:w="1683"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1711"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2,936,488.06</w:t>
            </w: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-2,936,488.06</w:t>
            </w: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2,936,488.06</w:t>
            </w: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-2,936,488.06</w:t>
            </w: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23" w:right="34"/>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3" w:right="0"/>
              <w:jc w:val="left"/>
              <w:rPr>
                <w:rFonts w:ascii="Times New Roman" w:hAnsi="Times New Roman" w:cs="Times New Roman" w:eastAsia="Times New Roman" w:hint="default"/>
                <w:sz w:val="18"/>
                <w:szCs w:val="18"/>
              </w:rPr>
            </w:pPr>
            <w:r>
              <w:rPr>
                <w:rFonts w:ascii="Times New Roman"/>
                <w:sz w:val="18"/>
              </w:rPr>
              <w:t>100,000,000.00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3" w:right="0"/>
              <w:jc w:val="left"/>
              <w:rPr>
                <w:rFonts w:ascii="Times New Roman" w:hAnsi="Times New Roman" w:cs="Times New Roman" w:eastAsia="Times New Roman" w:hint="default"/>
                <w:sz w:val="18"/>
                <w:szCs w:val="18"/>
              </w:rPr>
            </w:pPr>
            <w:r>
              <w:rPr>
                <w:rFonts w:ascii="Times New Roman"/>
                <w:sz w:val="18"/>
              </w:rPr>
              <w:t>148,340,922.48</w:t>
            </w:r>
          </w:p>
        </w:tc>
        <w:tc>
          <w:tcPr>
            <w:tcW w:w="691"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28,731,910.54</w:t>
            </w:r>
          </w:p>
        </w:tc>
        <w:tc>
          <w:tcPr>
            <w:tcW w:w="415"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239,025,013.92</w:t>
            </w:r>
          </w:p>
        </w:tc>
        <w:tc>
          <w:tcPr>
            <w:tcW w:w="533"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2" w:right="0"/>
              <w:jc w:val="left"/>
              <w:rPr>
                <w:rFonts w:ascii="Times New Roman" w:hAnsi="Times New Roman" w:cs="Times New Roman" w:eastAsia="Times New Roman" w:hint="default"/>
                <w:sz w:val="18"/>
                <w:szCs w:val="18"/>
              </w:rPr>
            </w:pPr>
            <w:r>
              <w:rPr>
                <w:rFonts w:ascii="Times New Roman"/>
                <w:sz w:val="18"/>
              </w:rPr>
              <w:t>516,097,846.94</w:t>
            </w:r>
          </w:p>
        </w:tc>
      </w:tr>
    </w:tbl>
    <w:p>
      <w:pPr>
        <w:spacing w:line="240" w:lineRule="auto" w:before="5"/>
        <w:rPr>
          <w:rFonts w:ascii="Times New Roman" w:hAnsi="Times New Roman" w:cs="Times New Roman" w:eastAsia="Times New Roman" w:hint="default"/>
          <w:sz w:val="21"/>
          <w:szCs w:val="21"/>
        </w:rPr>
      </w:pPr>
      <w:r>
        <w:rPr/>
        <w:pict>
          <v:group style="position:absolute;margin-left:164.300003pt;margin-top:158.540009pt;width:74.2pt;height:28.05pt;mso-position-horizontal-relative:page;mso-position-vertical-relative:page;z-index:-754360" coordorigin="3286,3171" coordsize="1484,561">
            <v:group style="position:absolute;left:3286;top:3171;width:1484;height:156" coordorigin="3286,3171" coordsize="1484,156">
              <v:shape style="position:absolute;left:3286;top:3171;width:1484;height:156" coordorigin="3286,3171" coordsize="1484,156" path="m3286,3327l4769,3327,4769,3171,3286,3171,3286,3327xe" filled="true" fillcolor="#ffffff" stroked="false">
                <v:path arrowok="t"/>
                <v:fill type="solid"/>
              </v:shape>
            </v:group>
            <v:group style="position:absolute;left:3297;top:3327;width:2;height:394" coordorigin="3297,3327" coordsize="2,394">
              <v:shape style="position:absolute;left:3297;top:3327;width:2;height:394" coordorigin="3297,3327" coordsize="0,394" path="m3297,3327l3297,3720e" filled="false" stroked="true" strokeweight="1.08pt" strokecolor="#ffffff">
                <v:path arrowok="t"/>
              </v:shape>
            </v:group>
            <v:group style="position:absolute;left:3308;top:3327;width:1438;height:394" coordorigin="3308,3327" coordsize="1438,394">
              <v:shape style="position:absolute;left:3308;top:3327;width:1438;height:394" coordorigin="3308,3327" coordsize="1438,394" path="m3308,3720l4745,3720,4745,3327,3308,3327,3308,3720xe" filled="true" fillcolor="#ffffff" stroked="false">
                <v:path arrowok="t"/>
                <v:fill type="solid"/>
              </v:shape>
            </v:group>
            <w10:wrap type="none"/>
          </v:group>
        </w:pict>
      </w:r>
    </w:p>
    <w:p>
      <w:pPr>
        <w:pStyle w:val="Heading3"/>
        <w:spacing w:line="335" w:lineRule="exact"/>
        <w:ind w:left="14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Microsoft JhengHei" w:hAnsi="Microsoft JhengHei" w:cs="Microsoft JhengHei" w:eastAsia="Microsoft JhengHei" w:hint="default"/>
          <w:b/>
          <w:bCs/>
          <w:sz w:val="16"/>
          <w:szCs w:val="16"/>
        </w:rPr>
      </w:pPr>
    </w:p>
    <w:p>
      <w:pPr>
        <w:spacing w:before="0"/>
        <w:ind w:left="14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本期金额</w:t>
      </w:r>
      <w:r>
        <w:rPr>
          <w:rFonts w:ascii="Microsoft JhengHei" w:hAnsi="Microsoft JhengHei" w:cs="Microsoft JhengHei" w:eastAsia="Microsoft JhengHei" w:hint="default"/>
          <w:sz w:val="18"/>
          <w:szCs w:val="18"/>
        </w:rPr>
      </w:r>
    </w:p>
    <w:p>
      <w:pPr>
        <w:spacing w:after="0"/>
        <w:jc w:val="left"/>
        <w:rPr>
          <w:rFonts w:ascii="Microsoft JhengHei" w:hAnsi="Microsoft JhengHei" w:cs="Microsoft JhengHei" w:eastAsia="Microsoft JhengHei" w:hint="default"/>
          <w:sz w:val="18"/>
          <w:szCs w:val="18"/>
        </w:rPr>
        <w:sectPr>
          <w:pgSz w:w="16840" w:h="11910" w:orient="landscape"/>
          <w:pgMar w:header="852" w:footer="980" w:top="1520" w:bottom="1160" w:left="1300" w:right="12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04"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before="2"/>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661"/>
        <w:gridCol w:w="1699"/>
        <w:gridCol w:w="554"/>
        <w:gridCol w:w="562"/>
        <w:gridCol w:w="559"/>
        <w:gridCol w:w="1682"/>
        <w:gridCol w:w="749"/>
        <w:gridCol w:w="1121"/>
        <w:gridCol w:w="562"/>
        <w:gridCol w:w="1493"/>
        <w:gridCol w:w="1683"/>
        <w:gridCol w:w="1680"/>
      </w:tblGrid>
      <w:tr>
        <w:trPr>
          <w:trHeight w:val="396" w:hRule="exact"/>
        </w:trPr>
        <w:tc>
          <w:tcPr>
            <w:tcW w:w="1661" w:type="dxa"/>
            <w:vMerge w:val="restart"/>
            <w:tcBorders>
              <w:top w:val="single" w:sz="4" w:space="0" w:color="000000"/>
              <w:left w:val="single" w:sz="4" w:space="0" w:color="000000"/>
              <w:right w:val="single" w:sz="4" w:space="0" w:color="000000"/>
            </w:tcBorders>
            <w:shd w:val="clear" w:color="auto" w:fill="D2D2D2"/>
          </w:tcPr>
          <w:p>
            <w:pPr/>
          </w:p>
        </w:tc>
        <w:tc>
          <w:tcPr>
            <w:tcW w:w="1234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88" w:hRule="exact"/>
        </w:trPr>
        <w:tc>
          <w:tcPr>
            <w:tcW w:w="1661" w:type="dxa"/>
            <w:vMerge/>
            <w:tcBorders>
              <w:left w:val="single" w:sz="4" w:space="0" w:color="000000"/>
              <w:bottom w:val="nil" w:sz="6" w:space="0" w:color="auto"/>
              <w:right w:val="single" w:sz="4" w:space="0" w:color="000000"/>
            </w:tcBorders>
            <w:shd w:val="clear" w:color="auto" w:fill="D2D2D2"/>
          </w:tcPr>
          <w:p>
            <w:pPr/>
          </w:p>
        </w:tc>
        <w:tc>
          <w:tcPr>
            <w:tcW w:w="1699" w:type="dxa"/>
            <w:vMerge w:val="restart"/>
            <w:tcBorders>
              <w:top w:val="single" w:sz="4" w:space="0" w:color="000000"/>
              <w:left w:val="single" w:sz="4" w:space="0" w:color="000000"/>
              <w:right w:val="single" w:sz="4" w:space="0" w:color="000000"/>
            </w:tcBorders>
            <w:shd w:val="clear" w:color="auto" w:fill="D2D2D2"/>
          </w:tcPr>
          <w:p>
            <w:pPr/>
          </w:p>
        </w:tc>
        <w:tc>
          <w:tcPr>
            <w:tcW w:w="16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82" w:type="dxa"/>
            <w:vMerge w:val="restart"/>
            <w:tcBorders>
              <w:top w:val="single" w:sz="4" w:space="0" w:color="000000"/>
              <w:left w:val="single" w:sz="4" w:space="0" w:color="000000"/>
              <w:right w:val="single" w:sz="4" w:space="0" w:color="000000"/>
            </w:tcBorders>
            <w:shd w:val="clear" w:color="auto" w:fill="D2D2D2"/>
          </w:tcPr>
          <w:p>
            <w:pPr/>
          </w:p>
        </w:tc>
        <w:tc>
          <w:tcPr>
            <w:tcW w:w="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3" w:type="dxa"/>
            <w:vMerge w:val="restart"/>
            <w:tcBorders>
              <w:top w:val="single" w:sz="4" w:space="0" w:color="000000"/>
              <w:left w:val="single" w:sz="4" w:space="0" w:color="000000"/>
              <w:right w:val="single" w:sz="4" w:space="0" w:color="000000"/>
            </w:tcBorders>
            <w:shd w:val="clear" w:color="auto" w:fill="D2D2D2"/>
          </w:tcPr>
          <w:p>
            <w:pPr/>
          </w:p>
        </w:tc>
        <w:tc>
          <w:tcPr>
            <w:tcW w:w="1683" w:type="dxa"/>
            <w:vMerge w:val="restart"/>
            <w:tcBorders>
              <w:top w:val="single" w:sz="4" w:space="0" w:color="000000"/>
              <w:left w:val="single" w:sz="4" w:space="0" w:color="000000"/>
              <w:right w:val="single" w:sz="4" w:space="0" w:color="000000"/>
            </w:tcBorders>
            <w:shd w:val="clear" w:color="auto" w:fill="D2D2D2"/>
          </w:tcPr>
          <w:p>
            <w:pPr/>
          </w:p>
        </w:tc>
        <w:tc>
          <w:tcPr>
            <w:tcW w:w="1680"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16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9" w:type="dxa"/>
            <w:vMerge/>
            <w:tcBorders>
              <w:left w:val="single" w:sz="4" w:space="0" w:color="000000"/>
              <w:bottom w:val="single" w:sz="14" w:space="0" w:color="FFFFFF"/>
              <w:right w:val="single" w:sz="4" w:space="0" w:color="000000"/>
            </w:tcBorders>
            <w:shd w:val="clear" w:color="auto" w:fill="D2D2D2"/>
          </w:tcPr>
          <w:p>
            <w:pPr/>
          </w:p>
        </w:tc>
        <w:tc>
          <w:tcPr>
            <w:tcW w:w="1676" w:type="dxa"/>
            <w:gridSpan w:val="3"/>
            <w:vMerge/>
            <w:tcBorders>
              <w:left w:val="single" w:sz="4" w:space="0" w:color="000000"/>
              <w:bottom w:val="single" w:sz="14" w:space="0" w:color="FFFFFF"/>
              <w:right w:val="single" w:sz="4" w:space="0" w:color="000000"/>
            </w:tcBorders>
            <w:shd w:val="clear" w:color="auto" w:fill="D2D2D2"/>
          </w:tcPr>
          <w:p>
            <w:pPr/>
          </w:p>
        </w:tc>
        <w:tc>
          <w:tcPr>
            <w:tcW w:w="1682" w:type="dxa"/>
            <w:vMerge/>
            <w:tcBorders>
              <w:left w:val="single" w:sz="4" w:space="0" w:color="000000"/>
              <w:bottom w:val="single" w:sz="14" w:space="0" w:color="FFFFFF"/>
              <w:right w:val="single" w:sz="4" w:space="0" w:color="000000"/>
            </w:tcBorders>
            <w:shd w:val="clear" w:color="auto" w:fill="D2D2D2"/>
          </w:tcPr>
          <w:p>
            <w:pPr/>
          </w:p>
        </w:tc>
        <w:tc>
          <w:tcPr>
            <w:tcW w:w="7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78" w:right="23" w:hanging="255"/>
              <w:jc w:val="left"/>
              <w:rPr>
                <w:rFonts w:ascii="宋体" w:hAnsi="宋体" w:cs="宋体" w:eastAsia="宋体" w:hint="default"/>
                <w:sz w:val="18"/>
                <w:szCs w:val="18"/>
              </w:rPr>
            </w:pPr>
            <w:r>
              <w:rPr>
                <w:rFonts w:ascii="宋体" w:hAnsi="宋体" w:cs="宋体" w:eastAsia="宋体" w:hint="default"/>
                <w:spacing w:val="-8"/>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112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63" w:right="107"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93"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493" w:type="dxa"/>
            <w:vMerge/>
            <w:tcBorders>
              <w:left w:val="single" w:sz="4" w:space="0" w:color="000000"/>
              <w:bottom w:val="nil" w:sz="6" w:space="0" w:color="auto"/>
              <w:right w:val="single" w:sz="4" w:space="0" w:color="000000"/>
            </w:tcBorders>
            <w:shd w:val="clear" w:color="auto" w:fill="D2D2D2"/>
          </w:tcPr>
          <w:p>
            <w:pPr/>
          </w:p>
        </w:tc>
        <w:tc>
          <w:tcPr>
            <w:tcW w:w="1683" w:type="dxa"/>
            <w:vMerge/>
            <w:tcBorders>
              <w:left w:val="single" w:sz="4" w:space="0" w:color="000000"/>
              <w:bottom w:val="nil" w:sz="6" w:space="0" w:color="auto"/>
              <w:right w:val="single" w:sz="4" w:space="0" w:color="000000"/>
            </w:tcBorders>
            <w:shd w:val="clear" w:color="auto" w:fill="D2D2D2"/>
          </w:tcPr>
          <w:p>
            <w:pPr/>
          </w:p>
        </w:tc>
        <w:tc>
          <w:tcPr>
            <w:tcW w:w="1680" w:type="dxa"/>
            <w:vMerge/>
            <w:tcBorders>
              <w:left w:val="single" w:sz="4" w:space="0" w:color="000000"/>
              <w:bottom w:val="nil" w:sz="6" w:space="0" w:color="auto"/>
              <w:right w:val="single" w:sz="4" w:space="0" w:color="000000"/>
            </w:tcBorders>
            <w:shd w:val="clear" w:color="auto" w:fill="D2D2D2"/>
          </w:tcPr>
          <w:p>
            <w:pPr/>
          </w:p>
        </w:tc>
      </w:tr>
      <w:tr>
        <w:trPr>
          <w:trHeight w:val="188" w:hRule="exact"/>
        </w:trPr>
        <w:tc>
          <w:tcPr>
            <w:tcW w:w="1661" w:type="dxa"/>
            <w:vMerge/>
            <w:tcBorders>
              <w:left w:val="single" w:sz="4" w:space="0" w:color="000000"/>
              <w:bottom w:val="nil" w:sz="6" w:space="0" w:color="auto"/>
              <w:right w:val="single" w:sz="4" w:space="0" w:color="000000"/>
            </w:tcBorders>
            <w:shd w:val="clear" w:color="auto" w:fill="D2D2D2"/>
          </w:tcPr>
          <w:p>
            <w:pPr/>
          </w:p>
        </w:tc>
        <w:tc>
          <w:tcPr>
            <w:tcW w:w="169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54"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79" w:right="91"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7"/>
              <w:ind w:left="182" w:right="9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59" w:type="dxa"/>
            <w:tcBorders>
              <w:top w:val="single" w:sz="14" w:space="0" w:color="FFFFFF"/>
              <w:left w:val="single" w:sz="4" w:space="0" w:color="000000"/>
              <w:bottom w:val="nil" w:sz="6" w:space="0" w:color="auto"/>
              <w:right w:val="single" w:sz="4" w:space="0" w:color="000000"/>
            </w:tcBorders>
            <w:shd w:val="clear" w:color="auto" w:fill="D2D2D2"/>
          </w:tcPr>
          <w:p>
            <w:pPr/>
          </w:p>
        </w:tc>
        <w:tc>
          <w:tcPr>
            <w:tcW w:w="168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22"/>
              <w:ind w:left="4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49"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1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3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38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0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661" w:type="dxa"/>
            <w:vMerge w:val="restart"/>
            <w:tcBorders>
              <w:top w:val="nil" w:sz="6" w:space="0" w:color="auto"/>
              <w:left w:val="single" w:sz="4" w:space="0" w:color="000000"/>
              <w:right w:val="single" w:sz="4" w:space="0" w:color="000000"/>
            </w:tcBorders>
            <w:shd w:val="clear" w:color="auto" w:fill="D2D2D2"/>
          </w:tcPr>
          <w:p>
            <w:pPr/>
          </w:p>
        </w:tc>
        <w:tc>
          <w:tcPr>
            <w:tcW w:w="1699" w:type="dxa"/>
            <w:vMerge/>
            <w:tcBorders>
              <w:left w:val="single" w:sz="4" w:space="0" w:color="000000"/>
              <w:bottom w:val="nil" w:sz="6" w:space="0" w:color="auto"/>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2" w:type="dxa"/>
            <w:vMerge/>
            <w:tcBorders>
              <w:left w:val="single" w:sz="4" w:space="0" w:color="000000"/>
              <w:bottom w:val="nil" w:sz="6" w:space="0" w:color="auto"/>
              <w:right w:val="single" w:sz="4" w:space="0" w:color="000000"/>
            </w:tcBorders>
            <w:shd w:val="clear" w:color="auto" w:fill="D2D2D2"/>
          </w:tcPr>
          <w:p>
            <w:pPr/>
          </w:p>
        </w:tc>
        <w:tc>
          <w:tcPr>
            <w:tcW w:w="749"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bottom w:val="nil" w:sz="6" w:space="0" w:color="auto"/>
              <w:right w:val="single" w:sz="4" w:space="0" w:color="000000"/>
            </w:tcBorders>
            <w:shd w:val="clear" w:color="auto" w:fill="D2D2D2"/>
          </w:tcPr>
          <w:p>
            <w:pPr/>
          </w:p>
        </w:tc>
        <w:tc>
          <w:tcPr>
            <w:tcW w:w="1683" w:type="dxa"/>
            <w:vMerge/>
            <w:tcBorders>
              <w:left w:val="single" w:sz="4" w:space="0" w:color="000000"/>
              <w:bottom w:val="nil" w:sz="6" w:space="0" w:color="auto"/>
              <w:right w:val="single" w:sz="4" w:space="0" w:color="000000"/>
            </w:tcBorders>
            <w:shd w:val="clear" w:color="auto" w:fill="D2D2D2"/>
          </w:tcPr>
          <w:p>
            <w:pPr/>
          </w:p>
        </w:tc>
        <w:tc>
          <w:tcPr>
            <w:tcW w:w="1680"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661" w:type="dxa"/>
            <w:vMerge/>
            <w:tcBorders>
              <w:left w:val="single" w:sz="4" w:space="0" w:color="000000"/>
              <w:right w:val="single" w:sz="4" w:space="0" w:color="000000"/>
            </w:tcBorders>
            <w:shd w:val="clear" w:color="auto" w:fill="D2D2D2"/>
          </w:tcPr>
          <w:p>
            <w:pPr/>
          </w:p>
        </w:tc>
        <w:tc>
          <w:tcPr>
            <w:tcW w:w="1699" w:type="dxa"/>
            <w:vMerge w:val="restart"/>
            <w:tcBorders>
              <w:top w:val="nil" w:sz="6" w:space="0" w:color="auto"/>
              <w:left w:val="single" w:sz="4" w:space="0" w:color="000000"/>
              <w:right w:val="single" w:sz="4" w:space="0" w:color="000000"/>
            </w:tcBorders>
            <w:shd w:val="clear" w:color="auto" w:fill="D2D2D2"/>
          </w:tcPr>
          <w:p>
            <w:pPr/>
          </w:p>
        </w:tc>
        <w:tc>
          <w:tcPr>
            <w:tcW w:w="554" w:type="dxa"/>
            <w:vMerge/>
            <w:tcBorders>
              <w:left w:val="single" w:sz="4" w:space="0" w:color="000000"/>
              <w:right w:val="single" w:sz="4" w:space="0" w:color="000000"/>
            </w:tcBorders>
            <w:shd w:val="clear" w:color="auto" w:fill="D2D2D2"/>
          </w:tcPr>
          <w:p>
            <w:pPr/>
          </w:p>
        </w:tc>
        <w:tc>
          <w:tcPr>
            <w:tcW w:w="562" w:type="dxa"/>
            <w:vMerge/>
            <w:tcBorders>
              <w:left w:val="single" w:sz="4" w:space="0" w:color="000000"/>
              <w:right w:val="single" w:sz="4" w:space="0" w:color="000000"/>
            </w:tcBorders>
            <w:shd w:val="clear" w:color="auto" w:fill="D2D2D2"/>
          </w:tcPr>
          <w:p>
            <w:pPr/>
          </w:p>
        </w:tc>
        <w:tc>
          <w:tcPr>
            <w:tcW w:w="559" w:type="dxa"/>
            <w:vMerge/>
            <w:tcBorders>
              <w:left w:val="single" w:sz="4" w:space="0" w:color="000000"/>
              <w:bottom w:val="nil" w:sz="6" w:space="0" w:color="auto"/>
              <w:right w:val="single" w:sz="4" w:space="0" w:color="000000"/>
            </w:tcBorders>
            <w:shd w:val="clear" w:color="auto" w:fill="D2D2D2"/>
          </w:tcPr>
          <w:p>
            <w:pPr/>
          </w:p>
        </w:tc>
        <w:tc>
          <w:tcPr>
            <w:tcW w:w="1682" w:type="dxa"/>
            <w:vMerge w:val="restart"/>
            <w:tcBorders>
              <w:top w:val="nil" w:sz="6" w:space="0" w:color="auto"/>
              <w:left w:val="single" w:sz="4" w:space="0" w:color="000000"/>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c>
          <w:tcPr>
            <w:tcW w:w="1121"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493" w:type="dxa"/>
            <w:vMerge w:val="restart"/>
            <w:tcBorders>
              <w:top w:val="nil" w:sz="6" w:space="0" w:color="auto"/>
              <w:left w:val="single" w:sz="4" w:space="0" w:color="000000"/>
              <w:right w:val="single" w:sz="4" w:space="0" w:color="000000"/>
            </w:tcBorders>
            <w:shd w:val="clear" w:color="auto" w:fill="D2D2D2"/>
          </w:tcPr>
          <w:p>
            <w:pPr/>
          </w:p>
        </w:tc>
        <w:tc>
          <w:tcPr>
            <w:tcW w:w="1683" w:type="dxa"/>
            <w:vMerge w:val="restart"/>
            <w:tcBorders>
              <w:top w:val="nil" w:sz="6" w:space="0" w:color="auto"/>
              <w:left w:val="single" w:sz="4" w:space="0" w:color="000000"/>
              <w:right w:val="single" w:sz="4" w:space="0" w:color="000000"/>
            </w:tcBorders>
            <w:shd w:val="clear" w:color="auto" w:fill="D2D2D2"/>
          </w:tcPr>
          <w:p>
            <w:pPr/>
          </w:p>
        </w:tc>
        <w:tc>
          <w:tcPr>
            <w:tcW w:w="1680" w:type="dxa"/>
            <w:vMerge w:val="restart"/>
            <w:tcBorders>
              <w:top w:val="nil" w:sz="6" w:space="0" w:color="auto"/>
              <w:left w:val="single" w:sz="4" w:space="0" w:color="000000"/>
              <w:right w:val="single" w:sz="4" w:space="0" w:color="000000"/>
            </w:tcBorders>
            <w:shd w:val="clear" w:color="auto" w:fill="D2D2D2"/>
          </w:tcPr>
          <w:p>
            <w:pPr/>
          </w:p>
        </w:tc>
      </w:tr>
      <w:tr>
        <w:trPr>
          <w:trHeight w:val="184" w:hRule="exact"/>
        </w:trPr>
        <w:tc>
          <w:tcPr>
            <w:tcW w:w="1661" w:type="dxa"/>
            <w:vMerge/>
            <w:tcBorders>
              <w:left w:val="single" w:sz="4" w:space="0" w:color="000000"/>
              <w:bottom w:val="single" w:sz="4" w:space="0" w:color="000000"/>
              <w:right w:val="single" w:sz="4" w:space="0" w:color="000000"/>
            </w:tcBorders>
            <w:shd w:val="clear" w:color="auto" w:fill="D2D2D2"/>
          </w:tcPr>
          <w:p>
            <w:pPr/>
          </w:p>
        </w:tc>
        <w:tc>
          <w:tcPr>
            <w:tcW w:w="1699" w:type="dxa"/>
            <w:vMerge/>
            <w:tcBorders>
              <w:left w:val="single" w:sz="4" w:space="0" w:color="000000"/>
              <w:bottom w:val="single" w:sz="4" w:space="0" w:color="000000"/>
              <w:right w:val="single" w:sz="4" w:space="0" w:color="000000"/>
            </w:tcBorders>
            <w:shd w:val="clear" w:color="auto" w:fill="D2D2D2"/>
          </w:tcPr>
          <w:p>
            <w:pPr/>
          </w:p>
        </w:tc>
        <w:tc>
          <w:tcPr>
            <w:tcW w:w="554"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82" w:type="dxa"/>
            <w:vMerge/>
            <w:tcBorders>
              <w:left w:val="single" w:sz="4" w:space="0" w:color="000000"/>
              <w:bottom w:val="single" w:sz="4" w:space="0" w:color="000000"/>
              <w:right w:val="single" w:sz="4" w:space="0" w:color="000000"/>
            </w:tcBorders>
            <w:shd w:val="clear" w:color="auto" w:fill="D2D2D2"/>
          </w:tcPr>
          <w:p>
            <w:pPr/>
          </w:p>
        </w:tc>
        <w:tc>
          <w:tcPr>
            <w:tcW w:w="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3" w:type="dxa"/>
            <w:vMerge/>
            <w:tcBorders>
              <w:left w:val="single" w:sz="4" w:space="0" w:color="000000"/>
              <w:bottom w:val="single" w:sz="4" w:space="0" w:color="000000"/>
              <w:right w:val="single" w:sz="4" w:space="0" w:color="000000"/>
            </w:tcBorders>
            <w:shd w:val="clear" w:color="auto" w:fill="D2D2D2"/>
          </w:tcPr>
          <w:p>
            <w:pPr/>
          </w:p>
        </w:tc>
        <w:tc>
          <w:tcPr>
            <w:tcW w:w="1683" w:type="dxa"/>
            <w:vMerge/>
            <w:tcBorders>
              <w:left w:val="single" w:sz="4" w:space="0" w:color="000000"/>
              <w:bottom w:val="single" w:sz="4" w:space="0" w:color="000000"/>
              <w:right w:val="single" w:sz="4" w:space="0" w:color="000000"/>
            </w:tcBorders>
            <w:shd w:val="clear" w:color="auto" w:fill="D2D2D2"/>
          </w:tcPr>
          <w:p>
            <w:pPr/>
          </w:p>
        </w:tc>
        <w:tc>
          <w:tcPr>
            <w:tcW w:w="1680"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147,940,922.48</w:t>
            </w: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28,731,910.54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221,996,787.26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498,669,620.28</w:t>
            </w: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699"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699"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147,940,922.48</w:t>
            </w: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28,731,910.54</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221,996,787.26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498,669,620.28</w:t>
            </w:r>
          </w:p>
        </w:tc>
      </w:tr>
      <w:tr>
        <w:trPr>
          <w:trHeight w:val="1025"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 w:right="17"/>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6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2,204,249.48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-50,161,754.72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2,042,494.76</w:t>
            </w: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99"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22,042,494.76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22,042,494.76</w:t>
            </w: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7"/>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6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股东投入的普通股</w:t>
            </w:r>
          </w:p>
        </w:tc>
        <w:tc>
          <w:tcPr>
            <w:tcW w:w="16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．其他权益工具持有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者投入资本</w:t>
            </w:r>
          </w:p>
        </w:tc>
        <w:tc>
          <w:tcPr>
            <w:tcW w:w="1699"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1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．股份支付计入所有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者权益的金额</w:t>
            </w:r>
          </w:p>
        </w:tc>
        <w:tc>
          <w:tcPr>
            <w:tcW w:w="1699"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99"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2" w:footer="980" w:top="1500" w:bottom="1160" w:left="1300" w:right="1280"/>
        </w:sectPr>
      </w:pPr>
    </w:p>
    <w:tbl>
      <w:tblPr>
        <w:tblW w:w="0" w:type="auto"/>
        <w:jc w:val="left"/>
        <w:tblInd w:w="106" w:type="dxa"/>
        <w:tblLayout w:type="fixed"/>
        <w:tblCellMar>
          <w:top w:w="0" w:type="dxa"/>
          <w:left w:w="0" w:type="dxa"/>
          <w:bottom w:w="0" w:type="dxa"/>
          <w:right w:w="0" w:type="dxa"/>
        </w:tblCellMar>
        <w:tblLook w:val="01E0"/>
      </w:tblPr>
      <w:tblGrid>
        <w:gridCol w:w="1685"/>
        <w:gridCol w:w="1687"/>
        <w:gridCol w:w="554"/>
        <w:gridCol w:w="562"/>
        <w:gridCol w:w="559"/>
        <w:gridCol w:w="1682"/>
        <w:gridCol w:w="749"/>
        <w:gridCol w:w="1121"/>
        <w:gridCol w:w="562"/>
        <w:gridCol w:w="1493"/>
        <w:gridCol w:w="1683"/>
        <w:gridCol w:w="1680"/>
      </w:tblGrid>
      <w:tr>
        <w:trPr>
          <w:trHeight w:val="415" w:hRule="exact"/>
        </w:trPr>
        <w:tc>
          <w:tcPr>
            <w:tcW w:w="168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87" w:type="dxa"/>
            <w:tcBorders>
              <w:top w:val="single" w:sz="10" w:space="0" w:color="000000"/>
              <w:left w:val="single" w:sz="4" w:space="0" w:color="000000"/>
              <w:bottom w:val="single" w:sz="4" w:space="0" w:color="000000"/>
              <w:right w:val="single" w:sz="4" w:space="0" w:color="000000"/>
            </w:tcBorders>
          </w:tcPr>
          <w:p>
            <w:pPr/>
          </w:p>
        </w:tc>
        <w:tc>
          <w:tcPr>
            <w:tcW w:w="554" w:type="dxa"/>
            <w:tcBorders>
              <w:top w:val="single" w:sz="10" w:space="0" w:color="000000"/>
              <w:left w:val="single" w:sz="4" w:space="0" w:color="000000"/>
              <w:bottom w:val="single" w:sz="4" w:space="0" w:color="000000"/>
              <w:right w:val="single" w:sz="4" w:space="0" w:color="000000"/>
            </w:tcBorders>
          </w:tcPr>
          <w:p>
            <w:pPr/>
          </w:p>
        </w:tc>
        <w:tc>
          <w:tcPr>
            <w:tcW w:w="562" w:type="dxa"/>
            <w:tcBorders>
              <w:top w:val="single" w:sz="10" w:space="0" w:color="000000"/>
              <w:left w:val="single" w:sz="4" w:space="0" w:color="000000"/>
              <w:bottom w:val="single" w:sz="4" w:space="0" w:color="000000"/>
              <w:right w:val="single" w:sz="4" w:space="0" w:color="000000"/>
            </w:tcBorders>
          </w:tcPr>
          <w:p>
            <w:pPr/>
          </w:p>
        </w:tc>
        <w:tc>
          <w:tcPr>
            <w:tcW w:w="559" w:type="dxa"/>
            <w:tcBorders>
              <w:top w:val="single" w:sz="10" w:space="0" w:color="000000"/>
              <w:left w:val="single" w:sz="4" w:space="0" w:color="000000"/>
              <w:bottom w:val="single" w:sz="4" w:space="0" w:color="000000"/>
              <w:right w:val="single" w:sz="4" w:space="0" w:color="000000"/>
            </w:tcBorders>
          </w:tcPr>
          <w:p>
            <w:pPr/>
          </w:p>
        </w:tc>
        <w:tc>
          <w:tcPr>
            <w:tcW w:w="1682" w:type="dxa"/>
            <w:tcBorders>
              <w:top w:val="single" w:sz="10" w:space="0" w:color="000000"/>
              <w:left w:val="single" w:sz="4" w:space="0" w:color="000000"/>
              <w:bottom w:val="single" w:sz="4" w:space="0" w:color="000000"/>
              <w:right w:val="single" w:sz="4" w:space="0" w:color="000000"/>
            </w:tcBorders>
          </w:tcPr>
          <w:p>
            <w:pPr/>
          </w:p>
        </w:tc>
        <w:tc>
          <w:tcPr>
            <w:tcW w:w="749" w:type="dxa"/>
            <w:tcBorders>
              <w:top w:val="single" w:sz="10" w:space="0" w:color="000000"/>
              <w:left w:val="single" w:sz="4" w:space="0" w:color="000000"/>
              <w:bottom w:val="single" w:sz="4" w:space="0" w:color="000000"/>
              <w:right w:val="single" w:sz="4" w:space="0" w:color="000000"/>
            </w:tcBorders>
          </w:tcPr>
          <w:p>
            <w:pPr/>
          </w:p>
        </w:tc>
        <w:tc>
          <w:tcPr>
            <w:tcW w:w="1121" w:type="dxa"/>
            <w:tcBorders>
              <w:top w:val="single" w:sz="10" w:space="0" w:color="000000"/>
              <w:left w:val="single" w:sz="4" w:space="0" w:color="000000"/>
              <w:bottom w:val="single" w:sz="4" w:space="0" w:color="000000"/>
              <w:right w:val="single" w:sz="4" w:space="0" w:color="000000"/>
            </w:tcBorders>
          </w:tcPr>
          <w:p>
            <w:pPr/>
          </w:p>
        </w:tc>
        <w:tc>
          <w:tcPr>
            <w:tcW w:w="562" w:type="dxa"/>
            <w:tcBorders>
              <w:top w:val="single" w:sz="10" w:space="0" w:color="000000"/>
              <w:left w:val="single" w:sz="4" w:space="0" w:color="000000"/>
              <w:bottom w:val="single" w:sz="4" w:space="0" w:color="000000"/>
              <w:right w:val="single" w:sz="4" w:space="0" w:color="000000"/>
            </w:tcBorders>
          </w:tcPr>
          <w:p>
            <w:pPr/>
          </w:p>
        </w:tc>
        <w:tc>
          <w:tcPr>
            <w:tcW w:w="14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2,204,249.48</w:t>
            </w:r>
          </w:p>
        </w:tc>
        <w:tc>
          <w:tcPr>
            <w:tcW w:w="168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-72,204,249.48</w:t>
            </w:r>
          </w:p>
        </w:tc>
        <w:tc>
          <w:tcPr>
            <w:tcW w:w="16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8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2,204,249.48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-2,204,249.48</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111"/>
              <w:jc w:val="left"/>
              <w:rPr>
                <w:rFonts w:ascii="宋体" w:hAnsi="宋体" w:cs="宋体" w:eastAsia="宋体" w:hint="default"/>
                <w:sz w:val="18"/>
                <w:szCs w:val="18"/>
              </w:rPr>
            </w:pP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．对所有者（或股东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的分配</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4"/>
              <w:ind w:left="23" w:right="29"/>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68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4"/>
                <w:sz w:val="18"/>
                <w:szCs w:val="18"/>
              </w:rPr>
              <w:t>．</w:t>
            </w:r>
            <w:r>
              <w:rPr>
                <w:rFonts w:ascii="宋体" w:hAnsi="宋体" w:cs="宋体" w:eastAsia="宋体" w:hint="default"/>
                <w:sz w:val="18"/>
                <w:szCs w:val="18"/>
              </w:rPr>
              <w:t>资本公积转增资本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8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8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84"/>
                <w:sz w:val="18"/>
                <w:szCs w:val="18"/>
              </w:rPr>
              <w:t>．</w:t>
            </w:r>
            <w:r>
              <w:rPr>
                <w:rFonts w:ascii="宋体" w:hAnsi="宋体" w:cs="宋体" w:eastAsia="宋体" w:hint="default"/>
                <w:sz w:val="18"/>
                <w:szCs w:val="18"/>
              </w:rPr>
              <w:t>盈余公积弥补亏损</w:t>
            </w:r>
          </w:p>
        </w:tc>
        <w:tc>
          <w:tcPr>
            <w:tcW w:w="168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8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8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8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87"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8" w:right="0"/>
              <w:jc w:val="left"/>
              <w:rPr>
                <w:rFonts w:ascii="Times New Roman" w:hAnsi="Times New Roman" w:cs="Times New Roman" w:eastAsia="Times New Roman" w:hint="default"/>
                <w:sz w:val="18"/>
                <w:szCs w:val="18"/>
              </w:rPr>
            </w:pPr>
            <w:r>
              <w:rPr>
                <w:rFonts w:ascii="Times New Roman"/>
                <w:sz w:val="18"/>
              </w:rPr>
              <w:t>150,000,000.00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5" w:right="0"/>
              <w:jc w:val="left"/>
              <w:rPr>
                <w:rFonts w:ascii="Times New Roman" w:hAnsi="Times New Roman" w:cs="Times New Roman" w:eastAsia="Times New Roman" w:hint="default"/>
                <w:sz w:val="18"/>
                <w:szCs w:val="18"/>
              </w:rPr>
            </w:pPr>
            <w:r>
              <w:rPr>
                <w:rFonts w:ascii="Times New Roman"/>
                <w:sz w:val="18"/>
              </w:rPr>
              <w:t>147,940,922.48</w:t>
            </w:r>
          </w:p>
        </w:tc>
        <w:tc>
          <w:tcPr>
            <w:tcW w:w="74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30,936,160.02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171,835,032.54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500,712,115.04</w:t>
            </w:r>
          </w:p>
        </w:tc>
      </w:tr>
    </w:tbl>
    <w:p>
      <w:pPr>
        <w:spacing w:line="300" w:lineRule="exact" w:before="0"/>
        <w:ind w:left="140" w:right="0" w:firstLine="0"/>
        <w:jc w:val="left"/>
        <w:rPr>
          <w:rFonts w:ascii="Microsoft JhengHei" w:hAnsi="Microsoft JhengHei" w:cs="Microsoft JhengHei" w:eastAsia="Microsoft JhengHei" w:hint="default"/>
          <w:sz w:val="18"/>
          <w:szCs w:val="18"/>
        </w:rPr>
      </w:pPr>
      <w:r>
        <w:rPr/>
        <w:pict>
          <v:group style="position:absolute;margin-left:155.059998pt;margin-top:118.340004pt;width:83.8pt;height:28.05pt;mso-position-horizontal-relative:page;mso-position-vertical-relative:page;z-index:-754312" coordorigin="3101,2367" coordsize="1676,561">
            <v:group style="position:absolute;left:3101;top:2367;width:1676;height:156" coordorigin="3101,2367" coordsize="1676,156">
              <v:shape style="position:absolute;left:3101;top:2367;width:1676;height:156" coordorigin="3101,2367" coordsize="1676,156" path="m3101,2523l4776,2523,4776,2367,3101,2367,3101,2523xe" filled="true" fillcolor="#ffffff" stroked="false">
                <v:path arrowok="t"/>
                <v:fill type="solid"/>
              </v:shape>
            </v:group>
            <v:group style="position:absolute;left:3112;top:2523;width:2;height:394" coordorigin="3112,2523" coordsize="2,394">
              <v:shape style="position:absolute;left:3112;top:2523;width:2;height:394" coordorigin="3112,2523" coordsize="0,394" path="m3112,2523l3112,2916e" filled="false" stroked="true" strokeweight="1.08pt" strokecolor="#ffffff">
                <v:path arrowok="t"/>
              </v:shape>
            </v:group>
            <v:group style="position:absolute;left:3123;top:2523;width:1632;height:394" coordorigin="3123,2523" coordsize="1632,394">
              <v:shape style="position:absolute;left:3123;top:2523;width:1632;height:394" coordorigin="3123,2523" coordsize="1632,394" path="m3123,2916l4755,2916,4755,2523,3123,2523,3123,2916xe" filled="true" fillcolor="#ffffff" stroked="false">
                <v:path arrowok="t"/>
                <v:fill type="solid"/>
              </v:shape>
            </v:group>
            <w10:wrap type="none"/>
          </v:group>
        </w:pict>
      </w:r>
      <w:r>
        <w:rPr>
          <w:rFonts w:ascii="Microsoft JhengHei" w:hAnsi="Microsoft JhengHei" w:cs="Microsoft JhengHei" w:eastAsia="Microsoft JhengHei" w:hint="default"/>
          <w:b/>
          <w:bCs/>
          <w:sz w:val="18"/>
          <w:szCs w:val="18"/>
        </w:rPr>
        <w:t>上期金额</w:t>
      </w:r>
      <w:r>
        <w:rPr>
          <w:rFonts w:ascii="Microsoft JhengHei" w:hAnsi="Microsoft JhengHei" w:cs="Microsoft JhengHei" w:eastAsia="Microsoft JhengHei" w:hint="default"/>
          <w:sz w:val="18"/>
          <w:szCs w:val="18"/>
        </w:rPr>
      </w:r>
    </w:p>
    <w:p>
      <w:pPr>
        <w:spacing w:before="97"/>
        <w:ind w:left="0" w:right="25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661"/>
        <w:gridCol w:w="1572"/>
        <w:gridCol w:w="554"/>
        <w:gridCol w:w="922"/>
        <w:gridCol w:w="552"/>
        <w:gridCol w:w="1572"/>
        <w:gridCol w:w="922"/>
        <w:gridCol w:w="737"/>
        <w:gridCol w:w="737"/>
        <w:gridCol w:w="1476"/>
        <w:gridCol w:w="1657"/>
        <w:gridCol w:w="1655"/>
      </w:tblGrid>
      <w:tr>
        <w:trPr>
          <w:trHeight w:val="403" w:hRule="exact"/>
        </w:trPr>
        <w:tc>
          <w:tcPr>
            <w:tcW w:w="16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5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661" w:type="dxa"/>
            <w:vMerge/>
            <w:tcBorders>
              <w:left w:val="single" w:sz="4" w:space="0" w:color="000000"/>
              <w:right w:val="single" w:sz="4" w:space="0" w:color="000000"/>
            </w:tcBorders>
            <w:shd w:val="clear" w:color="auto" w:fill="D2D2D2"/>
          </w:tcPr>
          <w:p>
            <w:pP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0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减：库存股</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93" w:right="9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73" w:right="9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3" w:hRule="exact"/>
        </w:trPr>
        <w:tc>
          <w:tcPr>
            <w:tcW w:w="1661" w:type="dxa"/>
            <w:vMerge/>
            <w:tcBorders>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2"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1476" w:type="dxa"/>
            <w:vMerge/>
            <w:tcBorders>
              <w:left w:val="single" w:sz="4" w:space="0" w:color="000000"/>
              <w:bottom w:val="single" w:sz="4" w:space="0" w:color="000000"/>
              <w:right w:val="single" w:sz="4" w:space="0" w:color="000000"/>
            </w:tcBorders>
            <w:shd w:val="clear" w:color="auto" w:fill="D2D2D2"/>
          </w:tcPr>
          <w:p>
            <w:pPr/>
          </w:p>
        </w:tc>
        <w:tc>
          <w:tcPr>
            <w:tcW w:w="1657" w:type="dxa"/>
            <w:vMerge/>
            <w:tcBorders>
              <w:left w:val="single" w:sz="4" w:space="0" w:color="000000"/>
              <w:bottom w:val="single" w:sz="4" w:space="0" w:color="000000"/>
              <w:right w:val="single" w:sz="4" w:space="0" w:color="000000"/>
            </w:tcBorders>
            <w:shd w:val="clear" w:color="auto" w:fill="D2D2D2"/>
          </w:tcPr>
          <w:p>
            <w:pPr/>
          </w:p>
        </w:tc>
        <w:tc>
          <w:tcPr>
            <w:tcW w:w="165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52" w:footer="980" w:top="1520" w:bottom="1160" w:left="1300" w:right="1280"/>
        </w:sectPr>
      </w:pPr>
    </w:p>
    <w:p>
      <w:pPr>
        <w:spacing w:line="240" w:lineRule="auto" w:before="5"/>
        <w:rPr>
          <w:rFonts w:ascii="Times New Roman" w:hAnsi="Times New Roman" w:cs="Times New Roman" w:eastAsia="Times New Roman" w:hint="default"/>
          <w:sz w:val="17"/>
          <w:szCs w:val="17"/>
        </w:rPr>
      </w:pPr>
      <w:r>
        <w:rPr/>
        <w:pict>
          <v:shape style="position:absolute;margin-left:70.919998pt;margin-top:76.94001pt;width:701.05pt;height:445.8pt;mso-position-horizontal-relative:page;mso-position-vertical-relative:page;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7"/>
                    <w:gridCol w:w="1584"/>
                    <w:gridCol w:w="554"/>
                    <w:gridCol w:w="922"/>
                    <w:gridCol w:w="552"/>
                    <w:gridCol w:w="1572"/>
                    <w:gridCol w:w="922"/>
                    <w:gridCol w:w="737"/>
                    <w:gridCol w:w="737"/>
                    <w:gridCol w:w="1476"/>
                    <w:gridCol w:w="1657"/>
                    <w:gridCol w:w="1656"/>
                  </w:tblGrid>
                  <w:tr>
                    <w:trPr>
                      <w:trHeight w:val="370" w:hRule="exact"/>
                    </w:trPr>
                    <w:tc>
                      <w:tcPr>
                        <w:tcW w:w="163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584"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55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55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57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92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47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657"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656" w:type="dxa"/>
                        <w:tcBorders>
                          <w:top w:val="single" w:sz="10"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2,516,394.13</w:t>
                        </w: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25,795,422.48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195,568,394.76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298,880,211.37</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3"/>
                            <w:sz w:val="18"/>
                            <w:szCs w:val="18"/>
                          </w:rPr>
                          <w:t>加：会计政策变</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584"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584"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4"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2,516,394.13</w:t>
                        </w: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25,795,422.48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195,568,394.76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298,880,211.37</w:t>
                        </w: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1" w:right="10"/>
                          <w:jc w:val="both"/>
                          <w:rPr>
                            <w:rFonts w:ascii="宋体" w:hAnsi="宋体" w:cs="宋体" w:eastAsia="宋体" w:hint="default"/>
                            <w:sz w:val="18"/>
                            <w:szCs w:val="18"/>
                          </w:rPr>
                        </w:pPr>
                        <w:r>
                          <w:rPr>
                            <w:rFonts w:ascii="宋体" w:hAnsi="宋体" w:cs="宋体" w:eastAsia="宋体" w:hint="default"/>
                            <w:spacing w:val="-2"/>
                            <w:sz w:val="18"/>
                            <w:szCs w:val="18"/>
                          </w:rPr>
                          <w:t>三、本期增减变动金</w:t>
                        </w:r>
                        <w:r>
                          <w:rPr>
                            <w:rFonts w:ascii="宋体" w:hAnsi="宋体" w:cs="宋体" w:eastAsia="宋体" w:hint="default"/>
                            <w:sz w:val="18"/>
                            <w:szCs w:val="18"/>
                          </w:rPr>
                          <w:t>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5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145,424,528.35</w:t>
                        </w: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2,936,488.06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26,428,392.50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199,789,408.91</w:t>
                        </w:r>
                      </w:p>
                    </w:tc>
                  </w:tr>
                  <w:tr>
                    <w:trPr>
                      <w:trHeight w:val="40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2"/>
                            <w:sz w:val="18"/>
                            <w:szCs w:val="18"/>
                          </w:rPr>
                          <w:t>（一）综合收益总额</w:t>
                        </w:r>
                      </w:p>
                    </w:tc>
                    <w:tc>
                      <w:tcPr>
                        <w:tcW w:w="1584"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29,364,880.56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29,364,880.56</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（二）所有者投入和</w:t>
                        </w:r>
                        <w:r>
                          <w:rPr>
                            <w:rFonts w:ascii="宋体" w:hAnsi="宋体" w:cs="宋体" w:eastAsia="宋体" w:hint="default"/>
                            <w:sz w:val="18"/>
                            <w:szCs w:val="18"/>
                          </w:rPr>
                          <w:t> 减少资本</w:t>
                        </w:r>
                      </w:p>
                    </w:tc>
                    <w:tc>
                      <w:tcPr>
                        <w:tcW w:w="15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145,424,528.35</w:t>
                        </w: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170,424,528.35</w:t>
                        </w:r>
                      </w:p>
                    </w:tc>
                  </w:tr>
                  <w:tr>
                    <w:trPr>
                      <w:trHeight w:val="71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 股</w:t>
                        </w:r>
                      </w:p>
                    </w:tc>
                    <w:tc>
                      <w:tcPr>
                        <w:tcW w:w="15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145,424,528.35</w:t>
                        </w: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170,424,528.35</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 有者投入资本</w:t>
                        </w:r>
                      </w:p>
                    </w:tc>
                    <w:tc>
                      <w:tcPr>
                        <w:tcW w:w="1584"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 有者权益的金额</w:t>
                        </w:r>
                      </w:p>
                    </w:tc>
                    <w:tc>
                      <w:tcPr>
                        <w:tcW w:w="1584"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84"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84"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2,936,488.06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-2,936,488.06</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84"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2,936,488.06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-2,936,488.06</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w:t>
                        </w:r>
                      </w:p>
                    </w:tc>
                    <w:tc>
                      <w:tcPr>
                        <w:tcW w:w="1584" w:type="dxa"/>
                        <w:tcBorders>
                          <w:top w:val="single" w:sz="4" w:space="0" w:color="000000"/>
                          <w:left w:val="single" w:sz="13" w:space="0" w:color="D2D2D2"/>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52" w:footer="980" w:top="1560" w:bottom="1160" w:left="1300" w:right="1280"/>
        </w:sectPr>
      </w:pPr>
    </w:p>
    <w:tbl>
      <w:tblPr>
        <w:tblW w:w="0" w:type="auto"/>
        <w:jc w:val="left"/>
        <w:tblInd w:w="106" w:type="dxa"/>
        <w:tblLayout w:type="fixed"/>
        <w:tblCellMar>
          <w:top w:w="0" w:type="dxa"/>
          <w:left w:w="0" w:type="dxa"/>
          <w:bottom w:w="0" w:type="dxa"/>
          <w:right w:w="0" w:type="dxa"/>
        </w:tblCellMar>
        <w:tblLook w:val="01E0"/>
      </w:tblPr>
      <w:tblGrid>
        <w:gridCol w:w="1661"/>
        <w:gridCol w:w="1572"/>
        <w:gridCol w:w="554"/>
        <w:gridCol w:w="922"/>
        <w:gridCol w:w="552"/>
        <w:gridCol w:w="1572"/>
        <w:gridCol w:w="922"/>
        <w:gridCol w:w="737"/>
        <w:gridCol w:w="737"/>
        <w:gridCol w:w="1476"/>
        <w:gridCol w:w="1657"/>
        <w:gridCol w:w="1656"/>
      </w:tblGrid>
      <w:tr>
        <w:trPr>
          <w:trHeight w:val="374" w:hRule="exact"/>
        </w:trPr>
        <w:tc>
          <w:tcPr>
            <w:tcW w:w="166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东）的分配</w:t>
            </w:r>
          </w:p>
        </w:tc>
        <w:tc>
          <w:tcPr>
            <w:tcW w:w="1572" w:type="dxa"/>
            <w:tcBorders>
              <w:top w:val="single" w:sz="10" w:space="0" w:color="000000"/>
              <w:left w:val="single" w:sz="4" w:space="0" w:color="000000"/>
              <w:bottom w:val="single" w:sz="4" w:space="0" w:color="000000"/>
              <w:right w:val="single" w:sz="4" w:space="0" w:color="000000"/>
            </w:tcBorders>
          </w:tcPr>
          <w:p>
            <w:pPr/>
          </w:p>
        </w:tc>
        <w:tc>
          <w:tcPr>
            <w:tcW w:w="554" w:type="dxa"/>
            <w:tcBorders>
              <w:top w:val="single" w:sz="10" w:space="0" w:color="000000"/>
              <w:left w:val="single" w:sz="4" w:space="0" w:color="000000"/>
              <w:bottom w:val="single" w:sz="4" w:space="0" w:color="000000"/>
              <w:right w:val="single" w:sz="4" w:space="0" w:color="000000"/>
            </w:tcBorders>
          </w:tcPr>
          <w:p>
            <w:pPr/>
          </w:p>
        </w:tc>
        <w:tc>
          <w:tcPr>
            <w:tcW w:w="922" w:type="dxa"/>
            <w:tcBorders>
              <w:top w:val="single" w:sz="10" w:space="0" w:color="000000"/>
              <w:left w:val="single" w:sz="4" w:space="0" w:color="000000"/>
              <w:bottom w:val="single" w:sz="4" w:space="0" w:color="000000"/>
              <w:right w:val="single" w:sz="4" w:space="0" w:color="000000"/>
            </w:tcBorders>
          </w:tcPr>
          <w:p>
            <w:pPr/>
          </w:p>
        </w:tc>
        <w:tc>
          <w:tcPr>
            <w:tcW w:w="552" w:type="dxa"/>
            <w:tcBorders>
              <w:top w:val="single" w:sz="10" w:space="0" w:color="000000"/>
              <w:left w:val="single" w:sz="4" w:space="0" w:color="000000"/>
              <w:bottom w:val="single" w:sz="4" w:space="0" w:color="000000"/>
              <w:right w:val="single" w:sz="4" w:space="0" w:color="000000"/>
            </w:tcBorders>
          </w:tcPr>
          <w:p>
            <w:pPr/>
          </w:p>
        </w:tc>
        <w:tc>
          <w:tcPr>
            <w:tcW w:w="1572" w:type="dxa"/>
            <w:tcBorders>
              <w:top w:val="single" w:sz="10" w:space="0" w:color="000000"/>
              <w:left w:val="single" w:sz="4" w:space="0" w:color="000000"/>
              <w:bottom w:val="single" w:sz="4" w:space="0" w:color="000000"/>
              <w:right w:val="single" w:sz="4" w:space="0" w:color="000000"/>
            </w:tcBorders>
          </w:tcPr>
          <w:p>
            <w:pPr/>
          </w:p>
        </w:tc>
        <w:tc>
          <w:tcPr>
            <w:tcW w:w="922" w:type="dxa"/>
            <w:tcBorders>
              <w:top w:val="single" w:sz="10" w:space="0" w:color="000000"/>
              <w:left w:val="single" w:sz="4" w:space="0" w:color="000000"/>
              <w:bottom w:val="single" w:sz="4" w:space="0" w:color="000000"/>
              <w:right w:val="single" w:sz="4" w:space="0" w:color="000000"/>
            </w:tcBorders>
          </w:tcPr>
          <w:p>
            <w:pPr/>
          </w:p>
        </w:tc>
        <w:tc>
          <w:tcPr>
            <w:tcW w:w="737" w:type="dxa"/>
            <w:tcBorders>
              <w:top w:val="single" w:sz="10" w:space="0" w:color="000000"/>
              <w:left w:val="single" w:sz="4" w:space="0" w:color="000000"/>
              <w:bottom w:val="single" w:sz="4" w:space="0" w:color="000000"/>
              <w:right w:val="single" w:sz="4" w:space="0" w:color="000000"/>
            </w:tcBorders>
          </w:tcPr>
          <w:p>
            <w:pPr/>
          </w:p>
        </w:tc>
        <w:tc>
          <w:tcPr>
            <w:tcW w:w="737" w:type="dxa"/>
            <w:tcBorders>
              <w:top w:val="single" w:sz="10" w:space="0" w:color="000000"/>
              <w:left w:val="single" w:sz="4" w:space="0" w:color="000000"/>
              <w:bottom w:val="single" w:sz="4" w:space="0" w:color="000000"/>
              <w:right w:val="single" w:sz="4" w:space="0" w:color="000000"/>
            </w:tcBorders>
          </w:tcPr>
          <w:p>
            <w:pPr/>
          </w:p>
        </w:tc>
        <w:tc>
          <w:tcPr>
            <w:tcW w:w="1476" w:type="dxa"/>
            <w:tcBorders>
              <w:top w:val="single" w:sz="10" w:space="0" w:color="000000"/>
              <w:left w:val="single" w:sz="4" w:space="0" w:color="000000"/>
              <w:bottom w:val="single" w:sz="4" w:space="0" w:color="000000"/>
              <w:right w:val="single" w:sz="4" w:space="0" w:color="000000"/>
            </w:tcBorders>
          </w:tcPr>
          <w:p>
            <w:pPr/>
          </w:p>
        </w:tc>
        <w:tc>
          <w:tcPr>
            <w:tcW w:w="1657" w:type="dxa"/>
            <w:tcBorders>
              <w:top w:val="single" w:sz="10" w:space="0" w:color="000000"/>
              <w:left w:val="single" w:sz="4" w:space="0" w:color="000000"/>
              <w:bottom w:val="single" w:sz="4" w:space="0" w:color="000000"/>
              <w:right w:val="single" w:sz="4" w:space="0" w:color="000000"/>
            </w:tcBorders>
          </w:tcPr>
          <w:p>
            <w:pPr/>
          </w:p>
        </w:tc>
        <w:tc>
          <w:tcPr>
            <w:tcW w:w="1656"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6"/>
              <w:ind w:left="23" w:right="22"/>
              <w:jc w:val="left"/>
              <w:rPr>
                <w:rFonts w:ascii="宋体" w:hAnsi="宋体" w:cs="宋体" w:eastAsia="宋体" w:hint="default"/>
                <w:sz w:val="18"/>
                <w:szCs w:val="18"/>
              </w:rPr>
            </w:pPr>
            <w:r>
              <w:rPr>
                <w:rFonts w:ascii="宋体" w:hAnsi="宋体" w:cs="宋体" w:eastAsia="宋体" w:hint="default"/>
                <w:spacing w:val="-2"/>
                <w:sz w:val="18"/>
                <w:szCs w:val="18"/>
              </w:rPr>
              <w:t>（四）所有者权益内</w:t>
            </w:r>
            <w:r>
              <w:rPr>
                <w:rFonts w:ascii="宋体" w:hAnsi="宋体" w:cs="宋体" w:eastAsia="宋体" w:hint="default"/>
                <w:sz w:val="18"/>
                <w:szCs w:val="18"/>
              </w:rPr>
              <w:t> 部结转</w:t>
            </w:r>
          </w:p>
        </w:tc>
        <w:tc>
          <w:tcPr>
            <w:tcW w:w="157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 本（或股本）</w:t>
            </w:r>
          </w:p>
        </w:tc>
        <w:tc>
          <w:tcPr>
            <w:tcW w:w="157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7"/>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 本（或股本）</w:t>
            </w:r>
          </w:p>
        </w:tc>
        <w:tc>
          <w:tcPr>
            <w:tcW w:w="157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 损</w:t>
            </w:r>
          </w:p>
        </w:tc>
        <w:tc>
          <w:tcPr>
            <w:tcW w:w="157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7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57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57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7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15" w:right="0"/>
              <w:jc w:val="left"/>
              <w:rPr>
                <w:rFonts w:ascii="Times New Roman" w:hAnsi="Times New Roman" w:cs="Times New Roman" w:eastAsia="Times New Roman" w:hint="default"/>
                <w:sz w:val="18"/>
                <w:szCs w:val="18"/>
              </w:rPr>
            </w:pPr>
            <w:r>
              <w:rPr>
                <w:rFonts w:ascii="Times New Roman"/>
                <w:sz w:val="18"/>
              </w:rPr>
              <w:t>100,000,000.00</w:t>
            </w:r>
          </w:p>
        </w:tc>
        <w:tc>
          <w:tcPr>
            <w:tcW w:w="5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15" w:right="0"/>
              <w:jc w:val="left"/>
              <w:rPr>
                <w:rFonts w:ascii="Times New Roman" w:hAnsi="Times New Roman" w:cs="Times New Roman" w:eastAsia="Times New Roman" w:hint="default"/>
                <w:sz w:val="18"/>
                <w:szCs w:val="18"/>
              </w:rPr>
            </w:pPr>
            <w:r>
              <w:rPr>
                <w:rFonts w:ascii="Times New Roman"/>
                <w:sz w:val="18"/>
              </w:rPr>
              <w:t>147,940,922.48</w:t>
            </w:r>
          </w:p>
        </w:tc>
        <w:tc>
          <w:tcPr>
            <w:tcW w:w="92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07" w:right="0"/>
              <w:jc w:val="left"/>
              <w:rPr>
                <w:rFonts w:ascii="Times New Roman" w:hAnsi="Times New Roman" w:cs="Times New Roman" w:eastAsia="Times New Roman" w:hint="default"/>
                <w:sz w:val="18"/>
                <w:szCs w:val="18"/>
              </w:rPr>
            </w:pPr>
            <w:r>
              <w:rPr>
                <w:rFonts w:ascii="Times New Roman"/>
                <w:sz w:val="18"/>
              </w:rPr>
              <w:t>28,731,910.54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7" w:right="0"/>
              <w:jc w:val="left"/>
              <w:rPr>
                <w:rFonts w:ascii="Times New Roman" w:hAnsi="Times New Roman" w:cs="Times New Roman" w:eastAsia="Times New Roman" w:hint="default"/>
                <w:sz w:val="18"/>
                <w:szCs w:val="18"/>
              </w:rPr>
            </w:pPr>
            <w:r>
              <w:rPr>
                <w:rFonts w:ascii="Times New Roman"/>
                <w:sz w:val="18"/>
              </w:rPr>
              <w:t>221,996,787.26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96" w:right="0"/>
              <w:jc w:val="left"/>
              <w:rPr>
                <w:rFonts w:ascii="Times New Roman" w:hAnsi="Times New Roman" w:cs="Times New Roman" w:eastAsia="Times New Roman" w:hint="default"/>
                <w:sz w:val="18"/>
                <w:szCs w:val="18"/>
              </w:rPr>
            </w:pPr>
            <w:r>
              <w:rPr>
                <w:rFonts w:ascii="Times New Roman"/>
                <w:sz w:val="18"/>
              </w:rPr>
              <w:t>498,669,620.28</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52" w:footer="980" w:top="1520" w:bottom="1160" w:left="1300" w:right="1280"/>
        </w:sectPr>
      </w:pPr>
    </w:p>
    <w:p>
      <w:pPr>
        <w:pStyle w:val="Heading2"/>
        <w:spacing w:line="355" w:lineRule="exact"/>
        <w:ind w:right="0"/>
        <w:jc w:val="both"/>
        <w:rPr>
          <w:b w:val="0"/>
          <w:bCs w:val="0"/>
        </w:rPr>
      </w:pPr>
      <w:r>
        <w:rPr/>
        <w:pict>
          <v:group style="position:absolute;margin-left:55.200001pt;margin-top:2.202064pt;width:484.9pt;height:.1pt;mso-position-horizontal-relative:page;mso-position-vertical-relative:paragraph;z-index:-754264" coordorigin="1104,44" coordsize="9698,2">
            <v:shape style="position:absolute;left:1104;top:44;width:9698;height:2" coordorigin="1104,44" coordsize="9698,0" path="m1104,44l10802,44e" filled="false" stroked="true" strokeweight=".72pt" strokecolor="#000000">
              <v:path arrowok="t"/>
            </v:shape>
            <w10:wrap type="none"/>
          </v:group>
        </w:pict>
      </w:r>
      <w:r>
        <w:rPr/>
        <w:t>三、公司基本情况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line="300" w:lineRule="auto" w:before="0"/>
        <w:ind w:left="566" w:right="0" w:firstLine="9"/>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（一）公司的历史沿革和基本组织机构</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宋体" w:hAnsi="宋体" w:cs="宋体" w:eastAsia="宋体" w:hint="default"/>
          <w:sz w:val="21"/>
          <w:szCs w:val="21"/>
        </w:rPr>
        <w:t>西安环球印务股份有限公司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或</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前身为西安永发医药包装有限公司，是依照</w:t>
      </w:r>
    </w:p>
    <w:p>
      <w:pPr>
        <w:pStyle w:val="BodyText"/>
        <w:spacing w:line="386" w:lineRule="auto" w:before="119"/>
        <w:ind w:right="151"/>
        <w:jc w:val="both"/>
      </w:pPr>
      <w:r>
        <w:rPr/>
        <w:t>《中华人民共和国公司法》，经西安高新技术产业开发区管理委员会市管外字（</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023</w:t>
      </w:r>
      <w:r>
        <w:rPr/>
        <w:t>号文件批准，</w:t>
      </w:r>
      <w:r>
        <w:rPr>
          <w:spacing w:val="-28"/>
        </w:rPr>
        <w:t> </w:t>
      </w:r>
      <w:r>
        <w:rPr>
          <w:spacing w:val="-28"/>
        </w:rPr>
      </w:r>
      <w:r>
        <w:rPr>
          <w:spacing w:val="-1"/>
        </w:rPr>
        <w:t>由陕西医药控股集团有限责任公司（以下简称</w:t>
      </w:r>
      <w:r>
        <w:rPr>
          <w:rFonts w:ascii="Times New Roman" w:hAnsi="Times New Roman" w:cs="Times New Roman" w:eastAsia="Times New Roman" w:hint="default"/>
          <w:spacing w:val="-1"/>
        </w:rPr>
        <w:t>“</w:t>
      </w:r>
      <w:r>
        <w:rPr>
          <w:spacing w:val="-1"/>
        </w:rPr>
        <w:t>陕药集团</w:t>
      </w:r>
      <w:r>
        <w:rPr>
          <w:rFonts w:ascii="Times New Roman" w:hAnsi="Times New Roman" w:cs="Times New Roman" w:eastAsia="Times New Roman" w:hint="default"/>
          <w:spacing w:val="-1"/>
        </w:rPr>
        <w:t>”</w:t>
      </w:r>
      <w:r>
        <w:rPr>
          <w:spacing w:val="-1"/>
        </w:rPr>
        <w:t>）、永发印务有限公司（以下简称</w:t>
      </w:r>
      <w:r>
        <w:rPr>
          <w:rFonts w:ascii="Times New Roman" w:hAnsi="Times New Roman" w:cs="Times New Roman" w:eastAsia="Times New Roman" w:hint="default"/>
          <w:spacing w:val="-1"/>
        </w:rPr>
        <w:t>“</w:t>
      </w:r>
      <w:r>
        <w:rPr>
          <w:spacing w:val="-1"/>
        </w:rPr>
        <w:t>香港永发</w:t>
      </w:r>
      <w:r>
        <w:rPr>
          <w:rFonts w:ascii="Times New Roman" w:hAnsi="Times New Roman" w:cs="Times New Roman" w:eastAsia="Times New Roman" w:hint="default"/>
          <w:spacing w:val="-1"/>
        </w:rPr>
        <w:t>”</w:t>
      </w:r>
      <w:r>
        <w:rPr>
          <w:spacing w:val="-1"/>
        </w:rPr>
        <w:t>）</w:t>
      </w:r>
      <w:r>
        <w:rPr>
          <w:spacing w:val="-41"/>
        </w:rPr>
        <w:t> </w:t>
      </w:r>
      <w:r>
        <w:rPr/>
        <w:t>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日共同投资组建的外商投资有限责任公司，并取得西安市工商行政管理局核发的【企合陕</w:t>
      </w:r>
      <w:r>
        <w:rPr>
          <w:spacing w:val="-30"/>
        </w:rPr>
        <w:t> </w:t>
      </w:r>
      <w:r>
        <w:rPr>
          <w:spacing w:val="-30"/>
        </w:rPr>
      </w:r>
      <w:r>
        <w:rPr/>
        <w:t>西安总字第</w:t>
      </w:r>
      <w:r>
        <w:rPr>
          <w:rFonts w:ascii="Times New Roman" w:hAnsi="Times New Roman" w:cs="Times New Roman" w:eastAsia="Times New Roman" w:hint="default"/>
        </w:rPr>
        <w:t>001773</w:t>
      </w:r>
      <w:r>
        <w:rPr/>
        <w:t>号】企业法人营业执照。组建时公司注册资本</w:t>
      </w:r>
      <w:r>
        <w:rPr>
          <w:rFonts w:ascii="Times New Roman" w:hAnsi="Times New Roman" w:cs="Times New Roman" w:eastAsia="Times New Roman" w:hint="default"/>
        </w:rPr>
        <w:t>2,000.00</w:t>
      </w:r>
      <w:r>
        <w:rPr/>
        <w:t>万元人民币，其中陕药集团出资</w:t>
      </w:r>
      <w:r>
        <w:rPr>
          <w:spacing w:val="-27"/>
        </w:rPr>
        <w:t> </w:t>
      </w:r>
      <w:r>
        <w:rPr>
          <w:spacing w:val="-27"/>
        </w:rPr>
      </w:r>
      <w:r>
        <w:rPr>
          <w:rFonts w:ascii="Times New Roman" w:hAnsi="Times New Roman" w:cs="Times New Roman" w:eastAsia="Times New Roman" w:hint="default"/>
        </w:rPr>
        <w:t>1,200.00</w:t>
      </w:r>
      <w:r>
        <w:rPr/>
        <w:t>万元，占注册资本的</w:t>
      </w:r>
      <w:r>
        <w:rPr>
          <w:rFonts w:ascii="Times New Roman" w:hAnsi="Times New Roman" w:cs="Times New Roman" w:eastAsia="Times New Roman" w:hint="default"/>
        </w:rPr>
        <w:t>60.00%</w:t>
      </w:r>
      <w:r>
        <w:rPr/>
        <w:t>；香港永发出资</w:t>
      </w:r>
      <w:r>
        <w:rPr>
          <w:rFonts w:ascii="Times New Roman" w:hAnsi="Times New Roman" w:cs="Times New Roman" w:eastAsia="Times New Roman" w:hint="default"/>
        </w:rPr>
        <w:t>800.00</w:t>
      </w:r>
      <w:r>
        <w:rPr/>
        <w:t>万元，占注册资本的</w:t>
      </w:r>
      <w:r>
        <w:rPr>
          <w:rFonts w:ascii="Times New Roman" w:hAnsi="Times New Roman" w:cs="Times New Roman" w:eastAsia="Times New Roman" w:hint="default"/>
        </w:rPr>
        <w:t>40.00%</w:t>
      </w:r>
      <w:r>
        <w:rPr/>
        <w:t>。</w:t>
      </w:r>
    </w:p>
    <w:p>
      <w:pPr>
        <w:pStyle w:val="BodyText"/>
        <w:spacing w:line="386" w:lineRule="auto" w:before="36"/>
        <w:ind w:right="149" w:firstLine="413"/>
        <w:jc w:val="both"/>
      </w:pP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7</w:t>
      </w:r>
      <w:r>
        <w:rPr>
          <w:spacing w:val="-3"/>
        </w:rPr>
        <w:t>日，经西安高新技术产业开发区管理委员会西高新外发</w:t>
      </w:r>
      <w:r>
        <w:rPr>
          <w:rFonts w:ascii="Times New Roman" w:hAnsi="Times New Roman" w:cs="Times New Roman" w:eastAsia="Times New Roman" w:hint="default"/>
          <w:spacing w:val="-3"/>
        </w:rPr>
        <w:t>[2003]033</w:t>
      </w:r>
      <w:r>
        <w:rPr>
          <w:spacing w:val="-3"/>
        </w:rPr>
        <w:t>号文批准，西安永发医药</w:t>
      </w:r>
      <w:r>
        <w:rPr>
          <w:w w:val="100"/>
        </w:rPr>
        <w:t> </w:t>
      </w:r>
      <w:r>
        <w:rPr>
          <w:spacing w:val="2"/>
        </w:rPr>
        <w:t>包装有限公司以增资方式引进新股东陕西众发投资发展有限公司（以下简称</w:t>
      </w:r>
      <w:r>
        <w:rPr>
          <w:rFonts w:ascii="Times New Roman" w:hAnsi="Times New Roman" w:cs="Times New Roman" w:eastAsia="Times New Roman" w:hint="default"/>
          <w:spacing w:val="2"/>
        </w:rPr>
        <w:t>“</w:t>
      </w:r>
      <w:r>
        <w:rPr>
          <w:spacing w:val="2"/>
        </w:rPr>
        <w:t>陕西众发</w:t>
      </w:r>
      <w:r>
        <w:rPr>
          <w:rFonts w:ascii="Times New Roman" w:hAnsi="Times New Roman" w:cs="Times New Roman" w:eastAsia="Times New Roman" w:hint="default"/>
          <w:spacing w:val="2"/>
        </w:rPr>
        <w:t>”</w:t>
      </w:r>
      <w:r>
        <w:rPr>
          <w:spacing w:val="2"/>
        </w:rPr>
        <w:t>），注册资本由</w:t>
      </w:r>
      <w:r>
        <w:rPr>
          <w:spacing w:val="-3"/>
        </w:rPr>
        <w:t> </w:t>
      </w:r>
      <w:r>
        <w:rPr>
          <w:spacing w:val="-3"/>
        </w:rPr>
      </w:r>
      <w:r>
        <w:rPr>
          <w:rFonts w:ascii="Times New Roman" w:hAnsi="Times New Roman" w:cs="Times New Roman" w:eastAsia="Times New Roman" w:hint="default"/>
          <w:spacing w:val="2"/>
        </w:rPr>
        <w:t>2,000.00</w:t>
      </w:r>
      <w:r>
        <w:rPr>
          <w:spacing w:val="2"/>
        </w:rPr>
        <w:t>万元增至</w:t>
      </w:r>
      <w:r>
        <w:rPr>
          <w:rFonts w:ascii="Times New Roman" w:hAnsi="Times New Roman" w:cs="Times New Roman" w:eastAsia="Times New Roman" w:hint="default"/>
          <w:spacing w:val="2"/>
        </w:rPr>
        <w:t>4,000.00</w:t>
      </w:r>
      <w:r>
        <w:rPr>
          <w:spacing w:val="2"/>
        </w:rPr>
        <w:t>万元，其中陕药集团出资</w:t>
      </w:r>
      <w:r>
        <w:rPr>
          <w:rFonts w:ascii="Times New Roman" w:hAnsi="Times New Roman" w:cs="Times New Roman" w:eastAsia="Times New Roman" w:hint="default"/>
          <w:spacing w:val="2"/>
        </w:rPr>
        <w:t>1,800.00</w:t>
      </w:r>
      <w:r>
        <w:rPr>
          <w:spacing w:val="2"/>
        </w:rPr>
        <w:t>万元，占注册资金的</w:t>
      </w:r>
      <w:r>
        <w:rPr>
          <w:rFonts w:ascii="Times New Roman" w:hAnsi="Times New Roman" w:cs="Times New Roman" w:eastAsia="Times New Roman" w:hint="default"/>
          <w:spacing w:val="2"/>
        </w:rPr>
        <w:t>45.00%</w:t>
      </w:r>
      <w:r>
        <w:rPr>
          <w:spacing w:val="2"/>
        </w:rPr>
        <w:t>；香港永发出资</w:t>
      </w:r>
    </w:p>
    <w:p>
      <w:pPr>
        <w:pStyle w:val="BodyText"/>
        <w:spacing w:line="386" w:lineRule="auto" w:before="35"/>
        <w:ind w:right="151"/>
        <w:jc w:val="both"/>
      </w:pPr>
      <w:r>
        <w:rPr>
          <w:rFonts w:ascii="Times New Roman" w:hAnsi="Times New Roman" w:cs="Times New Roman" w:eastAsia="Times New Roman" w:hint="default"/>
          <w:spacing w:val="-2"/>
        </w:rPr>
        <w:t>1,400.00</w:t>
      </w:r>
      <w:r>
        <w:rPr>
          <w:spacing w:val="-2"/>
        </w:rPr>
        <w:t>万元，占注册资金的</w:t>
      </w:r>
      <w:r>
        <w:rPr>
          <w:rFonts w:ascii="Times New Roman" w:hAnsi="Times New Roman" w:cs="Times New Roman" w:eastAsia="Times New Roman" w:hint="default"/>
          <w:spacing w:val="-2"/>
        </w:rPr>
        <w:t>35.00%</w:t>
      </w:r>
      <w:r>
        <w:rPr>
          <w:spacing w:val="-2"/>
        </w:rPr>
        <w:t>；陕西众发出资</w:t>
      </w:r>
      <w:r>
        <w:rPr>
          <w:rFonts w:ascii="Times New Roman" w:hAnsi="Times New Roman" w:cs="Times New Roman" w:eastAsia="Times New Roman" w:hint="default"/>
          <w:spacing w:val="-2"/>
        </w:rPr>
        <w:t>800.00</w:t>
      </w:r>
      <w:r>
        <w:rPr>
          <w:spacing w:val="-2"/>
        </w:rPr>
        <w:t>万元，占注册资金的</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日取</w:t>
      </w:r>
      <w:r>
        <w:rPr>
          <w:spacing w:val="2"/>
        </w:rPr>
        <w:t> </w:t>
      </w:r>
      <w:r>
        <w:rPr/>
        <w:t>得了变更后的《企业法人营业执照》。</w:t>
      </w:r>
    </w:p>
    <w:p>
      <w:pPr>
        <w:pStyle w:val="BodyText"/>
        <w:spacing w:line="386" w:lineRule="auto" w:before="65"/>
        <w:ind w:right="146" w:firstLine="48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月，经发起人协议、公司董事会决议通过，并经中华人民共和国商务部（商资批</w:t>
      </w:r>
      <w:r>
        <w:rPr>
          <w:rFonts w:ascii="Times New Roman" w:hAnsi="Times New Roman" w:cs="Times New Roman" w:eastAsia="Times New Roman" w:hint="default"/>
        </w:rPr>
        <w:t>[2007]1116</w:t>
      </w:r>
      <w:r>
        <w:rPr>
          <w:rFonts w:ascii="Times New Roman" w:hAnsi="Times New Roman" w:cs="Times New Roman" w:eastAsia="Times New Roman" w:hint="default"/>
          <w:w w:val="100"/>
        </w:rPr>
        <w:t> </w:t>
      </w:r>
      <w:r>
        <w:rPr>
          <w:spacing w:val="-3"/>
        </w:rPr>
        <w:t>号）、陕西省人民政府国有资产监督管理委员会（陕国资产权发</w:t>
      </w:r>
      <w:r>
        <w:rPr>
          <w:rFonts w:ascii="Times New Roman" w:hAnsi="Times New Roman" w:cs="Times New Roman" w:eastAsia="Times New Roman" w:hint="default"/>
          <w:spacing w:val="-3"/>
        </w:rPr>
        <w:t>[2007]186</w:t>
      </w:r>
      <w:r>
        <w:rPr>
          <w:spacing w:val="-3"/>
        </w:rPr>
        <w:t>号）批准，西安永发医药包装有</w:t>
      </w:r>
      <w:r>
        <w:rPr>
          <w:spacing w:val="-22"/>
        </w:rPr>
        <w:t> </w:t>
      </w:r>
      <w:r>
        <w:rPr>
          <w:spacing w:val="-22"/>
        </w:rPr>
      </w:r>
      <w:r>
        <w:rPr>
          <w:spacing w:val="-2"/>
        </w:rPr>
        <w:t>限公司整体转制为外商投资股份有限公司，公司注册资本由</w:t>
      </w:r>
      <w:r>
        <w:rPr>
          <w:rFonts w:ascii="Times New Roman" w:hAnsi="Times New Roman" w:cs="Times New Roman" w:eastAsia="Times New Roman" w:hint="default"/>
          <w:spacing w:val="-2"/>
        </w:rPr>
        <w:t>4,000.00</w:t>
      </w:r>
      <w:r>
        <w:rPr>
          <w:spacing w:val="-2"/>
        </w:rPr>
        <w:t>万元增至</w:t>
      </w:r>
      <w:r>
        <w:rPr>
          <w:rFonts w:ascii="Times New Roman" w:hAnsi="Times New Roman" w:cs="Times New Roman" w:eastAsia="Times New Roman" w:hint="default"/>
          <w:spacing w:val="-2"/>
        </w:rPr>
        <w:t>7,500.00</w:t>
      </w:r>
      <w:r>
        <w:rPr>
          <w:spacing w:val="-2"/>
        </w:rPr>
        <w:t>万元，由西安永发医</w:t>
      </w:r>
      <w:r>
        <w:rPr>
          <w:spacing w:val="-30"/>
        </w:rPr>
        <w:t> </w:t>
      </w:r>
      <w:r>
        <w:rPr>
          <w:spacing w:val="-30"/>
        </w:rPr>
      </w:r>
      <w:r>
        <w:rPr>
          <w:spacing w:val="-1"/>
        </w:rPr>
        <w:t>药包装有限公司以经审计的</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31</w:t>
      </w:r>
      <w:r>
        <w:rPr>
          <w:spacing w:val="-1"/>
        </w:rPr>
        <w:t>日的账面净资产</w:t>
      </w:r>
      <w:r>
        <w:rPr>
          <w:rFonts w:ascii="Times New Roman" w:hAnsi="Times New Roman" w:cs="Times New Roman" w:eastAsia="Times New Roman" w:hint="default"/>
          <w:spacing w:val="-1"/>
        </w:rPr>
        <w:t>75,005,615.85</w:t>
      </w:r>
      <w:r>
        <w:rPr>
          <w:spacing w:val="-1"/>
        </w:rPr>
        <w:t>元按</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1</w:t>
      </w:r>
      <w:r>
        <w:rPr>
          <w:spacing w:val="-1"/>
        </w:rPr>
        <w:t>折合股本</w:t>
      </w:r>
      <w:r>
        <w:rPr>
          <w:rFonts w:ascii="Times New Roman" w:hAnsi="Times New Roman" w:cs="Times New Roman" w:eastAsia="Times New Roman" w:hint="default"/>
          <w:spacing w:val="-1"/>
        </w:rPr>
        <w:t>7,500.00</w:t>
      </w:r>
      <w:r>
        <w:rPr>
          <w:spacing w:val="-1"/>
        </w:rPr>
        <w:t>万股人民</w:t>
      </w:r>
      <w:r>
        <w:rPr>
          <w:spacing w:val="-17"/>
        </w:rPr>
        <w:t> </w:t>
      </w:r>
      <w:r>
        <w:rPr>
          <w:spacing w:val="-17"/>
        </w:rPr>
      </w:r>
      <w:r>
        <w:rPr>
          <w:spacing w:val="-1"/>
        </w:rPr>
        <w:t>币普通股，每股面值为人民币</w:t>
      </w:r>
      <w:r>
        <w:rPr>
          <w:rFonts w:ascii="Times New Roman" w:hAnsi="Times New Roman" w:cs="Times New Roman" w:eastAsia="Times New Roman" w:hint="default"/>
          <w:spacing w:val="-1"/>
        </w:rPr>
        <w:t>1.00</w:t>
      </w:r>
      <w:r>
        <w:rPr>
          <w:spacing w:val="-1"/>
        </w:rPr>
        <w:t>元，西安永发医药包装有限公司各投资方按其对该公司的持股比例持有</w:t>
      </w:r>
      <w:r>
        <w:rPr>
          <w:spacing w:val="-26"/>
        </w:rPr>
        <w:t> </w:t>
      </w:r>
      <w:r>
        <w:rPr>
          <w:spacing w:val="-26"/>
        </w:rPr>
      </w:r>
      <w:r>
        <w:rPr>
          <w:spacing w:val="-2"/>
        </w:rPr>
        <w:t>股份公司的股份，同时公司更名为西安环球印务股份有限公司，于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日取得了西安市工商行政管</w:t>
      </w:r>
      <w:r>
        <w:rPr>
          <w:spacing w:val="-41"/>
        </w:rPr>
        <w:t> </w:t>
      </w:r>
      <w:r>
        <w:rPr>
          <w:spacing w:val="-41"/>
        </w:rPr>
      </w:r>
      <w:r>
        <w:rPr/>
        <w:t>理局【企股陕西安总字</w:t>
      </w:r>
      <w:r>
        <w:rPr>
          <w:rFonts w:ascii="Times New Roman" w:hAnsi="Times New Roman" w:cs="Times New Roman" w:eastAsia="Times New Roman" w:hint="default"/>
        </w:rPr>
        <w:t>001773</w:t>
      </w:r>
      <w:r>
        <w:rPr/>
        <w:t>号】企业法人营业执照。</w:t>
      </w:r>
    </w:p>
    <w:p>
      <w:pPr>
        <w:pStyle w:val="BodyText"/>
        <w:spacing w:line="386" w:lineRule="auto" w:before="35"/>
        <w:ind w:right="146" w:firstLine="48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21</w:t>
      </w:r>
      <w:r>
        <w:rPr>
          <w:spacing w:val="-1"/>
        </w:rPr>
        <w:t>日，陕西省商务厅以</w:t>
      </w:r>
      <w:r>
        <w:rPr>
          <w:rFonts w:ascii="Times New Roman" w:hAnsi="Times New Roman" w:cs="Times New Roman" w:eastAsia="Times New Roman" w:hint="default"/>
          <w:spacing w:val="-1"/>
        </w:rPr>
        <w:t>“</w:t>
      </w:r>
      <w:r>
        <w:rPr>
          <w:spacing w:val="-1"/>
        </w:rPr>
        <w:t>陕商发</w:t>
      </w:r>
      <w:r>
        <w:rPr>
          <w:rFonts w:ascii="Times New Roman" w:hAnsi="Times New Roman" w:cs="Times New Roman" w:eastAsia="Times New Roman" w:hint="default"/>
          <w:spacing w:val="-1"/>
        </w:rPr>
        <w:t>[2009]455</w:t>
      </w:r>
      <w:r>
        <w:rPr>
          <w:spacing w:val="-1"/>
        </w:rPr>
        <w:t>号</w:t>
      </w:r>
      <w:r>
        <w:rPr>
          <w:rFonts w:ascii="Times New Roman" w:hAnsi="Times New Roman" w:cs="Times New Roman" w:eastAsia="Times New Roman" w:hint="default"/>
          <w:spacing w:val="-1"/>
        </w:rPr>
        <w:t>”</w:t>
      </w:r>
      <w:r>
        <w:rPr>
          <w:spacing w:val="-1"/>
        </w:rPr>
        <w:t>文《陕西省商务厅关于同意西安环球印务股份</w:t>
      </w:r>
      <w:r>
        <w:rPr>
          <w:w w:val="100"/>
        </w:rPr>
        <w:t> </w:t>
      </w:r>
      <w:r>
        <w:rPr/>
        <w:t>有限公司股权变更的批复》，香港永发将其持有的本公司</w:t>
      </w:r>
      <w:r>
        <w:rPr>
          <w:rFonts w:ascii="Times New Roman" w:hAnsi="Times New Roman" w:cs="Times New Roman" w:eastAsia="Times New Roman" w:hint="default"/>
        </w:rPr>
        <w:t>2,625.00</w:t>
      </w:r>
      <w:r>
        <w:rPr/>
        <w:t>万股股份转让予香港原石国际有限公司</w:t>
      </w:r>
    </w:p>
    <w:p>
      <w:pPr>
        <w:pStyle w:val="BodyText"/>
        <w:spacing w:line="386" w:lineRule="auto" w:before="35"/>
        <w:ind w:right="148"/>
        <w:jc w:val="both"/>
      </w:pPr>
      <w:r>
        <w:rPr>
          <w:spacing w:val="-4"/>
        </w:rPr>
        <w:t>（以下简称</w:t>
      </w:r>
      <w:r>
        <w:rPr>
          <w:rFonts w:ascii="Times New Roman" w:hAnsi="Times New Roman" w:cs="Times New Roman" w:eastAsia="Times New Roman" w:hint="default"/>
          <w:spacing w:val="-4"/>
        </w:rPr>
        <w:t>“</w:t>
      </w:r>
      <w:r>
        <w:rPr>
          <w:spacing w:val="-4"/>
        </w:rPr>
        <w:t>香港原石</w:t>
      </w:r>
      <w:r>
        <w:rPr>
          <w:rFonts w:ascii="Times New Roman" w:hAnsi="Times New Roman" w:cs="Times New Roman" w:eastAsia="Times New Roman" w:hint="default"/>
          <w:spacing w:val="-4"/>
        </w:rPr>
        <w:t>”</w:t>
      </w:r>
      <w:r>
        <w:rPr>
          <w:spacing w:val="-4"/>
        </w:rPr>
        <w:t>）；陕西众发将其持有的本公司</w:t>
      </w:r>
      <w:r>
        <w:rPr>
          <w:rFonts w:ascii="Times New Roman" w:hAnsi="Times New Roman" w:cs="Times New Roman" w:eastAsia="Times New Roman" w:hint="default"/>
          <w:spacing w:val="-4"/>
        </w:rPr>
        <w:t>1,500.00</w:t>
      </w:r>
      <w:r>
        <w:rPr>
          <w:spacing w:val="-4"/>
        </w:rPr>
        <w:t>万股股份转让给陕药集团。转让完成后，陕</w:t>
      </w:r>
      <w:r>
        <w:rPr>
          <w:spacing w:val="-12"/>
        </w:rPr>
        <w:t> </w:t>
      </w:r>
      <w:r>
        <w:rPr>
          <w:spacing w:val="-12"/>
        </w:rPr>
      </w:r>
      <w:r>
        <w:rPr>
          <w:spacing w:val="-3"/>
        </w:rPr>
        <w:t>药集团出资</w:t>
      </w:r>
      <w:r>
        <w:rPr>
          <w:rFonts w:ascii="Times New Roman" w:hAnsi="Times New Roman" w:cs="Times New Roman" w:eastAsia="Times New Roman" w:hint="default"/>
          <w:spacing w:val="-3"/>
        </w:rPr>
        <w:t>4,875.00</w:t>
      </w:r>
      <w:r>
        <w:rPr>
          <w:spacing w:val="-3"/>
        </w:rPr>
        <w:t>万元，占注册资本的</w:t>
      </w:r>
      <w:r>
        <w:rPr>
          <w:rFonts w:ascii="Times New Roman" w:hAnsi="Times New Roman" w:cs="Times New Roman" w:eastAsia="Times New Roman" w:hint="default"/>
          <w:spacing w:val="-3"/>
        </w:rPr>
        <w:t>65.00%</w:t>
      </w:r>
      <w:r>
        <w:rPr>
          <w:spacing w:val="-3"/>
        </w:rPr>
        <w:t>；香港原石出资</w:t>
      </w:r>
      <w:r>
        <w:rPr>
          <w:rFonts w:ascii="Times New Roman" w:hAnsi="Times New Roman" w:cs="Times New Roman" w:eastAsia="Times New Roman" w:hint="default"/>
          <w:spacing w:val="-3"/>
        </w:rPr>
        <w:t>2,625.00</w:t>
      </w:r>
      <w:r>
        <w:rPr>
          <w:spacing w:val="-3"/>
        </w:rPr>
        <w:t>万元，占注册资本的</w:t>
      </w:r>
      <w:r>
        <w:rPr>
          <w:rFonts w:ascii="Times New Roman" w:hAnsi="Times New Roman" w:cs="Times New Roman" w:eastAsia="Times New Roman" w:hint="default"/>
          <w:spacing w:val="-3"/>
        </w:rPr>
        <w:t>35.00%</w:t>
      </w:r>
      <w:r>
        <w:rPr>
          <w:spacing w:val="-3"/>
        </w:rPr>
        <w:t>。上述</w:t>
      </w:r>
      <w:r>
        <w:rPr>
          <w:spacing w:val="7"/>
        </w:rPr>
        <w:t> </w:t>
      </w:r>
      <w:r>
        <w:rPr>
          <w:spacing w:val="7"/>
        </w:rPr>
      </w:r>
      <w:r>
        <w:rPr/>
        <w:t>股权变更于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日完成工商登记变更手续。</w:t>
      </w:r>
    </w:p>
    <w:p>
      <w:pPr>
        <w:pStyle w:val="BodyText"/>
        <w:spacing w:line="386" w:lineRule="auto" w:before="35"/>
        <w:ind w:right="146" w:firstLine="480"/>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15</w:t>
      </w:r>
      <w:r>
        <w:rPr>
          <w:spacing w:val="-1"/>
        </w:rPr>
        <w:t>日，陕西省商务厅以</w:t>
      </w:r>
      <w:r>
        <w:rPr>
          <w:rFonts w:ascii="Times New Roman" w:hAnsi="Times New Roman" w:cs="Times New Roman" w:eastAsia="Times New Roman" w:hint="default"/>
          <w:spacing w:val="-1"/>
        </w:rPr>
        <w:t>“</w:t>
      </w:r>
      <w:r>
        <w:rPr>
          <w:spacing w:val="-1"/>
        </w:rPr>
        <w:t>陕商发</w:t>
      </w:r>
      <w:r>
        <w:rPr>
          <w:rFonts w:ascii="Times New Roman" w:hAnsi="Times New Roman" w:cs="Times New Roman" w:eastAsia="Times New Roman" w:hint="default"/>
          <w:spacing w:val="-1"/>
        </w:rPr>
        <w:t>[2010]157</w:t>
      </w:r>
      <w:r>
        <w:rPr>
          <w:spacing w:val="-1"/>
        </w:rPr>
        <w:t>号</w:t>
      </w:r>
      <w:r>
        <w:rPr>
          <w:rFonts w:ascii="Times New Roman" w:hAnsi="Times New Roman" w:cs="Times New Roman" w:eastAsia="Times New Roman" w:hint="default"/>
          <w:spacing w:val="-1"/>
        </w:rPr>
        <w:t>”</w:t>
      </w:r>
      <w:r>
        <w:rPr>
          <w:spacing w:val="-1"/>
        </w:rPr>
        <w:t>文《陕西省商务厅关于同意西安环球印务股份</w:t>
      </w:r>
      <w:r>
        <w:rPr>
          <w:w w:val="100"/>
        </w:rPr>
        <w:t> </w:t>
      </w:r>
      <w:r>
        <w:rPr/>
        <w:t>有限公司股东股权转让的批复》，香港原石将其持有的本公司</w:t>
      </w:r>
      <w:r>
        <w:rPr>
          <w:rFonts w:ascii="Times New Roman" w:hAnsi="Times New Roman" w:cs="Times New Roman" w:eastAsia="Times New Roman" w:hint="default"/>
        </w:rPr>
        <w:t>1,500.00</w:t>
      </w:r>
      <w:r>
        <w:rPr/>
        <w:t>万股股份分别转让给北京晶创合创</w:t>
      </w:r>
      <w:r>
        <w:rPr>
          <w:spacing w:val="-23"/>
        </w:rPr>
        <w:t> </w:t>
      </w:r>
      <w:r>
        <w:rPr>
          <w:spacing w:val="-23"/>
        </w:rPr>
      </w:r>
      <w:r>
        <w:rPr>
          <w:spacing w:val="-1"/>
        </w:rPr>
        <w:t>业投资有限公司（以下简称</w:t>
      </w:r>
      <w:r>
        <w:rPr>
          <w:rFonts w:ascii="Times New Roman" w:hAnsi="Times New Roman" w:cs="Times New Roman" w:eastAsia="Times New Roman" w:hint="default"/>
          <w:spacing w:val="-1"/>
        </w:rPr>
        <w:t>“</w:t>
      </w:r>
      <w:r>
        <w:rPr>
          <w:spacing w:val="-1"/>
        </w:rPr>
        <w:t>北京晶创合</w:t>
      </w:r>
      <w:r>
        <w:rPr>
          <w:rFonts w:ascii="Times New Roman" w:hAnsi="Times New Roman" w:cs="Times New Roman" w:eastAsia="Times New Roman" w:hint="default"/>
          <w:spacing w:val="-1"/>
        </w:rPr>
        <w:t>”</w:t>
      </w:r>
      <w:r>
        <w:rPr>
          <w:spacing w:val="-1"/>
        </w:rPr>
        <w:t>）、比特（香港）投资有限公司（以下简称</w:t>
      </w:r>
      <w:r>
        <w:rPr>
          <w:rFonts w:ascii="Times New Roman" w:hAnsi="Times New Roman" w:cs="Times New Roman" w:eastAsia="Times New Roman" w:hint="default"/>
          <w:spacing w:val="-1"/>
        </w:rPr>
        <w:t>“</w:t>
      </w:r>
      <w:r>
        <w:rPr>
          <w:spacing w:val="-1"/>
        </w:rPr>
        <w:t>香港比特</w:t>
      </w:r>
      <w:r>
        <w:rPr>
          <w:rFonts w:ascii="Times New Roman" w:hAnsi="Times New Roman" w:cs="Times New Roman" w:eastAsia="Times New Roman" w:hint="default"/>
          <w:spacing w:val="-1"/>
        </w:rPr>
        <w:t>”</w:t>
      </w:r>
      <w:r>
        <w:rPr>
          <w:spacing w:val="-1"/>
        </w:rPr>
        <w:t>）。转让</w:t>
      </w:r>
      <w:r>
        <w:rPr>
          <w:spacing w:val="-43"/>
        </w:rPr>
        <w:t> </w:t>
      </w:r>
      <w:r>
        <w:rPr>
          <w:spacing w:val="-43"/>
        </w:rPr>
      </w:r>
      <w:r>
        <w:rPr/>
        <w:t>完成后，陕药集团出资</w:t>
      </w:r>
      <w:r>
        <w:rPr>
          <w:rFonts w:ascii="Times New Roman" w:hAnsi="Times New Roman" w:cs="Times New Roman" w:eastAsia="Times New Roman" w:hint="default"/>
        </w:rPr>
        <w:t>4,875.00</w:t>
      </w:r>
      <w:r>
        <w:rPr/>
        <w:t>万元，占注册资本的</w:t>
      </w:r>
      <w:r>
        <w:rPr>
          <w:rFonts w:ascii="Times New Roman" w:hAnsi="Times New Roman" w:cs="Times New Roman" w:eastAsia="Times New Roman" w:hint="default"/>
        </w:rPr>
        <w:t>65.00%</w:t>
      </w:r>
      <w:r>
        <w:rPr/>
        <w:t>；香港原石出资</w:t>
      </w:r>
      <w:r>
        <w:rPr>
          <w:rFonts w:ascii="Times New Roman" w:hAnsi="Times New Roman" w:cs="Times New Roman" w:eastAsia="Times New Roman" w:hint="default"/>
        </w:rPr>
        <w:t>1,125.00</w:t>
      </w:r>
      <w:r>
        <w:rPr/>
        <w:t>万元，占注册资本的</w:t>
      </w:r>
    </w:p>
    <w:p>
      <w:pPr>
        <w:spacing w:after="0" w:line="386" w:lineRule="auto"/>
        <w:jc w:val="both"/>
        <w:sectPr>
          <w:headerReference w:type="default" r:id="rId20"/>
          <w:footerReference w:type="default" r:id="rId21"/>
          <w:pgSz w:w="11910" w:h="16840"/>
          <w:pgMar w:header="852" w:footer="980" w:top="1500" w:bottom="1160" w:left="980" w:right="980"/>
          <w:pgNumType w:start="97"/>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9"/>
        <w:ind w:right="0"/>
        <w:jc w:val="left"/>
      </w:pPr>
      <w:r>
        <w:rPr>
          <w:rFonts w:ascii="Times New Roman" w:hAnsi="Times New Roman" w:cs="Times New Roman" w:eastAsia="Times New Roman" w:hint="default"/>
          <w:spacing w:val="2"/>
        </w:rPr>
        <w:t>15.00%</w:t>
      </w:r>
      <w:r>
        <w:rPr>
          <w:spacing w:val="2"/>
        </w:rPr>
        <w:t>；北京晶创合出资</w:t>
      </w:r>
      <w:r>
        <w:rPr>
          <w:rFonts w:ascii="Times New Roman" w:hAnsi="Times New Roman" w:cs="Times New Roman" w:eastAsia="Times New Roman" w:hint="default"/>
          <w:spacing w:val="2"/>
        </w:rPr>
        <w:t>750.00</w:t>
      </w:r>
      <w:r>
        <w:rPr>
          <w:spacing w:val="2"/>
        </w:rPr>
        <w:t>万元，占注册资本的</w:t>
      </w:r>
      <w:r>
        <w:rPr>
          <w:rFonts w:ascii="Times New Roman" w:hAnsi="Times New Roman" w:cs="Times New Roman" w:eastAsia="Times New Roman" w:hint="default"/>
          <w:spacing w:val="2"/>
        </w:rPr>
        <w:t>10.00%</w:t>
      </w:r>
      <w:r>
        <w:rPr>
          <w:spacing w:val="2"/>
        </w:rPr>
        <w:t>；香港比特出资</w:t>
      </w:r>
      <w:r>
        <w:rPr>
          <w:rFonts w:ascii="Times New Roman" w:hAnsi="Times New Roman" w:cs="Times New Roman" w:eastAsia="Times New Roman" w:hint="default"/>
          <w:spacing w:val="2"/>
        </w:rPr>
        <w:t>750.00</w:t>
      </w:r>
      <w:r>
        <w:rPr>
          <w:spacing w:val="2"/>
        </w:rPr>
        <w:t>万元，占注册资本的</w:t>
      </w:r>
    </w:p>
    <w:p>
      <w:pPr>
        <w:pStyle w:val="BodyText"/>
        <w:spacing w:line="240" w:lineRule="auto" w:before="177"/>
        <w:ind w:right="0"/>
        <w:jc w:val="left"/>
      </w:pPr>
      <w:r>
        <w:rPr>
          <w:rFonts w:ascii="Times New Roman" w:hAnsi="Times New Roman" w:cs="Times New Roman" w:eastAsia="Times New Roman" w:hint="default"/>
        </w:rPr>
        <w:t>10.00%</w:t>
      </w:r>
      <w:r>
        <w:rPr/>
        <w:t>。上述股权变更于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日完成工商变更登记手续。</w:t>
      </w:r>
    </w:p>
    <w:p>
      <w:pPr>
        <w:pStyle w:val="BodyText"/>
        <w:spacing w:line="386" w:lineRule="auto" w:before="177"/>
        <w:ind w:right="102"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日，陕西省商务厅以</w:t>
      </w:r>
      <w:r>
        <w:rPr>
          <w:rFonts w:ascii="Times New Roman" w:hAnsi="Times New Roman" w:cs="Times New Roman" w:eastAsia="Times New Roman" w:hint="default"/>
        </w:rPr>
        <w:t>“</w:t>
      </w:r>
      <w:r>
        <w:rPr/>
        <w:t>陕商发</w:t>
      </w:r>
      <w:r>
        <w:rPr>
          <w:rFonts w:ascii="Times New Roman" w:hAnsi="Times New Roman" w:cs="Times New Roman" w:eastAsia="Times New Roman" w:hint="default"/>
        </w:rPr>
        <w:t>[2012]296</w:t>
      </w:r>
      <w:r>
        <w:rPr/>
        <w:t>号</w:t>
      </w:r>
      <w:r>
        <w:rPr>
          <w:rFonts w:ascii="Times New Roman" w:hAnsi="Times New Roman" w:cs="Times New Roman" w:eastAsia="Times New Roman" w:hint="default"/>
        </w:rPr>
        <w:t>”</w:t>
      </w:r>
      <w:r>
        <w:rPr/>
        <w:t>文《陕西省商务厅关于同意西安环球印务股份</w:t>
      </w:r>
      <w:r>
        <w:rPr>
          <w:w w:val="100"/>
        </w:rPr>
        <w:t> </w:t>
      </w:r>
      <w:r>
        <w:rPr/>
        <w:t>有限公司股东股权转让的批复》，北京晶创合将其持有的本公司</w:t>
      </w:r>
      <w:r>
        <w:rPr>
          <w:rFonts w:ascii="Times New Roman" w:hAnsi="Times New Roman" w:cs="Times New Roman" w:eastAsia="Times New Roman" w:hint="default"/>
        </w:rPr>
        <w:t>750.00</w:t>
      </w:r>
      <w:r>
        <w:rPr/>
        <w:t>万股股份转让给香港原石。转让完</w:t>
      </w:r>
      <w:r>
        <w:rPr>
          <w:spacing w:val="-77"/>
        </w:rPr>
        <w:t> </w:t>
      </w:r>
      <w:r>
        <w:rPr>
          <w:spacing w:val="-77"/>
        </w:rPr>
      </w:r>
      <w:r>
        <w:rPr>
          <w:spacing w:val="-7"/>
          <w:w w:val="100"/>
        </w:rPr>
        <w:t>成后，陕药集团出资</w:t>
      </w:r>
      <w:r>
        <w:rPr>
          <w:rFonts w:ascii="Times New Roman" w:hAnsi="Times New Roman" w:cs="Times New Roman" w:eastAsia="Times New Roman" w:hint="default"/>
          <w:spacing w:val="-7"/>
          <w:w w:val="100"/>
        </w:rPr>
        <w:t>4,875.00</w:t>
      </w:r>
      <w:r>
        <w:rPr>
          <w:spacing w:val="-7"/>
          <w:w w:val="100"/>
        </w:rPr>
        <w:t>万元，占注册资本的</w:t>
      </w:r>
      <w:r>
        <w:rPr>
          <w:rFonts w:ascii="Times New Roman" w:hAnsi="Times New Roman" w:cs="Times New Roman" w:eastAsia="Times New Roman" w:hint="default"/>
          <w:spacing w:val="-7"/>
          <w:w w:val="100"/>
        </w:rPr>
        <w:t>65.00%</w:t>
      </w:r>
      <w:r>
        <w:rPr>
          <w:spacing w:val="-7"/>
          <w:w w:val="100"/>
        </w:rPr>
        <w:t>；香港原石出资</w:t>
      </w:r>
      <w:r>
        <w:rPr>
          <w:rFonts w:ascii="Times New Roman" w:hAnsi="Times New Roman" w:cs="Times New Roman" w:eastAsia="Times New Roman" w:hint="default"/>
          <w:spacing w:val="-7"/>
          <w:w w:val="100"/>
        </w:rPr>
        <w:t>1,875.00</w:t>
      </w:r>
      <w:r>
        <w:rPr>
          <w:spacing w:val="-7"/>
          <w:w w:val="100"/>
        </w:rPr>
        <w:t>万元，占注册资本的</w:t>
      </w:r>
      <w:r>
        <w:rPr>
          <w:rFonts w:ascii="Times New Roman" w:hAnsi="Times New Roman" w:cs="Times New Roman" w:eastAsia="Times New Roman" w:hint="default"/>
          <w:spacing w:val="-7"/>
          <w:w w:val="100"/>
        </w:rPr>
        <w:t>25.00%</w:t>
      </w:r>
      <w:r>
        <w:rPr>
          <w:spacing w:val="-7"/>
          <w:w w:val="100"/>
        </w:rPr>
        <w:t>；</w:t>
      </w:r>
      <w:r>
        <w:rPr>
          <w:w w:val="100"/>
        </w:rPr>
        <w:t> </w:t>
      </w:r>
      <w:r>
        <w:rPr/>
        <w:t>香港比特出资</w:t>
      </w:r>
      <w:r>
        <w:rPr>
          <w:rFonts w:ascii="Times New Roman" w:hAnsi="Times New Roman" w:cs="Times New Roman" w:eastAsia="Times New Roman" w:hint="default"/>
        </w:rPr>
        <w:t>750.00</w:t>
      </w:r>
      <w:r>
        <w:rPr/>
        <w:t>万元，占注册资本的</w:t>
      </w:r>
      <w:r>
        <w:rPr>
          <w:rFonts w:ascii="Times New Roman" w:hAnsi="Times New Roman" w:cs="Times New Roman" w:eastAsia="Times New Roman" w:hint="default"/>
        </w:rPr>
        <w:t>10.00%</w:t>
      </w:r>
      <w:r>
        <w:rPr/>
        <w:t>。上述股权变更于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日完成工商登记手续。</w:t>
      </w:r>
    </w:p>
    <w:p>
      <w:pPr>
        <w:pStyle w:val="BodyText"/>
        <w:spacing w:line="386" w:lineRule="auto" w:before="35"/>
        <w:ind w:right="0"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日，根据本公司</w:t>
      </w:r>
      <w:r>
        <w:rPr>
          <w:rFonts w:ascii="Times New Roman" w:hAnsi="Times New Roman" w:cs="Times New Roman" w:eastAsia="Times New Roman" w:hint="default"/>
        </w:rPr>
        <w:t>2012</w:t>
      </w:r>
      <w:r>
        <w:rPr/>
        <w:t>年第一次临时股东大会决议、</w:t>
      </w:r>
      <w:r>
        <w:rPr>
          <w:rFonts w:ascii="Times New Roman" w:hAnsi="Times New Roman" w:cs="Times New Roman" w:eastAsia="Times New Roman" w:hint="default"/>
        </w:rPr>
        <w:t>2013</w:t>
      </w:r>
      <w:r>
        <w:rPr/>
        <w:t>年度股东大会决议、</w:t>
      </w:r>
      <w:r>
        <w:rPr>
          <w:rFonts w:ascii="Times New Roman" w:hAnsi="Times New Roman" w:cs="Times New Roman" w:eastAsia="Times New Roman" w:hint="default"/>
        </w:rPr>
        <w:t>2014</w:t>
      </w:r>
      <w:r>
        <w:rPr/>
        <w:t>年度股</w:t>
      </w:r>
      <w:r>
        <w:rPr>
          <w:w w:val="100"/>
        </w:rPr>
        <w:t> </w:t>
      </w:r>
      <w:r>
        <w:rPr/>
        <w:t>东大会决议及</w:t>
      </w:r>
      <w:r>
        <w:rPr>
          <w:rFonts w:ascii="Times New Roman" w:hAnsi="Times New Roman" w:cs="Times New Roman" w:eastAsia="Times New Roman" w:hint="default"/>
        </w:rPr>
        <w:t>2015</w:t>
      </w:r>
      <w:r>
        <w:rPr/>
        <w:t>年度股东大会决议，并经中国证券监督管理委员会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1012</w:t>
      </w:r>
      <w:r>
        <w:rPr/>
        <w:t>号</w:t>
      </w:r>
      <w:r>
        <w:rPr>
          <w:rFonts w:ascii="Times New Roman" w:hAnsi="Times New Roman" w:cs="Times New Roman" w:eastAsia="Times New Roman" w:hint="default"/>
        </w:rPr>
        <w:t>”</w:t>
      </w:r>
      <w:r>
        <w:rPr/>
        <w:t>文核准，</w:t>
      </w:r>
      <w:r>
        <w:rPr>
          <w:spacing w:val="-3"/>
          <w:w w:val="100"/>
        </w:rPr>
        <w:t> </w:t>
      </w:r>
      <w:r>
        <w:rPr>
          <w:spacing w:val="-4"/>
        </w:rPr>
        <w:t>向社会公开发行人民币普通股（</w:t>
      </w:r>
      <w:r>
        <w:rPr>
          <w:rFonts w:ascii="Times New Roman" w:hAnsi="Times New Roman" w:cs="Times New Roman" w:eastAsia="Times New Roman" w:hint="default"/>
          <w:spacing w:val="-4"/>
        </w:rPr>
        <w:t>A</w:t>
      </w:r>
      <w:r>
        <w:rPr>
          <w:spacing w:val="-4"/>
        </w:rPr>
        <w:t>股）</w:t>
      </w:r>
      <w:r>
        <w:rPr>
          <w:rFonts w:ascii="Times New Roman" w:hAnsi="Times New Roman" w:cs="Times New Roman" w:eastAsia="Times New Roman" w:hint="default"/>
          <w:spacing w:val="-4"/>
        </w:rPr>
        <w:t>2500.00</w:t>
      </w:r>
      <w:r>
        <w:rPr>
          <w:spacing w:val="-4"/>
        </w:rPr>
        <w:t>万股，每股发行价</w:t>
      </w:r>
      <w:r>
        <w:rPr>
          <w:rFonts w:ascii="Times New Roman" w:hAnsi="Times New Roman" w:cs="Times New Roman" w:eastAsia="Times New Roman" w:hint="default"/>
          <w:spacing w:val="-4"/>
        </w:rPr>
        <w:t>7.98</w:t>
      </w:r>
      <w:r>
        <w:rPr>
          <w:spacing w:val="-4"/>
        </w:rPr>
        <w:t>元，募集资金</w:t>
      </w:r>
      <w:r>
        <w:rPr>
          <w:rFonts w:ascii="Times New Roman" w:hAnsi="Times New Roman" w:cs="Times New Roman" w:eastAsia="Times New Roman" w:hint="default"/>
          <w:spacing w:val="-4"/>
        </w:rPr>
        <w:t>19,950.00</w:t>
      </w:r>
      <w:r>
        <w:rPr>
          <w:spacing w:val="-4"/>
        </w:rPr>
        <w:t>万元，并于</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日在深圳证券交易所上市交易，股票代码：</w:t>
      </w:r>
      <w:r>
        <w:rPr>
          <w:rFonts w:ascii="Times New Roman" w:hAnsi="Times New Roman" w:cs="Times New Roman" w:eastAsia="Times New Roman" w:hint="default"/>
          <w:spacing w:val="-2"/>
        </w:rPr>
        <w:t>002799</w:t>
      </w:r>
      <w:r>
        <w:rPr>
          <w:spacing w:val="-2"/>
        </w:rPr>
        <w:t>，股票简称：环球印务。公开发行后，本公司股</w:t>
      </w:r>
      <w:r>
        <w:rPr>
          <w:spacing w:val="-37"/>
        </w:rPr>
        <w:t> </w:t>
      </w:r>
      <w:r>
        <w:rPr>
          <w:spacing w:val="-37"/>
        </w:rPr>
      </w:r>
      <w:r>
        <w:rPr>
          <w:spacing w:val="2"/>
        </w:rPr>
        <w:t>本总额为</w:t>
      </w:r>
      <w:r>
        <w:rPr>
          <w:rFonts w:ascii="Times New Roman" w:hAnsi="Times New Roman" w:cs="Times New Roman" w:eastAsia="Times New Roman" w:hint="default"/>
          <w:spacing w:val="2"/>
        </w:rPr>
        <w:t>10,000.00</w:t>
      </w:r>
      <w:r>
        <w:rPr>
          <w:spacing w:val="2"/>
        </w:rPr>
        <w:t>万元，其中：陕药集团持股</w:t>
      </w:r>
      <w:r>
        <w:rPr>
          <w:rFonts w:ascii="Times New Roman" w:hAnsi="Times New Roman" w:cs="Times New Roman" w:eastAsia="Times New Roman" w:hint="default"/>
          <w:spacing w:val="2"/>
        </w:rPr>
        <w:t>4,625.00</w:t>
      </w:r>
      <w:r>
        <w:rPr>
          <w:spacing w:val="2"/>
        </w:rPr>
        <w:t>万元，持股比例</w:t>
      </w:r>
      <w:r>
        <w:rPr>
          <w:rFonts w:ascii="Times New Roman" w:hAnsi="Times New Roman" w:cs="Times New Roman" w:eastAsia="Times New Roman" w:hint="default"/>
          <w:spacing w:val="2"/>
        </w:rPr>
        <w:t>46.25%</w:t>
      </w:r>
      <w:r>
        <w:rPr>
          <w:spacing w:val="2"/>
        </w:rPr>
        <w:t>；非受限社会公众股持股</w:t>
      </w:r>
      <w:r>
        <w:rPr>
          <w:spacing w:val="28"/>
        </w:rPr>
        <w:t> </w:t>
      </w:r>
      <w:r>
        <w:rPr>
          <w:spacing w:val="28"/>
        </w:rPr>
      </w:r>
      <w:r>
        <w:rPr>
          <w:rFonts w:ascii="Times New Roman" w:hAnsi="Times New Roman" w:cs="Times New Roman" w:eastAsia="Times New Roman" w:hint="default"/>
          <w:spacing w:val="-3"/>
        </w:rPr>
        <w:t>2,500.00</w:t>
      </w:r>
      <w:r>
        <w:rPr>
          <w:spacing w:val="-3"/>
        </w:rPr>
        <w:t>万元，持股比例</w:t>
      </w:r>
      <w:r>
        <w:rPr>
          <w:rFonts w:ascii="Times New Roman" w:hAnsi="Times New Roman" w:cs="Times New Roman" w:eastAsia="Times New Roman" w:hint="default"/>
          <w:spacing w:val="-3"/>
        </w:rPr>
        <w:t>25.00%</w:t>
      </w:r>
      <w:r>
        <w:rPr>
          <w:spacing w:val="-3"/>
        </w:rPr>
        <w:t>；香港原石持股</w:t>
      </w:r>
      <w:r>
        <w:rPr>
          <w:rFonts w:ascii="Times New Roman" w:hAnsi="Times New Roman" w:cs="Times New Roman" w:eastAsia="Times New Roman" w:hint="default"/>
          <w:spacing w:val="-3"/>
        </w:rPr>
        <w:t>1,875.00</w:t>
      </w:r>
      <w:r>
        <w:rPr>
          <w:spacing w:val="-3"/>
        </w:rPr>
        <w:t>万元，持股比例</w:t>
      </w:r>
      <w:r>
        <w:rPr>
          <w:rFonts w:ascii="Times New Roman" w:hAnsi="Times New Roman" w:cs="Times New Roman" w:eastAsia="Times New Roman" w:hint="default"/>
          <w:spacing w:val="-3"/>
        </w:rPr>
        <w:t>18.75%</w:t>
      </w:r>
      <w:r>
        <w:rPr>
          <w:spacing w:val="-3"/>
        </w:rPr>
        <w:t>；香港比特持股</w:t>
      </w:r>
      <w:r>
        <w:rPr>
          <w:rFonts w:ascii="Times New Roman" w:hAnsi="Times New Roman" w:cs="Times New Roman" w:eastAsia="Times New Roman" w:hint="default"/>
          <w:spacing w:val="-3"/>
        </w:rPr>
        <w:t>750.00</w:t>
      </w:r>
      <w:r>
        <w:rPr>
          <w:spacing w:val="-3"/>
        </w:rPr>
        <w:t>万元，</w:t>
      </w:r>
      <w:r>
        <w:rPr>
          <w:spacing w:val="-36"/>
        </w:rPr>
        <w:t> </w:t>
      </w:r>
      <w:r>
        <w:rPr>
          <w:spacing w:val="-36"/>
        </w:rPr>
      </w:r>
      <w:r>
        <w:rPr/>
        <w:t>持股比例</w:t>
      </w:r>
      <w:r>
        <w:rPr>
          <w:rFonts w:ascii="Times New Roman" w:hAnsi="Times New Roman" w:cs="Times New Roman" w:eastAsia="Times New Roman" w:hint="default"/>
        </w:rPr>
        <w:t>7.50%</w:t>
      </w:r>
      <w:r>
        <w:rPr/>
        <w:t>；全国社会保障基金理事会转持二户持股</w:t>
      </w:r>
      <w:r>
        <w:rPr>
          <w:rFonts w:ascii="Times New Roman" w:hAnsi="Times New Roman" w:cs="Times New Roman" w:eastAsia="Times New Roman" w:hint="default"/>
        </w:rPr>
        <w:t>250.00</w:t>
      </w:r>
      <w:r>
        <w:rPr/>
        <w:t>万元，持股比例</w:t>
      </w:r>
      <w:r>
        <w:rPr>
          <w:rFonts w:ascii="Times New Roman" w:hAnsi="Times New Roman" w:cs="Times New Roman" w:eastAsia="Times New Roman" w:hint="default"/>
        </w:rPr>
        <w:t>2.50%</w:t>
      </w:r>
      <w:r>
        <w:rPr/>
        <w:t>。上述变更于</w:t>
      </w:r>
      <w:r>
        <w:rPr>
          <w:rFonts w:ascii="Times New Roman" w:hAnsi="Times New Roman" w:cs="Times New Roman" w:eastAsia="Times New Roman" w:hint="default"/>
        </w:rPr>
        <w:t>2016</w:t>
      </w:r>
      <w:r>
        <w:rPr/>
        <w:t>年</w:t>
      </w:r>
      <w:r>
        <w:rPr>
          <w:w w:val="100"/>
        </w:rPr>
        <w:t> </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日完成工商登记手续，并取得统一社会信用代码</w:t>
      </w:r>
      <w:r>
        <w:rPr>
          <w:rFonts w:ascii="Times New Roman" w:hAnsi="Times New Roman" w:cs="Times New Roman" w:eastAsia="Times New Roman" w:hint="default"/>
        </w:rPr>
        <w:t>9161013172630357XM</w:t>
      </w:r>
      <w:r>
        <w:rPr/>
        <w:t>的营业执照。</w:t>
      </w:r>
    </w:p>
    <w:p>
      <w:pPr>
        <w:pStyle w:val="BodyText"/>
        <w:spacing w:line="386" w:lineRule="auto" w:before="35"/>
        <w:ind w:right="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日经本公司三届十一次董事会决议通过的《</w:t>
      </w:r>
      <w:r>
        <w:rPr>
          <w:rFonts w:ascii="Times New Roman" w:hAnsi="Times New Roman" w:cs="Times New Roman" w:eastAsia="Times New Roman" w:hint="default"/>
        </w:rPr>
        <w:t>2016</w:t>
      </w:r>
      <w:r>
        <w:rPr/>
        <w:t>年度利润分配预案》：公司以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spacing w:val="-7"/>
          <w:w w:val="100"/>
        </w:rPr>
        <w:t>月</w:t>
      </w:r>
      <w:r>
        <w:rPr>
          <w:rFonts w:ascii="Times New Roman" w:hAnsi="Times New Roman" w:cs="Times New Roman" w:eastAsia="Times New Roman" w:hint="default"/>
          <w:spacing w:val="-7"/>
          <w:w w:val="100"/>
        </w:rPr>
        <w:t>31</w:t>
      </w:r>
      <w:r>
        <w:rPr>
          <w:spacing w:val="-7"/>
          <w:w w:val="100"/>
        </w:rPr>
        <w:t>日总股本</w:t>
      </w:r>
      <w:r>
        <w:rPr>
          <w:rFonts w:ascii="Times New Roman" w:hAnsi="Times New Roman" w:cs="Times New Roman" w:eastAsia="Times New Roman" w:hint="default"/>
          <w:spacing w:val="-7"/>
          <w:w w:val="100"/>
        </w:rPr>
        <w:t>10,000.00</w:t>
      </w:r>
      <w:r>
        <w:rPr>
          <w:spacing w:val="-7"/>
          <w:w w:val="100"/>
        </w:rPr>
        <w:t>万股为基数，以可供股东分配的利润向全体股东每</w:t>
      </w:r>
      <w:r>
        <w:rPr>
          <w:rFonts w:ascii="Times New Roman" w:hAnsi="Times New Roman" w:cs="Times New Roman" w:eastAsia="Times New Roman" w:hint="default"/>
          <w:spacing w:val="-7"/>
          <w:w w:val="100"/>
        </w:rPr>
        <w:t>10</w:t>
      </w:r>
      <w:r>
        <w:rPr>
          <w:spacing w:val="-7"/>
          <w:w w:val="100"/>
        </w:rPr>
        <w:t>股派发现金红利</w:t>
      </w:r>
      <w:r>
        <w:rPr>
          <w:rFonts w:ascii="Times New Roman" w:hAnsi="Times New Roman" w:cs="Times New Roman" w:eastAsia="Times New Roman" w:hint="default"/>
          <w:spacing w:val="-7"/>
          <w:w w:val="100"/>
        </w:rPr>
        <w:t>2.00</w:t>
      </w:r>
      <w:r>
        <w:rPr>
          <w:spacing w:val="-7"/>
          <w:w w:val="100"/>
        </w:rPr>
        <w:t>元（含税）；</w:t>
      </w:r>
      <w:r>
        <w:rPr>
          <w:spacing w:val="-63"/>
          <w:w w:val="100"/>
        </w:rPr>
        <w:t> </w:t>
      </w:r>
      <w:r>
        <w:rPr>
          <w:spacing w:val="-63"/>
          <w:w w:val="100"/>
        </w:rPr>
      </w:r>
      <w:r>
        <w:rPr>
          <w:spacing w:val="-2"/>
        </w:rPr>
        <w:t>同时以可供股东分配的利润向全体股东每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5</w:t>
      </w:r>
      <w:r>
        <w:rPr>
          <w:spacing w:val="-2"/>
        </w:rPr>
        <w:t>股红股，合计红股总额为</w:t>
      </w:r>
      <w:r>
        <w:rPr>
          <w:rFonts w:ascii="Times New Roman" w:hAnsi="Times New Roman" w:cs="Times New Roman" w:eastAsia="Times New Roman" w:hint="default"/>
          <w:spacing w:val="-2"/>
        </w:rPr>
        <w:t>5,000.00</w:t>
      </w:r>
      <w:r>
        <w:rPr>
          <w:spacing w:val="-2"/>
        </w:rPr>
        <w:t>万股，送股后总股本增</w:t>
      </w:r>
      <w:r>
        <w:rPr>
          <w:spacing w:val="-32"/>
        </w:rPr>
        <w:t> </w:t>
      </w:r>
      <w:r>
        <w:rPr>
          <w:spacing w:val="-32"/>
        </w:rPr>
      </w:r>
      <w:r>
        <w:rPr/>
        <w:t>加至</w:t>
      </w:r>
      <w:r>
        <w:rPr>
          <w:rFonts w:ascii="Times New Roman" w:hAnsi="Times New Roman" w:cs="Times New Roman" w:eastAsia="Times New Roman" w:hint="default"/>
        </w:rPr>
        <w:t>15,000.00</w:t>
      </w:r>
      <w:r>
        <w:rPr/>
        <w:t>万股。上述变更于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日完成工商登记手续。</w:t>
      </w:r>
    </w:p>
    <w:p>
      <w:pPr>
        <w:pStyle w:val="BodyText"/>
        <w:spacing w:line="386" w:lineRule="auto" w:before="35"/>
        <w:ind w:right="209" w:firstLine="420"/>
        <w:jc w:val="both"/>
      </w:pPr>
      <w:r>
        <w:rPr/>
        <w:t>本公司拥有全资子公司西安永旭创新服务有限公司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永旭创新</w:t>
      </w:r>
      <w:r>
        <w:rPr>
          <w:rFonts w:ascii="Times New Roman" w:hAnsi="Times New Roman" w:cs="Times New Roman" w:eastAsia="Times New Roman" w:hint="default"/>
        </w:rPr>
        <w:t>”)</w:t>
      </w:r>
      <w:r>
        <w:rPr/>
        <w:t>，控股子公司陕西永鑫纸业</w:t>
      </w:r>
      <w:r>
        <w:rPr>
          <w:w w:val="100"/>
        </w:rPr>
        <w:t> </w:t>
      </w:r>
      <w:r>
        <w:rPr>
          <w:spacing w:val="8"/>
        </w:rPr>
        <w:t>包装有限公司</w:t>
      </w:r>
      <w:r>
        <w:rPr>
          <w:rFonts w:ascii="Times New Roman" w:hAnsi="Times New Roman" w:cs="Times New Roman" w:eastAsia="Times New Roman" w:hint="default"/>
          <w:spacing w:val="8"/>
        </w:rPr>
        <w:t>(</w:t>
      </w:r>
      <w:r>
        <w:rPr>
          <w:spacing w:val="8"/>
        </w:rPr>
        <w:t>以下简称</w:t>
      </w:r>
      <w:r>
        <w:rPr>
          <w:rFonts w:ascii="Times New Roman" w:hAnsi="Times New Roman" w:cs="Times New Roman" w:eastAsia="Times New Roman" w:hint="default"/>
          <w:spacing w:val="8"/>
        </w:rPr>
        <w:t>“</w:t>
      </w:r>
      <w:r>
        <w:rPr>
          <w:spacing w:val="8"/>
        </w:rPr>
        <w:t>永鑫包装</w:t>
      </w:r>
      <w:r>
        <w:rPr>
          <w:rFonts w:ascii="Times New Roman" w:hAnsi="Times New Roman" w:cs="Times New Roman" w:eastAsia="Times New Roman" w:hint="default"/>
          <w:spacing w:val="8"/>
        </w:rPr>
        <w:t>”)</w:t>
      </w:r>
      <w:r>
        <w:rPr>
          <w:spacing w:val="8"/>
        </w:rPr>
        <w:t>，直接和间接拥有天津滨海环球印务有限公司</w:t>
      </w:r>
      <w:r>
        <w:rPr>
          <w:rFonts w:ascii="Times New Roman" w:hAnsi="Times New Roman" w:cs="Times New Roman" w:eastAsia="Times New Roman" w:hint="default"/>
          <w:spacing w:val="8"/>
        </w:rPr>
        <w:t>(</w:t>
      </w:r>
      <w:r>
        <w:rPr>
          <w:spacing w:val="8"/>
        </w:rPr>
        <w:t>以下简称</w:t>
      </w:r>
      <w:r>
        <w:rPr>
          <w:rFonts w:ascii="Times New Roman" w:hAnsi="Times New Roman" w:cs="Times New Roman" w:eastAsia="Times New Roman" w:hint="default"/>
          <w:spacing w:val="8"/>
        </w:rPr>
        <w:t>“</w:t>
      </w:r>
      <w:r>
        <w:rPr>
          <w:spacing w:val="8"/>
        </w:rPr>
        <w:t>天津环</w:t>
      </w:r>
      <w:r>
        <w:rPr>
          <w:spacing w:val="35"/>
        </w:rPr>
        <w:t> </w:t>
      </w:r>
      <w:r>
        <w:rPr>
          <w:spacing w:val="35"/>
        </w:rPr>
      </w:r>
      <w:r>
        <w:rPr/>
        <w:t>球</w:t>
      </w:r>
      <w:r>
        <w:rPr>
          <w:rFonts w:ascii="Times New Roman" w:hAnsi="Times New Roman" w:cs="Times New Roman" w:eastAsia="Times New Roman" w:hint="default"/>
        </w:rPr>
        <w:t>”)99.25%</w:t>
      </w:r>
      <w:r>
        <w:rPr/>
        <w:t>的股权</w:t>
      </w:r>
      <w:r>
        <w:rPr>
          <w:rFonts w:ascii="Times New Roman" w:hAnsi="Times New Roman" w:cs="Times New Roman" w:eastAsia="Times New Roman" w:hint="default"/>
        </w:rPr>
        <w:t>,</w:t>
      </w:r>
      <w:r>
        <w:rPr/>
        <w:t>拥有西安德宝药用包装有限公司</w:t>
      </w:r>
      <w:r>
        <w:rPr>
          <w:rFonts w:ascii="Times New Roman" w:hAnsi="Times New Roman" w:cs="Times New Roman" w:eastAsia="Times New Roman" w:hint="default"/>
        </w:rPr>
        <w:t>46.00%</w:t>
      </w:r>
      <w:r>
        <w:rPr/>
        <w:t>的股权。</w:t>
      </w:r>
    </w:p>
    <w:p>
      <w:pPr>
        <w:pStyle w:val="Heading3"/>
        <w:spacing w:line="334" w:lineRule="exact"/>
        <w:ind w:left="575" w:right="0"/>
        <w:jc w:val="left"/>
        <w:rPr>
          <w:b w:val="0"/>
          <w:bCs w:val="0"/>
        </w:rPr>
      </w:pPr>
      <w:r>
        <w:rPr/>
        <w:t>（二）公司注册地址、组织形式</w:t>
      </w:r>
      <w:r>
        <w:rPr>
          <w:b w:val="0"/>
          <w:bCs w:val="0"/>
        </w:rPr>
      </w:r>
    </w:p>
    <w:p>
      <w:pPr>
        <w:pStyle w:val="BodyText"/>
        <w:spacing w:line="386" w:lineRule="auto" w:before="169"/>
        <w:ind w:left="664" w:right="4074"/>
        <w:jc w:val="left"/>
      </w:pPr>
      <w:r>
        <w:rPr>
          <w:spacing w:val="-2"/>
        </w:rPr>
        <w:t>公司注册地址：西安市高新区科技一路</w:t>
      </w:r>
      <w:r>
        <w:rPr>
          <w:rFonts w:ascii="Times New Roman" w:hAnsi="Times New Roman" w:cs="Times New Roman" w:eastAsia="Times New Roman" w:hint="default"/>
          <w:spacing w:val="-2"/>
        </w:rPr>
        <w:t>32</w:t>
      </w:r>
      <w:r>
        <w:rPr>
          <w:spacing w:val="-2"/>
        </w:rPr>
        <w:t>号</w:t>
      </w:r>
      <w:r>
        <w:rPr>
          <w:spacing w:val="-67"/>
        </w:rPr>
        <w:t> </w:t>
      </w:r>
      <w:r>
        <w:rPr/>
        <w:t>公司组织形式：股份有限公司</w:t>
      </w:r>
    </w:p>
    <w:p>
      <w:pPr>
        <w:spacing w:line="350" w:lineRule="auto" w:before="0"/>
        <w:ind w:left="573" w:right="5874" w:firstLine="2"/>
        <w:jc w:val="left"/>
        <w:rPr>
          <w:rFonts w:ascii="宋体" w:hAnsi="宋体" w:cs="宋体" w:eastAsia="宋体" w:hint="default"/>
          <w:sz w:val="21"/>
          <w:szCs w:val="21"/>
        </w:rPr>
      </w:pPr>
      <w:r>
        <w:rPr>
          <w:rFonts w:ascii="Microsoft JhengHei" w:hAnsi="Microsoft JhengHei" w:cs="Microsoft JhengHei" w:eastAsia="Microsoft JhengHei" w:hint="default"/>
          <w:b/>
          <w:bCs/>
          <w:spacing w:val="-1"/>
          <w:sz w:val="21"/>
          <w:szCs w:val="21"/>
        </w:rPr>
        <w:t>（三）公司行业性质、经营范围</w:t>
      </w:r>
      <w:r>
        <w:rPr>
          <w:rFonts w:ascii="Microsoft JhengHei" w:hAnsi="Microsoft JhengHei" w:cs="Microsoft JhengHei" w:eastAsia="Microsoft JhengHei" w:hint="default"/>
          <w:b/>
          <w:bCs/>
          <w:spacing w:val="-30"/>
          <w:sz w:val="21"/>
          <w:szCs w:val="21"/>
        </w:rPr>
        <w:t> </w:t>
      </w:r>
      <w:r>
        <w:rPr>
          <w:rFonts w:ascii="Microsoft JhengHei" w:hAnsi="Microsoft JhengHei" w:cs="Microsoft JhengHei" w:eastAsia="Microsoft JhengHei" w:hint="default"/>
          <w:b/>
          <w:bCs/>
          <w:spacing w:val="-30"/>
          <w:sz w:val="21"/>
          <w:szCs w:val="21"/>
        </w:rPr>
      </w:r>
      <w:r>
        <w:rPr>
          <w:rFonts w:ascii="宋体" w:hAnsi="宋体" w:cs="宋体" w:eastAsia="宋体" w:hint="default"/>
          <w:sz w:val="21"/>
          <w:szCs w:val="21"/>
        </w:rPr>
        <w:t>本公司属于工业生产型企业。</w:t>
      </w:r>
    </w:p>
    <w:p>
      <w:pPr>
        <w:pStyle w:val="BodyText"/>
        <w:spacing w:line="386" w:lineRule="auto" w:before="96"/>
        <w:ind w:right="0" w:firstLine="420"/>
        <w:jc w:val="left"/>
      </w:pPr>
      <w:r>
        <w:rPr>
          <w:spacing w:val="-2"/>
        </w:rPr>
        <w:t>经营范围：包装装潢设计、生产和加工各类包装材料；包装装潢印刷品的印刷（许可证有效期至</w:t>
      </w:r>
      <w:r>
        <w:rPr>
          <w:rFonts w:ascii="Times New Roman" w:hAnsi="Times New Roman" w:cs="Times New Roman" w:eastAsia="Times New Roman" w:hint="default"/>
          <w:spacing w:val="-2"/>
        </w:rPr>
        <w:t>2019</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日）；销售本企业产品；研究与开发新产品。</w:t>
      </w:r>
    </w:p>
    <w:p>
      <w:pPr>
        <w:pStyle w:val="BodyText"/>
        <w:spacing w:line="240" w:lineRule="auto" w:before="35"/>
        <w:ind w:left="573" w:right="0"/>
        <w:jc w:val="left"/>
      </w:pPr>
      <w:r>
        <w:rPr/>
        <w:t>公司目前从事的主要业务为，医药纸盒及其他纸质包装产品的设计、生产及销售，报告期内主营业务</w:t>
      </w:r>
    </w:p>
    <w:p>
      <w:pPr>
        <w:spacing w:after="0" w:line="240" w:lineRule="auto"/>
        <w:jc w:val="left"/>
        <w:sectPr>
          <w:pgSz w:w="11910" w:h="16840"/>
          <w:pgMar w:header="852" w:footer="980" w:top="1500" w:bottom="1160" w:left="980" w:right="920"/>
        </w:sectPr>
      </w:pPr>
    </w:p>
    <w:p>
      <w:pPr>
        <w:pStyle w:val="BodyText"/>
        <w:spacing w:line="240" w:lineRule="auto" w:before="116"/>
        <w:ind w:right="0"/>
        <w:jc w:val="left"/>
      </w:pPr>
      <w:r>
        <w:rPr/>
        <w:t>未发生改变。</w:t>
      </w:r>
    </w:p>
    <w:p>
      <w:pPr>
        <w:pStyle w:val="BodyText"/>
        <w:spacing w:line="324" w:lineRule="auto" w:before="90"/>
        <w:ind w:left="573" w:right="0" w:firstLine="2"/>
        <w:jc w:val="left"/>
      </w:pPr>
      <w:r>
        <w:rPr>
          <w:rFonts w:ascii="Microsoft JhengHei" w:hAnsi="Microsoft JhengHei" w:cs="Microsoft JhengHei" w:eastAsia="Microsoft JhengHei" w:hint="default"/>
          <w:b/>
          <w:bCs/>
        </w:rPr>
        <w:t>（四）合并财务报表范围</w:t>
      </w:r>
      <w:r>
        <w:rPr>
          <w:rFonts w:ascii="Microsoft JhengHei" w:hAnsi="Microsoft JhengHei" w:cs="Microsoft JhengHei" w:eastAsia="Microsoft JhengHei" w:hint="default"/>
          <w:b/>
          <w:bCs/>
          <w:spacing w:val="-45"/>
        </w:rPr>
        <w:t> </w:t>
      </w:r>
      <w:r>
        <w:rPr>
          <w:rFonts w:ascii="Microsoft JhengHei" w:hAnsi="Microsoft JhengHei" w:cs="Microsoft JhengHei" w:eastAsia="Microsoft JhengHei" w:hint="default"/>
          <w:b/>
          <w:bCs/>
          <w:spacing w:val="-45"/>
        </w:rPr>
      </w:r>
      <w:r>
        <w:rPr>
          <w:spacing w:val="-4"/>
        </w:rPr>
        <w:t>本公司</w:t>
      </w:r>
      <w:r>
        <w:rPr>
          <w:rFonts w:ascii="Times New Roman" w:hAnsi="Times New Roman" w:cs="Times New Roman" w:eastAsia="Times New Roman" w:hint="default"/>
          <w:spacing w:val="-4"/>
        </w:rPr>
        <w:t>2017</w:t>
      </w:r>
      <w:r>
        <w:rPr>
          <w:spacing w:val="-4"/>
        </w:rPr>
        <w:t>年度纳入合并范围的子公司共</w:t>
      </w:r>
      <w:r>
        <w:rPr>
          <w:rFonts w:ascii="Times New Roman" w:hAnsi="Times New Roman" w:cs="Times New Roman" w:eastAsia="Times New Roman" w:hint="default"/>
          <w:spacing w:val="-4"/>
        </w:rPr>
        <w:t>3</w:t>
      </w:r>
      <w:r>
        <w:rPr>
          <w:spacing w:val="-4"/>
        </w:rPr>
        <w:t>户，详见本节九</w:t>
      </w:r>
      <w:r>
        <w:rPr>
          <w:rFonts w:ascii="Times New Roman" w:hAnsi="Times New Roman" w:cs="Times New Roman" w:eastAsia="Times New Roman" w:hint="default"/>
          <w:spacing w:val="-4"/>
        </w:rPr>
        <w:t>“</w:t>
      </w:r>
      <w:r>
        <w:rPr>
          <w:spacing w:val="-4"/>
        </w:rPr>
        <w:t>在其他主体中的权益</w:t>
      </w:r>
      <w:r>
        <w:rPr>
          <w:rFonts w:ascii="Times New Roman" w:hAnsi="Times New Roman" w:cs="Times New Roman" w:eastAsia="Times New Roman" w:hint="default"/>
          <w:spacing w:val="-4"/>
        </w:rPr>
        <w:t>”</w:t>
      </w:r>
      <w:r>
        <w:rPr>
          <w:spacing w:val="-4"/>
        </w:rPr>
        <w:t>。本公司本年度合并</w:t>
      </w:r>
    </w:p>
    <w:p>
      <w:pPr>
        <w:pStyle w:val="BodyText"/>
        <w:spacing w:line="240" w:lineRule="auto" w:before="96"/>
        <w:ind w:right="0"/>
        <w:jc w:val="left"/>
      </w:pPr>
      <w:r>
        <w:rPr/>
        <w:t>范围与上年度相比未发生变化。</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386" w:lineRule="auto" w:before="0"/>
        <w:ind w:right="124" w:firstLine="420"/>
        <w:jc w:val="both"/>
      </w:pPr>
      <w:r>
        <w:rPr>
          <w:spacing w:val="-2"/>
        </w:rPr>
        <w:t>本公司财务报表以公司持续经营假设为基础，根据实际发生的交易和事项，按照财政部</w:t>
      </w:r>
      <w:r>
        <w:rPr>
          <w:rFonts w:ascii="Times New Roman" w:hAnsi="Times New Roman" w:cs="Times New Roman" w:eastAsia="Times New Roman" w:hint="default"/>
          <w:spacing w:val="-2"/>
        </w:rPr>
        <w:t>2006</w:t>
      </w:r>
      <w:r>
        <w:rPr>
          <w:spacing w:val="-2"/>
        </w:rPr>
        <w:t>年颁布、</w:t>
      </w:r>
      <w:r>
        <w:rPr>
          <w:w w:val="100"/>
        </w:rPr>
        <w:t> </w:t>
      </w:r>
      <w:r>
        <w:rPr>
          <w:rFonts w:ascii="Times New Roman" w:hAnsi="Times New Roman" w:cs="Times New Roman" w:eastAsia="Times New Roman" w:hint="default"/>
          <w:spacing w:val="-2"/>
        </w:rPr>
        <w:t>2014</w:t>
      </w:r>
      <w:r>
        <w:rPr>
          <w:spacing w:val="-2"/>
        </w:rPr>
        <w:t>年修订的《企业会计准则》和应用指南及准则解释的有关规定进行确认和计量，并基于以下所述重要</w:t>
      </w:r>
      <w:r>
        <w:rPr>
          <w:spacing w:val="-39"/>
        </w:rPr>
        <w:t> </w:t>
      </w:r>
      <w:r>
        <w:rPr>
          <w:spacing w:val="-39"/>
        </w:rPr>
      </w:r>
      <w:r>
        <w:rPr/>
        <w:t>会计政策及会计估计的编制方法进行编制。</w:t>
      </w:r>
    </w:p>
    <w:p>
      <w:pPr>
        <w:spacing w:line="240" w:lineRule="auto" w:before="1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before="0"/>
        <w:ind w:left="573" w:right="0"/>
        <w:jc w:val="left"/>
      </w:pPr>
      <w:r>
        <w:rPr/>
        <w:t>公司自报告期末起</w:t>
      </w:r>
      <w:r>
        <w:rPr>
          <w:rFonts w:ascii="Times New Roman" w:hAnsi="Times New Roman" w:cs="Times New Roman" w:eastAsia="Times New Roman" w:hint="default"/>
        </w:rPr>
        <w:t>12</w:t>
      </w:r>
      <w:r>
        <w:rPr/>
        <w:t>个月将持续经营。不存在对持续经营能力产生重大怀疑的因素。</w:t>
      </w:r>
    </w:p>
    <w:p>
      <w:pPr>
        <w:spacing w:line="240" w:lineRule="auto" w:before="10"/>
        <w:rPr>
          <w:rFonts w:ascii="宋体" w:hAnsi="宋体" w:cs="宋体" w:eastAsia="宋体" w:hint="default"/>
          <w:sz w:val="16"/>
          <w:szCs w:val="16"/>
        </w:rPr>
      </w:pPr>
    </w:p>
    <w:p>
      <w:pPr>
        <w:pStyle w:val="Heading2"/>
        <w:spacing w:line="240" w:lineRule="auto"/>
        <w:ind w:right="0"/>
        <w:jc w:val="left"/>
        <w:rPr>
          <w:b w:val="0"/>
          <w:bCs w:val="0"/>
        </w:rPr>
      </w:pPr>
      <w:r>
        <w:rPr/>
        <w:t>五、重要会计政策及会计估计</w:t>
      </w:r>
      <w:r>
        <w:rPr>
          <w:b w:val="0"/>
          <w:bCs w:val="0"/>
        </w:rPr>
      </w:r>
    </w:p>
    <w:p>
      <w:pPr>
        <w:spacing w:line="240" w:lineRule="auto" w:before="10"/>
        <w:rPr>
          <w:rFonts w:ascii="Microsoft JhengHei" w:hAnsi="Microsoft JhengHei" w:cs="Microsoft JhengHei" w:eastAsia="Microsoft JhengHei" w:hint="default"/>
          <w:b/>
          <w:bCs/>
          <w:sz w:val="21"/>
          <w:szCs w:val="21"/>
        </w:rPr>
      </w:pPr>
    </w:p>
    <w:p>
      <w:pPr>
        <w:pStyle w:val="BodyText"/>
        <w:spacing w:line="441" w:lineRule="auto" w:before="0"/>
        <w:ind w:left="573" w:right="0" w:hanging="421"/>
        <w:jc w:val="left"/>
      </w:pPr>
      <w:r>
        <w:rPr/>
        <w:t>具体会计政策和会计估计提示：</w:t>
      </w:r>
      <w:r>
        <w:rPr>
          <w:w w:val="100"/>
        </w:rPr>
        <w:t> </w:t>
      </w:r>
      <w:r>
        <w:rPr>
          <w:spacing w:val="-2"/>
        </w:rPr>
        <w:t>本公司下列重要会计政策、会计估计均根据企业会计准则制定，未提及的业务按企业会计准则中相关</w:t>
      </w:r>
    </w:p>
    <w:p>
      <w:pPr>
        <w:pStyle w:val="BodyText"/>
        <w:spacing w:line="240" w:lineRule="auto" w:before="16"/>
        <w:ind w:right="0"/>
        <w:jc w:val="left"/>
      </w:pPr>
      <w:r>
        <w:rPr/>
        <w:t>会计政策执行。</w:t>
      </w:r>
    </w:p>
    <w:p>
      <w:pPr>
        <w:spacing w:line="590" w:lineRule="atLeast" w:before="125"/>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本公司承诺编制的财务报表符合《企业会计准则》的要求，真实、完整地反映了公司报告期间内的财</w:t>
      </w:r>
    </w:p>
    <w:p>
      <w:pPr>
        <w:pStyle w:val="BodyText"/>
        <w:spacing w:line="240" w:lineRule="auto" w:before="37"/>
        <w:ind w:right="0"/>
        <w:jc w:val="left"/>
      </w:pPr>
      <w:r>
        <w:rPr/>
        <w:t>务状况、经营成果和现金流量等有关信息。</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
        <w:rPr>
          <w:rFonts w:ascii="Microsoft JhengHei" w:hAnsi="Microsoft JhengHei" w:cs="Microsoft JhengHei" w:eastAsia="Microsoft JhengHei" w:hint="default"/>
          <w:b/>
          <w:bCs/>
          <w:sz w:val="18"/>
          <w:szCs w:val="18"/>
        </w:rPr>
      </w:pPr>
    </w:p>
    <w:p>
      <w:pPr>
        <w:pStyle w:val="BodyText"/>
        <w:spacing w:line="240" w:lineRule="auto" w:before="0"/>
        <w:ind w:left="573" w:right="0"/>
        <w:jc w:val="left"/>
      </w:pPr>
      <w:r>
        <w:rPr/>
        <w:t>本公司采用公历年度，即每年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6"/>
        <w:rPr>
          <w:rFonts w:ascii="宋体" w:hAnsi="宋体" w:cs="宋体" w:eastAsia="宋体" w:hint="default"/>
          <w:sz w:val="19"/>
          <w:szCs w:val="19"/>
        </w:rPr>
      </w:pPr>
    </w:p>
    <w:p>
      <w:pPr>
        <w:spacing w:line="446" w:lineRule="auto" w:before="0"/>
        <w:ind w:left="467" w:right="5274" w:hanging="31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本公司营业周期为正常</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个月的营业周期。</w:t>
      </w:r>
    </w:p>
    <w:p>
      <w:pPr>
        <w:pStyle w:val="Heading3"/>
        <w:spacing w:line="240" w:lineRule="auto" w:before="54"/>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7"/>
        <w:rPr>
          <w:rFonts w:ascii="Microsoft JhengHei" w:hAnsi="Microsoft JhengHei" w:cs="Microsoft JhengHei" w:eastAsia="Microsoft JhengHei" w:hint="default"/>
          <w:b/>
          <w:bCs/>
          <w:sz w:val="17"/>
          <w:szCs w:val="17"/>
        </w:rPr>
      </w:pPr>
    </w:p>
    <w:p>
      <w:pPr>
        <w:pStyle w:val="BodyText"/>
        <w:spacing w:line="240" w:lineRule="auto" w:before="0"/>
        <w:ind w:left="573" w:right="0"/>
        <w:jc w:val="left"/>
      </w:pPr>
      <w:r>
        <w:rPr/>
        <w:t>人民币为本公司的主要交易货币，本公司以人民币为记账本位币。</w:t>
      </w:r>
    </w:p>
    <w:p>
      <w:pPr>
        <w:spacing w:after="0" w:line="240" w:lineRule="auto"/>
        <w:jc w:val="left"/>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4216"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13" w:right="0"/>
        <w:jc w:val="left"/>
      </w:pPr>
      <w:r>
        <w:rPr/>
        <w:t>企业合并分为同一控制下的企业合并和非同一控制下的企业合并。</w:t>
      </w:r>
    </w:p>
    <w:p>
      <w:pPr>
        <w:spacing w:line="240" w:lineRule="auto" w:before="10"/>
        <w:rPr>
          <w:rFonts w:ascii="宋体" w:hAnsi="宋体" w:cs="宋体" w:eastAsia="宋体" w:hint="default"/>
          <w:sz w:val="14"/>
          <w:szCs w:val="14"/>
        </w:rPr>
      </w:pPr>
    </w:p>
    <w:p>
      <w:pPr>
        <w:pStyle w:val="BodyText"/>
        <w:spacing w:line="400" w:lineRule="auto" w:before="0"/>
        <w:ind w:right="0" w:firstLine="413"/>
        <w:jc w:val="left"/>
      </w:pPr>
      <w:r>
        <w:rPr>
          <w:rFonts w:ascii="Times New Roman" w:hAnsi="Times New Roman" w:cs="Times New Roman" w:eastAsia="Times New Roman" w:hint="default"/>
        </w:rPr>
        <w:t>1.</w:t>
      </w:r>
      <w:r>
        <w:rPr/>
        <w:t>同一控制下的企业合并，在合并中取得的资产和负债，按照合并日被合并方在最终控制方合并财务</w:t>
      </w:r>
      <w:r>
        <w:rPr>
          <w:w w:val="100"/>
        </w:rPr>
        <w:t> </w:t>
      </w:r>
      <w:r>
        <w:rPr>
          <w:spacing w:val="-5"/>
        </w:rPr>
        <w:t>报表中的账面价值计量。合并方取得的净资产账面价值与支付的合并对价账面价值（或发行股份面值总额）</w:t>
      </w:r>
      <w:r>
        <w:rPr>
          <w:spacing w:val="-4"/>
        </w:rPr>
        <w:t> </w:t>
      </w:r>
      <w:r>
        <w:rPr>
          <w:spacing w:val="-4"/>
        </w:rPr>
      </w:r>
      <w:r>
        <w:rPr/>
        <w:t>的差额，调整资本公积；资本公积不足冲减的，调整留存收益。发行权益性证券发生的手续费、佣金等，</w:t>
      </w:r>
      <w:r>
        <w:rPr>
          <w:w w:val="100"/>
        </w:rPr>
        <w:t> </w:t>
      </w:r>
      <w:r>
        <w:rPr/>
        <w:t>抵减权益性证券溢价收入，溢价收入不足冲减的，冲减留存收益。</w:t>
      </w:r>
    </w:p>
    <w:p>
      <w:pPr>
        <w:pStyle w:val="BodyText"/>
        <w:spacing w:line="408" w:lineRule="auto" w:before="52"/>
        <w:ind w:right="206" w:firstLine="413"/>
        <w:jc w:val="both"/>
      </w:pPr>
      <w:r>
        <w:rPr>
          <w:spacing w:val="-2"/>
        </w:rPr>
        <w:t>为进行企业合并发生的各项直接相关费用，包括为进行企业合并而支付的审计费用、评估费用、法律</w:t>
      </w:r>
      <w:r>
        <w:rPr>
          <w:w w:val="100"/>
        </w:rPr>
        <w:t> </w:t>
      </w:r>
      <w:r>
        <w:rPr/>
        <w:t>服务费用等，于发生时计入当期损益。</w:t>
      </w:r>
    </w:p>
    <w:p>
      <w:pPr>
        <w:pStyle w:val="BodyText"/>
        <w:spacing w:line="408" w:lineRule="auto"/>
        <w:ind w:right="206" w:firstLine="413"/>
        <w:jc w:val="both"/>
      </w:pPr>
      <w:r>
        <w:rPr>
          <w:spacing w:val="-2"/>
        </w:rPr>
        <w:t>被合并方采用的会计政策与本公司不一致的，在合并日按照本公司会计政策进行调整，在此基础上按</w:t>
      </w:r>
      <w:r>
        <w:rPr>
          <w:w w:val="100"/>
        </w:rPr>
        <w:t> </w:t>
      </w:r>
      <w:r>
        <w:rPr>
          <w:spacing w:val="-2"/>
        </w:rPr>
        <w:t>照企业会计准则规定确认，编制合并日的合并资产负债表、合并利润表和合并现金流量表。合并资产负债</w:t>
      </w:r>
      <w:r>
        <w:rPr>
          <w:spacing w:val="-44"/>
        </w:rPr>
        <w:t> </w:t>
      </w:r>
      <w:r>
        <w:rPr>
          <w:spacing w:val="-44"/>
        </w:rPr>
      </w:r>
      <w:r>
        <w:rPr>
          <w:spacing w:val="-2"/>
        </w:rPr>
        <w:t>表中被合并方的各项资产、负债，按其账面价值计量。合并利润表包括参与合并各方自合并当期期初至合</w:t>
      </w:r>
      <w:r>
        <w:rPr>
          <w:spacing w:val="-43"/>
        </w:rPr>
        <w:t> </w:t>
      </w:r>
      <w:r>
        <w:rPr>
          <w:spacing w:val="-43"/>
        </w:rPr>
      </w:r>
      <w:r>
        <w:rPr>
          <w:spacing w:val="-2"/>
        </w:rPr>
        <w:t>并日所发生的收入、费用和利润。被合并方在合并前实现的净利润，在合并利润表中单列项目反映。合并</w:t>
      </w:r>
      <w:r>
        <w:rPr>
          <w:spacing w:val="-50"/>
        </w:rPr>
        <w:t> </w:t>
      </w:r>
      <w:r>
        <w:rPr>
          <w:spacing w:val="-50"/>
        </w:rPr>
      </w:r>
      <w:r>
        <w:rPr/>
        <w:t>现金流量表包括参与合并各方自合并当期期初至合并日的现金流量。</w:t>
      </w:r>
    </w:p>
    <w:p>
      <w:pPr>
        <w:pStyle w:val="BodyText"/>
        <w:spacing w:line="403" w:lineRule="auto"/>
        <w:ind w:right="206" w:firstLine="420"/>
        <w:jc w:val="both"/>
      </w:pPr>
      <w:r>
        <w:rPr>
          <w:rFonts w:ascii="Times New Roman" w:hAnsi="Times New Roman" w:cs="Times New Roman" w:eastAsia="Times New Roman" w:hint="default"/>
          <w:spacing w:val="-1"/>
        </w:rPr>
        <w:t>2.</w:t>
      </w:r>
      <w:r>
        <w:rPr>
          <w:spacing w:val="-1"/>
        </w:rPr>
        <w:t>非同一控制下的企业合并，本公司以购买日为取得对被购买方的控制权而付出的资产、发生或承担</w:t>
      </w:r>
      <w:r>
        <w:rPr>
          <w:w w:val="100"/>
        </w:rPr>
        <w:t> </w:t>
      </w:r>
      <w:r>
        <w:rPr>
          <w:spacing w:val="-2"/>
        </w:rPr>
        <w:t>的负债以及发行的权益性证券的公允价值作为合并成本。为进行企业合并发生的各项直接相关费用，于发</w:t>
      </w:r>
      <w:r>
        <w:rPr>
          <w:spacing w:val="-42"/>
        </w:rPr>
        <w:t> </w:t>
      </w:r>
      <w:r>
        <w:rPr>
          <w:spacing w:val="-42"/>
        </w:rPr>
      </w:r>
      <w:r>
        <w:rPr>
          <w:spacing w:val="-2"/>
        </w:rPr>
        <w:t>生时计入当期损益；发行权益性证券或债务性证券的交易费用，计入权益性证券或债务性证券的初始确认</w:t>
      </w:r>
      <w:r>
        <w:rPr>
          <w:spacing w:val="-43"/>
        </w:rPr>
        <w:t> </w:t>
      </w:r>
      <w:r>
        <w:rPr>
          <w:spacing w:val="-43"/>
        </w:rPr>
      </w:r>
      <w:r>
        <w:rPr>
          <w:spacing w:val="-2"/>
        </w:rPr>
        <w:t>金额。对作为企业合并对价付出的资产、发生或承担的负债按照公允价值计量，公允价值与其账面价值的</w:t>
      </w:r>
      <w:r>
        <w:rPr>
          <w:spacing w:val="-44"/>
        </w:rPr>
        <w:t> </w:t>
      </w:r>
      <w:r>
        <w:rPr>
          <w:spacing w:val="-44"/>
        </w:rPr>
      </w:r>
      <w:r>
        <w:rPr/>
        <w:t>差额，计入当期损益。</w:t>
      </w:r>
    </w:p>
    <w:p>
      <w:pPr>
        <w:pStyle w:val="BodyText"/>
        <w:spacing w:line="408" w:lineRule="auto" w:before="50"/>
        <w:ind w:right="206" w:firstLine="420"/>
        <w:jc w:val="both"/>
      </w:pPr>
      <w:r>
        <w:rPr>
          <w:spacing w:val="-2"/>
        </w:rPr>
        <w:t>对合并成本大于合并中取得的被购买方可辨认净资产公允价值份额的差额，确认为商誉。对合并成本</w:t>
      </w:r>
      <w:r>
        <w:rPr>
          <w:w w:val="100"/>
        </w:rPr>
        <w:t> </w:t>
      </w:r>
      <w:r>
        <w:rPr>
          <w:spacing w:val="-2"/>
        </w:rPr>
        <w:t>小于合并中取得的被购买方可辨认净资产公允价值份额，以取得的被购买方各项可辨认资产、负债及或有</w:t>
      </w:r>
      <w:r>
        <w:rPr>
          <w:spacing w:val="-43"/>
        </w:rPr>
        <w:t> </w:t>
      </w:r>
      <w:r>
        <w:rPr>
          <w:spacing w:val="-43"/>
        </w:rPr>
      </w:r>
      <w:r>
        <w:rPr>
          <w:spacing w:val="-2"/>
        </w:rPr>
        <w:t>负债的公允价值以及合并成本的计量进行复核；经复核后合并成本仍小于合并中取得的被购买方可辨认净</w:t>
      </w:r>
      <w:r>
        <w:rPr>
          <w:spacing w:val="-42"/>
        </w:rPr>
        <w:t> </w:t>
      </w:r>
      <w:r>
        <w:rPr>
          <w:spacing w:val="-42"/>
        </w:rPr>
      </w:r>
      <w:r>
        <w:rPr/>
        <w:t>资产公允价值份额的，其差额计入当期损益。</w:t>
      </w:r>
    </w:p>
    <w:p>
      <w:pPr>
        <w:pStyle w:val="BodyText"/>
        <w:spacing w:line="408" w:lineRule="auto"/>
        <w:ind w:right="103" w:firstLine="420"/>
        <w:jc w:val="both"/>
      </w:pPr>
      <w:r>
        <w:rPr/>
        <w:t>在合并中取得的被购买方除无形资产外的其他各项资产（不仅限于被购买方原已确认的资产），其所</w:t>
      </w:r>
      <w:r>
        <w:rPr>
          <w:w w:val="100"/>
        </w:rPr>
        <w:t> </w:t>
      </w:r>
      <w:r>
        <w:rPr>
          <w:spacing w:val="-2"/>
        </w:rPr>
        <w:t>带来的经济利益很可能流入本公司且公允价值能够可靠计量的，单独确认并按公允价值计量；公允价值能</w:t>
      </w:r>
      <w:r>
        <w:rPr>
          <w:spacing w:val="-44"/>
        </w:rPr>
        <w:t> </w:t>
      </w:r>
      <w:r>
        <w:rPr>
          <w:spacing w:val="-44"/>
        </w:rPr>
      </w:r>
      <w:r>
        <w:rPr>
          <w:spacing w:val="-2"/>
        </w:rPr>
        <w:t>够可靠计量的无形资产，单独确认为无形资产并按公允价值计量；取得的被购买方除或有负债以外的其他</w:t>
      </w:r>
      <w:r>
        <w:rPr>
          <w:spacing w:val="-42"/>
        </w:rPr>
        <w:t> </w:t>
      </w:r>
      <w:r>
        <w:rPr>
          <w:spacing w:val="-42"/>
        </w:rPr>
      </w:r>
      <w:r>
        <w:rPr>
          <w:spacing w:val="-2"/>
        </w:rPr>
        <w:t>各项负债，履行有关义务很可能导致经济利益流出本公司且公允价值能够可靠计量的，单独确认并按照公</w:t>
      </w:r>
      <w:r>
        <w:rPr>
          <w:spacing w:val="-42"/>
        </w:rPr>
        <w:t> </w:t>
      </w:r>
      <w:r>
        <w:rPr>
          <w:spacing w:val="-42"/>
        </w:rPr>
      </w:r>
      <w:r>
        <w:rPr>
          <w:spacing w:val="-5"/>
        </w:rPr>
        <w:t>允价值计量；取得的被购买方或有负债，其公允价值能可靠计量的，单独确认为负债并按照公允价值计量。</w:t>
      </w:r>
    </w:p>
    <w:p>
      <w:pPr>
        <w:pStyle w:val="BodyText"/>
        <w:spacing w:line="408" w:lineRule="auto"/>
        <w:ind w:right="206" w:firstLine="420"/>
        <w:jc w:val="both"/>
      </w:pPr>
      <w:r>
        <w:rPr>
          <w:spacing w:val="-2"/>
        </w:rPr>
        <w:t>本公司编制购买日的合并资产负债表，因企业合并取得的被购买方各项可辨认资产、负债及或有负债</w:t>
      </w:r>
      <w:r>
        <w:rPr>
          <w:w w:val="100"/>
        </w:rPr>
        <w:t> </w:t>
      </w:r>
      <w:r>
        <w:rPr/>
        <w:t>以公允价值列示。</w:t>
      </w:r>
    </w:p>
    <w:p>
      <w:pPr>
        <w:spacing w:after="0" w:line="408" w:lineRule="auto"/>
        <w:jc w:val="both"/>
        <w:sectPr>
          <w:footerReference w:type="default" r:id="rId22"/>
          <w:pgSz w:w="11910" w:h="16840"/>
          <w:pgMar w:footer="980" w:header="852" w:top="1500" w:bottom="1160" w:left="980" w:right="9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4192"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left="573" w:right="0"/>
        <w:jc w:val="left"/>
      </w:pPr>
      <w:r>
        <w:rPr>
          <w:rFonts w:ascii="Times New Roman" w:hAnsi="Times New Roman" w:cs="Times New Roman" w:eastAsia="Times New Roman" w:hint="default"/>
        </w:rPr>
        <w:t>1.</w:t>
      </w:r>
      <w:r>
        <w:rPr/>
        <w:t>合并范围的确定原则</w:t>
      </w:r>
      <w:r>
        <w:rPr>
          <w:w w:val="100"/>
        </w:rPr>
        <w:t> </w:t>
      </w:r>
      <w:r>
        <w:rPr>
          <w:spacing w:val="-2"/>
        </w:rPr>
        <w:t>合并财务报表的合并范围以控制为基础予以确定。控制是指投资方拥有对被投资方的权力，通过参与</w:t>
      </w:r>
    </w:p>
    <w:p>
      <w:pPr>
        <w:pStyle w:val="BodyText"/>
        <w:spacing w:line="398" w:lineRule="auto" w:before="65"/>
        <w:ind w:left="573" w:right="0" w:hanging="421"/>
        <w:jc w:val="left"/>
      </w:pPr>
      <w:r>
        <w:rPr/>
        <w:t>被投资方的相关活动而享有可变回报，并且有能力运用对被投资方的权力影响其回报金额。</w:t>
      </w:r>
      <w:r>
        <w:rPr>
          <w:w w:val="100"/>
        </w:rPr>
        <w:t> </w:t>
      </w:r>
      <w:r>
        <w:rPr>
          <w:rFonts w:ascii="Times New Roman" w:hAnsi="Times New Roman" w:cs="Times New Roman" w:eastAsia="Times New Roman" w:hint="default"/>
        </w:rPr>
        <w:t>2.</w:t>
      </w:r>
      <w:r>
        <w:rPr/>
        <w:t>合并财务报表编制的原则、程序及方法</w:t>
      </w:r>
      <w:r>
        <w:rPr>
          <w:w w:val="100"/>
        </w:rPr>
        <w:t> </w:t>
      </w:r>
      <w:r>
        <w:rPr>
          <w:spacing w:val="-2"/>
        </w:rPr>
        <w:t>本公司合并财务报表按照《企业会计准则第</w:t>
      </w:r>
      <w:r>
        <w:rPr>
          <w:rFonts w:ascii="Times New Roman" w:hAnsi="Times New Roman" w:cs="Times New Roman" w:eastAsia="Times New Roman" w:hint="default"/>
          <w:spacing w:val="-2"/>
        </w:rPr>
        <w:t>33</w:t>
      </w:r>
      <w:r>
        <w:rPr>
          <w:spacing w:val="-2"/>
        </w:rPr>
        <w:t>号－合并财务报表》及相关规定的要求编制，合并时合</w:t>
      </w:r>
    </w:p>
    <w:p>
      <w:pPr>
        <w:pStyle w:val="BodyText"/>
        <w:spacing w:line="393" w:lineRule="auto" w:before="24"/>
        <w:ind w:right="0"/>
        <w:jc w:val="left"/>
      </w:pPr>
      <w:r>
        <w:rPr>
          <w:spacing w:val="2"/>
        </w:rPr>
        <w:t>并范围内的所有重大内部交易和往来业务已抵销。子公司的股东权益中不属于母公司所拥有的部分作为</w:t>
      </w:r>
      <w:r>
        <w:rPr>
          <w:spacing w:val="-29"/>
        </w:rPr>
        <w:t> </w:t>
      </w:r>
      <w:r>
        <w:rPr>
          <w:spacing w:val="-29"/>
        </w:rPr>
      </w:r>
      <w:r>
        <w:rPr>
          <w:rFonts w:ascii="Times New Roman" w:hAnsi="Times New Roman" w:cs="Times New Roman" w:eastAsia="Times New Roman" w:hint="default"/>
          <w:spacing w:val="-4"/>
          <w:w w:val="100"/>
        </w:rPr>
        <w:t>“</w:t>
      </w:r>
      <w:r>
        <w:rPr>
          <w:spacing w:val="-4"/>
          <w:w w:val="100"/>
        </w:rPr>
        <w:t>少数股东权益</w:t>
      </w:r>
      <w:r>
        <w:rPr>
          <w:rFonts w:ascii="Times New Roman" w:hAnsi="Times New Roman" w:cs="Times New Roman" w:eastAsia="Times New Roman" w:hint="default"/>
          <w:spacing w:val="-4"/>
          <w:w w:val="100"/>
        </w:rPr>
        <w:t>”</w:t>
      </w:r>
      <w:r>
        <w:rPr>
          <w:spacing w:val="-4"/>
          <w:w w:val="100"/>
        </w:rPr>
        <w:t>在合并财务报表中股东权益项下单独列示。子公司当期净损益中属于少数股东权益的份额，</w:t>
      </w:r>
      <w:r>
        <w:rPr>
          <w:spacing w:val="-81"/>
          <w:w w:val="100"/>
        </w:rPr>
        <w:t> </w:t>
      </w:r>
      <w:r>
        <w:rPr>
          <w:spacing w:val="-81"/>
          <w:w w:val="100"/>
        </w:rPr>
      </w:r>
      <w:r>
        <w:rPr/>
        <w:t>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w:t>
      </w:r>
      <w:r>
        <w:rPr>
          <w:w w:val="100"/>
        </w:rPr>
        <w:t> </w:t>
      </w:r>
      <w:r>
        <w:rPr/>
        <w:t>在该子公司期初股东权益中所享有的份额，其余额仍冲减少数股东权益。</w:t>
      </w:r>
    </w:p>
    <w:p>
      <w:pPr>
        <w:pStyle w:val="BodyText"/>
        <w:spacing w:line="408" w:lineRule="auto" w:before="58"/>
        <w:ind w:right="206" w:firstLine="420"/>
        <w:jc w:val="both"/>
      </w:pPr>
      <w:r>
        <w:rPr>
          <w:spacing w:val="-2"/>
        </w:rPr>
        <w:t>子公司与本公司采用的会计政策不一致的，在编制合并财务报表时，按照本公司的会计政策对子公司</w:t>
      </w:r>
      <w:r>
        <w:rPr>
          <w:w w:val="100"/>
        </w:rPr>
        <w:t> </w:t>
      </w:r>
      <w:r>
        <w:rPr/>
        <w:t>财务报表进行必要的调整。</w:t>
      </w:r>
    </w:p>
    <w:p>
      <w:pPr>
        <w:pStyle w:val="BodyText"/>
        <w:spacing w:line="408" w:lineRule="auto"/>
        <w:ind w:right="206" w:firstLine="420"/>
        <w:jc w:val="both"/>
      </w:pPr>
      <w:r>
        <w:rPr>
          <w:spacing w:val="-2"/>
        </w:rPr>
        <w:t>对于非同一控制下企业合并取得的子公司，在编制合并财务报表时，以购买日可辨认净资产公允价值</w:t>
      </w:r>
      <w:r>
        <w:rPr>
          <w:w w:val="100"/>
        </w:rPr>
        <w:t> </w:t>
      </w:r>
      <w:r>
        <w:rPr>
          <w:spacing w:val="-2"/>
        </w:rPr>
        <w:t>为基础对其个别财务报表进行调整；对于同一控制下企业合并取得的子公司，在编制合并财务报表时，视</w:t>
      </w:r>
      <w:r>
        <w:rPr>
          <w:spacing w:val="-44"/>
        </w:rPr>
        <w:t> </w:t>
      </w:r>
      <w:r>
        <w:rPr>
          <w:spacing w:val="-44"/>
        </w:rPr>
      </w:r>
      <w:r>
        <w:rPr>
          <w:spacing w:val="-2"/>
        </w:rPr>
        <w:t>同合并后形成的报告主体自最终控制方开始实施控制时一直是一体化存续下来的，对合并资产负债表的年</w:t>
      </w:r>
      <w:r>
        <w:rPr>
          <w:spacing w:val="-43"/>
        </w:rPr>
        <w:t> </w:t>
      </w:r>
      <w:r>
        <w:rPr>
          <w:spacing w:val="-43"/>
        </w:rPr>
      </w:r>
      <w:r>
        <w:rPr/>
        <w:t>初数进行调整，同时对比较报表的相关项目进行调整。</w:t>
      </w:r>
    </w:p>
    <w:p>
      <w:pPr>
        <w:pStyle w:val="BodyText"/>
        <w:spacing w:line="400" w:lineRule="auto"/>
        <w:ind w:right="206" w:firstLine="420"/>
        <w:jc w:val="both"/>
      </w:pPr>
      <w:r>
        <w:rPr>
          <w:spacing w:val="-2"/>
        </w:rPr>
        <w:t>对于购买子公司少数股权或因处置部分股权投资但没有丧失对该子公司控制权的交易，作为权益性交</w:t>
      </w:r>
      <w:r>
        <w:rPr>
          <w:w w:val="100"/>
        </w:rPr>
        <w:t> </w:t>
      </w:r>
      <w:r>
        <w:rPr>
          <w:spacing w:val="-2"/>
        </w:rPr>
        <w:t>易核算，调整归属于母公司股东权益和少数股东权益的账面价值以反映其在子公司中相关权益的变化。少</w:t>
      </w:r>
      <w:r>
        <w:rPr>
          <w:spacing w:val="-44"/>
        </w:rPr>
        <w:t> </w:t>
      </w:r>
      <w:r>
        <w:rPr>
          <w:spacing w:val="-44"/>
        </w:rPr>
      </w:r>
      <w:r>
        <w:rPr>
          <w:spacing w:val="-4"/>
        </w:rPr>
        <w:t>数股东权益的调整额与支付</w:t>
      </w:r>
      <w:r>
        <w:rPr>
          <w:rFonts w:ascii="Times New Roman" w:hAnsi="Times New Roman" w:cs="Times New Roman" w:eastAsia="Times New Roman" w:hint="default"/>
          <w:spacing w:val="-4"/>
        </w:rPr>
        <w:t>/</w:t>
      </w:r>
      <w:r>
        <w:rPr>
          <w:spacing w:val="-4"/>
        </w:rPr>
        <w:t>收到对价的公允价值之间的差额调整资本公积，资本公积不足冲减的，调整留</w:t>
      </w:r>
      <w:r>
        <w:rPr>
          <w:spacing w:val="-6"/>
        </w:rPr>
        <w:t> </w:t>
      </w:r>
      <w:r>
        <w:rPr>
          <w:spacing w:val="-6"/>
        </w:rPr>
      </w:r>
      <w:r>
        <w:rPr/>
        <w:t>存收益。</w:t>
      </w:r>
    </w:p>
    <w:p>
      <w:pPr>
        <w:pStyle w:val="BodyText"/>
        <w:spacing w:line="408" w:lineRule="auto" w:before="52"/>
        <w:ind w:right="206" w:firstLine="420"/>
        <w:jc w:val="both"/>
      </w:pPr>
      <w:r>
        <w:rPr>
          <w:spacing w:val="-2"/>
        </w:rPr>
        <w:t>因处置部分股权投资或其他原因丧失了对原有子公司控制权的，剩余股权按照其在丧失控制权日的公</w:t>
      </w:r>
      <w:r>
        <w:rPr>
          <w:w w:val="100"/>
        </w:rPr>
        <w:t> </w:t>
      </w:r>
      <w:r>
        <w:rPr>
          <w:spacing w:val="-2"/>
        </w:rPr>
        <w:t>允价值进行重新计量。处置股权取得的对价与剩余股权公允价值之和，减去按原持股比例计算应享有原子</w:t>
      </w:r>
      <w:r>
        <w:rPr>
          <w:spacing w:val="-43"/>
        </w:rPr>
        <w:t> </w:t>
      </w:r>
      <w:r>
        <w:rPr>
          <w:spacing w:val="-43"/>
        </w:rPr>
      </w:r>
      <w:r>
        <w:rPr>
          <w:spacing w:val="-2"/>
        </w:rPr>
        <w:t>公司自购买日或合并日开始持续计算的净资产的份额之间的差额，计入丧失控制权当期的投资收益，同时</w:t>
      </w:r>
      <w:r>
        <w:rPr>
          <w:spacing w:val="-42"/>
        </w:rPr>
        <w:t> </w:t>
      </w:r>
      <w:r>
        <w:rPr>
          <w:spacing w:val="-42"/>
        </w:rPr>
      </w:r>
      <w:r>
        <w:rPr/>
        <w:t>冲减商誉。与原有子公司股权投资相关的其他综合收益，在丧失控制权时转为当期投资收益。</w:t>
      </w:r>
    </w:p>
    <w:p>
      <w:pPr>
        <w:spacing w:line="240" w:lineRule="auto" w:before="6"/>
        <w:rPr>
          <w:rFonts w:ascii="宋体" w:hAnsi="宋体" w:cs="宋体" w:eastAsia="宋体" w:hint="default"/>
          <w:sz w:val="15"/>
          <w:szCs w:val="15"/>
        </w:rPr>
      </w:pPr>
    </w:p>
    <w:p>
      <w:pPr>
        <w:spacing w:line="496" w:lineRule="auto" w:before="0"/>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、合营安排分类及共同经营会计处理方法</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合营安排，是指一项由两个或两个以上的参与方共同控制的安排。本公司根据在合营安排中享有的权</w:t>
      </w:r>
    </w:p>
    <w:p>
      <w:pPr>
        <w:pStyle w:val="BodyText"/>
        <w:spacing w:line="243" w:lineRule="exact" w:before="0"/>
        <w:ind w:right="0"/>
        <w:jc w:val="left"/>
      </w:pPr>
      <w:r>
        <w:rPr/>
        <w:t>利和承担的义务，将合营安排分为共同经营和合营企业。共同经营，是指本公司享有该安排相关资产且承</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担该安排相关负债的合营安排。合营企业，是指本公司仅对该安排的净资产享有权利的合营安排。</w:t>
      </w:r>
    </w:p>
    <w:p>
      <w:pPr>
        <w:spacing w:after="0" w:line="240" w:lineRule="auto"/>
        <w:jc w:val="left"/>
        <w:sectPr>
          <w:footerReference w:type="default" r:id="rId23"/>
          <w:pgSz w:w="11910" w:h="16840"/>
          <w:pgMar w:footer="980" w:header="852" w:top="1500" w:bottom="1160" w:left="980" w:right="920"/>
          <w:pgNumType w:start="101"/>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86" w:lineRule="auto" w:before="59"/>
        <w:ind w:right="152" w:firstLine="420"/>
        <w:jc w:val="both"/>
      </w:pPr>
      <w:r>
        <w:rPr/>
        <w:t>本公司按照《企业会计准则第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长期股权投资》的规定对合营企业的投资进行会计处理，对合</w:t>
      </w:r>
      <w:r>
        <w:rPr>
          <w:w w:val="100"/>
        </w:rPr>
        <w:t> </w:t>
      </w:r>
      <w:r>
        <w:rPr/>
        <w:t>营企业不享有共同控制的，根据本公司对该合营企业的影响程度进行会计处理：</w:t>
      </w:r>
    </w:p>
    <w:p>
      <w:pPr>
        <w:pStyle w:val="BodyText"/>
        <w:spacing w:line="386" w:lineRule="auto" w:before="65"/>
        <w:ind w:right="148" w:firstLine="420"/>
        <w:jc w:val="both"/>
      </w:pPr>
      <w:r>
        <w:rPr>
          <w:spacing w:val="-2"/>
        </w:rPr>
        <w:t>（</w:t>
      </w:r>
      <w:r>
        <w:rPr>
          <w:rFonts w:ascii="Times New Roman" w:hAnsi="Times New Roman" w:cs="Times New Roman" w:eastAsia="Times New Roman" w:hint="default"/>
          <w:spacing w:val="-2"/>
        </w:rPr>
        <w:t>1</w:t>
      </w:r>
      <w:r>
        <w:rPr>
          <w:spacing w:val="-2"/>
        </w:rPr>
        <w:t>）对该合营企业具有重大影响的，按照《企业会计准则第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长期股权投资》的规定进行会计</w:t>
      </w:r>
      <w:r>
        <w:rPr>
          <w:w w:val="100"/>
        </w:rPr>
        <w:t> </w:t>
      </w:r>
      <w:r>
        <w:rPr/>
        <w:t>处理。</w:t>
      </w:r>
    </w:p>
    <w:p>
      <w:pPr>
        <w:pStyle w:val="BodyText"/>
        <w:spacing w:line="386" w:lineRule="auto" w:before="65"/>
        <w:ind w:right="150" w:firstLine="420"/>
        <w:jc w:val="both"/>
      </w:pPr>
      <w:r>
        <w:rPr/>
        <w:t>（</w:t>
      </w:r>
      <w:r>
        <w:rPr>
          <w:rFonts w:ascii="Times New Roman" w:hAnsi="Times New Roman" w:cs="Times New Roman" w:eastAsia="Times New Roman" w:hint="default"/>
        </w:rPr>
        <w:t>2</w:t>
      </w:r>
      <w:r>
        <w:rPr/>
        <w:t>）对该合营企业不具有重大影响的，按照《企业会计准则第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金融工具确认和计量》的规</w:t>
      </w:r>
      <w:r>
        <w:rPr>
          <w:w w:val="100"/>
        </w:rPr>
        <w:t> </w:t>
      </w:r>
      <w:r>
        <w:rPr/>
        <w:t>定进行会计处理。</w:t>
      </w:r>
    </w:p>
    <w:p>
      <w:pPr>
        <w:pStyle w:val="BodyText"/>
        <w:spacing w:line="408" w:lineRule="auto" w:before="65"/>
        <w:ind w:right="146" w:firstLine="420"/>
        <w:jc w:val="both"/>
      </w:pPr>
      <w:r>
        <w:rPr>
          <w:spacing w:val="-2"/>
        </w:rPr>
        <w:t>本公司作为合营方对共同经营，确认本公司单独所持有的资产，以及按份额确认共同持有的资产；确</w:t>
      </w:r>
      <w:r>
        <w:rPr>
          <w:w w:val="100"/>
        </w:rPr>
        <w:t> </w:t>
      </w:r>
      <w:r>
        <w:rPr>
          <w:spacing w:val="-2"/>
        </w:rPr>
        <w:t>认本公司单独所承担的负债，以及按份额确认共同承担的负债；确认出售本公司享有的共同经营产出份额</w:t>
      </w:r>
      <w:r>
        <w:rPr>
          <w:spacing w:val="-44"/>
        </w:rPr>
        <w:t> </w:t>
      </w:r>
      <w:r>
        <w:rPr>
          <w:spacing w:val="-44"/>
        </w:rPr>
      </w:r>
      <w:r>
        <w:rPr>
          <w:spacing w:val="-2"/>
        </w:rPr>
        <w:t>所产生的收入；按份额确认共同经营因出售产出所产生的收入；确认本公司单独所发生的费用，以及按其</w:t>
      </w:r>
      <w:r>
        <w:rPr>
          <w:spacing w:val="-43"/>
        </w:rPr>
        <w:t> </w:t>
      </w:r>
      <w:r>
        <w:rPr>
          <w:spacing w:val="-43"/>
        </w:rPr>
      </w:r>
      <w:r>
        <w:rPr/>
        <w:t>份额确认共同经营发生的费用。</w:t>
      </w:r>
    </w:p>
    <w:p>
      <w:pPr>
        <w:pStyle w:val="BodyText"/>
        <w:spacing w:line="403" w:lineRule="auto"/>
        <w:ind w:right="125" w:firstLine="420"/>
        <w:jc w:val="both"/>
      </w:pPr>
      <w:r>
        <w:rPr>
          <w:spacing w:val="-2"/>
        </w:rPr>
        <w:t>当本公司作为合营方向共同经营投出或出售资产（该资产不构成业务，下同）、或者自共同经营购买</w:t>
      </w:r>
      <w:r>
        <w:rPr>
          <w:w w:val="100"/>
        </w:rPr>
        <w:t> </w:t>
      </w:r>
      <w:r>
        <w:rPr>
          <w:spacing w:val="-2"/>
        </w:rPr>
        <w:t>资产时，在该等资产出售给第三方之前，本公司仅确认因该交易产生的损益中归属于共同经营其他参与方</w:t>
      </w:r>
      <w:r>
        <w:rPr>
          <w:spacing w:val="-43"/>
        </w:rPr>
        <w:t> </w:t>
      </w:r>
      <w:r>
        <w:rPr>
          <w:spacing w:val="-43"/>
        </w:rPr>
      </w:r>
      <w:r>
        <w:rPr/>
        <w:t>的部分。该等资产发生符合《企业会计准则第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w:t>
      </w:r>
      <w:r>
        <w:rPr>
          <w:spacing w:val="-26"/>
        </w:rPr>
        <w:t> </w:t>
      </w:r>
      <w:r>
        <w:rPr>
          <w:spacing w:val="-26"/>
        </w:rPr>
      </w:r>
      <w:r>
        <w:rPr>
          <w:spacing w:val="-2"/>
        </w:rPr>
        <w:t>司向共同经营投出或出售资产的情况，本公司全额确认该损失；对于本公司自共同经营购买资产的情况，</w:t>
      </w:r>
      <w:r>
        <w:rPr>
          <w:spacing w:val="-21"/>
        </w:rPr>
        <w:t> </w:t>
      </w:r>
      <w:r>
        <w:rPr>
          <w:spacing w:val="-21"/>
        </w:rPr>
      </w:r>
      <w:r>
        <w:rPr/>
        <w:t>本公司按承担的份额确认该损失。</w:t>
      </w:r>
    </w:p>
    <w:p>
      <w:pPr>
        <w:spacing w:line="240" w:lineRule="auto" w:before="11"/>
        <w:rPr>
          <w:rFonts w:ascii="宋体" w:hAnsi="宋体" w:cs="宋体" w:eastAsia="宋体" w:hint="default"/>
          <w:sz w:val="15"/>
          <w:szCs w:val="15"/>
        </w:rPr>
      </w:pPr>
    </w:p>
    <w:p>
      <w:pPr>
        <w:spacing w:line="496" w:lineRule="auto" w:before="0"/>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在编制现金流量表时，现金是指公司库存现金以及可以随时用于支付的存款；现金等价物是指持有的</w:t>
      </w:r>
    </w:p>
    <w:p>
      <w:pPr>
        <w:pStyle w:val="BodyText"/>
        <w:spacing w:line="259" w:lineRule="exact" w:before="0"/>
        <w:ind w:right="0"/>
        <w:jc w:val="left"/>
      </w:pPr>
      <w:r>
        <w:rPr/>
        <w:t>期限短（从购买日起</w:t>
      </w:r>
      <w:r>
        <w:rPr>
          <w:rFonts w:ascii="Times New Roman" w:hAnsi="Times New Roman" w:cs="Times New Roman" w:eastAsia="Times New Roman" w:hint="default"/>
        </w:rPr>
        <w:t>3</w:t>
      </w:r>
      <w:r>
        <w:rPr/>
        <w:t>个月到期）、流动性强、易于转换为已知金额现金、价值变动风险很小的投资等。</w:t>
      </w:r>
    </w:p>
    <w:p>
      <w:pPr>
        <w:spacing w:line="240" w:lineRule="auto" w:before="7"/>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386" w:lineRule="auto" w:before="0"/>
        <w:ind w:left="573" w:right="0"/>
        <w:jc w:val="left"/>
      </w:pPr>
      <w:r>
        <w:rPr>
          <w:rFonts w:ascii="Times New Roman" w:hAnsi="Times New Roman" w:cs="Times New Roman" w:eastAsia="Times New Roman" w:hint="default"/>
        </w:rPr>
        <w:t>1.</w:t>
      </w:r>
      <w:r>
        <w:rPr/>
        <w:t>外币业务</w:t>
      </w:r>
      <w:r>
        <w:rPr>
          <w:spacing w:val="-103"/>
        </w:rPr>
        <w:t> </w:t>
      </w:r>
      <w:r>
        <w:rPr>
          <w:spacing w:val="-103"/>
        </w:rPr>
      </w:r>
      <w:r>
        <w:rPr>
          <w:spacing w:val="-2"/>
        </w:rPr>
        <w:t>本公司的外币交易在初始确认时，采用交易发生日的即期汇率（通常指中国人民银行公布的当日外汇</w:t>
      </w:r>
    </w:p>
    <w:p>
      <w:pPr>
        <w:pStyle w:val="BodyText"/>
        <w:spacing w:line="408" w:lineRule="auto" w:before="65"/>
        <w:ind w:left="573" w:right="0" w:hanging="421"/>
        <w:jc w:val="left"/>
      </w:pPr>
      <w:r>
        <w:rPr/>
        <w:t>牌价的中间价，下同）将外币金额折算为人民币金额记账。</w:t>
      </w:r>
      <w:r>
        <w:rPr>
          <w:w w:val="100"/>
        </w:rPr>
        <w:t> </w:t>
      </w:r>
      <w:r>
        <w:rPr>
          <w:spacing w:val="-2"/>
        </w:rPr>
        <w:t>在资产负债表日，对外币货币性资产和负债，采用资产负债表日即期汇率折算为人民币。因资产负债</w:t>
      </w:r>
    </w:p>
    <w:p>
      <w:pPr>
        <w:pStyle w:val="BodyText"/>
        <w:spacing w:line="400" w:lineRule="auto"/>
        <w:ind w:right="146"/>
        <w:jc w:val="both"/>
      </w:pPr>
      <w:r>
        <w:rPr>
          <w:spacing w:val="-2"/>
        </w:rPr>
        <w:t>表日即期汇率与初始确认时或者前一资产负债表日即期汇率不同而产生的汇兑差额，除了按照《企业会计</w:t>
      </w:r>
      <w:r>
        <w:rPr>
          <w:spacing w:val="-44"/>
        </w:rPr>
        <w:t> </w:t>
      </w:r>
      <w:r>
        <w:rPr>
          <w:spacing w:val="-44"/>
        </w:rPr>
      </w:r>
      <w:r>
        <w:rPr/>
        <w:t>准则</w:t>
      </w:r>
      <w:r>
        <w:rPr>
          <w:rFonts w:ascii="Times New Roman" w:hAnsi="Times New Roman" w:cs="Times New Roman" w:eastAsia="Times New Roman" w:hint="default"/>
        </w:rPr>
        <w:t>17</w:t>
      </w:r>
      <w:r>
        <w:rPr/>
        <w:t>号</w:t>
      </w:r>
      <w:r>
        <w:rPr>
          <w:rFonts w:ascii="Times New Roman" w:hAnsi="Times New Roman" w:cs="Times New Roman" w:eastAsia="Times New Roman" w:hint="default"/>
        </w:rPr>
        <w:t>--</w:t>
      </w:r>
      <w:r>
        <w:rPr/>
        <w:t>借款费用》的规定，与购建或生产符合资本化条件的资产相关的外币借款产生的汇兑差额，在</w:t>
      </w:r>
      <w:r>
        <w:rPr>
          <w:spacing w:val="-61"/>
        </w:rPr>
        <w:t> </w:t>
      </w:r>
      <w:r>
        <w:rPr>
          <w:spacing w:val="-61"/>
        </w:rPr>
      </w:r>
      <w:r>
        <w:rPr>
          <w:spacing w:val="-2"/>
        </w:rPr>
        <w:t>资本化期间内，外币借款本金及利息的汇兑差额，予以资本化，计入符合资本化条件的资产的成本外，计</w:t>
      </w:r>
      <w:r>
        <w:rPr>
          <w:spacing w:val="-47"/>
        </w:rPr>
        <w:t> </w:t>
      </w:r>
      <w:r>
        <w:rPr>
          <w:spacing w:val="-47"/>
        </w:rPr>
      </w:r>
      <w:r>
        <w:rPr/>
        <w:t>入当期的财务费用；</w:t>
      </w:r>
    </w:p>
    <w:p>
      <w:pPr>
        <w:spacing w:after="0" w:line="400" w:lineRule="auto"/>
        <w:jc w:val="both"/>
        <w:sectPr>
          <w:pgSz w:w="11910" w:h="16840"/>
          <w:pgMar w:header="852" w:footer="980" w:top="1500" w:bottom="1160" w:left="980" w:right="980"/>
        </w:sectPr>
      </w:pPr>
    </w:p>
    <w:p>
      <w:pPr>
        <w:pStyle w:val="BodyText"/>
        <w:spacing w:line="408" w:lineRule="auto" w:before="116"/>
        <w:ind w:right="0" w:firstLine="420"/>
        <w:jc w:val="left"/>
      </w:pPr>
      <w:r>
        <w:rPr>
          <w:spacing w:val="-5"/>
        </w:rPr>
        <w:t>以历史成本计量的外币非货币性项目，仍采用交易发生日的即期汇率折算，不改变其记账本位币金额；</w:t>
      </w:r>
      <w:r>
        <w:rPr>
          <w:w w:val="100"/>
        </w:rPr>
        <w:t> </w:t>
      </w:r>
      <w:r>
        <w:rPr>
          <w:spacing w:val="-2"/>
        </w:rPr>
        <w:t>以公允价值计量的外币非货币性项目，采用公允价值确定日的即期汇率折算，由其产生的汇兑差额，计入</w:t>
      </w:r>
      <w:r>
        <w:rPr>
          <w:spacing w:val="-43"/>
        </w:rPr>
        <w:t> </w:t>
      </w:r>
      <w:r>
        <w:rPr>
          <w:spacing w:val="-43"/>
        </w:rPr>
      </w:r>
      <w:r>
        <w:rPr/>
        <w:t>当期损益或其他综合收益。</w:t>
      </w:r>
    </w:p>
    <w:p>
      <w:pPr>
        <w:pStyle w:val="BodyText"/>
        <w:spacing w:line="386" w:lineRule="auto"/>
        <w:ind w:left="573" w:right="0"/>
        <w:jc w:val="left"/>
      </w:pPr>
      <w:r>
        <w:rPr>
          <w:rFonts w:ascii="Times New Roman" w:hAnsi="Times New Roman" w:cs="Times New Roman" w:eastAsia="Times New Roman" w:hint="default"/>
        </w:rPr>
        <w:t>2.</w:t>
      </w:r>
      <w:r>
        <w:rPr/>
        <w:t>外币财务报表的折算方法</w:t>
      </w:r>
      <w:r>
        <w:rPr>
          <w:w w:val="100"/>
        </w:rPr>
        <w:t> </w:t>
      </w:r>
      <w:r>
        <w:rPr>
          <w:spacing w:val="2"/>
        </w:rPr>
        <w:t>对于境外子公司以外币表示的会计报表和境内子公司采用母公司记账本位币以外的货币编报的会计</w:t>
      </w:r>
    </w:p>
    <w:p>
      <w:pPr>
        <w:pStyle w:val="BodyText"/>
        <w:spacing w:line="408" w:lineRule="auto" w:before="65"/>
        <w:ind w:right="206"/>
        <w:jc w:val="both"/>
      </w:pPr>
      <w:r>
        <w:rPr>
          <w:spacing w:val="-2"/>
        </w:rPr>
        <w:t>报表，按照以下规定，将其会计报表各项目的数额折算为母公司记账本位币表示的会计报表，并以折算为</w:t>
      </w:r>
      <w:r>
        <w:rPr>
          <w:spacing w:val="-44"/>
        </w:rPr>
        <w:t> </w:t>
      </w:r>
      <w:r>
        <w:rPr>
          <w:spacing w:val="-44"/>
        </w:rPr>
      </w:r>
      <w:r>
        <w:rPr/>
        <w:t>母公司记账本位币后的会计报表编制合并会计报表。</w:t>
      </w:r>
    </w:p>
    <w:p>
      <w:pPr>
        <w:pStyle w:val="BodyText"/>
        <w:spacing w:line="240" w:lineRule="auto"/>
        <w:ind w:left="573" w:right="0"/>
        <w:jc w:val="left"/>
      </w:pPr>
      <w:r>
        <w:rPr/>
        <w:t>（</w:t>
      </w:r>
      <w:r>
        <w:rPr>
          <w:rFonts w:ascii="Times New Roman" w:hAnsi="Times New Roman" w:cs="Times New Roman" w:eastAsia="Times New Roman" w:hint="default"/>
        </w:rPr>
        <w:t>1</w:t>
      </w:r>
      <w:r>
        <w:rPr/>
        <w:t>）所有资产、负债类项目均采用资产负债表日的即期汇率折算。</w:t>
      </w:r>
    </w:p>
    <w:p>
      <w:pPr>
        <w:pStyle w:val="BodyText"/>
        <w:spacing w:line="240" w:lineRule="auto" w:before="178"/>
        <w:ind w:left="573" w:right="0"/>
        <w:jc w:val="left"/>
      </w:pPr>
      <w:r>
        <w:rPr/>
        <w:t>（</w:t>
      </w:r>
      <w:r>
        <w:rPr>
          <w:rFonts w:ascii="Times New Roman" w:hAnsi="Times New Roman" w:cs="Times New Roman" w:eastAsia="Times New Roman" w:hint="default"/>
        </w:rPr>
        <w:t>2</w:t>
      </w:r>
      <w:r>
        <w:rPr/>
        <w:t>）所有者权益类项目除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项目外，均按照发生日的即期汇率折算。</w:t>
      </w:r>
    </w:p>
    <w:p>
      <w:pPr>
        <w:pStyle w:val="BodyText"/>
        <w:spacing w:line="240" w:lineRule="auto" w:before="177"/>
        <w:ind w:left="573"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项目以折算后的利润分配表中该项目的数额作为其数额列示。</w:t>
      </w:r>
    </w:p>
    <w:p>
      <w:pPr>
        <w:pStyle w:val="BodyText"/>
        <w:spacing w:line="240" w:lineRule="auto" w:before="177"/>
        <w:ind w:left="573" w:right="0"/>
        <w:jc w:val="left"/>
      </w:pPr>
      <w:r>
        <w:rPr/>
        <w:t>（</w:t>
      </w:r>
      <w:r>
        <w:rPr>
          <w:rFonts w:ascii="Times New Roman" w:hAnsi="Times New Roman" w:cs="Times New Roman" w:eastAsia="Times New Roman" w:hint="default"/>
        </w:rPr>
        <w:t>4</w:t>
      </w:r>
      <w:r>
        <w:rPr/>
        <w:t>）折算后资产项目与负债项目和所有者权益项目合计数的差额作为</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w:t>
      </w:r>
    </w:p>
    <w:p>
      <w:pPr>
        <w:pStyle w:val="BodyText"/>
        <w:spacing w:line="240" w:lineRule="auto" w:before="177"/>
        <w:ind w:left="573" w:right="0"/>
        <w:jc w:val="left"/>
      </w:pPr>
      <w:r>
        <w:rPr/>
        <w:t>（</w:t>
      </w:r>
      <w:r>
        <w:rPr>
          <w:rFonts w:ascii="Times New Roman" w:hAnsi="Times New Roman" w:cs="Times New Roman" w:eastAsia="Times New Roman" w:hint="default"/>
        </w:rPr>
        <w:t>5</w:t>
      </w:r>
      <w:r>
        <w:rPr/>
        <w:t>）利润表所有项目和利润分配表中的收入和费用项目，采用交易发生日的即期汇率折算。</w:t>
      </w:r>
    </w:p>
    <w:p>
      <w:pPr>
        <w:pStyle w:val="BodyText"/>
        <w:spacing w:line="240" w:lineRule="auto" w:before="177"/>
        <w:ind w:left="573" w:right="0"/>
        <w:jc w:val="left"/>
      </w:pPr>
      <w:r>
        <w:rPr/>
        <w:t>（</w:t>
      </w:r>
      <w:r>
        <w:rPr>
          <w:rFonts w:ascii="Times New Roman" w:hAnsi="Times New Roman" w:cs="Times New Roman" w:eastAsia="Times New Roman" w:hint="default"/>
        </w:rPr>
        <w:t>6</w:t>
      </w:r>
      <w:r>
        <w:rPr/>
        <w:t>）利润分配表中</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项目，按折算后的利润分配表中的其他各项目的数额计算列示。</w:t>
      </w:r>
    </w:p>
    <w:p>
      <w:pPr>
        <w:spacing w:line="240" w:lineRule="auto" w:before="7"/>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0"/>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rFonts w:ascii="Times New Roman" w:hAnsi="Times New Roman" w:cs="Times New Roman" w:eastAsia="Times New Roman" w:hint="default"/>
        </w:rPr>
        <w:t>1.</w:t>
      </w:r>
      <w:r>
        <w:rPr/>
        <w:t>金融工具的分类</w:t>
      </w:r>
      <w:r>
        <w:rPr>
          <w:w w:val="100"/>
        </w:rPr>
        <w:t> </w:t>
      </w:r>
      <w:r>
        <w:rPr>
          <w:spacing w:val="-2"/>
        </w:rPr>
        <w:t>管理层按照取得持有金融资产和承担金融负债的目的，将其划分为：以公允价值计量且其变动计入当</w:t>
      </w:r>
    </w:p>
    <w:p>
      <w:pPr>
        <w:pStyle w:val="BodyText"/>
        <w:spacing w:line="408" w:lineRule="auto" w:before="65"/>
        <w:ind w:right="206"/>
        <w:jc w:val="both"/>
      </w:pPr>
      <w:r>
        <w:rPr>
          <w:spacing w:val="-2"/>
        </w:rPr>
        <w:t>期损益的金融资产或金融负债，包括交易性金融资产或金融负债（和直接指定为以公允价值计量且其变动</w:t>
      </w:r>
      <w:r>
        <w:rPr>
          <w:spacing w:val="-43"/>
        </w:rPr>
        <w:t> </w:t>
      </w:r>
      <w:r>
        <w:rPr>
          <w:spacing w:val="-43"/>
        </w:rPr>
      </w:r>
      <w:r>
        <w:rPr>
          <w:spacing w:val="-2"/>
        </w:rPr>
        <w:t>计入当期损益的金融资产或金融负债）；持有至到期投资；贷款和应收款项；可供出售金融资产；其他金</w:t>
      </w:r>
      <w:r>
        <w:rPr>
          <w:spacing w:val="-43"/>
        </w:rPr>
        <w:t> </w:t>
      </w:r>
      <w:r>
        <w:rPr>
          <w:spacing w:val="-43"/>
        </w:rPr>
      </w:r>
      <w:r>
        <w:rPr/>
        <w:t>融负债等。</w:t>
      </w:r>
    </w:p>
    <w:p>
      <w:pPr>
        <w:pStyle w:val="BodyText"/>
        <w:spacing w:line="240" w:lineRule="auto"/>
        <w:ind w:left="573" w:right="0"/>
        <w:jc w:val="left"/>
      </w:pPr>
      <w:r>
        <w:rPr>
          <w:rFonts w:ascii="Times New Roman" w:hAnsi="Times New Roman" w:cs="Times New Roman" w:eastAsia="Times New Roman" w:hint="default"/>
        </w:rPr>
        <w:t>2.</w:t>
      </w:r>
      <w:r>
        <w:rPr/>
        <w:t>金融工具的确认依据和计量方法</w:t>
      </w:r>
    </w:p>
    <w:p>
      <w:pPr>
        <w:pStyle w:val="BodyText"/>
        <w:spacing w:line="386" w:lineRule="auto" w:before="177"/>
        <w:ind w:right="0" w:firstLine="420"/>
        <w:jc w:val="left"/>
      </w:pPr>
      <w:r>
        <w:rPr/>
        <w:t>（</w:t>
      </w:r>
      <w:r>
        <w:rPr>
          <w:rFonts w:ascii="Times New Roman" w:hAnsi="Times New Roman" w:cs="Times New Roman" w:eastAsia="Times New Roman" w:hint="default"/>
        </w:rPr>
        <w:t>1</w:t>
      </w:r>
      <w:r>
        <w:rPr/>
        <w:t>）以公允价值计量且其变动计入当期损益的金融资产（金融负债）包括交易性金融资产和指定为</w:t>
      </w:r>
      <w:r>
        <w:rPr>
          <w:w w:val="100"/>
        </w:rPr>
        <w:t> </w:t>
      </w:r>
      <w:r>
        <w:rPr>
          <w:spacing w:val="-5"/>
        </w:rPr>
        <w:t>以公允价值计量且其变动计入当期损益的金融资产，是指公司为近期内出售而持有的股票、债券、基金等。</w:t>
      </w:r>
    </w:p>
    <w:p>
      <w:pPr>
        <w:pStyle w:val="BodyText"/>
        <w:spacing w:line="408" w:lineRule="auto" w:before="65"/>
        <w:ind w:right="0" w:firstLine="420"/>
        <w:jc w:val="left"/>
      </w:pPr>
      <w:r>
        <w:rPr>
          <w:spacing w:val="2"/>
        </w:rPr>
        <w:t>初始计量以取得时公允价值（扣除已宣告但尚未发放的现金股利或已到付息期但尚未领取的债券利</w:t>
      </w:r>
      <w:r>
        <w:rPr>
          <w:w w:val="100"/>
        </w:rPr>
        <w:t> </w:t>
      </w:r>
      <w:r>
        <w:rPr/>
        <w:t>息）作为初始确认金额，相关的交易费用计入当期损益。</w:t>
      </w:r>
    </w:p>
    <w:p>
      <w:pPr>
        <w:pStyle w:val="BodyText"/>
        <w:spacing w:line="408" w:lineRule="auto"/>
        <w:ind w:left="573" w:right="0"/>
        <w:jc w:val="left"/>
      </w:pP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240" w:lineRule="auto"/>
        <w:ind w:left="573" w:right="0"/>
        <w:jc w:val="left"/>
      </w:pPr>
      <w:r>
        <w:rPr/>
        <w:t>（</w:t>
      </w:r>
      <w:r>
        <w:rPr>
          <w:rFonts w:ascii="Times New Roman" w:hAnsi="Times New Roman" w:cs="Times New Roman" w:eastAsia="Times New Roman" w:hint="default"/>
        </w:rPr>
        <w:t>2</w:t>
      </w:r>
      <w:r>
        <w:rPr/>
        <w:t>）持有至到期投资，是指到期日固定、回收金额固定或可确定，且公司具有明确意图和能力持有</w:t>
      </w:r>
    </w:p>
    <w:p>
      <w:pPr>
        <w:spacing w:after="0" w:line="240" w:lineRule="auto"/>
        <w:jc w:val="left"/>
        <w:sectPr>
          <w:pgSz w:w="11910" w:h="16840"/>
          <w:pgMar w:header="852" w:footer="980" w:top="1500" w:bottom="1160" w:left="980" w:right="920"/>
        </w:sectPr>
      </w:pPr>
    </w:p>
    <w:p>
      <w:pPr>
        <w:pStyle w:val="BodyText"/>
        <w:spacing w:line="408" w:lineRule="auto" w:before="116"/>
        <w:ind w:left="573" w:right="0" w:hanging="421"/>
        <w:jc w:val="left"/>
      </w:pPr>
      <w:r>
        <w:rPr/>
        <w:t>至到期的国债、公司债券等非衍生金融资产。</w:t>
      </w:r>
      <w:r>
        <w:rPr>
          <w:w w:val="100"/>
        </w:rPr>
        <w:t> </w:t>
      </w:r>
      <w:r>
        <w:rPr>
          <w:spacing w:val="-2"/>
        </w:rPr>
        <w:t>初始计量按取得时公允价值（扣除已到付息期但尚未领取的债券利息）和相关交易费用之和作为初始</w:t>
      </w:r>
    </w:p>
    <w:p>
      <w:pPr>
        <w:pStyle w:val="BodyText"/>
        <w:spacing w:line="240" w:lineRule="auto"/>
        <w:ind w:right="0"/>
        <w:jc w:val="left"/>
      </w:pPr>
      <w:r>
        <w:rPr/>
        <w:t>确认金额。</w:t>
      </w:r>
    </w:p>
    <w:p>
      <w:pPr>
        <w:spacing w:line="240" w:lineRule="auto" w:before="10"/>
        <w:rPr>
          <w:rFonts w:ascii="宋体" w:hAnsi="宋体" w:cs="宋体" w:eastAsia="宋体" w:hint="default"/>
          <w:sz w:val="14"/>
          <w:szCs w:val="14"/>
        </w:rPr>
      </w:pPr>
    </w:p>
    <w:p>
      <w:pPr>
        <w:pStyle w:val="BodyText"/>
        <w:spacing w:line="408" w:lineRule="auto" w:before="0"/>
        <w:ind w:right="206" w:firstLine="420"/>
        <w:jc w:val="both"/>
      </w:pPr>
      <w:r>
        <w:rPr>
          <w:spacing w:val="-2"/>
        </w:rPr>
        <w:t>持有期间采用实际利率法，按照摊余成本进行后续计量，以实际利率（如实际利率与票面利率差别较</w:t>
      </w:r>
      <w:r>
        <w:rPr>
          <w:w w:val="100"/>
        </w:rPr>
        <w:t> </w:t>
      </w:r>
      <w:r>
        <w:rPr>
          <w:spacing w:val="-2"/>
        </w:rPr>
        <w:t>小的，按票面利率）计算确认利息收入，计入投资收益。实际利率在取得时确定，在该预期存续期间或适</w:t>
      </w:r>
      <w:r>
        <w:rPr>
          <w:spacing w:val="-43"/>
        </w:rPr>
        <w:t> </w:t>
      </w:r>
      <w:r>
        <w:rPr>
          <w:spacing w:val="-43"/>
        </w:rPr>
      </w:r>
      <w:r>
        <w:rPr/>
        <w:t>用的更短期间内保持不变。在终止确认、发生减值或摊销时产生的利得或损失，计入当期损益。</w:t>
      </w:r>
    </w:p>
    <w:p>
      <w:pPr>
        <w:pStyle w:val="BodyText"/>
        <w:spacing w:line="240" w:lineRule="auto"/>
        <w:ind w:left="573" w:right="0"/>
        <w:jc w:val="left"/>
      </w:pPr>
      <w:r>
        <w:rPr/>
        <w:t>处置时，将所取得价款与该投资账面价值之间的差额计入投资收益。</w:t>
      </w:r>
    </w:p>
    <w:p>
      <w:pPr>
        <w:spacing w:line="240" w:lineRule="auto" w:before="10"/>
        <w:rPr>
          <w:rFonts w:ascii="宋体" w:hAnsi="宋体" w:cs="宋体" w:eastAsia="宋体" w:hint="default"/>
          <w:sz w:val="14"/>
          <w:szCs w:val="14"/>
        </w:rPr>
      </w:pPr>
    </w:p>
    <w:p>
      <w:pPr>
        <w:pStyle w:val="BodyText"/>
        <w:spacing w:line="386" w:lineRule="auto" w:before="0"/>
        <w:ind w:right="216" w:firstLine="420"/>
        <w:jc w:val="both"/>
      </w:pPr>
      <w:r>
        <w:rPr/>
        <w:t>（</w:t>
      </w:r>
      <w:r>
        <w:rPr>
          <w:rFonts w:ascii="Times New Roman" w:hAnsi="Times New Roman" w:cs="Times New Roman" w:eastAsia="Times New Roman" w:hint="default"/>
        </w:rPr>
        <w:t>3</w:t>
      </w:r>
      <w:r>
        <w:rPr/>
        <w:t>）贷款和应收款项，是指在活跃市场中没有报价、回收金额固定或可确定的非衍生金融资产。包</w:t>
      </w:r>
      <w:r>
        <w:rPr>
          <w:w w:val="100"/>
        </w:rPr>
        <w:t> </w:t>
      </w:r>
      <w:r>
        <w:rPr/>
        <w:t>括应收票据、应收账款、应收利息、应收股利及其他应收款、预付账款、长期应收款等</w:t>
      </w:r>
    </w:p>
    <w:p>
      <w:pPr>
        <w:pStyle w:val="BodyText"/>
        <w:spacing w:line="408" w:lineRule="auto" w:before="65"/>
        <w:ind w:left="573" w:right="0"/>
        <w:jc w:val="left"/>
      </w:pPr>
      <w:r>
        <w:rPr>
          <w:spacing w:val="-2"/>
        </w:rPr>
        <w:t>以向购货方应收的合同或协议价款作为初始确认金额；具有融资性质的，按其现值进行初始确认。</w:t>
      </w:r>
      <w:r>
        <w:rPr>
          <w:spacing w:val="-25"/>
        </w:rPr>
        <w:t> </w:t>
      </w:r>
      <w:r>
        <w:rPr>
          <w:spacing w:val="-25"/>
        </w:rPr>
      </w:r>
      <w:r>
        <w:rPr/>
        <w:t>按摊余成本进行后续计量，在终止确认、发生减值或摊销时产生的利得或损失，计入当期损益。</w:t>
      </w:r>
      <w:r>
        <w:rPr>
          <w:w w:val="100"/>
        </w:rPr>
        <w:t> </w:t>
      </w:r>
      <w:r>
        <w:rPr/>
        <w:t>收回或处置时，将取得的价款与该应收款项账面价值之间的差额计入当期损益。</w:t>
      </w:r>
    </w:p>
    <w:p>
      <w:pPr>
        <w:pStyle w:val="BodyText"/>
        <w:spacing w:line="386" w:lineRule="auto"/>
        <w:ind w:right="216" w:firstLine="420"/>
        <w:jc w:val="both"/>
      </w:pPr>
      <w:r>
        <w:rPr/>
        <w:t>（</w:t>
      </w:r>
      <w:r>
        <w:rPr>
          <w:rFonts w:ascii="Times New Roman" w:hAnsi="Times New Roman" w:cs="Times New Roman" w:eastAsia="Times New Roman" w:hint="default"/>
        </w:rPr>
        <w:t>4</w:t>
      </w:r>
      <w:r>
        <w:rPr/>
        <w:t>）可供出售金融资产，包括初始确认时即被指定为可供出售的非衍生金融资产，以及除了以公允</w:t>
      </w:r>
      <w:r>
        <w:rPr>
          <w:w w:val="100"/>
        </w:rPr>
        <w:t> </w:t>
      </w:r>
      <w:r>
        <w:rPr/>
        <w:t>价值计量且其变动计入当期损益的金融资产、贷款和应收款项、持有至到期投资以外的金融资产。</w:t>
      </w:r>
    </w:p>
    <w:p>
      <w:pPr>
        <w:pStyle w:val="BodyText"/>
        <w:spacing w:line="408" w:lineRule="auto" w:before="65"/>
        <w:ind w:right="220" w:firstLine="420"/>
        <w:jc w:val="both"/>
      </w:pPr>
      <w:r>
        <w:rPr>
          <w:spacing w:val="2"/>
        </w:rPr>
        <w:t>初始计量按取得时公允价值（扣除已宣告但尚未发放的现金股利或已到付息期但尚未领取的债券利</w:t>
      </w:r>
      <w:r>
        <w:rPr>
          <w:w w:val="100"/>
        </w:rPr>
        <w:t> </w:t>
      </w:r>
      <w:r>
        <w:rPr/>
        <w:t>息）和相关交易费用之和作为初始确认金额。</w:t>
      </w:r>
    </w:p>
    <w:p>
      <w:pPr>
        <w:pStyle w:val="BodyText"/>
        <w:spacing w:line="408" w:lineRule="auto"/>
        <w:ind w:right="206" w:firstLine="420"/>
        <w:jc w:val="both"/>
      </w:pPr>
      <w:r>
        <w:rPr>
          <w:spacing w:val="-2"/>
        </w:rPr>
        <w:t>持有期间将取得的利息或及被投资单位宣告发放的现金股利确认为投资收益。年末以公允价值计量且</w:t>
      </w:r>
      <w:r>
        <w:rPr>
          <w:w w:val="100"/>
        </w:rPr>
        <w:t> </w:t>
      </w:r>
      <w:r>
        <w:rPr>
          <w:spacing w:val="-2"/>
        </w:rPr>
        <w:t>将公允价值变动形成的利得或损失，除减值损失和外币货币性金融资产与摊余成本相关的汇兑差额计入当</w:t>
      </w:r>
      <w:r>
        <w:rPr>
          <w:spacing w:val="-43"/>
        </w:rPr>
        <w:t> </w:t>
      </w:r>
      <w:r>
        <w:rPr>
          <w:spacing w:val="-43"/>
        </w:rPr>
      </w:r>
      <w:r>
        <w:rPr/>
        <w:t>期损益外，确认为其他综合收益。</w:t>
      </w:r>
    </w:p>
    <w:p>
      <w:pPr>
        <w:pStyle w:val="BodyText"/>
        <w:spacing w:line="408" w:lineRule="auto"/>
        <w:ind w:right="208" w:firstLine="420"/>
        <w:jc w:val="both"/>
      </w:pPr>
      <w:r>
        <w:rPr>
          <w:spacing w:val="-2"/>
        </w:rPr>
        <w:t>处置时，将取得的价款与该金融资产账面价值之间的差额，计入投资损益；同时，将原直接计入所有</w:t>
      </w:r>
      <w:r>
        <w:rPr>
          <w:w w:val="100"/>
        </w:rPr>
        <w:t> </w:t>
      </w:r>
      <w:r>
        <w:rPr/>
        <w:t>者权益的公允价值变动累计额对应处置部分的金额转出，计入投资损益。</w:t>
      </w:r>
    </w:p>
    <w:p>
      <w:pPr>
        <w:pStyle w:val="BodyText"/>
        <w:spacing w:line="386" w:lineRule="auto"/>
        <w:ind w:right="0" w:firstLine="420"/>
        <w:jc w:val="left"/>
      </w:pPr>
      <w:r>
        <w:rPr>
          <w:spacing w:val="-2"/>
        </w:rPr>
        <w:t>（</w:t>
      </w:r>
      <w:r>
        <w:rPr>
          <w:rFonts w:ascii="Times New Roman" w:hAnsi="Times New Roman" w:cs="Times New Roman" w:eastAsia="Times New Roman" w:hint="default"/>
          <w:spacing w:val="-2"/>
        </w:rPr>
        <w:t>5</w:t>
      </w:r>
      <w:r>
        <w:rPr>
          <w:spacing w:val="-2"/>
        </w:rPr>
        <w:t>）其他金融负债，是指除以公允价值计量且其变动计入当期损益的金融负债以外的其他金融负债，</w:t>
      </w:r>
      <w:r>
        <w:rPr>
          <w:w w:val="100"/>
        </w:rPr>
        <w:t> </w:t>
      </w:r>
      <w:r>
        <w:rPr/>
        <w:t>一般包括企业发行的债券、因购买商品或劳务产生的应付账款、长期应付款等。</w:t>
      </w:r>
    </w:p>
    <w:p>
      <w:pPr>
        <w:pStyle w:val="BodyText"/>
        <w:spacing w:line="408" w:lineRule="auto" w:before="65"/>
        <w:ind w:left="573" w:right="0"/>
        <w:jc w:val="left"/>
      </w:pPr>
      <w:r>
        <w:rPr/>
        <w:t>初始计量时按其公允价值和相关交易费用之和作为初始确认金额。采用摊余成本进行后续计量。</w:t>
      </w:r>
      <w:r>
        <w:rPr>
          <w:w w:val="100"/>
        </w:rPr>
        <w:t> </w:t>
      </w:r>
      <w:r>
        <w:rPr>
          <w:spacing w:val="-2"/>
        </w:rPr>
        <w:t>后续计量按《企业会计准则第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或有事项》确定的金额，和按《企业会计准则第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w:t>
      </w:r>
    </w:p>
    <w:p>
      <w:pPr>
        <w:pStyle w:val="BodyText"/>
        <w:spacing w:line="240" w:lineRule="auto" w:before="14"/>
        <w:ind w:right="0"/>
        <w:jc w:val="left"/>
      </w:pPr>
      <w:r>
        <w:rPr/>
        <w:t>原则确定的累计摊销额后的余额两者中较高的计量。</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rFonts w:ascii="Times New Roman" w:hAnsi="Times New Roman" w:cs="Times New Roman" w:eastAsia="Times New Roman" w:hint="default"/>
        </w:rPr>
        <w:t>3.</w:t>
      </w:r>
      <w:r>
        <w:rPr/>
        <w:t>金融资产转移的确认依据和计量方法</w:t>
      </w:r>
      <w:r>
        <w:rPr>
          <w:w w:val="100"/>
        </w:rPr>
        <w:t> </w:t>
      </w:r>
      <w:r>
        <w:rPr>
          <w:spacing w:val="-2"/>
        </w:rPr>
        <w:t>公司发生金融资产转移时，满足下列条件之一的金融资产，予以终止确认：①收取该金融资产现金流</w:t>
      </w:r>
    </w:p>
    <w:p>
      <w:pPr>
        <w:pStyle w:val="BodyText"/>
        <w:spacing w:line="240" w:lineRule="auto" w:before="65"/>
        <w:ind w:right="0"/>
        <w:jc w:val="left"/>
      </w:pPr>
      <w:r>
        <w:rPr/>
        <w:t>量的合同权利终止；②该金融资产已转移，且将金融资产所有权上几乎所有的风险和报酬转移给转入方；</w:t>
      </w:r>
    </w:p>
    <w:p>
      <w:pPr>
        <w:spacing w:after="0" w:line="240" w:lineRule="auto"/>
        <w:jc w:val="left"/>
        <w:sectPr>
          <w:pgSz w:w="11910" w:h="16840"/>
          <w:pgMar w:header="852" w:footer="980" w:top="1500" w:bottom="1160" w:left="980" w:right="920"/>
        </w:sectPr>
      </w:pPr>
    </w:p>
    <w:p>
      <w:pPr>
        <w:pStyle w:val="BodyText"/>
        <w:spacing w:line="408" w:lineRule="auto" w:before="116"/>
        <w:ind w:right="0"/>
        <w:jc w:val="left"/>
      </w:pPr>
      <w:r>
        <w:rPr>
          <w:spacing w:val="-2"/>
        </w:rPr>
        <w:t>③该金融资产已转移，虽然企业既没有转移也没有保留金融资产所有权上几乎所有的风险和报酬，但是放</w:t>
      </w:r>
      <w:r>
        <w:rPr>
          <w:spacing w:val="-44"/>
        </w:rPr>
        <w:t> </w:t>
      </w:r>
      <w:r>
        <w:rPr>
          <w:spacing w:val="-44"/>
        </w:rPr>
      </w:r>
      <w:r>
        <w:rPr/>
        <w:t>弃了对该金融资产控制。</w:t>
      </w:r>
    </w:p>
    <w:p>
      <w:pPr>
        <w:pStyle w:val="BodyText"/>
        <w:spacing w:line="408" w:lineRule="auto"/>
        <w:ind w:right="146" w:firstLine="420"/>
        <w:jc w:val="both"/>
      </w:pPr>
      <w:r>
        <w:rPr>
          <w:spacing w:val="-2"/>
        </w:rPr>
        <w:t>若企业既没有转移也没有保留金融资产所有权上几乎所有的风险和报酬，且未放弃对该金融资产的控</w:t>
      </w:r>
      <w:r>
        <w:rPr>
          <w:w w:val="100"/>
        </w:rPr>
        <w:t> </w:t>
      </w:r>
      <w:r>
        <w:rPr>
          <w:spacing w:val="-2"/>
        </w:rPr>
        <w:t>制的，则按照继续涉入所转移金融资产的程度确认有关金融资产，并相应确认有关负债。继续涉入所转移</w:t>
      </w:r>
      <w:r>
        <w:rPr>
          <w:spacing w:val="-44"/>
        </w:rPr>
        <w:t> </w:t>
      </w:r>
      <w:r>
        <w:rPr>
          <w:spacing w:val="-44"/>
        </w:rPr>
      </w:r>
      <w:r>
        <w:rPr/>
        <w:t>金融资产的程度，是指该金融资产价值变动使企业面临的风险水平。</w:t>
      </w:r>
    </w:p>
    <w:p>
      <w:pPr>
        <w:pStyle w:val="BodyText"/>
        <w:spacing w:line="408" w:lineRule="auto"/>
        <w:ind w:right="146" w:firstLine="420"/>
        <w:jc w:val="both"/>
      </w:pPr>
      <w:r>
        <w:rPr>
          <w:spacing w:val="-2"/>
        </w:rPr>
        <w:t>在判断金融资产转移是否满足上述金融资产终止确认条件时，采用实质重于形式的原则。公司将金融</w:t>
      </w:r>
      <w:r>
        <w:rPr>
          <w:w w:val="100"/>
        </w:rPr>
        <w:t> </w:t>
      </w:r>
      <w:r>
        <w:rPr>
          <w:spacing w:val="-2"/>
        </w:rPr>
        <w:t>资产转移区分为金融资产整体转移和部分转移。金融资产整体转移满足终止确认条件的，将下列两项金额</w:t>
      </w:r>
      <w:r>
        <w:rPr>
          <w:spacing w:val="-44"/>
        </w:rPr>
        <w:t> </w:t>
      </w:r>
      <w:r>
        <w:rPr>
          <w:spacing w:val="-44"/>
        </w:rPr>
      </w:r>
      <w:r>
        <w:rPr>
          <w:spacing w:val="-2"/>
        </w:rPr>
        <w:t>的差额计入当期损益：①所转移金融资产的账面价值；②因转移而收到的对价，与原直接计入所有者权益</w:t>
      </w:r>
      <w:r>
        <w:rPr>
          <w:spacing w:val="-43"/>
        </w:rPr>
        <w:t> </w:t>
      </w:r>
      <w:r>
        <w:rPr>
          <w:spacing w:val="-43"/>
        </w:rPr>
      </w:r>
      <w:r>
        <w:rPr/>
        <w:t>的公允价值变动累计额（涉及转移的金融资产为可供出售金融资产的情形）之和。</w:t>
      </w:r>
    </w:p>
    <w:p>
      <w:pPr>
        <w:pStyle w:val="BodyText"/>
        <w:spacing w:line="408" w:lineRule="auto"/>
        <w:ind w:right="146" w:firstLine="420"/>
        <w:jc w:val="both"/>
      </w:pPr>
      <w:r>
        <w:rPr>
          <w:spacing w:val="-2"/>
        </w:rPr>
        <w:t>金融资产部分转移满足终止确认条件的，将所转移金融资产整体的账面价值，在终止确认部分和未终</w:t>
      </w:r>
      <w:r>
        <w:rPr>
          <w:w w:val="100"/>
        </w:rPr>
        <w:t> </w:t>
      </w:r>
      <w:r>
        <w:rPr>
          <w:spacing w:val="-2"/>
        </w:rPr>
        <w:t>止确认部分之间，按照各自的相对公允价值进行分摊，并将下列两项金额的差额计入当期损益：①终止确</w:t>
      </w:r>
      <w:r>
        <w:rPr>
          <w:spacing w:val="-43"/>
        </w:rPr>
        <w:t> </w:t>
      </w:r>
      <w:r>
        <w:rPr>
          <w:spacing w:val="-43"/>
        </w:rPr>
      </w:r>
      <w:r>
        <w:rPr>
          <w:spacing w:val="-2"/>
        </w:rPr>
        <w:t>认部分的账面价值；②终止确认部分的对价，与原直接计入所有者权益的公允价值变动累计额中对应终止</w:t>
      </w:r>
      <w:r>
        <w:rPr>
          <w:spacing w:val="-42"/>
        </w:rPr>
        <w:t> </w:t>
      </w:r>
      <w:r>
        <w:rPr>
          <w:spacing w:val="-42"/>
        </w:rPr>
      </w:r>
      <w:r>
        <w:rPr/>
        <w:t>确认部分的金额（涉及转移的金融资产为可供出售金融资产的情形）之和。</w:t>
      </w:r>
    </w:p>
    <w:p>
      <w:pPr>
        <w:pStyle w:val="BodyText"/>
        <w:spacing w:line="398" w:lineRule="auto"/>
        <w:ind w:left="573" w:right="0"/>
        <w:jc w:val="left"/>
      </w:pPr>
      <w:r>
        <w:rPr/>
        <w:t>金融资产转移不满足终止确认条件的，继续确认该金融资产，所收到的对价确认为一项金融负债。</w:t>
      </w:r>
      <w:r>
        <w:rPr>
          <w:w w:val="100"/>
        </w:rPr>
        <w:t> </w:t>
      </w:r>
      <w:r>
        <w:rPr>
          <w:rFonts w:ascii="Times New Roman" w:hAnsi="Times New Roman" w:cs="Times New Roman" w:eastAsia="Times New Roman" w:hint="default"/>
        </w:rPr>
        <w:t>4.</w:t>
      </w:r>
      <w:r>
        <w:rPr/>
        <w:t>金融负债终止确认条件</w:t>
      </w:r>
      <w:r>
        <w:rPr>
          <w:w w:val="100"/>
        </w:rPr>
        <w:t> </w:t>
      </w:r>
      <w:r>
        <w:rPr>
          <w:spacing w:val="-2"/>
        </w:rPr>
        <w:t>金融负债的的现时义务全部或部分已经解除的，则终止确认该金融负债或其一部分；本公司若与债权</w:t>
      </w:r>
    </w:p>
    <w:p>
      <w:pPr>
        <w:pStyle w:val="BodyText"/>
        <w:spacing w:line="408" w:lineRule="auto" w:before="55"/>
        <w:ind w:right="0"/>
        <w:jc w:val="left"/>
      </w:pPr>
      <w:r>
        <w:rPr>
          <w:spacing w:val="-2"/>
        </w:rPr>
        <w:t>人签定协议，以承担新金融负债方式替换现存金融负债，且新金融负债与现存金融负债的合同条款实质上</w:t>
      </w:r>
      <w:r>
        <w:rPr>
          <w:spacing w:val="-43"/>
        </w:rPr>
        <w:t> </w:t>
      </w:r>
      <w:r>
        <w:rPr>
          <w:spacing w:val="-43"/>
        </w:rPr>
      </w:r>
      <w:r>
        <w:rPr/>
        <w:t>不同的，则终止确认现存金融负债，并同时确认新金融负债。</w:t>
      </w:r>
    </w:p>
    <w:p>
      <w:pPr>
        <w:pStyle w:val="BodyText"/>
        <w:spacing w:line="408" w:lineRule="auto"/>
        <w:ind w:right="14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408" w:lineRule="auto"/>
        <w:ind w:right="14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408" w:lineRule="auto"/>
        <w:ind w:right="14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pStyle w:val="BodyText"/>
        <w:spacing w:line="386" w:lineRule="auto"/>
        <w:ind w:left="573" w:right="0"/>
        <w:jc w:val="left"/>
      </w:pPr>
      <w:r>
        <w:rPr>
          <w:rFonts w:ascii="Times New Roman" w:hAnsi="Times New Roman" w:cs="Times New Roman" w:eastAsia="Times New Roman" w:hint="default"/>
        </w:rPr>
        <w:t>5.</w:t>
      </w:r>
      <w:r>
        <w:rPr/>
        <w:t>金融资产和金融负债公允价值的确定方法</w:t>
      </w:r>
      <w:r>
        <w:rPr>
          <w:w w:val="100"/>
        </w:rPr>
        <w:t> </w:t>
      </w:r>
      <w:r>
        <w:rPr>
          <w:spacing w:val="-2"/>
        </w:rPr>
        <w:t>对存在活跃市场的金融资产或金融负债，用活跃市场中的报价确定其公允价值，且不扣除将来处置该</w:t>
      </w:r>
    </w:p>
    <w:p>
      <w:pPr>
        <w:pStyle w:val="BodyText"/>
        <w:spacing w:line="408" w:lineRule="auto" w:before="65"/>
        <w:ind w:right="0"/>
        <w:jc w:val="left"/>
      </w:pPr>
      <w:r>
        <w:rPr>
          <w:spacing w:val="-2"/>
        </w:rPr>
        <w:t>金融资产或金融负债时可能发生的交易费用；对金融工具不存在活跃市场的，采用估值技术确定其公允价</w:t>
      </w:r>
      <w:r>
        <w:rPr>
          <w:spacing w:val="-43"/>
        </w:rPr>
        <w:t> </w:t>
      </w:r>
      <w:r>
        <w:rPr>
          <w:spacing w:val="-43"/>
        </w:rPr>
      </w:r>
      <w:r>
        <w:rPr>
          <w:spacing w:val="-2"/>
        </w:rPr>
        <w:t>值。所采用的估值方法包括参考熟悉情况并自愿交易的各方最近进行的市场交易的成交价、参照实质上相</w:t>
      </w:r>
    </w:p>
    <w:p>
      <w:pPr>
        <w:spacing w:after="0" w:line="408" w:lineRule="auto"/>
        <w:jc w:val="left"/>
        <w:sectPr>
          <w:pgSz w:w="11910" w:h="16840"/>
          <w:pgMar w:header="852" w:footer="980" w:top="1500" w:bottom="1160" w:left="980" w:right="980"/>
        </w:sectPr>
      </w:pPr>
    </w:p>
    <w:p>
      <w:pPr>
        <w:pStyle w:val="BodyText"/>
        <w:spacing w:line="408" w:lineRule="auto" w:before="116"/>
        <w:ind w:right="101"/>
        <w:jc w:val="both"/>
      </w:pPr>
      <w:r>
        <w:rPr>
          <w:spacing w:val="-5"/>
        </w:rPr>
        <w:t>同的其他金融工具的当前市场报价和现金流量折现法。采用估值技术时，尽可能最大程度上使用市场参数， </w:t>
      </w:r>
      <w:r>
        <w:rPr/>
        <w:t>减少使用与公司特定相关的参数。</w:t>
      </w:r>
    </w:p>
    <w:p>
      <w:pPr>
        <w:pStyle w:val="BodyText"/>
        <w:spacing w:line="240" w:lineRule="auto"/>
        <w:ind w:left="573" w:right="0"/>
        <w:jc w:val="left"/>
      </w:pPr>
      <w:r>
        <w:rPr>
          <w:rFonts w:ascii="Times New Roman" w:hAnsi="Times New Roman" w:cs="Times New Roman" w:eastAsia="Times New Roman" w:hint="default"/>
        </w:rPr>
        <w:t>6.</w:t>
      </w:r>
      <w:r>
        <w:rPr/>
        <w:t>金融资产（不含应收款项）减值准备</w:t>
      </w:r>
    </w:p>
    <w:p>
      <w:pPr>
        <w:pStyle w:val="BodyText"/>
        <w:spacing w:line="386" w:lineRule="auto" w:before="177"/>
        <w:ind w:left="573" w:right="0"/>
        <w:jc w:val="left"/>
      </w:pPr>
      <w:r>
        <w:rPr/>
        <w:t>（</w:t>
      </w:r>
      <w:r>
        <w:rPr>
          <w:rFonts w:ascii="Times New Roman" w:hAnsi="Times New Roman" w:cs="Times New Roman" w:eastAsia="Times New Roman" w:hint="default"/>
        </w:rPr>
        <w:t>1</w:t>
      </w:r>
      <w:r>
        <w:rPr/>
        <w:t>）金融资产减值的判断依据</w:t>
      </w:r>
      <w:r>
        <w:rPr>
          <w:w w:val="100"/>
        </w:rPr>
        <w:t> </w:t>
      </w:r>
      <w:r>
        <w:rPr>
          <w:spacing w:val="-2"/>
        </w:rPr>
        <w:t>金融资产发生减值的客观证据，包括下列各项：①发行方或债务人发生严重财务困难；②债务人违反</w:t>
      </w:r>
    </w:p>
    <w:p>
      <w:pPr>
        <w:pStyle w:val="BodyText"/>
        <w:spacing w:line="408" w:lineRule="auto" w:before="65"/>
        <w:ind w:right="103"/>
        <w:jc w:val="both"/>
      </w:pPr>
      <w:r>
        <w:rPr>
          <w:spacing w:val="-2"/>
        </w:rPr>
        <w:t>了合同条款，如偿付利息或本金发生违约或逾期等；③本公司出于经济或法律等方面因素的考虑，对发生</w:t>
      </w:r>
      <w:r>
        <w:rPr>
          <w:spacing w:val="-44"/>
        </w:rPr>
        <w:t> </w:t>
      </w:r>
      <w:r>
        <w:rPr>
          <w:spacing w:val="-44"/>
        </w:rPr>
      </w:r>
      <w:r>
        <w:rPr>
          <w:spacing w:val="-2"/>
        </w:rPr>
        <w:t>困难的债务人作出让步；④债务人很可能倒闭或进行其它财务重组；⑤因发行方发生重大财务困难，该金</w:t>
      </w:r>
      <w:r>
        <w:rPr>
          <w:spacing w:val="-43"/>
        </w:rPr>
        <w:t> </w:t>
      </w:r>
      <w:r>
        <w:rPr>
          <w:spacing w:val="-43"/>
        </w:rPr>
      </w:r>
      <w:r>
        <w:rPr>
          <w:spacing w:val="-2"/>
        </w:rPr>
        <w:t>融资产无法在活跃市场继续交易；⑥无法辨认一组金融资产中的某项资产的现金流量是否已经减少，但根</w:t>
      </w:r>
      <w:r>
        <w:rPr>
          <w:spacing w:val="-43"/>
        </w:rPr>
        <w:t> </w:t>
      </w:r>
      <w:r>
        <w:rPr>
          <w:spacing w:val="-43"/>
        </w:rPr>
      </w:r>
      <w:r>
        <w:rPr>
          <w:spacing w:val="-2"/>
        </w:rPr>
        <w:t>据公开的数据对其进行总体评价后发现，该组金融资产自初始计量以来的预计未来现金流量确实减少且可</w:t>
      </w:r>
      <w:r>
        <w:rPr>
          <w:spacing w:val="-43"/>
        </w:rPr>
        <w:t> </w:t>
      </w:r>
      <w:r>
        <w:rPr>
          <w:spacing w:val="-43"/>
        </w:rPr>
      </w:r>
      <w:r>
        <w:rPr>
          <w:spacing w:val="-2"/>
        </w:rPr>
        <w:t>计量；⑦债务人经营所处的技术、市场、经济和法律环境等发生重大不利变化，使本公司可能无法收回投</w:t>
      </w:r>
      <w:r>
        <w:rPr>
          <w:spacing w:val="-47"/>
        </w:rPr>
        <w:t> </w:t>
      </w:r>
      <w:r>
        <w:rPr>
          <w:spacing w:val="-47"/>
        </w:rPr>
      </w:r>
      <w:r>
        <w:rPr>
          <w:spacing w:val="-5"/>
        </w:rPr>
        <w:t>资成本；⑧权益工具投资的公允价值发生严重或非暂时性下跌；⑨其它表明金融资产发生减值的客观证据。</w:t>
      </w:r>
    </w:p>
    <w:p>
      <w:pPr>
        <w:pStyle w:val="BodyText"/>
        <w:spacing w:line="240" w:lineRule="auto"/>
        <w:ind w:left="573" w:right="0"/>
        <w:jc w:val="left"/>
      </w:pPr>
      <w:r>
        <w:rPr/>
        <w:t>（</w:t>
      </w:r>
      <w:r>
        <w:rPr>
          <w:rFonts w:ascii="Times New Roman" w:hAnsi="Times New Roman" w:cs="Times New Roman" w:eastAsia="Times New Roman" w:hint="default"/>
        </w:rPr>
        <w:t>2</w:t>
      </w:r>
      <w:r>
        <w:rPr/>
        <w:t>）金融资产减值损失的计量（不含应收款项）</w:t>
      </w:r>
    </w:p>
    <w:p>
      <w:pPr>
        <w:pStyle w:val="BodyText"/>
        <w:spacing w:line="408" w:lineRule="auto" w:before="177"/>
        <w:ind w:left="573" w:right="0"/>
        <w:jc w:val="left"/>
      </w:pPr>
      <w:r>
        <w:rPr/>
        <w:t>①可供出售金融资产的减值准备</w:t>
      </w:r>
      <w:r>
        <w:rPr>
          <w:w w:val="100"/>
        </w:rPr>
        <w:t> </w:t>
      </w:r>
      <w:r>
        <w:rPr>
          <w:spacing w:val="-2"/>
        </w:rPr>
        <w:t>年末如果可供出售金融资产的公允价值发生较大幅度下降，或在综合考虑各种相关因素后，预期这种</w:t>
      </w:r>
    </w:p>
    <w:p>
      <w:pPr>
        <w:pStyle w:val="BodyText"/>
        <w:spacing w:line="408" w:lineRule="auto"/>
        <w:ind w:right="206"/>
        <w:jc w:val="both"/>
      </w:pPr>
      <w:r>
        <w:rPr>
          <w:spacing w:val="-2"/>
        </w:rPr>
        <w:t>下降趋势属于非暂时性的，就认定其已发生减值，将原直接计入所有者权益的公允价值下降形成的累计损</w:t>
      </w:r>
      <w:r>
        <w:rPr>
          <w:spacing w:val="-43"/>
        </w:rPr>
        <w:t> </w:t>
      </w:r>
      <w:r>
        <w:rPr>
          <w:spacing w:val="-43"/>
        </w:rPr>
      </w:r>
      <w:r>
        <w:rPr>
          <w:spacing w:val="-2"/>
        </w:rPr>
        <w:t>失一并转出，确认减值损失。转出的累积损失为可供出售金融资产的初始取得成本扣除已收回本金和已摊</w:t>
      </w:r>
      <w:r>
        <w:rPr>
          <w:spacing w:val="-44"/>
        </w:rPr>
        <w:t> </w:t>
      </w:r>
      <w:r>
        <w:rPr>
          <w:spacing w:val="-44"/>
        </w:rPr>
      </w:r>
      <w:r>
        <w:rPr/>
        <w:t>销金额、当期公允价值和原已计入损益的减值损失后的余额。</w:t>
      </w:r>
    </w:p>
    <w:p>
      <w:pPr>
        <w:pStyle w:val="BodyText"/>
        <w:spacing w:line="408" w:lineRule="auto"/>
        <w:ind w:right="206" w:firstLine="420"/>
        <w:jc w:val="both"/>
      </w:pPr>
      <w:r>
        <w:rPr>
          <w:spacing w:val="-2"/>
        </w:rPr>
        <w:t>在确认减值损失后，期后如有客观证据表明该金融资产价值已恢复，且客观上与确认该损失后发生的</w:t>
      </w:r>
      <w:r>
        <w:rPr>
          <w:w w:val="100"/>
        </w:rPr>
        <w:t> </w:t>
      </w:r>
      <w:r>
        <w:rPr>
          <w:spacing w:val="-2"/>
        </w:rPr>
        <w:t>事项有关，原确认的减值损失予以转回，可供出售权益工具投资的减值损失转回确认为其他综合收益，可</w:t>
      </w:r>
      <w:r>
        <w:rPr>
          <w:spacing w:val="-44"/>
        </w:rPr>
        <w:t> </w:t>
      </w:r>
      <w:r>
        <w:rPr>
          <w:spacing w:val="-44"/>
        </w:rPr>
      </w:r>
      <w:r>
        <w:rPr>
          <w:spacing w:val="-2"/>
        </w:rPr>
        <w:t>供出售债务工具的减值损失转回计入当期损益。在活跃市场中没有报价且其公允价值不能可靠计量的权益</w:t>
      </w:r>
      <w:r>
        <w:rPr>
          <w:spacing w:val="-43"/>
        </w:rPr>
        <w:t> </w:t>
      </w:r>
      <w:r>
        <w:rPr>
          <w:spacing w:val="-43"/>
        </w:rPr>
      </w:r>
      <w:r>
        <w:rPr/>
        <w:t>工具投资，或与该权益工具挂钩并须通过交付该权益工具结算的衍生金融资产的减值损失，不予转回。</w:t>
      </w:r>
    </w:p>
    <w:p>
      <w:pPr>
        <w:pStyle w:val="BodyText"/>
        <w:spacing w:line="408" w:lineRule="auto"/>
        <w:ind w:left="573" w:right="0"/>
        <w:jc w:val="left"/>
      </w:pPr>
      <w:r>
        <w:rPr/>
        <w:t>②持有至到期投资的减值准备</w:t>
      </w:r>
      <w:r>
        <w:rPr>
          <w:w w:val="100"/>
        </w:rPr>
        <w:t> </w:t>
      </w:r>
      <w:r>
        <w:rPr>
          <w:spacing w:val="2"/>
        </w:rPr>
        <w:t>以成本或摊余成本计量的持有至到期投资减值损失的计量按预计未来现金流现值低于年末账面价值</w:t>
      </w:r>
    </w:p>
    <w:p>
      <w:pPr>
        <w:pStyle w:val="BodyText"/>
        <w:spacing w:line="408" w:lineRule="auto"/>
        <w:ind w:left="573" w:right="0" w:hanging="421"/>
        <w:jc w:val="left"/>
      </w:pPr>
      <w:r>
        <w:rPr/>
        <w:t>的差额计提减值准备。</w:t>
      </w:r>
      <w:r>
        <w:rPr>
          <w:w w:val="100"/>
        </w:rPr>
        <w:t> </w:t>
      </w:r>
      <w:r>
        <w:rPr>
          <w:spacing w:val="-2"/>
        </w:rPr>
        <w:t>在确认减值损失后，如有客观证据表明该金融资产价值已恢复，且客观上与确认该损失后发生的事项</w:t>
      </w:r>
    </w:p>
    <w:p>
      <w:pPr>
        <w:pStyle w:val="BodyText"/>
        <w:spacing w:line="408" w:lineRule="auto"/>
        <w:ind w:right="206"/>
        <w:jc w:val="both"/>
      </w:pPr>
      <w:r>
        <w:rPr>
          <w:spacing w:val="-2"/>
        </w:rPr>
        <w:t>有关，原确认的减值损失予以转回，该金融资产转回减值损失后的账面价值不超过假定不计提减值准备情</w:t>
      </w:r>
      <w:r>
        <w:rPr>
          <w:spacing w:val="-42"/>
        </w:rPr>
        <w:t> </w:t>
      </w:r>
      <w:r>
        <w:rPr>
          <w:spacing w:val="-42"/>
        </w:rPr>
      </w:r>
      <w:r>
        <w:rPr/>
        <w:t>况下该金融资产在转回日的摊余成本。</w:t>
      </w:r>
    </w:p>
    <w:p>
      <w:pPr>
        <w:pStyle w:val="BodyText"/>
        <w:spacing w:line="386" w:lineRule="auto"/>
        <w:ind w:right="207" w:firstLine="420"/>
        <w:jc w:val="both"/>
      </w:pPr>
      <w:r>
        <w:rPr>
          <w:rFonts w:ascii="Times New Roman" w:hAnsi="Times New Roman" w:cs="Times New Roman" w:eastAsia="Times New Roman" w:hint="default"/>
          <w:spacing w:val="-1"/>
        </w:rPr>
        <w:t>7.</w:t>
      </w:r>
      <w:r>
        <w:rPr>
          <w:spacing w:val="-1"/>
        </w:rPr>
        <w:t>本公司无改变持有意图或能力发生改变的依据，将尚未到期的持有至到期投资重分类为可供出售金</w:t>
      </w:r>
      <w:r>
        <w:rPr>
          <w:w w:val="100"/>
        </w:rPr>
        <w:t> </w:t>
      </w:r>
      <w:r>
        <w:rPr/>
        <w:t>融资产的情形。</w:t>
      </w:r>
    </w:p>
    <w:p>
      <w:pPr>
        <w:spacing w:after="0" w:line="386" w:lineRule="auto"/>
        <w:jc w:val="both"/>
        <w:sectPr>
          <w:pgSz w:w="11910" w:h="16840"/>
          <w:pgMar w:header="852" w:footer="980" w:top="1500" w:bottom="1160" w:left="980" w:right="9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4144"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11</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12"/>
          <w:szCs w:val="12"/>
        </w:rPr>
      </w:pPr>
    </w:p>
    <w:p>
      <w:pPr>
        <w:spacing w:before="44"/>
        <w:ind w:left="0" w:right="161" w:firstLine="0"/>
        <w:jc w:val="right"/>
        <w:rPr>
          <w:rFonts w:ascii="宋体" w:hAnsi="宋体" w:cs="宋体" w:eastAsia="宋体" w:hint="default"/>
          <w:sz w:val="18"/>
          <w:szCs w:val="18"/>
        </w:rPr>
      </w:pPr>
      <w:r>
        <w:rPr/>
        <w:pict>
          <v:shape style="position:absolute;margin-left:56.459999pt;margin-top:-98.768257pt;width:479.2pt;height:181.15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133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本公司根据现有的经营规模、业务性质及客户结算状况等确 定单项金额重大的应收账款标准为人民币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万元以上或 公司应收账款前五名客户；其他应收款为单项余额在人民币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万元以上的往来单位。</w:t>
                        </w:r>
                      </w:p>
                    </w:tc>
                  </w:tr>
                  <w:tr>
                    <w:trPr>
                      <w:trHeight w:val="227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在资产负债表日，对单项金额重大的应收款项单独进行减值 测试，有客观证据表明其发生了减值的，按预计未来现金流 </w:t>
                        </w:r>
                        <w:r>
                          <w:rPr>
                            <w:rFonts w:ascii="宋体" w:hAnsi="宋体" w:cs="宋体" w:eastAsia="宋体" w:hint="default"/>
                            <w:spacing w:val="-2"/>
                            <w:sz w:val="18"/>
                            <w:szCs w:val="18"/>
                          </w:rPr>
                          <w:t>量现值低于其账面价值的差额计提坏账准备，计入当期损益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短期应收款项的预计未来现金流量与其现值相差很小的，不 对其预计未来现金流量进行折现。单独测试未发生减值的应 收款项，按应收款项组合在资产负债表日余额的账龄，分析 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24"/>
              <w:jc w:val="right"/>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8"/>
              <w:jc w:val="right"/>
              <w:rPr>
                <w:rFonts w:ascii="宋体" w:hAnsi="宋体" w:cs="宋体" w:eastAsia="宋体" w:hint="default"/>
                <w:sz w:val="18"/>
                <w:szCs w:val="18"/>
              </w:rPr>
            </w:pPr>
            <w:r>
              <w:rPr>
                <w:rFonts w:ascii="宋体" w:hAnsi="宋体" w:cs="宋体" w:eastAsia="宋体" w:hint="default"/>
                <w:sz w:val="18"/>
                <w:szCs w:val="18"/>
              </w:rPr>
              <w:t>按账龄分析法计提坏账准备的组合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有客观证据表明该应收款项发生了减值。</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按应收款项组合在资产负债表日的余额，根据其未来现金流 量现值低于其账面价值的差额分析计提坏账准备。</w:t>
            </w:r>
          </w:p>
        </w:tc>
      </w:tr>
    </w:tbl>
    <w:p>
      <w:pPr>
        <w:spacing w:after="0" w:line="314" w:lineRule="auto"/>
        <w:jc w:val="left"/>
        <w:rPr>
          <w:rFonts w:ascii="宋体" w:hAnsi="宋体" w:cs="宋体" w:eastAsia="宋体" w:hint="default"/>
          <w:sz w:val="18"/>
          <w:szCs w:val="18"/>
        </w:rPr>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4096"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12</w:t>
      </w:r>
      <w:r>
        <w:rPr/>
        <w:t>、存货</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）存货的分类：本公司存货分为原材料、低值易耗品、在产品、库存商品等。</w:t>
      </w:r>
    </w:p>
    <w:p>
      <w:pPr>
        <w:pStyle w:val="BodyText"/>
        <w:spacing w:line="386" w:lineRule="auto" w:before="177"/>
        <w:ind w:right="156" w:firstLine="420"/>
        <w:jc w:val="both"/>
      </w:pPr>
      <w:r>
        <w:rPr/>
        <w:t>（</w:t>
      </w:r>
      <w:r>
        <w:rPr>
          <w:rFonts w:ascii="Times New Roman" w:hAnsi="Times New Roman" w:cs="Times New Roman" w:eastAsia="Times New Roman" w:hint="default"/>
        </w:rPr>
        <w:t>2</w:t>
      </w:r>
      <w:r>
        <w:rPr/>
        <w:t>）存货取得和发出的计价方法：存货中各类材料均按实际发生的历史成本核算；领用发出时采用</w:t>
      </w:r>
      <w:r>
        <w:rPr>
          <w:w w:val="100"/>
        </w:rPr>
        <w:t> </w:t>
      </w:r>
      <w:r>
        <w:rPr/>
        <w:t>加权平均法计价；低值易耗品采用领用时一次摊销法进行摊销。</w:t>
      </w:r>
    </w:p>
    <w:p>
      <w:pPr>
        <w:pStyle w:val="BodyText"/>
        <w:spacing w:line="386" w:lineRule="auto" w:before="65"/>
        <w:ind w:left="573" w:right="0"/>
        <w:jc w:val="left"/>
      </w:pPr>
      <w:r>
        <w:rPr/>
        <w:t>（</w:t>
      </w:r>
      <w:r>
        <w:rPr>
          <w:rFonts w:ascii="Times New Roman" w:hAnsi="Times New Roman" w:cs="Times New Roman" w:eastAsia="Times New Roman" w:hint="default"/>
        </w:rPr>
        <w:t>3</w:t>
      </w:r>
      <w:r>
        <w:rPr/>
        <w:t>）存货可变现净值的确定依据及存货跌价准备的计提方法</w:t>
      </w:r>
      <w:r>
        <w:rPr>
          <w:w w:val="100"/>
        </w:rPr>
        <w:t> </w:t>
      </w:r>
      <w:r>
        <w:rPr>
          <w:spacing w:val="-2"/>
        </w:rPr>
        <w:t>本公司在资产负债表日，对存货进行全面检查后，对遭受损失，全部或部分陈旧过时或销售价格低于</w:t>
      </w:r>
    </w:p>
    <w:p>
      <w:pPr>
        <w:pStyle w:val="BodyText"/>
        <w:spacing w:line="408" w:lineRule="auto" w:before="65"/>
        <w:ind w:left="573" w:right="0" w:hanging="421"/>
        <w:jc w:val="left"/>
      </w:pPr>
      <w:r>
        <w:rPr/>
        <w:t>成本的存货，按存货成本与可变现净值孰低提取或调整存货跌价准备。</w:t>
      </w:r>
      <w:r>
        <w:rPr>
          <w:w w:val="100"/>
        </w:rPr>
        <w:t> </w:t>
      </w:r>
      <w:r>
        <w:rPr>
          <w:spacing w:val="-2"/>
        </w:rPr>
        <w:t>存货可变现净值系根据本公司在正常经营过程中，以估计售价减去估计完工成本及销售所必须的估计</w:t>
      </w:r>
    </w:p>
    <w:p>
      <w:pPr>
        <w:pStyle w:val="BodyText"/>
        <w:spacing w:line="408" w:lineRule="auto"/>
        <w:ind w:left="573" w:right="0" w:hanging="421"/>
        <w:jc w:val="left"/>
      </w:pPr>
      <w:r>
        <w:rPr/>
        <w:t>费用后的价值。</w:t>
      </w:r>
      <w:r>
        <w:rPr>
          <w:spacing w:val="-103"/>
        </w:rPr>
        <w:t> </w:t>
      </w:r>
      <w:r>
        <w:rPr>
          <w:spacing w:val="-103"/>
        </w:rPr>
      </w:r>
      <w:r>
        <w:rPr>
          <w:spacing w:val="-2"/>
        </w:rPr>
        <w:t>对单价较高的存货按单个项目成本高于可变现净值的差额计提存货跌价准备；对于数量繁多、单价较</w:t>
      </w:r>
    </w:p>
    <w:p>
      <w:pPr>
        <w:pStyle w:val="BodyText"/>
        <w:spacing w:line="408" w:lineRule="auto"/>
        <w:ind w:right="146"/>
        <w:jc w:val="both"/>
      </w:pPr>
      <w:r>
        <w:rPr>
          <w:spacing w:val="-2"/>
        </w:rPr>
        <w:t>低的存货，按存货类别计提存货跌价准备；与在同一地区生产和销售的产品系列相关、具有相同或类似最</w:t>
      </w:r>
      <w:r>
        <w:rPr>
          <w:spacing w:val="-45"/>
        </w:rPr>
        <w:t> </w:t>
      </w:r>
      <w:r>
        <w:rPr>
          <w:spacing w:val="-45"/>
        </w:rPr>
      </w:r>
      <w:r>
        <w:rPr>
          <w:spacing w:val="-2"/>
        </w:rPr>
        <w:t>终用途或目的，且难以与其他项目分开计量的存货，则合并计提存货跌价准备，并计入当期损益。存货可</w:t>
      </w:r>
      <w:r>
        <w:rPr>
          <w:spacing w:val="-47"/>
        </w:rPr>
        <w:t> </w:t>
      </w:r>
      <w:r>
        <w:rPr>
          <w:spacing w:val="-47"/>
        </w:rPr>
      </w:r>
      <w:r>
        <w:rPr/>
        <w:t>变现净值以存货估计售价减去估计的销售费用和相关税费后的金额确定。</w:t>
      </w:r>
    </w:p>
    <w:p>
      <w:pPr>
        <w:pStyle w:val="BodyText"/>
        <w:spacing w:line="408" w:lineRule="auto"/>
        <w:ind w:right="146" w:firstLine="420"/>
        <w:jc w:val="both"/>
      </w:pPr>
      <w:r>
        <w:rPr>
          <w:spacing w:val="-2"/>
        </w:rPr>
        <w:t>存货可变现净值的确定以取得的可靠证据为基础，并且考虑取得存货的目的、资产负债表日后事项的</w:t>
      </w:r>
      <w:r>
        <w:rPr>
          <w:w w:val="100"/>
        </w:rPr>
        <w:t> </w:t>
      </w:r>
      <w:r>
        <w:rPr/>
        <w:t>影响等因素，具体方法如下：</w:t>
      </w:r>
    </w:p>
    <w:p>
      <w:pPr>
        <w:pStyle w:val="BodyText"/>
        <w:spacing w:line="408" w:lineRule="auto"/>
        <w:ind w:right="146" w:firstLine="420"/>
        <w:jc w:val="both"/>
      </w:pPr>
      <w:r>
        <w:rPr>
          <w:rFonts w:ascii="宋体" w:hAnsi="宋体" w:cs="宋体" w:eastAsia="宋体" w:hint="default"/>
          <w:spacing w:val="-2"/>
        </w:rPr>
        <w:t>a.</w:t>
      </w:r>
      <w:r>
        <w:rPr>
          <w:spacing w:val="-2"/>
        </w:rPr>
        <w:t>需要经过加工的材料存货，在正常生产经营过程中，以所生产的产成品估计售价减去至完工时估计</w:t>
      </w:r>
      <w:r>
        <w:rPr>
          <w:w w:val="100"/>
        </w:rPr>
        <w:t> </w:t>
      </w:r>
      <w:r>
        <w:rPr>
          <w:spacing w:val="-2"/>
        </w:rPr>
        <w:t>将要发生的成本，估计销售费用和相关税费后的金额确定其可变现净值。如果可变现净值高于成本，则该</w:t>
      </w:r>
      <w:r>
        <w:rPr>
          <w:spacing w:val="-44"/>
        </w:rPr>
        <w:t> </w:t>
      </w:r>
      <w:r>
        <w:rPr>
          <w:spacing w:val="-44"/>
        </w:rPr>
      </w:r>
      <w:r>
        <w:rPr>
          <w:spacing w:val="-2"/>
        </w:rPr>
        <w:t>材料存货按成本计量，如果材料的价格下降导致生产的产成品的可变现净值低于成本，则该材料按可变现</w:t>
      </w:r>
      <w:r>
        <w:rPr>
          <w:spacing w:val="-43"/>
        </w:rPr>
        <w:t> </w:t>
      </w:r>
      <w:r>
        <w:rPr>
          <w:spacing w:val="-43"/>
        </w:rPr>
      </w:r>
      <w:r>
        <w:rPr/>
        <w:t>净值计量。</w:t>
      </w:r>
    </w:p>
    <w:p>
      <w:pPr>
        <w:pStyle w:val="BodyText"/>
        <w:spacing w:line="408" w:lineRule="auto"/>
        <w:ind w:right="146" w:firstLine="420"/>
        <w:jc w:val="both"/>
      </w:pPr>
      <w:r>
        <w:rPr>
          <w:rFonts w:ascii="宋体" w:hAnsi="宋体" w:cs="宋体" w:eastAsia="宋体" w:hint="default"/>
          <w:spacing w:val="-2"/>
        </w:rPr>
        <w:t>b.</w:t>
      </w:r>
      <w:r>
        <w:rPr>
          <w:spacing w:val="-2"/>
        </w:rPr>
        <w:t>产成品、库存商品和用于出售的材料等直接用于出售的商品存货，在正常生产经营过程中，以该存</w:t>
      </w:r>
      <w:r>
        <w:rPr>
          <w:w w:val="100"/>
        </w:rPr>
        <w:t> </w:t>
      </w:r>
      <w:r>
        <w:rPr/>
        <w:t>货的估计售价减去估计的销售费用和相关税费后的金额确定其可变现净值的计算基础。</w:t>
      </w:r>
    </w:p>
    <w:p>
      <w:pPr>
        <w:pStyle w:val="BodyText"/>
        <w:spacing w:line="408" w:lineRule="auto"/>
        <w:ind w:right="146" w:firstLine="420"/>
        <w:jc w:val="both"/>
      </w:pPr>
      <w:r>
        <w:rPr>
          <w:rFonts w:ascii="宋体" w:hAnsi="宋体" w:cs="宋体" w:eastAsia="宋体" w:hint="default"/>
          <w:spacing w:val="2"/>
        </w:rPr>
        <w:t>c.</w:t>
      </w:r>
      <w:r>
        <w:rPr>
          <w:spacing w:val="2"/>
        </w:rPr>
        <w:t>为执行销售合同或劳务合同而持有的存货，以产成品或商品的合同价格做为可变现净值的计算基</w:t>
      </w:r>
      <w:r>
        <w:rPr>
          <w:w w:val="100"/>
        </w:rPr>
        <w:t> </w:t>
      </w:r>
      <w:r>
        <w:rPr>
          <w:spacing w:val="-2"/>
        </w:rPr>
        <w:t>础。如果持有存货的数量高于销售合同订购的数量，超出部分存货的可变现净值以一般销售价格为计量基</w:t>
      </w:r>
      <w:r>
        <w:rPr>
          <w:spacing w:val="-44"/>
        </w:rPr>
        <w:t> </w:t>
      </w:r>
      <w:r>
        <w:rPr>
          <w:spacing w:val="-44"/>
        </w:rPr>
      </w:r>
      <w:r>
        <w:rPr/>
        <w:t>础。</w:t>
      </w:r>
    </w:p>
    <w:p>
      <w:pPr>
        <w:pStyle w:val="BodyText"/>
        <w:spacing w:line="408" w:lineRule="auto"/>
        <w:ind w:right="146" w:firstLine="420"/>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pStyle w:val="BodyText"/>
        <w:spacing w:line="398" w:lineRule="auto"/>
        <w:ind w:right="0" w:firstLine="420"/>
        <w:jc w:val="left"/>
      </w:pPr>
      <w:r>
        <w:rPr/>
        <w:t>（</w:t>
      </w:r>
      <w:r>
        <w:rPr>
          <w:rFonts w:ascii="Times New Roman" w:hAnsi="Times New Roman" w:cs="Times New Roman" w:eastAsia="Times New Roman" w:hint="default"/>
        </w:rPr>
        <w:t>4</w:t>
      </w:r>
      <w:r>
        <w:rPr/>
        <w:t>）本公司存货采用永续盘存制。一年进行两次实地清查、盘点，盘点结果如果与账面记录不符，</w:t>
      </w:r>
      <w:r>
        <w:rPr>
          <w:w w:val="100"/>
        </w:rPr>
        <w:t> </w:t>
      </w:r>
      <w:r>
        <w:rPr>
          <w:spacing w:val="-2"/>
        </w:rPr>
        <w:t>于期末前查明原因，并根据企业的管理权限，经股东大会或董事会批准后，在期末结账前处理完毕。盘盈</w:t>
      </w:r>
      <w:r>
        <w:rPr>
          <w:spacing w:val="-49"/>
        </w:rPr>
        <w:t> </w:t>
      </w:r>
      <w:r>
        <w:rPr>
          <w:spacing w:val="-49"/>
        </w:rPr>
      </w:r>
      <w:r>
        <w:rPr>
          <w:spacing w:val="-2"/>
        </w:rPr>
        <w:t>的存货，冲减当期的管理费用；盘亏的存货，在减去过失人或者保险公司等赔款和残料价值之后，计入当</w:t>
      </w:r>
    </w:p>
    <w:p>
      <w:pPr>
        <w:spacing w:after="0" w:line="398" w:lineRule="auto"/>
        <w:jc w:val="left"/>
        <w:sectPr>
          <w:pgSz w:w="11910" w:h="16840"/>
          <w:pgMar w:header="852" w:footer="980" w:top="150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9"/>
        <w:ind w:right="0"/>
        <w:jc w:val="left"/>
      </w:pPr>
      <w:r>
        <w:rPr/>
        <w:t>期管理费用，属于非常损失的，计入营业外支出。</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98" w:lineRule="auto" w:before="0"/>
        <w:ind w:right="146" w:firstLine="420"/>
        <w:jc w:val="both"/>
      </w:pPr>
      <w:r>
        <w:rPr>
          <w:rFonts w:ascii="Times New Roman" w:hAnsi="Times New Roman" w:cs="Times New Roman" w:eastAsia="Times New Roman" w:hint="default"/>
          <w:spacing w:val="-1"/>
        </w:rPr>
        <w:t>1.</w:t>
      </w:r>
      <w:r>
        <w:rPr>
          <w:spacing w:val="-1"/>
        </w:rPr>
        <w:t>持有待售资产的分类：主要通过出售（包括具有商业实质的非货币性资产交换，下同）而非持续使</w:t>
      </w:r>
      <w:r>
        <w:rPr>
          <w:w w:val="100"/>
        </w:rPr>
        <w:t> </w:t>
      </w:r>
      <w:r>
        <w:rPr>
          <w:spacing w:val="-2"/>
        </w:rPr>
        <w:t>用一项非流动资产或处置组收回其账面价值的，将其划分为持有待售类别。公司将同时满足下列条件的资</w:t>
      </w:r>
      <w:r>
        <w:rPr>
          <w:spacing w:val="-43"/>
        </w:rPr>
        <w:t> </w:t>
      </w:r>
      <w:r>
        <w:rPr>
          <w:spacing w:val="-43"/>
        </w:rPr>
      </w:r>
      <w:r>
        <w:rPr/>
        <w:t>产划分为持有待售资产：</w:t>
      </w:r>
    </w:p>
    <w:p>
      <w:pPr>
        <w:pStyle w:val="BodyText"/>
        <w:spacing w:line="240" w:lineRule="auto" w:before="54"/>
        <w:ind w:left="467"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86" w:lineRule="auto" w:before="177"/>
        <w:ind w:right="0" w:firstLine="314"/>
        <w:jc w:val="left"/>
      </w:pPr>
      <w:r>
        <w:rPr>
          <w:spacing w:val="-2"/>
        </w:rPr>
        <w:t>（</w:t>
      </w:r>
      <w:r>
        <w:rPr>
          <w:rFonts w:ascii="Times New Roman" w:hAnsi="Times New Roman" w:cs="Times New Roman" w:eastAsia="Times New Roman" w:hint="default"/>
          <w:spacing w:val="-2"/>
        </w:rPr>
        <w:t>2</w:t>
      </w:r>
      <w:r>
        <w:rPr>
          <w:spacing w:val="-2"/>
        </w:rPr>
        <w:t>）出售极可能发生，即已经就一项出售计划作出决议且获得确定的购买承诺，预计出售将在一年内</w:t>
      </w:r>
      <w:r>
        <w:rPr>
          <w:w w:val="100"/>
        </w:rPr>
        <w:t> </w:t>
      </w:r>
      <w:r>
        <w:rPr/>
        <w:t>完成。有关规定要求公司相关权力机构或者监管部门批准后方可出售的，已经获得批准。</w:t>
      </w:r>
    </w:p>
    <w:p>
      <w:pPr>
        <w:pStyle w:val="BodyText"/>
        <w:spacing w:line="386" w:lineRule="auto" w:before="65"/>
        <w:ind w:right="146" w:firstLine="420"/>
        <w:jc w:val="both"/>
      </w:pPr>
      <w:r>
        <w:rPr>
          <w:spacing w:val="-2"/>
        </w:rPr>
        <w:t>公司专为转售而取得的非流动资产或处置组，在取得日满足</w:t>
      </w:r>
      <w:r>
        <w:rPr>
          <w:rFonts w:ascii="Times New Roman" w:hAnsi="Times New Roman" w:cs="Times New Roman" w:eastAsia="Times New Roman" w:hint="default"/>
          <w:spacing w:val="-2"/>
        </w:rPr>
        <w:t>“</w:t>
      </w:r>
      <w:r>
        <w:rPr>
          <w:spacing w:val="-2"/>
        </w:rPr>
        <w:t>预计出售将在一年内完成</w:t>
      </w:r>
      <w:r>
        <w:rPr>
          <w:rFonts w:ascii="Times New Roman" w:hAnsi="Times New Roman" w:cs="Times New Roman" w:eastAsia="Times New Roman" w:hint="default"/>
          <w:spacing w:val="-2"/>
        </w:rPr>
        <w:t>”</w:t>
      </w:r>
      <w:r>
        <w:rPr>
          <w:spacing w:val="-2"/>
        </w:rPr>
        <w:t>的规定条件，</w:t>
      </w:r>
      <w:r>
        <w:rPr>
          <w:w w:val="100"/>
        </w:rPr>
        <w:t> </w:t>
      </w:r>
      <w:r>
        <w:rPr/>
        <w:t>且短期（通常为</w:t>
      </w:r>
      <w:r>
        <w:rPr>
          <w:rFonts w:ascii="Times New Roman" w:hAnsi="Times New Roman" w:cs="Times New Roman" w:eastAsia="Times New Roman" w:hint="default"/>
        </w:rPr>
        <w:t>3</w:t>
      </w:r>
      <w:r>
        <w:rPr/>
        <w:t>个月）内很可能满足持有待售类别的其他划分条件的，在取得日将其划分为持有待售类</w:t>
      </w:r>
      <w:r>
        <w:rPr>
          <w:spacing w:val="-25"/>
        </w:rPr>
        <w:t> </w:t>
      </w:r>
      <w:r>
        <w:rPr>
          <w:spacing w:val="-25"/>
        </w:rPr>
      </w:r>
      <w:r>
        <w:rPr/>
        <w:t>别。</w:t>
      </w:r>
    </w:p>
    <w:p>
      <w:pPr>
        <w:pStyle w:val="BodyText"/>
        <w:spacing w:line="408" w:lineRule="auto" w:before="65"/>
        <w:ind w:right="146" w:firstLine="420"/>
        <w:jc w:val="both"/>
      </w:pPr>
      <w:r>
        <w:rPr>
          <w:spacing w:val="2"/>
        </w:rPr>
        <w:t>持有待售的非流动资产或处置组不再满足持有待售类别划分条件的，不继续将其划分为持有待售类</w:t>
      </w:r>
      <w:r>
        <w:rPr>
          <w:w w:val="100"/>
        </w:rPr>
        <w:t> </w:t>
      </w:r>
      <w:r>
        <w:rPr>
          <w:spacing w:val="-2"/>
        </w:rPr>
        <w:t>别。部分资产或负债从持有待售的处置组中移除后，处置组中剩余资产或负债新组成的处置组仍然满足持</w:t>
      </w:r>
      <w:r>
        <w:rPr>
          <w:spacing w:val="-44"/>
        </w:rPr>
        <w:t> </w:t>
      </w:r>
      <w:r>
        <w:rPr>
          <w:spacing w:val="-44"/>
        </w:rPr>
      </w:r>
      <w:r>
        <w:rPr>
          <w:spacing w:val="-2"/>
        </w:rPr>
        <w:t>有待售类别划分条件的，将新组成的处置组划分为持有待售类别，否则将满足持有待售类别划分条件的非</w:t>
      </w:r>
      <w:r>
        <w:rPr>
          <w:spacing w:val="-42"/>
        </w:rPr>
        <w:t> </w:t>
      </w:r>
      <w:r>
        <w:rPr>
          <w:spacing w:val="-42"/>
        </w:rPr>
      </w:r>
      <w:r>
        <w:rPr/>
        <w:t>流动资产单独划分为持有待售类别。</w:t>
      </w:r>
    </w:p>
    <w:p>
      <w:pPr>
        <w:pStyle w:val="BodyText"/>
        <w:spacing w:line="398" w:lineRule="auto"/>
        <w:ind w:right="146" w:firstLine="420"/>
        <w:jc w:val="both"/>
      </w:pPr>
      <w:r>
        <w:rPr>
          <w:rFonts w:ascii="Times New Roman" w:hAnsi="Times New Roman" w:cs="Times New Roman" w:eastAsia="Times New Roman" w:hint="default"/>
          <w:spacing w:val="-1"/>
        </w:rPr>
        <w:t>2.</w:t>
      </w:r>
      <w:r>
        <w:rPr>
          <w:spacing w:val="-1"/>
        </w:rPr>
        <w:t>持有待售资产的计量：初始计量或在资产负债表日重新计量持有待售的非流动资产或处置组时，其</w:t>
      </w:r>
      <w:r>
        <w:rPr>
          <w:w w:val="100"/>
        </w:rPr>
        <w:t> </w:t>
      </w:r>
      <w:r>
        <w:rPr>
          <w:spacing w:val="-2"/>
        </w:rPr>
        <w:t>账面价值高于公允价值减去出售费用后的净额的，将账面价值减记至公允价值减去出售费用后的净额，减</w:t>
      </w:r>
      <w:r>
        <w:rPr>
          <w:spacing w:val="-43"/>
        </w:rPr>
        <w:t> </w:t>
      </w:r>
      <w:r>
        <w:rPr>
          <w:spacing w:val="-43"/>
        </w:rPr>
      </w:r>
      <w:r>
        <w:rPr/>
        <w:t>记的金额确认为资产减值损失，计入当期损益，同时计提持有待售资产减值准备。</w:t>
      </w:r>
    </w:p>
    <w:p>
      <w:pPr>
        <w:pStyle w:val="BodyText"/>
        <w:spacing w:line="408" w:lineRule="auto" w:before="54"/>
        <w:ind w:right="146" w:firstLine="420"/>
        <w:jc w:val="both"/>
      </w:pPr>
      <w:r>
        <w:rPr>
          <w:spacing w:val="-2"/>
        </w:rPr>
        <w:t>对于取得日划分为持有待售类别的非流动资产或处置组，在初始计量时比较假定其不划分为持有待售</w:t>
      </w:r>
      <w:r>
        <w:rPr>
          <w:w w:val="100"/>
        </w:rPr>
        <w:t> </w:t>
      </w:r>
      <w:r>
        <w:rPr>
          <w:spacing w:val="-2"/>
        </w:rPr>
        <w:t>类别情况下的初始计量金额和公允价值减去出售费用后的净额，以两者孰低计量。除企业合并中取得的非</w:t>
      </w:r>
      <w:r>
        <w:rPr>
          <w:spacing w:val="-43"/>
        </w:rPr>
        <w:t> </w:t>
      </w:r>
      <w:r>
        <w:rPr>
          <w:spacing w:val="-43"/>
        </w:rPr>
      </w:r>
      <w:r>
        <w:rPr>
          <w:spacing w:val="-2"/>
        </w:rPr>
        <w:t>流动资产或处置组外，由非流动资产或处置组以公允价值减去出售费用后的净额作为初始计量金额而产生</w:t>
      </w:r>
      <w:r>
        <w:rPr>
          <w:spacing w:val="-43"/>
        </w:rPr>
        <w:t> </w:t>
      </w:r>
      <w:r>
        <w:rPr>
          <w:spacing w:val="-43"/>
        </w:rPr>
      </w:r>
      <w:r>
        <w:rPr/>
        <w:t>的差额，计入当期损益。</w:t>
      </w:r>
    </w:p>
    <w:p>
      <w:pPr>
        <w:pStyle w:val="BodyText"/>
        <w:spacing w:line="408" w:lineRule="auto"/>
        <w:ind w:right="146" w:firstLine="420"/>
        <w:jc w:val="both"/>
      </w:pPr>
      <w:r>
        <w:rPr>
          <w:spacing w:val="-2"/>
        </w:rPr>
        <w:t>后续资产负债表日持有待售的非流动资产或处置组公允价值减去出售费用后的净额增加的，以前减记</w:t>
      </w:r>
      <w:r>
        <w:rPr>
          <w:w w:val="100"/>
        </w:rPr>
        <w:t> </w:t>
      </w:r>
      <w:r>
        <w:rPr>
          <w:spacing w:val="-2"/>
        </w:rPr>
        <w:t>的金额予以恢复，并在划分为持有待售类别后确认的资产减值损失金额内转回，转回金额根据处置组中除</w:t>
      </w:r>
      <w:r>
        <w:rPr>
          <w:spacing w:val="-44"/>
        </w:rPr>
        <w:t> </w:t>
      </w:r>
      <w:r>
        <w:rPr>
          <w:spacing w:val="-44"/>
        </w:rPr>
      </w:r>
      <w:r>
        <w:rPr>
          <w:spacing w:val="-2"/>
        </w:rPr>
        <w:t>商誉外的各项非流动资产账面价值所占比重，按比例增加其账面价值，计入当期损益。已抵减的商誉账面</w:t>
      </w:r>
      <w:r>
        <w:rPr>
          <w:spacing w:val="-43"/>
        </w:rPr>
        <w:t> </w:t>
      </w:r>
      <w:r>
        <w:rPr>
          <w:spacing w:val="-43"/>
        </w:rPr>
      </w:r>
      <w:r>
        <w:rPr/>
        <w:t>价值，在划分为持有待售类别前确认的资产减值损失不得转回。</w:t>
      </w:r>
    </w:p>
    <w:p>
      <w:pPr>
        <w:pStyle w:val="BodyText"/>
        <w:spacing w:line="408" w:lineRule="auto"/>
        <w:ind w:right="146" w:firstLine="420"/>
        <w:jc w:val="both"/>
      </w:pPr>
      <w:r>
        <w:rPr>
          <w:spacing w:val="-2"/>
        </w:rPr>
        <w:t>持有待售的非流动资产或处置组中的非流动资产不计提折旧或摊销，持有待售的处置组中负债的利息</w:t>
      </w:r>
      <w:r>
        <w:rPr>
          <w:w w:val="100"/>
        </w:rPr>
        <w:t> </w:t>
      </w:r>
      <w:r>
        <w:rPr/>
        <w:t>和其他费用继续予以确认。</w:t>
      </w:r>
    </w:p>
    <w:p>
      <w:pPr>
        <w:spacing w:after="0" w:line="408" w:lineRule="auto"/>
        <w:jc w:val="both"/>
        <w:sectPr>
          <w:pgSz w:w="11910" w:h="16840"/>
          <w:pgMar w:header="852" w:footer="980" w:top="1500" w:bottom="1160" w:left="980" w:right="980"/>
        </w:sectPr>
      </w:pPr>
    </w:p>
    <w:p>
      <w:pPr>
        <w:pStyle w:val="BodyText"/>
        <w:spacing w:line="408" w:lineRule="auto" w:before="116"/>
        <w:ind w:right="0" w:firstLine="420"/>
        <w:jc w:val="left"/>
      </w:pPr>
      <w:r>
        <w:rPr>
          <w:spacing w:val="2"/>
        </w:rPr>
        <w:t>非流动资产或处置组因不再满足持有待售类别的划分条件而不再继续划分为持有待售类别或非流动</w:t>
      </w:r>
      <w:r>
        <w:rPr>
          <w:w w:val="100"/>
        </w:rPr>
        <w:t> </w:t>
      </w:r>
      <w:r>
        <w:rPr/>
        <w:t>资产从持有待售的处置组中移除时，按照以下两者孰低计量：</w:t>
      </w:r>
    </w:p>
    <w:p>
      <w:pPr>
        <w:pStyle w:val="BodyText"/>
        <w:spacing w:line="386" w:lineRule="auto"/>
        <w:ind w:right="0" w:firstLine="314"/>
        <w:jc w:val="left"/>
      </w:pPr>
      <w:r>
        <w:rPr>
          <w:spacing w:val="-2"/>
        </w:rPr>
        <w:t>（</w:t>
      </w:r>
      <w:r>
        <w:rPr>
          <w:rFonts w:ascii="Times New Roman" w:hAnsi="Times New Roman" w:cs="Times New Roman" w:eastAsia="Times New Roman" w:hint="default"/>
          <w:spacing w:val="-2"/>
        </w:rPr>
        <w:t>1</w:t>
      </w:r>
      <w:r>
        <w:rPr>
          <w:spacing w:val="-2"/>
        </w:rPr>
        <w:t>）划分为持有待售类别前的账面价值，按照假定不划分为持有待售类别情况下应确认的折旧、摊销</w:t>
      </w:r>
      <w:r>
        <w:rPr>
          <w:w w:val="100"/>
        </w:rPr>
        <w:t> </w:t>
      </w:r>
      <w:r>
        <w:rPr/>
        <w:t>或减值等进行调整后的金额；</w:t>
      </w:r>
    </w:p>
    <w:p>
      <w:pPr>
        <w:pStyle w:val="BodyText"/>
        <w:spacing w:line="398" w:lineRule="auto" w:before="65"/>
        <w:ind w:left="573" w:right="0" w:hanging="106"/>
        <w:jc w:val="left"/>
      </w:pPr>
      <w:r>
        <w:rPr/>
        <w:t>（</w:t>
      </w:r>
      <w:r>
        <w:rPr>
          <w:rFonts w:ascii="Times New Roman" w:hAnsi="Times New Roman" w:cs="Times New Roman" w:eastAsia="Times New Roman" w:hint="default"/>
        </w:rPr>
        <w:t>2</w:t>
      </w:r>
      <w:r>
        <w:rPr/>
        <w:t>）可收回金额。</w:t>
      </w:r>
      <w:r>
        <w:rPr>
          <w:w w:val="100"/>
        </w:rPr>
        <w:t> </w:t>
      </w:r>
      <w:r>
        <w:rPr/>
        <w:t>终止确认持有待售的非流动资产或处置组时，将尚未确认的利得或损失计入当期损益。</w:t>
      </w:r>
      <w:r>
        <w:rPr>
          <w:w w:val="100"/>
        </w:rPr>
        <w:t> </w:t>
      </w:r>
      <w:r>
        <w:rPr>
          <w:spacing w:val="-2"/>
        </w:rPr>
        <w:t>持有待售负债：反映资产负债表日处置组中与划分为持有待售类别的资产直接相关的负债的期末账面</w:t>
      </w:r>
    </w:p>
    <w:p>
      <w:pPr>
        <w:pStyle w:val="BodyText"/>
        <w:spacing w:line="240" w:lineRule="auto" w:before="54"/>
        <w:ind w:right="0"/>
        <w:jc w:val="left"/>
      </w:pPr>
      <w:r>
        <w:rPr/>
        <w:t>价值。</w:t>
      </w:r>
    </w:p>
    <w:p>
      <w:pPr>
        <w:spacing w:line="240" w:lineRule="auto" w:before="10"/>
        <w:rPr>
          <w:rFonts w:ascii="宋体" w:hAnsi="宋体" w:cs="宋体" w:eastAsia="宋体" w:hint="default"/>
          <w:sz w:val="26"/>
          <w:szCs w:val="26"/>
        </w:rPr>
      </w:pPr>
    </w:p>
    <w:p>
      <w:pPr>
        <w:pStyle w:val="BodyText"/>
        <w:spacing w:line="496" w:lineRule="auto" w:before="0"/>
        <w:ind w:left="573" w:right="0" w:hanging="421"/>
        <w:jc w:val="left"/>
      </w:pPr>
      <w:r>
        <w:rPr>
          <w:rFonts w:ascii="Times New Roman" w:hAnsi="Times New Roman" w:cs="Times New Roman" w:eastAsia="Times New Roman" w:hint="default"/>
          <w:b/>
          <w:bCs/>
        </w:rPr>
        <w:t>14</w:t>
      </w:r>
      <w:r>
        <w:rPr>
          <w:rFonts w:ascii="Microsoft JhengHei" w:hAnsi="Microsoft JhengHei" w:cs="Microsoft JhengHei" w:eastAsia="Microsoft JhengHei" w:hint="default"/>
          <w:b/>
          <w:bCs/>
        </w:rPr>
        <w:t>、长期股权投资</w:t>
      </w:r>
      <w:r>
        <w:rPr>
          <w:rFonts w:ascii="Microsoft JhengHei" w:hAnsi="Microsoft JhengHei" w:cs="Microsoft JhengHei" w:eastAsia="Microsoft JhengHei" w:hint="default"/>
          <w:b/>
          <w:bCs/>
          <w:spacing w:val="-45"/>
        </w:rPr>
        <w:t> </w:t>
      </w:r>
      <w:r>
        <w:rPr>
          <w:spacing w:val="-2"/>
        </w:rPr>
        <w:t>公司长期股权投资指对被投资方实施控制、重大影响的权益性投资，包括子公司和联营企业，以及对</w:t>
      </w:r>
    </w:p>
    <w:p>
      <w:pPr>
        <w:pStyle w:val="BodyText"/>
        <w:spacing w:line="243" w:lineRule="exact" w:before="0"/>
        <w:ind w:left="573" w:right="0" w:hanging="421"/>
        <w:jc w:val="left"/>
      </w:pPr>
      <w:r>
        <w:rPr/>
        <w:t>能够共同控制的合营企业的权益性投资。</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Times New Roman" w:hAnsi="Times New Roman" w:cs="Times New Roman" w:eastAsia="Times New Roman" w:hint="default"/>
        </w:rPr>
        <w:t>1.</w:t>
      </w:r>
      <w:r>
        <w:rPr/>
        <w:t>长期股权投资初始投资成本的确定</w:t>
      </w:r>
    </w:p>
    <w:p>
      <w:pPr>
        <w:pStyle w:val="BodyText"/>
        <w:spacing w:line="403" w:lineRule="auto" w:before="177"/>
        <w:ind w:right="206" w:firstLine="314"/>
        <w:jc w:val="both"/>
      </w:pPr>
      <w:r>
        <w:rPr>
          <w:spacing w:val="-2"/>
        </w:rPr>
        <w:t>（</w:t>
      </w:r>
      <w:r>
        <w:rPr>
          <w:rFonts w:ascii="Times New Roman" w:hAnsi="Times New Roman" w:cs="Times New Roman" w:eastAsia="Times New Roman" w:hint="default"/>
          <w:spacing w:val="-2"/>
        </w:rPr>
        <w:t>1</w:t>
      </w:r>
      <w:r>
        <w:rPr>
          <w:spacing w:val="-2"/>
        </w:rPr>
        <w:t>）同一控制下企业合并形成的，公司以支付现金、转让非现金资产、承担债务或发行权益性证券作</w:t>
      </w:r>
      <w:r>
        <w:rPr>
          <w:w w:val="100"/>
        </w:rPr>
        <w:t> </w:t>
      </w:r>
      <w:r>
        <w:rPr>
          <w:spacing w:val="-2"/>
        </w:rPr>
        <w:t>为合并对价的，在合并日按照取得被合并方所有者权益在最终控制方合并财务报表中的账面价值的份额作</w:t>
      </w:r>
      <w:r>
        <w:rPr>
          <w:spacing w:val="-43"/>
        </w:rPr>
        <w:t> </w:t>
      </w:r>
      <w:r>
        <w:rPr>
          <w:spacing w:val="-43"/>
        </w:rPr>
      </w:r>
      <w:r>
        <w:rPr>
          <w:spacing w:val="-2"/>
        </w:rPr>
        <w:t>为其初始投资成本。长期股权投资初始投资成本与支付的合并对价的账面价值或发行股份的面值总额之间</w:t>
      </w:r>
      <w:r>
        <w:rPr>
          <w:spacing w:val="-43"/>
        </w:rPr>
        <w:t> </w:t>
      </w:r>
      <w:r>
        <w:rPr>
          <w:spacing w:val="-43"/>
        </w:rPr>
      </w:r>
      <w:r>
        <w:rPr>
          <w:spacing w:val="-2"/>
        </w:rPr>
        <w:t>的差额调整资本公积；资本公积不足冲减的，调整留存收益。合并发生的各项直接相关费用，包括为进行</w:t>
      </w:r>
      <w:r>
        <w:rPr>
          <w:spacing w:val="-49"/>
        </w:rPr>
        <w:t> </w:t>
      </w:r>
      <w:r>
        <w:rPr>
          <w:spacing w:val="-49"/>
        </w:rPr>
      </w:r>
      <w:r>
        <w:rPr/>
        <w:t>合并而支付的审计费用、评估费用、法律服务费用等，于发生时计入当期损益。</w:t>
      </w:r>
    </w:p>
    <w:p>
      <w:pPr>
        <w:pStyle w:val="BodyText"/>
        <w:spacing w:line="403" w:lineRule="auto" w:before="50"/>
        <w:ind w:right="0" w:firstLine="314"/>
        <w:jc w:val="left"/>
      </w:pPr>
      <w:r>
        <w:rPr>
          <w:spacing w:val="-5"/>
        </w:rPr>
        <w:t>（</w:t>
      </w:r>
      <w:r>
        <w:rPr>
          <w:rFonts w:ascii="Times New Roman" w:hAnsi="Times New Roman" w:cs="Times New Roman" w:eastAsia="Times New Roman" w:hint="default"/>
          <w:spacing w:val="-5"/>
        </w:rPr>
        <w:t>2</w:t>
      </w:r>
      <w:r>
        <w:rPr>
          <w:spacing w:val="-5"/>
        </w:rPr>
        <w:t>）非同一控制下企业合并形成的，合并成本为购买日公司为取得对被购买方的控制权而付出的资产、</w:t>
      </w:r>
      <w:r>
        <w:rPr>
          <w:w w:val="100"/>
        </w:rPr>
        <w:t> </w:t>
      </w:r>
      <w:r>
        <w:rPr>
          <w:spacing w:val="-2"/>
        </w:rPr>
        <w:t>发生或承担的负债以及发行的权益性证券的公允价值。其中：①一次交易交换形成的企业合并，合并成本</w:t>
      </w:r>
      <w:r>
        <w:rPr>
          <w:spacing w:val="-43"/>
        </w:rPr>
        <w:t> </w:t>
      </w:r>
      <w:r>
        <w:rPr>
          <w:spacing w:val="-43"/>
        </w:rPr>
      </w:r>
      <w:r>
        <w:rPr>
          <w:spacing w:val="-2"/>
        </w:rPr>
        <w:t>为本公司在购买日为取得对被购买方的控制权而付出的资产、发生或承担的债务、以及发行权益性证券的</w:t>
      </w:r>
      <w:r>
        <w:rPr>
          <w:spacing w:val="-42"/>
        </w:rPr>
        <w:t> </w:t>
      </w:r>
      <w:r>
        <w:rPr>
          <w:spacing w:val="-42"/>
        </w:rPr>
      </w:r>
      <w:r>
        <w:rPr>
          <w:spacing w:val="-2"/>
        </w:rPr>
        <w:t>公允价值；②通过多次交换交易分步实现的企业合并，合并成本为每一次单项交易之和。在合并合同中对</w:t>
      </w:r>
      <w:r>
        <w:rPr>
          <w:spacing w:val="-43"/>
        </w:rPr>
        <w:t> </w:t>
      </w:r>
      <w:r>
        <w:rPr>
          <w:spacing w:val="-43"/>
        </w:rPr>
      </w:r>
      <w:r>
        <w:rPr>
          <w:spacing w:val="-2"/>
        </w:rPr>
        <w:t>可能影响合并成本的未来事项作出约定的，购买日如果估计未来事项很可能发生并且对合并成本的影响金</w:t>
      </w:r>
      <w:r>
        <w:rPr>
          <w:spacing w:val="-43"/>
        </w:rPr>
        <w:t> </w:t>
      </w:r>
      <w:r>
        <w:rPr>
          <w:spacing w:val="-43"/>
        </w:rPr>
      </w:r>
      <w:r>
        <w:rPr/>
        <w:t>额能够可靠计量的，也计入合并成本。</w:t>
      </w:r>
    </w:p>
    <w:p>
      <w:pPr>
        <w:pStyle w:val="BodyText"/>
        <w:spacing w:line="408" w:lineRule="auto" w:before="50"/>
        <w:ind w:right="0" w:firstLine="420"/>
        <w:jc w:val="left"/>
      </w:pPr>
      <w:r>
        <w:rPr>
          <w:spacing w:val="-2"/>
        </w:rPr>
        <w:t>为进行企业合并发生的各项直接相关费用，于发生时计入当期损益；发行权益性证券或债务性证券的</w:t>
      </w:r>
      <w:r>
        <w:rPr>
          <w:w w:val="100"/>
        </w:rPr>
        <w:t> </w:t>
      </w:r>
      <w:r>
        <w:rPr/>
        <w:t>交易费用，计入权益性证券或债务性证券的初始确认金额。</w:t>
      </w:r>
    </w:p>
    <w:p>
      <w:pPr>
        <w:pStyle w:val="BodyText"/>
        <w:spacing w:line="408" w:lineRule="auto"/>
        <w:ind w:right="0" w:firstLine="420"/>
        <w:jc w:val="left"/>
      </w:pPr>
      <w:r>
        <w:rPr>
          <w:spacing w:val="-2"/>
        </w:rPr>
        <w:t>对合并成本大于合并中取得的被购买方可辨认净资产公允价值份额的差额，确认为商誉，对取得的被</w:t>
      </w:r>
      <w:r>
        <w:rPr>
          <w:w w:val="100"/>
        </w:rPr>
        <w:t> </w:t>
      </w:r>
      <w:r>
        <w:rPr/>
        <w:t>购买方可辨认净资产公允价值份额大于合并成本的差额，经复核后进入当期损益。</w:t>
      </w:r>
    </w:p>
    <w:p>
      <w:pPr>
        <w:pStyle w:val="BodyText"/>
        <w:spacing w:line="240" w:lineRule="auto"/>
        <w:ind w:left="467" w:right="0"/>
        <w:jc w:val="left"/>
      </w:pPr>
      <w:r>
        <w:rPr>
          <w:spacing w:val="-4"/>
        </w:rPr>
        <w:t>（</w:t>
      </w:r>
      <w:r>
        <w:rPr>
          <w:rFonts w:ascii="Times New Roman" w:hAnsi="Times New Roman" w:cs="Times New Roman" w:eastAsia="Times New Roman" w:hint="default"/>
          <w:spacing w:val="-4"/>
        </w:rPr>
        <w:t>3</w:t>
      </w:r>
      <w:r>
        <w:rPr>
          <w:spacing w:val="-4"/>
        </w:rPr>
        <w:t>）除企业合并形成以外的</w:t>
      </w:r>
      <w:r>
        <w:rPr>
          <w:rFonts w:ascii="Times New Roman" w:hAnsi="Times New Roman" w:cs="Times New Roman" w:eastAsia="Times New Roman" w:hint="default"/>
          <w:spacing w:val="-4"/>
        </w:rPr>
        <w:t>,</w:t>
      </w:r>
      <w:r>
        <w:rPr>
          <w:spacing w:val="-4"/>
        </w:rPr>
        <w:t>其他方式取得的长期股权投资，按照下列规定确定其初始投资成本：①以</w:t>
      </w:r>
    </w:p>
    <w:p>
      <w:pPr>
        <w:spacing w:after="0" w:line="240" w:lineRule="auto"/>
        <w:jc w:val="left"/>
        <w:sectPr>
          <w:footerReference w:type="default" r:id="rId24"/>
          <w:pgSz w:w="11910" w:h="16840"/>
          <w:pgMar w:footer="980" w:header="852" w:top="1500" w:bottom="1160" w:left="980" w:right="920"/>
          <w:pgNumType w:start="110"/>
        </w:sectPr>
      </w:pPr>
    </w:p>
    <w:p>
      <w:pPr>
        <w:pStyle w:val="BodyText"/>
        <w:spacing w:line="408" w:lineRule="auto" w:before="116"/>
        <w:ind w:right="146"/>
        <w:jc w:val="both"/>
      </w:pPr>
      <w:r>
        <w:rPr>
          <w:spacing w:val="-2"/>
        </w:rPr>
        <w:t>支付现金取得的长期股权投资，按照实际支付的购买价款作为初始投资成本，包括与取得长期股权投资直</w:t>
      </w:r>
      <w:r>
        <w:rPr>
          <w:spacing w:val="-43"/>
        </w:rPr>
        <w:t> </w:t>
      </w:r>
      <w:r>
        <w:rPr>
          <w:spacing w:val="-43"/>
        </w:rPr>
      </w:r>
      <w:r>
        <w:rPr>
          <w:spacing w:val="-2"/>
        </w:rPr>
        <w:t>接相关的费用、税金及其他必要支出；②以发行权益性证券取得的长期股权投资，按照发行权益性证券的</w:t>
      </w:r>
      <w:r>
        <w:rPr>
          <w:spacing w:val="-44"/>
        </w:rPr>
        <w:t> </w:t>
      </w:r>
      <w:r>
        <w:rPr>
          <w:spacing w:val="-44"/>
        </w:rPr>
      </w:r>
      <w:r>
        <w:rPr>
          <w:spacing w:val="-2"/>
        </w:rPr>
        <w:t>公允价值作为初始投资成本；③投资者投入的长期股权投资，按照投资合同或协议约定的价值（扣除已宣</w:t>
      </w:r>
      <w:r>
        <w:rPr>
          <w:spacing w:val="-44"/>
        </w:rPr>
        <w:t> </w:t>
      </w:r>
      <w:r>
        <w:rPr>
          <w:spacing w:val="-44"/>
        </w:rPr>
      </w:r>
      <w:r>
        <w:rPr>
          <w:spacing w:val="-2"/>
        </w:rPr>
        <w:t>告但尚未发放的现金股利或利润）作为初始投资成本，但合同或协议约定价值不公允的除外；④在非货币</w:t>
      </w:r>
      <w:r>
        <w:rPr>
          <w:spacing w:val="-43"/>
        </w:rPr>
        <w:t> </w:t>
      </w:r>
      <w:r>
        <w:rPr>
          <w:spacing w:val="-43"/>
        </w:rPr>
      </w:r>
      <w:r>
        <w:rPr>
          <w:spacing w:val="-2"/>
        </w:rPr>
        <w:t>性资产交换具备商业实质和换入资产或换出资产的公允价值能够可靠计量的前提下，通过非货币性资产交</w:t>
      </w:r>
      <w:r>
        <w:rPr>
          <w:spacing w:val="-43"/>
        </w:rPr>
        <w:t> </w:t>
      </w:r>
      <w:r>
        <w:rPr>
          <w:spacing w:val="-43"/>
        </w:rPr>
      </w:r>
      <w:r>
        <w:rPr>
          <w:spacing w:val="-2"/>
        </w:rPr>
        <w:t>换取得的长期股权投资，其初始投资成本以换出资产的公允价值为基础确定其初始投资成本，除非有确凿</w:t>
      </w:r>
      <w:r>
        <w:rPr>
          <w:spacing w:val="-43"/>
        </w:rPr>
        <w:t> </w:t>
      </w:r>
      <w:r>
        <w:rPr>
          <w:spacing w:val="-43"/>
        </w:rPr>
      </w:r>
      <w:r>
        <w:rPr>
          <w:spacing w:val="-2"/>
        </w:rPr>
        <w:t>证据表明换入资产的公允价值更加可靠；不满足上述前提的非货币性资产交换，以换出资产的账面价值和</w:t>
      </w:r>
      <w:r>
        <w:rPr>
          <w:spacing w:val="-43"/>
        </w:rPr>
        <w:t> </w:t>
      </w:r>
      <w:r>
        <w:rPr>
          <w:spacing w:val="-43"/>
        </w:rPr>
      </w:r>
      <w:r>
        <w:rPr>
          <w:spacing w:val="-2"/>
        </w:rPr>
        <w:t>应支付的相关税费作为换入长期股权投资的初始投资成本；⑤通过债务重组取得的长期股权投资，其初始</w:t>
      </w:r>
      <w:r>
        <w:rPr>
          <w:spacing w:val="-44"/>
        </w:rPr>
        <w:t> </w:t>
      </w:r>
      <w:r>
        <w:rPr>
          <w:spacing w:val="-44"/>
        </w:rPr>
      </w:r>
      <w:r>
        <w:rPr/>
        <w:t>投资成本按照债务重组准则确定。</w:t>
      </w:r>
    </w:p>
    <w:p>
      <w:pPr>
        <w:pStyle w:val="BodyText"/>
        <w:spacing w:line="240" w:lineRule="auto"/>
        <w:ind w:left="573" w:right="0"/>
        <w:jc w:val="left"/>
      </w:pPr>
      <w:r>
        <w:rPr>
          <w:rFonts w:ascii="Times New Roman" w:hAnsi="Times New Roman" w:cs="Times New Roman" w:eastAsia="Times New Roman" w:hint="default"/>
        </w:rPr>
        <w:t>2.</w:t>
      </w:r>
      <w:r>
        <w:rPr/>
        <w:t>长期投资后续计量及收益确认</w:t>
      </w:r>
    </w:p>
    <w:p>
      <w:pPr>
        <w:pStyle w:val="BodyText"/>
        <w:spacing w:line="386" w:lineRule="auto" w:before="177"/>
        <w:ind w:left="573" w:right="0" w:hanging="106"/>
        <w:jc w:val="left"/>
      </w:pPr>
      <w:r>
        <w:rPr/>
        <w:t>（</w:t>
      </w:r>
      <w:r>
        <w:rPr>
          <w:rFonts w:ascii="Times New Roman" w:hAnsi="Times New Roman" w:cs="Times New Roman" w:eastAsia="Times New Roman" w:hint="default"/>
        </w:rPr>
        <w:t>1</w:t>
      </w:r>
      <w:r>
        <w:rPr/>
        <w:t>）后续计量</w:t>
      </w:r>
      <w:r>
        <w:rPr>
          <w:w w:val="100"/>
        </w:rPr>
        <w:t> </w:t>
      </w:r>
      <w:r>
        <w:rPr>
          <w:spacing w:val="-2"/>
        </w:rPr>
        <w:t>本公司对能够对被投资单位实施控制的长期股权投资采用成本法核算，在编制合并财务报表时按照权</w:t>
      </w:r>
    </w:p>
    <w:p>
      <w:pPr>
        <w:pStyle w:val="BodyText"/>
        <w:spacing w:line="408" w:lineRule="auto" w:before="65"/>
        <w:ind w:left="573" w:right="0" w:hanging="421"/>
        <w:jc w:val="left"/>
      </w:pPr>
      <w:r>
        <w:rPr/>
        <w:t>益法进行调整；对具有共同控制或重大影响的长期股权投资，采用权益法核算。</w:t>
      </w:r>
      <w:r>
        <w:rPr>
          <w:w w:val="100"/>
        </w:rPr>
        <w:t> </w:t>
      </w:r>
      <w:r>
        <w:rPr>
          <w:spacing w:val="-2"/>
        </w:rPr>
        <w:t>初始投资成本大于投资时应享有被投资单位可辨认净资产公允价值份额的差额，不调整长期股权投资</w:t>
      </w:r>
    </w:p>
    <w:p>
      <w:pPr>
        <w:pStyle w:val="BodyText"/>
        <w:spacing w:line="408" w:lineRule="auto"/>
        <w:ind w:right="146"/>
        <w:jc w:val="both"/>
      </w:pPr>
      <w:r>
        <w:rPr>
          <w:spacing w:val="-2"/>
        </w:rPr>
        <w:t>的初始投资成本；初始投资成本小于投资时应享有被投资单位可辨认净资产公允价值份额的差额，计入当</w:t>
      </w:r>
      <w:r>
        <w:rPr>
          <w:spacing w:val="-44"/>
        </w:rPr>
        <w:t> </w:t>
      </w:r>
      <w:r>
        <w:rPr>
          <w:spacing w:val="-44"/>
        </w:rPr>
      </w:r>
      <w:r>
        <w:rPr/>
        <w:t>期损益。</w:t>
      </w:r>
    </w:p>
    <w:p>
      <w:pPr>
        <w:pStyle w:val="BodyText"/>
        <w:spacing w:line="408" w:lineRule="auto"/>
        <w:ind w:right="146" w:firstLine="420"/>
        <w:jc w:val="both"/>
      </w:pPr>
      <w:r>
        <w:rPr>
          <w:spacing w:val="-2"/>
        </w:rPr>
        <w:t>被投资单位除净损益以外所有者权益其他变动的处理：对于被投资单位除净损益以外所有者权益的其</w:t>
      </w:r>
      <w:r>
        <w:rPr>
          <w:w w:val="100"/>
        </w:rPr>
        <w:t> </w:t>
      </w:r>
      <w:r>
        <w:rPr>
          <w:spacing w:val="-2"/>
        </w:rPr>
        <w:t>他变动，在持股比例不变的情况下，公司按照持股比例计算应享有或承担的部分，调整长期股权投资的账</w:t>
      </w:r>
      <w:r>
        <w:rPr>
          <w:spacing w:val="-44"/>
        </w:rPr>
        <w:t> </w:t>
      </w:r>
      <w:r>
        <w:rPr>
          <w:spacing w:val="-44"/>
        </w:rPr>
      </w:r>
      <w:r>
        <w:rPr/>
        <w:t>面价值，同时增加或减少资本公积（其他资本公积）。</w:t>
      </w:r>
    </w:p>
    <w:p>
      <w:pPr>
        <w:pStyle w:val="BodyText"/>
        <w:spacing w:line="386" w:lineRule="auto"/>
        <w:ind w:left="573" w:right="0"/>
        <w:jc w:val="left"/>
      </w:pPr>
      <w:r>
        <w:rPr/>
        <w:t>（</w:t>
      </w:r>
      <w:r>
        <w:rPr>
          <w:rFonts w:ascii="Times New Roman" w:hAnsi="Times New Roman" w:cs="Times New Roman" w:eastAsia="Times New Roman" w:hint="default"/>
        </w:rPr>
        <w:t>2</w:t>
      </w:r>
      <w:r>
        <w:rPr/>
        <w:t>）损益确认</w:t>
      </w:r>
      <w:r>
        <w:rPr>
          <w:w w:val="100"/>
        </w:rPr>
        <w:t> </w:t>
      </w:r>
      <w:r>
        <w:rPr>
          <w:spacing w:val="-2"/>
        </w:rPr>
        <w:t>成本法下，自</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日起，除取得投资时实际支付的价款或对价中包含的已宣告但尚未发放的现</w:t>
      </w:r>
    </w:p>
    <w:p>
      <w:pPr>
        <w:pStyle w:val="BodyText"/>
        <w:spacing w:line="408" w:lineRule="auto" w:before="35"/>
        <w:ind w:right="146"/>
        <w:jc w:val="both"/>
      </w:pPr>
      <w:r>
        <w:rPr>
          <w:spacing w:val="-2"/>
        </w:rPr>
        <w:t>金股利或利润外，公司按照享有被投资单位宣告发放的现金股利或利润确认投资收益，不再划分是否属于</w:t>
      </w:r>
      <w:r>
        <w:rPr>
          <w:spacing w:val="-43"/>
        </w:rPr>
        <w:t> </w:t>
      </w:r>
      <w:r>
        <w:rPr>
          <w:spacing w:val="-43"/>
        </w:rPr>
      </w:r>
      <w:r>
        <w:rPr/>
        <w:t>投资前和投资后被投资单位实现的净利润。</w:t>
      </w:r>
    </w:p>
    <w:p>
      <w:pPr>
        <w:pStyle w:val="BodyText"/>
        <w:spacing w:line="408" w:lineRule="auto"/>
        <w:ind w:right="146" w:firstLine="420"/>
        <w:jc w:val="both"/>
      </w:pPr>
      <w:r>
        <w:rPr>
          <w:spacing w:val="-2"/>
        </w:rPr>
        <w:t>在本公司按照上述规定确认自被投资单位应分得的现金股利或利润后，会考虑长期股权投资是否发生</w:t>
      </w:r>
      <w:r>
        <w:rPr>
          <w:w w:val="100"/>
        </w:rPr>
        <w:t> </w:t>
      </w:r>
      <w:r>
        <w:rPr/>
        <w:t>减值。</w:t>
      </w:r>
    </w:p>
    <w:p>
      <w:pPr>
        <w:pStyle w:val="BodyText"/>
        <w:spacing w:line="408" w:lineRule="auto"/>
        <w:ind w:right="146" w:firstLine="420"/>
        <w:jc w:val="both"/>
      </w:pPr>
      <w:r>
        <w:rPr>
          <w:spacing w:val="-2"/>
        </w:rPr>
        <w:t>权益法下，以取得被投资单位股权后，在计算投资收益时按本公司的会计政策及会计期间对被投资单</w:t>
      </w:r>
      <w:r>
        <w:rPr>
          <w:w w:val="100"/>
        </w:rPr>
        <w:t> </w:t>
      </w:r>
      <w:r>
        <w:rPr>
          <w:spacing w:val="-2"/>
        </w:rPr>
        <w:t>位报表进行调整，同时抵消本公司与联营企业、合营企业之间发生的内部交易，计算本公司应享有或分担</w:t>
      </w:r>
      <w:r>
        <w:rPr>
          <w:spacing w:val="-44"/>
        </w:rPr>
        <w:t> </w:t>
      </w:r>
      <w:r>
        <w:rPr>
          <w:spacing w:val="-44"/>
        </w:rPr>
      </w:r>
      <w:r>
        <w:rPr/>
        <w:t>的部分。以计算后的净损益为基础确认投资收益，并调整长期股权投资的账面价值。</w:t>
      </w:r>
    </w:p>
    <w:p>
      <w:pPr>
        <w:pStyle w:val="BodyText"/>
        <w:spacing w:line="240" w:lineRule="auto"/>
        <w:ind w:left="573" w:right="0"/>
        <w:jc w:val="left"/>
      </w:pPr>
      <w:r>
        <w:rPr/>
        <w:t>在公司确认应分担被投资单位发生的亏损时，按照以下顺序进行处理：首先，冲减长期股权投资的账</w:t>
      </w:r>
    </w:p>
    <w:p>
      <w:pPr>
        <w:spacing w:after="0" w:line="240" w:lineRule="auto"/>
        <w:jc w:val="left"/>
        <w:sectPr>
          <w:pgSz w:w="11910" w:h="16840"/>
          <w:pgMar w:header="852" w:footer="980" w:top="1500" w:bottom="1160" w:left="980" w:right="980"/>
        </w:sectPr>
      </w:pPr>
    </w:p>
    <w:p>
      <w:pPr>
        <w:pStyle w:val="BodyText"/>
        <w:spacing w:line="408" w:lineRule="auto" w:before="116"/>
        <w:ind w:right="146"/>
        <w:jc w:val="both"/>
      </w:pPr>
      <w:r>
        <w:rPr>
          <w:spacing w:val="-2"/>
        </w:rPr>
        <w:t>面价值。其次，长期股权投资的账面价值不足以冲减的，以其他实质上构成对被投资单位净投资的长期权</w:t>
      </w:r>
      <w:r>
        <w:rPr>
          <w:spacing w:val="-44"/>
        </w:rPr>
        <w:t> </w:t>
      </w:r>
      <w:r>
        <w:rPr>
          <w:spacing w:val="-44"/>
        </w:rPr>
      </w:r>
      <w:r>
        <w:rPr>
          <w:spacing w:val="-2"/>
        </w:rPr>
        <w:t>益账面价值为限继续确认投资损失，冲减长期应收项目等的账面价值。最后，经过上述处理，按照投资合</w:t>
      </w:r>
      <w:r>
        <w:rPr>
          <w:spacing w:val="-47"/>
        </w:rPr>
        <w:t> </w:t>
      </w:r>
      <w:r>
        <w:rPr>
          <w:spacing w:val="-47"/>
        </w:rPr>
      </w:r>
      <w:r>
        <w:rPr/>
        <w:t>同或协议约定企业仍承担额外义务的，按预计承担的义务确认预计负债，计入当期投资损失。</w:t>
      </w:r>
    </w:p>
    <w:p>
      <w:pPr>
        <w:pStyle w:val="BodyText"/>
        <w:spacing w:line="408" w:lineRule="auto"/>
        <w:ind w:right="146" w:firstLine="420"/>
        <w:jc w:val="both"/>
      </w:pPr>
      <w:r>
        <w:rPr>
          <w:spacing w:val="-2"/>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43"/>
        </w:rPr>
        <w:t> </w:t>
      </w:r>
      <w:r>
        <w:rPr>
          <w:spacing w:val="-43"/>
        </w:rPr>
      </w:r>
      <w:r>
        <w:rPr/>
        <w:t>面价值，同时确认投资收益。</w:t>
      </w:r>
    </w:p>
    <w:p>
      <w:pPr>
        <w:pStyle w:val="BodyText"/>
        <w:spacing w:line="386" w:lineRule="auto"/>
        <w:ind w:left="573" w:right="0"/>
        <w:jc w:val="left"/>
      </w:pPr>
      <w:r>
        <w:rPr>
          <w:rFonts w:ascii="Times New Roman" w:hAnsi="Times New Roman" w:cs="Times New Roman" w:eastAsia="Times New Roman" w:hint="default"/>
        </w:rPr>
        <w:t>3.</w:t>
      </w:r>
      <w:r>
        <w:rPr/>
        <w:t>被投资单位具有共同控制、重大影响的依据</w:t>
      </w:r>
      <w:r>
        <w:rPr>
          <w:w w:val="100"/>
        </w:rPr>
        <w:t> </w:t>
      </w:r>
      <w:r>
        <w:rPr>
          <w:spacing w:val="-2"/>
        </w:rPr>
        <w:t>按照合同约定对某项经济活动所共有的控制，仅在与该项经济活动相关的重要财务和经营决策需要分</w:t>
      </w:r>
    </w:p>
    <w:p>
      <w:pPr>
        <w:pStyle w:val="BodyText"/>
        <w:spacing w:line="408" w:lineRule="auto" w:before="65"/>
        <w:ind w:right="146"/>
        <w:jc w:val="both"/>
      </w:pPr>
      <w:r>
        <w:rPr>
          <w:spacing w:val="-2"/>
        </w:rPr>
        <w:t>享控制权的投资方一致同意时存在，则视为与其他方对被投资单位实施共同控制；对一个企业的财务和经</w:t>
      </w:r>
      <w:r>
        <w:rPr>
          <w:spacing w:val="-42"/>
        </w:rPr>
        <w:t> </w:t>
      </w:r>
      <w:r>
        <w:rPr>
          <w:spacing w:val="-42"/>
        </w:rPr>
      </w:r>
      <w:r>
        <w:rPr>
          <w:spacing w:val="-2"/>
        </w:rPr>
        <w:t>营决策有参与决策的权力，但并不能够控制或者与其他方一起共同控制这些政策的制定，则视为投资企业</w:t>
      </w:r>
      <w:r>
        <w:rPr>
          <w:spacing w:val="-44"/>
        </w:rPr>
        <w:t> </w:t>
      </w:r>
      <w:r>
        <w:rPr>
          <w:spacing w:val="-44"/>
        </w:rPr>
      </w:r>
      <w:r>
        <w:rPr/>
        <w:t>能够对被投资单位施加重大影响。</w:t>
      </w:r>
    </w:p>
    <w:p>
      <w:pPr>
        <w:pStyle w:val="BodyText"/>
        <w:spacing w:line="386" w:lineRule="auto"/>
        <w:ind w:left="573" w:right="0"/>
        <w:jc w:val="left"/>
      </w:pPr>
      <w:r>
        <w:rPr>
          <w:rFonts w:ascii="Times New Roman" w:hAnsi="Times New Roman" w:cs="Times New Roman" w:eastAsia="Times New Roman" w:hint="default"/>
        </w:rPr>
        <w:t>4.</w:t>
      </w:r>
      <w:r>
        <w:rPr/>
        <w:t>长期投资减值的确认</w:t>
      </w:r>
      <w:r>
        <w:rPr>
          <w:w w:val="100"/>
        </w:rPr>
        <w:t> </w:t>
      </w:r>
      <w:r>
        <w:rPr>
          <w:spacing w:val="-2"/>
        </w:rPr>
        <w:t>本公司在资产负债表日对长期股权投资进行逐项检查，根据被投资单位经营政策、法律环境、市场需</w:t>
      </w:r>
    </w:p>
    <w:p>
      <w:pPr>
        <w:pStyle w:val="BodyText"/>
        <w:spacing w:line="408" w:lineRule="auto" w:before="65"/>
        <w:ind w:left="573" w:right="0" w:hanging="421"/>
        <w:jc w:val="left"/>
      </w:pPr>
      <w:r>
        <w:rPr/>
        <w:t>求、行业及盈利能力等各种变化判断长期股权投资是否存在减值迹象。</w:t>
      </w:r>
      <w:r>
        <w:rPr>
          <w:w w:val="100"/>
        </w:rPr>
        <w:t> </w:t>
      </w:r>
      <w:r>
        <w:rPr>
          <w:spacing w:val="-2"/>
        </w:rPr>
        <w:t>除因企业合并形成的商誉以外的存在减值迹象的其他长期股权投资，如果可收回金额的计量结果表</w:t>
      </w:r>
    </w:p>
    <w:p>
      <w:pPr>
        <w:pStyle w:val="BodyText"/>
        <w:spacing w:line="408" w:lineRule="auto"/>
        <w:ind w:left="573" w:right="0" w:hanging="421"/>
        <w:jc w:val="left"/>
      </w:pPr>
      <w:r>
        <w:rPr/>
        <w:t>明，该长期股权投资的可收回金额低于其账面价值的，将差额确认为减值损失。</w:t>
      </w:r>
      <w:r>
        <w:rPr>
          <w:w w:val="100"/>
        </w:rPr>
        <w:t> </w:t>
      </w:r>
      <w:r>
        <w:rPr/>
        <w:t>因企业合并形成的商誉，无论是否存在减值迹象，每年都进行减值测试。</w:t>
      </w:r>
      <w:r>
        <w:rPr>
          <w:w w:val="100"/>
        </w:rPr>
        <w:t> </w:t>
      </w:r>
      <w:r>
        <w:rPr/>
        <w:t>长期股权投资减值损失一经确认，不再转回。</w:t>
      </w:r>
      <w:r>
        <w:rPr>
          <w:w w:val="100"/>
        </w:rPr>
        <w:t> </w:t>
      </w:r>
      <w:r>
        <w:rPr>
          <w:rFonts w:ascii="Times New Roman" w:hAnsi="Times New Roman" w:cs="Times New Roman" w:eastAsia="Times New Roman" w:hint="default"/>
          <w:spacing w:val="-2"/>
        </w:rPr>
        <w:t>5.</w:t>
      </w:r>
      <w:r>
        <w:rPr>
          <w:spacing w:val="-2"/>
        </w:rPr>
        <w:t>处置长期股权投资，其账面价值与实际取得价款的差额，应当计入当期损益。采用权益法核算的长</w:t>
      </w:r>
    </w:p>
    <w:p>
      <w:pPr>
        <w:pStyle w:val="BodyText"/>
        <w:spacing w:line="408" w:lineRule="auto" w:before="14"/>
        <w:ind w:right="146"/>
        <w:jc w:val="both"/>
      </w:pPr>
      <w:r>
        <w:rPr>
          <w:spacing w:val="-2"/>
        </w:rPr>
        <w:t>期股权投资，因被投资单位除净损益以外所有者权益的其他变动而计入所有者权益的，处置该项投资时应</w:t>
      </w:r>
      <w:r>
        <w:rPr>
          <w:spacing w:val="-43"/>
        </w:rPr>
        <w:t> </w:t>
      </w:r>
      <w:r>
        <w:rPr>
          <w:spacing w:val="-43"/>
        </w:rPr>
      </w:r>
      <w:r>
        <w:rPr/>
        <w:t>当将原计入所有者权益的部分按相应比例转入当期损益。</w:t>
      </w:r>
    </w:p>
    <w:p>
      <w:pPr>
        <w:spacing w:line="240" w:lineRule="auto" w:before="6"/>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357" w:lineRule="auto" w:before="0"/>
        <w:ind w:left="152" w:right="797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BodyText"/>
        <w:spacing w:line="496" w:lineRule="auto" w:before="0"/>
        <w:ind w:left="544" w:right="0" w:hanging="392"/>
        <w:jc w:val="left"/>
      </w:pPr>
      <w:r>
        <w:rPr>
          <w:rFonts w:ascii="Microsoft JhengHei" w:hAnsi="Microsoft JhengHei" w:cs="Microsoft JhengHei" w:eastAsia="Microsoft JhengHei" w:hint="default"/>
          <w:b/>
          <w:bCs/>
        </w:rPr>
        <w:t>（</w:t>
      </w: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）确认条件</w:t>
      </w:r>
      <w:r>
        <w:rPr>
          <w:rFonts w:ascii="Microsoft JhengHei" w:hAnsi="Microsoft JhengHei" w:cs="Microsoft JhengHei" w:eastAsia="Microsoft JhengHei" w:hint="default"/>
          <w:b/>
          <w:bCs/>
          <w:spacing w:val="-46"/>
        </w:rPr>
        <w:t> </w:t>
      </w:r>
      <w:r>
        <w:rPr>
          <w:spacing w:val="-2"/>
        </w:rPr>
        <w:t>固定资产是指为生产商品、提供劳务、出租或经营管理持有的，使用寿命超过一个会计年度的有形资</w:t>
      </w:r>
    </w:p>
    <w:p>
      <w:pPr>
        <w:pStyle w:val="BodyText"/>
        <w:spacing w:line="243" w:lineRule="exact" w:before="0"/>
        <w:ind w:right="0"/>
        <w:jc w:val="left"/>
      </w:pPr>
      <w:r>
        <w:rPr/>
        <w:t>产；同时与该固定资产有关的经济利益很可能流入企业，该固定资产的成本能够可靠地计量。</w:t>
      </w:r>
    </w:p>
    <w:p>
      <w:pPr>
        <w:spacing w:after="0" w:line="243" w:lineRule="exact"/>
        <w:jc w:val="left"/>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4048"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1.80-4.50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通讯、电子电器设备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Microsoft JhengHei" w:hAnsi="Microsoft JhengHei" w:cs="Microsoft JhengHei" w:eastAsia="Microsoft JhengHei" w:hint="default"/>
          <w:b/>
          <w:bCs/>
          <w:sz w:val="22"/>
          <w:szCs w:val="22"/>
        </w:rPr>
      </w:pPr>
    </w:p>
    <w:p>
      <w:pPr>
        <w:pStyle w:val="BodyText"/>
        <w:spacing w:line="408" w:lineRule="auto" w:before="0"/>
        <w:ind w:right="206" w:firstLine="451"/>
        <w:jc w:val="both"/>
      </w:pPr>
      <w:r>
        <w:rPr>
          <w:spacing w:val="-3"/>
        </w:rPr>
        <w:t>公司与租赁方所签订的租赁协议条款中规定了下列条件之一的，确认为融资租入资产：①租赁期满后</w:t>
      </w:r>
      <w:r>
        <w:rPr>
          <w:w w:val="100"/>
        </w:rPr>
        <w:t> </w:t>
      </w:r>
      <w:r>
        <w:rPr>
          <w:spacing w:val="-2"/>
        </w:rPr>
        <w:t>租赁资产的所有权归属于本公司；②公司具有购买资产的选择权，购买价款远低于行使选择权时该资产的</w:t>
      </w:r>
      <w:r>
        <w:rPr>
          <w:spacing w:val="-43"/>
        </w:rPr>
        <w:t> </w:t>
      </w:r>
      <w:r>
        <w:rPr>
          <w:spacing w:val="-43"/>
        </w:rPr>
      </w:r>
      <w:r>
        <w:rPr>
          <w:spacing w:val="-2"/>
        </w:rPr>
        <w:t>公允价值；③租赁期占所租赁资产使用寿命的大部分；④租赁开始日的最低租赁付款额现值，与该资产的</w:t>
      </w:r>
      <w:r>
        <w:rPr>
          <w:spacing w:val="-44"/>
        </w:rPr>
        <w:t> </w:t>
      </w:r>
      <w:r>
        <w:rPr>
          <w:spacing w:val="-44"/>
        </w:rPr>
      </w:r>
      <w:r>
        <w:rPr>
          <w:spacing w:val="-2"/>
        </w:rPr>
        <w:t>公允价值不存在较大的差异。公司在承租开始日，将租赁资产公允价值与最低租赁付款额现值两者中较低</w:t>
      </w:r>
      <w:r>
        <w:rPr>
          <w:spacing w:val="-43"/>
        </w:rPr>
        <w:t> </w:t>
      </w:r>
      <w:r>
        <w:rPr>
          <w:spacing w:val="-43"/>
        </w:rPr>
      </w:r>
      <w:r>
        <w:rPr>
          <w:spacing w:val="-2"/>
        </w:rPr>
        <w:t>者作为租入资产的入账价值，将最低租赁付款额作为长期应付款的入账价值，其差额作为未确认的融资费</w:t>
      </w:r>
      <w:r>
        <w:rPr>
          <w:spacing w:val="-44"/>
        </w:rPr>
        <w:t> </w:t>
      </w:r>
      <w:r>
        <w:rPr>
          <w:spacing w:val="-44"/>
        </w:rPr>
      </w:r>
      <w:r>
        <w:rPr/>
        <w:t>用。</w:t>
      </w:r>
    </w:p>
    <w:p>
      <w:pPr>
        <w:spacing w:line="240" w:lineRule="auto" w:before="6"/>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0"/>
        <w:jc w:val="left"/>
      </w:pPr>
      <w:r>
        <w:rPr/>
        <w:t>本公司在建工程以立项项目分类核算。</w:t>
      </w:r>
    </w:p>
    <w:p>
      <w:pPr>
        <w:spacing w:line="240" w:lineRule="auto" w:before="10"/>
        <w:rPr>
          <w:rFonts w:ascii="宋体" w:hAnsi="宋体" w:cs="宋体" w:eastAsia="宋体" w:hint="default"/>
          <w:sz w:val="14"/>
          <w:szCs w:val="14"/>
        </w:rPr>
      </w:pPr>
    </w:p>
    <w:p>
      <w:pPr>
        <w:pStyle w:val="BodyText"/>
        <w:spacing w:line="386" w:lineRule="auto" w:before="0"/>
        <w:ind w:right="207" w:firstLine="420"/>
        <w:jc w:val="both"/>
      </w:pPr>
      <w:r>
        <w:rPr>
          <w:rFonts w:ascii="Times New Roman" w:hAnsi="Times New Roman" w:cs="Times New Roman" w:eastAsia="Times New Roman" w:hint="default"/>
          <w:spacing w:val="-1"/>
        </w:rPr>
        <w:t>1.</w:t>
      </w:r>
      <w:r>
        <w:rPr>
          <w:spacing w:val="-1"/>
        </w:rPr>
        <w:t>在建工程同时满足经济利益很可能流入、成本能够可靠计量则予以确认。在建工程按建造该项资产</w:t>
      </w:r>
      <w:r>
        <w:rPr>
          <w:w w:val="100"/>
        </w:rPr>
        <w:t> </w:t>
      </w:r>
      <w:r>
        <w:rPr/>
        <w:t>达到预定可使用状态前所发生的实际成本计量。</w:t>
      </w:r>
    </w:p>
    <w:p>
      <w:pPr>
        <w:pStyle w:val="BodyText"/>
        <w:spacing w:line="408" w:lineRule="auto" w:before="65"/>
        <w:ind w:right="0" w:firstLine="420"/>
        <w:jc w:val="left"/>
      </w:pPr>
      <w:r>
        <w:rPr/>
        <w:t>工程达到预定可使用状态前试运转过程中形成的、能够对外销售的产品，其发生的成本计入在建工程</w:t>
      </w:r>
      <w:r>
        <w:rPr>
          <w:w w:val="100"/>
        </w:rPr>
        <w:t> </w:t>
      </w:r>
      <w:r>
        <w:rPr>
          <w:spacing w:val="-5"/>
        </w:rPr>
        <w:t>成本，销售或转为产成品时，按实际销售收入或者预计售价冲减在建工程成本；在建工程发生的借款费用， </w:t>
      </w:r>
      <w:r>
        <w:rPr>
          <w:spacing w:val="-5"/>
        </w:rPr>
      </w:r>
      <w:r>
        <w:rPr/>
        <w:t>符合借款费用资本化条件的，在所购建的固定资产达到预定可使用状态前，计入在建工程成本。</w:t>
      </w:r>
    </w:p>
    <w:p>
      <w:pPr>
        <w:pStyle w:val="BodyText"/>
        <w:spacing w:line="400" w:lineRule="auto"/>
        <w:ind w:right="206" w:firstLine="420"/>
        <w:jc w:val="both"/>
      </w:pPr>
      <w:r>
        <w:rPr>
          <w:rFonts w:ascii="Times New Roman" w:hAnsi="Times New Roman" w:cs="Times New Roman" w:eastAsia="Times New Roman" w:hint="default"/>
          <w:spacing w:val="-1"/>
        </w:rPr>
        <w:t>2.</w:t>
      </w:r>
      <w:r>
        <w:rPr>
          <w:spacing w:val="-1"/>
        </w:rPr>
        <w:t>购建的固定资产在达到预定可使用状态时转作固定资产。购建固定资产达到预定可使用状态，但尚</w:t>
      </w:r>
      <w:r>
        <w:rPr>
          <w:w w:val="100"/>
        </w:rPr>
        <w:t> </w:t>
      </w:r>
      <w:r>
        <w:rPr>
          <w:spacing w:val="-2"/>
        </w:rPr>
        <w:t>未办理竣工决算手续的，自达到预定可使用状态之日起，根据工程预算、造价或工程实际成本等，按估计</w:t>
      </w:r>
      <w:r>
        <w:rPr>
          <w:spacing w:val="-47"/>
        </w:rPr>
        <w:t> </w:t>
      </w:r>
      <w:r>
        <w:rPr>
          <w:spacing w:val="-47"/>
        </w:rPr>
      </w:r>
      <w:r>
        <w:rPr>
          <w:spacing w:val="-2"/>
        </w:rPr>
        <w:t>的价值结转固定资产，次月起开始计提折旧。待办理了竣工决算手续后再对原估值进行调整，但不再调整</w:t>
      </w:r>
      <w:r>
        <w:rPr>
          <w:spacing w:val="-44"/>
        </w:rPr>
        <w:t> </w:t>
      </w:r>
      <w:r>
        <w:rPr>
          <w:spacing w:val="-44"/>
        </w:rPr>
      </w:r>
      <w:r>
        <w:rPr/>
        <w:t>原已计提的折旧。</w:t>
      </w:r>
    </w:p>
    <w:p>
      <w:pPr>
        <w:pStyle w:val="BodyText"/>
        <w:spacing w:line="408" w:lineRule="auto" w:before="52"/>
        <w:ind w:right="206" w:firstLine="420"/>
        <w:jc w:val="both"/>
      </w:pPr>
      <w:r>
        <w:rPr>
          <w:spacing w:val="-2"/>
        </w:rPr>
        <w:t>购建固定资产而借入的专门借款或占用了一般性借款发生的借款利息及专门借款发生的辅助费用，在</w:t>
      </w:r>
      <w:r>
        <w:rPr>
          <w:w w:val="100"/>
        </w:rPr>
        <w:t> </w:t>
      </w:r>
      <w:r>
        <w:rPr>
          <w:spacing w:val="-2"/>
        </w:rPr>
        <w:t>构建的固定资产达到预定可使用状态前予以资本化；在相关工程达到预定可使用状态后的计入当期财务费</w:t>
      </w:r>
      <w:r>
        <w:rPr>
          <w:spacing w:val="-43"/>
        </w:rPr>
        <w:t> </w:t>
      </w:r>
      <w:r>
        <w:rPr>
          <w:spacing w:val="-43"/>
        </w:rPr>
      </w:r>
      <w:r>
        <w:rPr/>
        <w:t>用。</w:t>
      </w:r>
    </w:p>
    <w:p>
      <w:pPr>
        <w:spacing w:after="0" w:line="408" w:lineRule="auto"/>
        <w:jc w:val="both"/>
        <w:sectPr>
          <w:pgSz w:w="11910" w:h="16840"/>
          <w:pgMar w:header="852" w:footer="980" w:top="150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93" w:lineRule="auto" w:before="59"/>
        <w:ind w:right="146" w:firstLine="420"/>
        <w:jc w:val="both"/>
      </w:pPr>
      <w:r>
        <w:rPr>
          <w:rFonts w:ascii="Times New Roman" w:hAnsi="Times New Roman" w:cs="Times New Roman" w:eastAsia="Times New Roman" w:hint="default"/>
        </w:rPr>
        <w:t>3.</w:t>
      </w:r>
      <w:r>
        <w:rPr/>
        <w:t>公司在每期末判断在建工程是否存在可能发生减值的迹象。如果存在：</w:t>
      </w:r>
      <w:r>
        <w:rPr>
          <w:rFonts w:ascii="Times New Roman" w:hAnsi="Times New Roman" w:cs="Times New Roman" w:eastAsia="Times New Roman" w:hint="default"/>
        </w:rPr>
        <w:t>a.</w:t>
      </w:r>
      <w:r>
        <w:rPr/>
        <w:t>在建工程长期停建并且预</w:t>
      </w:r>
      <w:r>
        <w:rPr>
          <w:w w:val="100"/>
        </w:rPr>
        <w:t> </w:t>
      </w:r>
      <w:r>
        <w:rPr>
          <w:spacing w:val="-3"/>
        </w:rPr>
        <w:t>计在未来</w:t>
      </w:r>
      <w:r>
        <w:rPr>
          <w:rFonts w:ascii="Times New Roman" w:hAnsi="Times New Roman" w:cs="Times New Roman" w:eastAsia="Times New Roman" w:hint="default"/>
          <w:spacing w:val="-3"/>
        </w:rPr>
        <w:t>3</w:t>
      </w:r>
      <w:r>
        <w:rPr>
          <w:spacing w:val="-3"/>
        </w:rPr>
        <w:t>年内不会重新开工；</w:t>
      </w:r>
      <w:r>
        <w:rPr>
          <w:rFonts w:ascii="Times New Roman" w:hAnsi="Times New Roman" w:cs="Times New Roman" w:eastAsia="Times New Roman" w:hint="default"/>
          <w:spacing w:val="-3"/>
        </w:rPr>
        <w:t>b.</w:t>
      </w:r>
      <w:r>
        <w:rPr>
          <w:spacing w:val="-3"/>
        </w:rPr>
        <w:t>所建项目在性能上、技术上已经落后并且所带来的经济效益具有很大的不</w:t>
      </w:r>
      <w:r>
        <w:rPr>
          <w:spacing w:val="-46"/>
        </w:rPr>
        <w:t> </w:t>
      </w:r>
      <w:r>
        <w:rPr>
          <w:spacing w:val="-46"/>
        </w:rPr>
      </w:r>
      <w:r>
        <w:rPr>
          <w:spacing w:val="-2"/>
        </w:rPr>
        <w:t>确定性等减值迹象的，估计其可收回金额。可收回金额根据在建工程的公允价值减去处置费用后的净额与</w:t>
      </w:r>
      <w:r>
        <w:rPr>
          <w:spacing w:val="-44"/>
        </w:rPr>
        <w:t> </w:t>
      </w:r>
      <w:r>
        <w:rPr>
          <w:spacing w:val="-44"/>
        </w:rPr>
      </w:r>
      <w:r>
        <w:rPr/>
        <w:t>在建工程预计未来现金流量的现值两者之间较高者确定。</w:t>
      </w:r>
    </w:p>
    <w:p>
      <w:pPr>
        <w:pStyle w:val="BodyText"/>
        <w:spacing w:line="408" w:lineRule="auto" w:before="58"/>
        <w:ind w:right="146" w:firstLine="420"/>
        <w:jc w:val="both"/>
      </w:pPr>
      <w:r>
        <w:rPr>
          <w:spacing w:val="-2"/>
        </w:rPr>
        <w:t>当在建工程的可收回金额低于其账面价值的，将在建工程的账面价值减记至可收回金额，减记的金额</w:t>
      </w:r>
      <w:r>
        <w:rPr>
          <w:w w:val="100"/>
        </w:rPr>
        <w:t> </w:t>
      </w:r>
      <w:r>
        <w:rPr/>
        <w:t>确认为在建工程减值损失，计入当期损益。</w:t>
      </w:r>
    </w:p>
    <w:p>
      <w:pPr>
        <w:pStyle w:val="BodyText"/>
        <w:spacing w:line="408" w:lineRule="auto"/>
        <w:ind w:left="573" w:right="0"/>
        <w:jc w:val="left"/>
      </w:pPr>
      <w:r>
        <w:rPr/>
        <w:t>在建工程的减值损失一经确认，在以后会计期间不再转回。</w:t>
      </w:r>
      <w:r>
        <w:rPr>
          <w:w w:val="100"/>
        </w:rPr>
        <w:t> </w:t>
      </w:r>
      <w:r>
        <w:rPr>
          <w:spacing w:val="-2"/>
        </w:rPr>
        <w:t>有迹象表明一项在建工程可能发生减值的，企业以单项在建工程为基础估计其可收回金额。企业难以</w:t>
      </w:r>
    </w:p>
    <w:p>
      <w:pPr>
        <w:pStyle w:val="BodyText"/>
        <w:spacing w:line="240" w:lineRule="auto"/>
        <w:ind w:right="0"/>
        <w:jc w:val="left"/>
      </w:pPr>
      <w:r>
        <w:rPr/>
        <w:t>对单项在建工程的可收回金额进行估计的，以该在建工程所属的资产组为基础确定资产组的可收回金额。</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left="573" w:right="0"/>
        <w:jc w:val="left"/>
      </w:pPr>
      <w:r>
        <w:rPr>
          <w:rFonts w:ascii="Times New Roman" w:hAnsi="Times New Roman" w:cs="Times New Roman" w:eastAsia="Times New Roman" w:hint="default"/>
        </w:rPr>
        <w:t>1.</w:t>
      </w:r>
      <w:r>
        <w:rPr/>
        <w:t>借款费用的确认原则</w:t>
      </w:r>
      <w:r>
        <w:rPr>
          <w:w w:val="100"/>
        </w:rPr>
        <w:t> </w:t>
      </w:r>
      <w:r>
        <w:rPr>
          <w:spacing w:val="-2"/>
        </w:rPr>
        <w:t>本公司因购建符合资本化条件的资产借款发生的利息、折价或溢价的摊销和汇兑差额、专门借款发生</w:t>
      </w:r>
    </w:p>
    <w:p>
      <w:pPr>
        <w:pStyle w:val="BodyText"/>
        <w:spacing w:line="408" w:lineRule="auto" w:before="65"/>
        <w:ind w:right="0"/>
        <w:jc w:val="left"/>
      </w:pPr>
      <w:r>
        <w:rPr/>
        <w:t>的辅助费用以及因外币借款而发生的汇兑差额等，可直接归属于符合资本化条件的资产的购建或者生产</w:t>
      </w:r>
      <w:r>
        <w:rPr>
          <w:w w:val="100"/>
        </w:rPr>
        <w:t> </w:t>
      </w:r>
      <w:r>
        <w:rPr>
          <w:spacing w:val="-2"/>
        </w:rPr>
        <w:t>的，予以资本化，计入该项资产的成本；其他借款利息、折价或溢价的摊销和汇兑差额，于发生当期确认</w:t>
      </w:r>
      <w:r>
        <w:rPr>
          <w:spacing w:val="-43"/>
        </w:rPr>
        <w:t> </w:t>
      </w:r>
      <w:r>
        <w:rPr>
          <w:spacing w:val="-43"/>
        </w:rPr>
      </w:r>
      <w:r>
        <w:rPr/>
        <w:t>为费用。</w:t>
      </w:r>
    </w:p>
    <w:p>
      <w:pPr>
        <w:pStyle w:val="BodyText"/>
        <w:spacing w:line="408" w:lineRule="auto"/>
        <w:ind w:right="146" w:firstLine="420"/>
        <w:jc w:val="both"/>
      </w:pPr>
      <w:r>
        <w:rPr>
          <w:spacing w:val="-2"/>
        </w:rPr>
        <w:t>符合资本化条件的资产，是指需要经过相当长时间的购建或者生产活动才能达到预定可使用或者可销</w:t>
      </w:r>
      <w:r>
        <w:rPr>
          <w:w w:val="100"/>
        </w:rPr>
        <w:t> </w:t>
      </w:r>
      <w:r>
        <w:rPr/>
        <w:t>售状态的固定资产、投资性房地产和存货等资产。</w:t>
      </w:r>
    </w:p>
    <w:p>
      <w:pPr>
        <w:pStyle w:val="BodyText"/>
        <w:spacing w:line="386" w:lineRule="auto"/>
        <w:ind w:right="175" w:firstLine="420"/>
        <w:jc w:val="both"/>
      </w:pPr>
      <w:r>
        <w:rPr>
          <w:rFonts w:ascii="Times New Roman" w:hAnsi="Times New Roman" w:cs="Times New Roman" w:eastAsia="Times New Roman" w:hint="default"/>
          <w:spacing w:val="-2"/>
        </w:rPr>
        <w:t>2.</w:t>
      </w:r>
      <w:r>
        <w:rPr>
          <w:spacing w:val="-2"/>
        </w:rPr>
        <w:t>借款费用资本化期间：指从借款费用开始资本化时点到停止资本化时点的期间，借款费用暂停资本</w:t>
      </w:r>
      <w:r>
        <w:rPr>
          <w:w w:val="100"/>
        </w:rPr>
        <w:t> </w:t>
      </w:r>
      <w:r>
        <w:rPr/>
        <w:t>化的期间不包括在内。</w:t>
      </w:r>
    </w:p>
    <w:p>
      <w:pPr>
        <w:pStyle w:val="BodyText"/>
        <w:spacing w:line="386" w:lineRule="auto" w:before="65"/>
        <w:ind w:right="0" w:firstLine="314"/>
        <w:jc w:val="left"/>
      </w:pPr>
      <w:r>
        <w:rPr>
          <w:spacing w:val="-2"/>
        </w:rPr>
        <w:t>（</w:t>
      </w:r>
      <w:r>
        <w:rPr>
          <w:rFonts w:ascii="Times New Roman" w:hAnsi="Times New Roman" w:cs="Times New Roman" w:eastAsia="Times New Roman" w:hint="default"/>
          <w:spacing w:val="-2"/>
        </w:rPr>
        <w:t>1</w:t>
      </w:r>
      <w:r>
        <w:rPr>
          <w:spacing w:val="-2"/>
        </w:rPr>
        <w:t>）开始资本化，当以下三个条件同时具备时，因借款而发生的利息、折价或溢价的摊销和汇兑差额</w:t>
      </w:r>
      <w:r>
        <w:rPr>
          <w:w w:val="100"/>
        </w:rPr>
        <w:t> </w:t>
      </w:r>
      <w:r>
        <w:rPr/>
        <w:t>开始资本化：</w:t>
      </w:r>
      <w:r>
        <w:rPr>
          <w:rFonts w:ascii="Times New Roman" w:hAnsi="Times New Roman" w:cs="Times New Roman" w:eastAsia="Times New Roman" w:hint="default"/>
        </w:rPr>
        <w:t>a</w:t>
      </w:r>
      <w:r>
        <w:rPr/>
        <w:t>资产支出已经发生，资产支出包括为购建或者生产符合资本化条件的资产而以支付现金、</w:t>
      </w:r>
      <w:r>
        <w:rPr>
          <w:w w:val="100"/>
        </w:rPr>
        <w:t> </w:t>
      </w:r>
      <w:r>
        <w:rPr>
          <w:spacing w:val="-2"/>
        </w:rPr>
        <w:t>转移非现金资产或者承担带息债务形式发生的支出；</w:t>
      </w:r>
      <w:r>
        <w:rPr>
          <w:rFonts w:ascii="Times New Roman" w:hAnsi="Times New Roman" w:cs="Times New Roman" w:eastAsia="Times New Roman" w:hint="default"/>
          <w:spacing w:val="-2"/>
        </w:rPr>
        <w:t>b</w:t>
      </w:r>
      <w:r>
        <w:rPr>
          <w:spacing w:val="-2"/>
        </w:rPr>
        <w:t>借款费用已经发生；</w:t>
      </w:r>
      <w:r>
        <w:rPr>
          <w:rFonts w:ascii="Times New Roman" w:hAnsi="Times New Roman" w:cs="Times New Roman" w:eastAsia="Times New Roman" w:hint="default"/>
          <w:spacing w:val="-2"/>
        </w:rPr>
        <w:t>c</w:t>
      </w:r>
      <w:r>
        <w:rPr>
          <w:spacing w:val="-2"/>
        </w:rPr>
        <w:t>为使资产达到预定可使用或者</w:t>
      </w:r>
      <w:r>
        <w:rPr>
          <w:spacing w:val="-29"/>
        </w:rPr>
        <w:t> </w:t>
      </w:r>
      <w:r>
        <w:rPr>
          <w:spacing w:val="-29"/>
        </w:rPr>
      </w:r>
      <w:r>
        <w:rPr/>
        <w:t>可销售状态或所必要的购建活动已经开始。</w:t>
      </w:r>
    </w:p>
    <w:p>
      <w:pPr>
        <w:pStyle w:val="BodyText"/>
        <w:spacing w:line="400" w:lineRule="auto" w:before="65"/>
        <w:ind w:right="0" w:firstLine="314"/>
        <w:jc w:val="left"/>
      </w:pPr>
      <w:r>
        <w:rPr/>
        <w:t>（</w:t>
      </w:r>
      <w:r>
        <w:rPr>
          <w:rFonts w:ascii="Times New Roman" w:hAnsi="Times New Roman" w:cs="Times New Roman" w:eastAsia="Times New Roman" w:hint="default"/>
        </w:rPr>
        <w:t>2</w:t>
      </w:r>
      <w:r>
        <w:rPr/>
        <w:t>）暂停资本化，若固定资产的购建活动发生非正常中断，并且中断时间连续超过</w:t>
      </w:r>
      <w:r>
        <w:rPr>
          <w:rFonts w:ascii="Times New Roman" w:hAnsi="Times New Roman" w:cs="Times New Roman" w:eastAsia="Times New Roman" w:hint="default"/>
        </w:rPr>
        <w:t>3</w:t>
      </w:r>
      <w:r>
        <w:rPr/>
        <w:t>个月，暂停借款</w:t>
      </w:r>
      <w:r>
        <w:rPr>
          <w:w w:val="100"/>
        </w:rPr>
        <w:t> </w:t>
      </w:r>
      <w:r>
        <w:rPr>
          <w:spacing w:val="-2"/>
        </w:rPr>
        <w:t>费用资本化；该项中断如是所购建或生产的符合资本化条件的资产达到预定可使用状态或者可销售状态必</w:t>
      </w:r>
      <w:r>
        <w:rPr>
          <w:spacing w:val="-43"/>
        </w:rPr>
        <w:t> </w:t>
      </w:r>
      <w:r>
        <w:rPr>
          <w:spacing w:val="-43"/>
        </w:rPr>
      </w:r>
      <w:r>
        <w:rPr>
          <w:spacing w:val="-2"/>
        </w:rPr>
        <w:t>要的程序，则借款费用继续资本化。在中断期间发生的借款费用确认为当期损益，直至资产的购建或者生</w:t>
      </w:r>
      <w:r>
        <w:rPr>
          <w:spacing w:val="-45"/>
        </w:rPr>
        <w:t> </w:t>
      </w:r>
      <w:r>
        <w:rPr>
          <w:spacing w:val="-45"/>
        </w:rPr>
      </w:r>
      <w:r>
        <w:rPr/>
        <w:t>产活动重新开始后借款费用继续资本化。</w:t>
      </w:r>
    </w:p>
    <w:p>
      <w:pPr>
        <w:pStyle w:val="BodyText"/>
        <w:spacing w:line="240" w:lineRule="auto" w:before="52"/>
        <w:ind w:left="467" w:right="0"/>
        <w:jc w:val="left"/>
      </w:pPr>
      <w:r>
        <w:rPr/>
        <w:t>（</w:t>
      </w:r>
      <w:r>
        <w:rPr>
          <w:rFonts w:ascii="Times New Roman" w:hAnsi="Times New Roman" w:cs="Times New Roman" w:eastAsia="Times New Roman" w:hint="default"/>
        </w:rPr>
        <w:t>3</w:t>
      </w:r>
      <w:r>
        <w:rPr/>
        <w:t>）停止资本化，当所购建或者生产符合资本化条件的资产达到预定可使用或者可销售状态时、部分</w:t>
      </w:r>
    </w:p>
    <w:p>
      <w:pPr>
        <w:spacing w:after="0" w:line="240" w:lineRule="auto"/>
        <w:jc w:val="left"/>
        <w:sectPr>
          <w:pgSz w:w="11910" w:h="16840"/>
          <w:pgMar w:header="852" w:footer="980" w:top="1500" w:bottom="1160" w:left="980" w:right="980"/>
        </w:sectPr>
      </w:pPr>
    </w:p>
    <w:p>
      <w:pPr>
        <w:pStyle w:val="BodyText"/>
        <w:spacing w:line="408" w:lineRule="auto" w:before="116"/>
        <w:ind w:right="0"/>
        <w:jc w:val="left"/>
      </w:pPr>
      <w:r>
        <w:rPr>
          <w:spacing w:val="-2"/>
        </w:rPr>
        <w:t>项目分别完工且可单独使用时，停止其借款费用的资本化。购建或者生产的资产的各部分分别完工，但必</w:t>
      </w:r>
      <w:r>
        <w:rPr>
          <w:spacing w:val="-43"/>
        </w:rPr>
        <w:t> </w:t>
      </w:r>
      <w:r>
        <w:rPr>
          <w:spacing w:val="-43"/>
        </w:rPr>
      </w:r>
      <w:r>
        <w:rPr/>
        <w:t>须等到整体完工后才可使用或可对外销售的，在该资产整体完工时停止借款费用资本化。</w:t>
      </w:r>
    </w:p>
    <w:p>
      <w:pPr>
        <w:pStyle w:val="BodyText"/>
        <w:spacing w:line="240" w:lineRule="auto"/>
        <w:ind w:left="573" w:right="0"/>
        <w:jc w:val="left"/>
      </w:pPr>
      <w:r>
        <w:rPr>
          <w:rFonts w:ascii="Times New Roman" w:hAnsi="Times New Roman" w:cs="Times New Roman" w:eastAsia="Times New Roman" w:hint="default"/>
        </w:rPr>
        <w:t>3.</w:t>
      </w:r>
      <w:r>
        <w:rPr/>
        <w:t>借款费用资本化金额的计算方法，在资本化期间内</w:t>
      </w:r>
      <w:r>
        <w:rPr>
          <w:rFonts w:ascii="Times New Roman" w:hAnsi="Times New Roman" w:cs="Times New Roman" w:eastAsia="Times New Roman" w:hint="default"/>
        </w:rPr>
        <w:t>,</w:t>
      </w:r>
      <w:r>
        <w:rPr/>
        <w:t>每一会计期间的资本化金额</w:t>
      </w:r>
      <w:r>
        <w:rPr>
          <w:rFonts w:ascii="Times New Roman" w:hAnsi="Times New Roman" w:cs="Times New Roman" w:eastAsia="Times New Roman" w:hint="default"/>
        </w:rPr>
        <w:t>,</w:t>
      </w:r>
      <w:r>
        <w:rPr/>
        <w:t>按照下列规定确定：</w:t>
      </w:r>
    </w:p>
    <w:p>
      <w:pPr>
        <w:pStyle w:val="BodyText"/>
        <w:spacing w:line="398" w:lineRule="auto" w:before="177"/>
        <w:ind w:right="0" w:firstLine="314"/>
        <w:jc w:val="left"/>
      </w:pPr>
      <w:r>
        <w:rPr>
          <w:spacing w:val="-2"/>
        </w:rPr>
        <w:t>（</w:t>
      </w:r>
      <w:r>
        <w:rPr>
          <w:rFonts w:ascii="Times New Roman" w:hAnsi="Times New Roman" w:cs="Times New Roman" w:eastAsia="Times New Roman" w:hint="default"/>
          <w:spacing w:val="-2"/>
        </w:rPr>
        <w:t>1</w:t>
      </w:r>
      <w:r>
        <w:rPr>
          <w:spacing w:val="-2"/>
        </w:rPr>
        <w:t>）专门借款当期实际发生的利息费用，减去将尚未动用的借款资金存入银行取得的利息收入或进行</w:t>
      </w:r>
      <w:r>
        <w:rPr>
          <w:w w:val="100"/>
        </w:rPr>
        <w:t> </w:t>
      </w:r>
      <w:r>
        <w:rPr/>
        <w:t>暂时性投资取得的投资收益后的金额及其辅助费用在所购建或者生产的符合资本化条件的资产达到预定</w:t>
      </w:r>
      <w:r>
        <w:rPr>
          <w:w w:val="100"/>
        </w:rPr>
        <w:t> </w:t>
      </w:r>
      <w:r>
        <w:rPr/>
        <w:t>可使用或者可销售状态前，予以资本化。</w:t>
      </w:r>
    </w:p>
    <w:p>
      <w:pPr>
        <w:pStyle w:val="BodyText"/>
        <w:spacing w:line="386" w:lineRule="auto" w:before="54"/>
        <w:ind w:right="0" w:firstLine="314"/>
        <w:jc w:val="left"/>
      </w:pPr>
      <w:r>
        <w:rPr>
          <w:spacing w:val="-2"/>
        </w:rPr>
        <w:t>（</w:t>
      </w:r>
      <w:r>
        <w:rPr>
          <w:rFonts w:ascii="Times New Roman" w:hAnsi="Times New Roman" w:cs="Times New Roman" w:eastAsia="Times New Roman" w:hint="default"/>
          <w:spacing w:val="-2"/>
        </w:rPr>
        <w:t>2</w:t>
      </w:r>
      <w:r>
        <w:rPr>
          <w:spacing w:val="-2"/>
        </w:rPr>
        <w:t>）一般借款的资本化金额为累计资产支出超过专门借款部分的资产支出加权平均数乘以所占用一般</w:t>
      </w:r>
      <w:r>
        <w:rPr>
          <w:w w:val="100"/>
        </w:rPr>
        <w:t> </w:t>
      </w:r>
      <w:r>
        <w:rPr/>
        <w:t>借款的资本化率的乘积。</w:t>
      </w:r>
    </w:p>
    <w:p>
      <w:pPr>
        <w:pStyle w:val="BodyText"/>
        <w:spacing w:line="408" w:lineRule="auto" w:before="65"/>
        <w:ind w:left="573" w:right="0"/>
        <w:jc w:val="left"/>
      </w:pPr>
      <w:r>
        <w:rPr/>
        <w:t>资本化率根据一般借款加权平均利率计算确定。</w:t>
      </w:r>
      <w:r>
        <w:rPr>
          <w:w w:val="100"/>
        </w:rPr>
        <w:t> </w:t>
      </w:r>
      <w:r>
        <w:rPr>
          <w:spacing w:val="-2"/>
        </w:rPr>
        <w:t>借款存在折价或者溢价的，按照实际利率法确定每一会计期间应摊销的折价或者溢价金额，调整每期</w:t>
      </w:r>
    </w:p>
    <w:p>
      <w:pPr>
        <w:pStyle w:val="BodyText"/>
        <w:spacing w:line="240" w:lineRule="auto"/>
        <w:ind w:right="0"/>
        <w:jc w:val="both"/>
      </w:pPr>
      <w:r>
        <w:rPr/>
        <w:t>利息金额。</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资本化期间内</w:t>
      </w:r>
      <w:r>
        <w:rPr>
          <w:rFonts w:ascii="Times New Roman" w:hAnsi="Times New Roman" w:cs="Times New Roman" w:eastAsia="Times New Roman" w:hint="default"/>
        </w:rPr>
        <w:t>,</w:t>
      </w:r>
      <w:r>
        <w:rPr/>
        <w:t>每一会计期间的利息资本化金额</w:t>
      </w:r>
      <w:r>
        <w:rPr>
          <w:rFonts w:ascii="Times New Roman" w:hAnsi="Times New Roman" w:cs="Times New Roman" w:eastAsia="Times New Roman" w:hint="default"/>
        </w:rPr>
        <w:t>,</w:t>
      </w:r>
      <w:r>
        <w:rPr/>
        <w:t>不应当超过当期相关借款实际发生的利息金额。</w:t>
      </w:r>
    </w:p>
    <w:p>
      <w:pPr>
        <w:spacing w:line="240" w:lineRule="auto" w:before="7"/>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96" w:lineRule="auto" w:before="0"/>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）计价方法、使用寿命、减值测试</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无形资产系指本公司拥有或控制的没有实物形态的可辨认非货币资产。包括专利权、非专利技术、商</w:t>
      </w:r>
    </w:p>
    <w:p>
      <w:pPr>
        <w:pStyle w:val="BodyText"/>
        <w:spacing w:line="243" w:lineRule="exact" w:before="0"/>
        <w:ind w:right="0"/>
        <w:jc w:val="both"/>
      </w:pPr>
      <w:r>
        <w:rPr/>
        <w:t>标权、著作权、土地使用权、特许权等。</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rFonts w:ascii="Times New Roman" w:hAnsi="Times New Roman" w:cs="Times New Roman" w:eastAsia="Times New Roman" w:hint="default"/>
        </w:rPr>
        <w:t>1.</w:t>
      </w:r>
      <w:r>
        <w:rPr/>
        <w:t>无形资产的初始计量</w:t>
      </w:r>
      <w:r>
        <w:rPr>
          <w:w w:val="100"/>
        </w:rPr>
        <w:t> </w:t>
      </w:r>
      <w:r>
        <w:rPr>
          <w:spacing w:val="-2"/>
        </w:rPr>
        <w:t>购买无形资产的成本，包括购买价款、相关税费以及直接归属于使该项资产达到预定用途所发生的其</w:t>
      </w:r>
    </w:p>
    <w:p>
      <w:pPr>
        <w:pStyle w:val="BodyText"/>
        <w:spacing w:line="408" w:lineRule="auto" w:before="65"/>
        <w:ind w:right="186"/>
        <w:jc w:val="both"/>
      </w:pPr>
      <w:r>
        <w:rPr>
          <w:spacing w:val="-2"/>
        </w:rPr>
        <w:t>他支出。购买无形资产的价款超过正常信用条件延期支付，实质上具有融资性质的，无形资产的成本以购</w:t>
      </w:r>
      <w:r>
        <w:rPr>
          <w:spacing w:val="-42"/>
        </w:rPr>
        <w:t> </w:t>
      </w:r>
      <w:r>
        <w:rPr>
          <w:spacing w:val="-42"/>
        </w:rPr>
      </w:r>
      <w:r>
        <w:rPr>
          <w:spacing w:val="-2"/>
        </w:rPr>
        <w:t>买价款的现值为基础确定。实际支付的价款与购买价款的现值之间的差额，除应予资本化的以外，在信用</w:t>
      </w:r>
      <w:r>
        <w:rPr>
          <w:spacing w:val="-44"/>
        </w:rPr>
        <w:t> </w:t>
      </w:r>
      <w:r>
        <w:rPr>
          <w:spacing w:val="-44"/>
        </w:rPr>
      </w:r>
      <w:r>
        <w:rPr/>
        <w:t>期间内计入当期损益；</w:t>
      </w:r>
    </w:p>
    <w:p>
      <w:pPr>
        <w:pStyle w:val="BodyText"/>
        <w:spacing w:line="408" w:lineRule="auto"/>
        <w:ind w:right="0" w:firstLine="420"/>
        <w:jc w:val="left"/>
      </w:pPr>
      <w:r>
        <w:rPr>
          <w:spacing w:val="-2"/>
        </w:rPr>
        <w:t>投资者投入的无形资产，按照投资合同或协议约定的价值作为入账价值，但合同或协议约定价值不公</w:t>
      </w:r>
      <w:r>
        <w:rPr>
          <w:w w:val="100"/>
        </w:rPr>
        <w:t> </w:t>
      </w:r>
      <w:r>
        <w:rPr/>
        <w:t>允的除外；</w:t>
      </w:r>
    </w:p>
    <w:p>
      <w:pPr>
        <w:pStyle w:val="BodyText"/>
        <w:spacing w:line="408" w:lineRule="auto"/>
        <w:ind w:right="0" w:firstLine="420"/>
        <w:jc w:val="left"/>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spacing w:after="0" w:line="408" w:lineRule="auto"/>
        <w:jc w:val="left"/>
        <w:sectPr>
          <w:pgSz w:w="11910" w:h="16840"/>
          <w:pgMar w:header="852" w:footer="980" w:top="1500" w:bottom="1160" w:left="980" w:right="940"/>
        </w:sectPr>
      </w:pPr>
    </w:p>
    <w:p>
      <w:pPr>
        <w:pStyle w:val="BodyText"/>
        <w:spacing w:line="408" w:lineRule="auto" w:before="116"/>
        <w:ind w:right="20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408" w:lineRule="auto"/>
        <w:ind w:right="20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408" w:lineRule="auto"/>
        <w:ind w:right="184" w:firstLine="420"/>
        <w:jc w:val="both"/>
      </w:pPr>
      <w:r>
        <w:rPr>
          <w:spacing w:val="-2"/>
        </w:rPr>
        <w:t>接受捐赠的无形资产，捐赠方提供了有关凭据的，按凭据上表明的金额加上应支付的相关税费计价；</w:t>
      </w:r>
      <w:r>
        <w:rPr>
          <w:w w:val="100"/>
        </w:rPr>
        <w:t> </w:t>
      </w:r>
      <w:r>
        <w:rPr>
          <w:spacing w:val="-2"/>
        </w:rPr>
        <w:t>捐赠方没有提供有关凭据的，如果同类或类似无形资产存在活跃市场的，按同类或者类似无形资产的市场</w:t>
      </w:r>
      <w:r>
        <w:rPr>
          <w:spacing w:val="-44"/>
        </w:rPr>
        <w:t> </w:t>
      </w:r>
      <w:r>
        <w:rPr>
          <w:spacing w:val="-44"/>
        </w:rPr>
      </w:r>
      <w:r>
        <w:rPr>
          <w:spacing w:val="-2"/>
        </w:rPr>
        <w:t>价格估计的金额，加上支付的相关税费，作为入账成本；如果同类或类似无形资产不存在活跃市场的，按</w:t>
      </w:r>
      <w:r>
        <w:rPr>
          <w:spacing w:val="-47"/>
        </w:rPr>
        <w:t> </w:t>
      </w:r>
      <w:r>
        <w:rPr>
          <w:spacing w:val="-47"/>
        </w:rPr>
      </w:r>
      <w:r>
        <w:rPr/>
        <w:t>接受捐赠的无形资产的预计未来现金流量现值，作为入账价值；</w:t>
      </w:r>
    </w:p>
    <w:p>
      <w:pPr>
        <w:pStyle w:val="BodyText"/>
        <w:spacing w:line="408" w:lineRule="auto"/>
        <w:ind w:right="0" w:firstLine="420"/>
        <w:jc w:val="left"/>
      </w:pPr>
      <w:r>
        <w:rPr>
          <w:spacing w:val="-5"/>
        </w:rPr>
        <w:t>内部自行开发的无形资产，系开发阶段的支出成本，包括：开发该无形资产时耗用的材料、劳务成本、</w:t>
      </w:r>
      <w:r>
        <w:rPr>
          <w:w w:val="100"/>
        </w:rPr>
        <w:t> </w:t>
      </w:r>
      <w:r>
        <w:rPr>
          <w:spacing w:val="-2"/>
        </w:rPr>
        <w:t>注册费、在开发过程中使用的其他专利权和特许权的摊销以及满足资本化条件的利息费用，以及为使该无</w:t>
      </w:r>
      <w:r>
        <w:rPr>
          <w:spacing w:val="-43"/>
        </w:rPr>
        <w:t> </w:t>
      </w:r>
      <w:r>
        <w:rPr>
          <w:spacing w:val="-43"/>
        </w:rPr>
      </w:r>
      <w:r>
        <w:rPr/>
        <w:t>形资产达到预定用途前所发生的其他直接费用。前期调研阶段的研发费用直接计入当期损益。</w:t>
      </w:r>
    </w:p>
    <w:p>
      <w:pPr>
        <w:pStyle w:val="BodyText"/>
        <w:spacing w:line="386" w:lineRule="auto"/>
        <w:ind w:left="573" w:right="0"/>
        <w:jc w:val="left"/>
      </w:pPr>
      <w:r>
        <w:rPr>
          <w:rFonts w:ascii="Times New Roman" w:hAnsi="Times New Roman" w:cs="Times New Roman" w:eastAsia="Times New Roman" w:hint="default"/>
        </w:rPr>
        <w:t>2.</w:t>
      </w:r>
      <w:r>
        <w:rPr/>
        <w:t>后续计量</w:t>
      </w:r>
      <w:r>
        <w:rPr>
          <w:spacing w:val="-103"/>
        </w:rPr>
        <w:t> </w:t>
      </w:r>
      <w:r>
        <w:rPr>
          <w:spacing w:val="-103"/>
        </w:rPr>
      </w:r>
      <w:r>
        <w:rPr>
          <w:spacing w:val="-2"/>
        </w:rPr>
        <w:t>根据无形资产的合同性权利或其他法定权利、同行业情况、历史经验、相关专家论证等综合因素判断</w:t>
      </w:r>
    </w:p>
    <w:p>
      <w:pPr>
        <w:pStyle w:val="BodyText"/>
        <w:spacing w:line="240" w:lineRule="auto" w:before="65"/>
        <w:ind w:right="0"/>
        <w:jc w:val="left"/>
      </w:pPr>
      <w:r>
        <w:rPr/>
        <w:t>其使用寿命。</w:t>
      </w:r>
    </w:p>
    <w:p>
      <w:pPr>
        <w:spacing w:line="240" w:lineRule="auto" w:before="10"/>
        <w:rPr>
          <w:rFonts w:ascii="宋体" w:hAnsi="宋体" w:cs="宋体" w:eastAsia="宋体" w:hint="default"/>
          <w:sz w:val="14"/>
          <w:szCs w:val="14"/>
        </w:rPr>
      </w:pPr>
    </w:p>
    <w:p>
      <w:pPr>
        <w:pStyle w:val="BodyText"/>
        <w:spacing w:line="408" w:lineRule="auto" w:before="0"/>
        <w:ind w:right="206" w:firstLine="420"/>
        <w:jc w:val="both"/>
      </w:pPr>
      <w:r>
        <w:rPr>
          <w:spacing w:val="-2"/>
        </w:rPr>
        <w:t>能合理确定无形资产为公司带来经济利益期限的，作为使用寿命有限的无形资产。对于使用寿命有限</w:t>
      </w:r>
      <w:r>
        <w:rPr>
          <w:w w:val="100"/>
        </w:rPr>
        <w:t> </w:t>
      </w:r>
      <w:r>
        <w:rPr>
          <w:spacing w:val="-2"/>
        </w:rPr>
        <w:t>的无形资产，在为企业带来经济利益的期限内按直线法摊销；无法预见无形资产为企业带来经济利益期限</w:t>
      </w:r>
      <w:r>
        <w:rPr>
          <w:spacing w:val="-43"/>
        </w:rPr>
        <w:t> </w:t>
      </w:r>
      <w:r>
        <w:rPr>
          <w:spacing w:val="-43"/>
        </w:rPr>
      </w:r>
      <w:r>
        <w:rPr/>
        <w:t>的，视为使用寿命不确定的无形资产，不予摊销。</w:t>
      </w:r>
    </w:p>
    <w:p>
      <w:pPr>
        <w:pStyle w:val="BodyText"/>
        <w:spacing w:line="408" w:lineRule="auto"/>
        <w:ind w:right="206" w:firstLine="420"/>
        <w:jc w:val="both"/>
      </w:pPr>
      <w:r>
        <w:rPr>
          <w:spacing w:val="-2"/>
        </w:rPr>
        <w:t>对使用寿命有限的无形资产，估计其使用寿命时通常考虑以下因素：①运用该资产生产的产品通常的</w:t>
      </w:r>
      <w:r>
        <w:rPr>
          <w:w w:val="100"/>
        </w:rPr>
        <w:t> </w:t>
      </w:r>
      <w:r>
        <w:rPr>
          <w:spacing w:val="-2"/>
        </w:rPr>
        <w:t>寿命周期、可获得的类似资产使用寿命的信息；②技术、工艺等方面的现阶段情况及对未来发展趋势的估</w:t>
      </w:r>
      <w:r>
        <w:rPr>
          <w:spacing w:val="-44"/>
        </w:rPr>
        <w:t> </w:t>
      </w:r>
      <w:r>
        <w:rPr>
          <w:spacing w:val="-44"/>
        </w:rPr>
      </w:r>
      <w:r>
        <w:rPr>
          <w:spacing w:val="-2"/>
        </w:rPr>
        <w:t>计；③以该资产生产的产品或提供劳务的市场需求情况；④现在或潜在的竞争者预期采取的行动；⑤为维</w:t>
      </w:r>
      <w:r>
        <w:rPr>
          <w:spacing w:val="-44"/>
        </w:rPr>
        <w:t> </w:t>
      </w:r>
      <w:r>
        <w:rPr>
          <w:spacing w:val="-44"/>
        </w:rPr>
      </w:r>
      <w:r>
        <w:rPr>
          <w:spacing w:val="-2"/>
        </w:rPr>
        <w:t>持该资产带来经济利益能力的预期维护支出，以及公司预计支付有关支出的能力；⑥对该资产控制期限的</w:t>
      </w:r>
      <w:r>
        <w:rPr>
          <w:spacing w:val="-42"/>
        </w:rPr>
        <w:t> </w:t>
      </w:r>
      <w:r>
        <w:rPr>
          <w:spacing w:val="-42"/>
        </w:rPr>
      </w:r>
      <w:r>
        <w:rPr/>
        <w:t>相关法律规定或类似限制，如特许使用期、租赁期等；⑦与公司持有其他资产使用寿命的关联性等。</w:t>
      </w:r>
    </w:p>
    <w:p>
      <w:pPr>
        <w:pStyle w:val="BodyText"/>
        <w:spacing w:line="386" w:lineRule="auto"/>
        <w:ind w:left="573" w:right="0"/>
        <w:jc w:val="left"/>
      </w:pPr>
      <w:r>
        <w:rPr>
          <w:rFonts w:ascii="Times New Roman" w:hAnsi="Times New Roman" w:cs="Times New Roman" w:eastAsia="Times New Roman" w:hint="default"/>
        </w:rPr>
        <w:t>3.</w:t>
      </w:r>
      <w:r>
        <w:rPr/>
        <w:t>使用寿命有限的无形资产的使用寿命估计情况</w:t>
      </w:r>
      <w:r>
        <w:rPr>
          <w:w w:val="100"/>
        </w:rPr>
        <w:t> </w:t>
      </w:r>
      <w:r>
        <w:rPr>
          <w:spacing w:val="-2"/>
        </w:rPr>
        <w:t>使用寿命有限的无形资产，在使用寿命内按照与该项无形资产有关的经济利益的预期实现方式系统合</w:t>
      </w:r>
    </w:p>
    <w:p>
      <w:pPr>
        <w:pStyle w:val="BodyText"/>
        <w:spacing w:line="240" w:lineRule="auto" w:before="65"/>
        <w:ind w:right="0"/>
        <w:jc w:val="left"/>
      </w:pPr>
      <w:r>
        <w:rPr/>
        <w:t>理地摊销，无法可靠确定预期实现方式的，采用直线法摊销。</w:t>
      </w:r>
    </w:p>
    <w:p>
      <w:pPr>
        <w:spacing w:line="240" w:lineRule="auto" w:before="11"/>
        <w:rPr>
          <w:rFonts w:ascii="宋体" w:hAnsi="宋体" w:cs="宋体" w:eastAsia="宋体" w:hint="default"/>
          <w:sz w:val="9"/>
          <w:szCs w:val="9"/>
        </w:rPr>
      </w:pPr>
    </w:p>
    <w:tbl>
      <w:tblPr>
        <w:tblW w:w="0" w:type="auto"/>
        <w:jc w:val="left"/>
        <w:tblInd w:w="152" w:type="dxa"/>
        <w:tblLayout w:type="fixed"/>
        <w:tblCellMar>
          <w:top w:w="0" w:type="dxa"/>
          <w:left w:w="0" w:type="dxa"/>
          <w:bottom w:w="0" w:type="dxa"/>
          <w:right w:w="0" w:type="dxa"/>
        </w:tblCellMar>
        <w:tblLook w:val="01E0"/>
      </w:tblPr>
      <w:tblGrid>
        <w:gridCol w:w="2726"/>
        <w:gridCol w:w="4788"/>
      </w:tblGrid>
      <w:tr>
        <w:trPr>
          <w:trHeight w:val="504" w:hRule="exact"/>
        </w:trPr>
        <w:tc>
          <w:tcPr>
            <w:tcW w:w="2726" w:type="dxa"/>
            <w:tcBorders>
              <w:top w:val="single" w:sz="6" w:space="0" w:color="000000"/>
              <w:left w:val="nil" w:sz="6" w:space="0" w:color="auto"/>
              <w:bottom w:val="single" w:sz="6" w:space="0" w:color="000000"/>
              <w:right w:val="nil" w:sz="6" w:space="0" w:color="auto"/>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6" w:space="0" w:color="000000"/>
              <w:left w:val="nil" w:sz="6" w:space="0" w:color="auto"/>
              <w:bottom w:val="single" w:sz="6" w:space="0" w:color="000000"/>
              <w:right w:val="nil" w:sz="6" w:space="0" w:color="auto"/>
            </w:tcBorders>
          </w:tcPr>
          <w:p>
            <w:pPr>
              <w:pStyle w:val="TableParagraph"/>
              <w:spacing w:line="240" w:lineRule="auto" w:before="97"/>
              <w:ind w:left="999"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9" w:hRule="exact"/>
        </w:trPr>
        <w:tc>
          <w:tcPr>
            <w:tcW w:w="2726" w:type="dxa"/>
            <w:tcBorders>
              <w:top w:val="single" w:sz="6" w:space="0" w:color="000000"/>
              <w:left w:val="nil" w:sz="6" w:space="0" w:color="auto"/>
              <w:bottom w:val="nil" w:sz="6" w:space="0" w:color="auto"/>
              <w:right w:val="nil" w:sz="6" w:space="0" w:color="auto"/>
            </w:tcBorders>
          </w:tcPr>
          <w:p>
            <w:pPr>
              <w:pStyle w:val="TableParagraph"/>
              <w:spacing w:line="240" w:lineRule="auto" w:before="97"/>
              <w:ind w:left="1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788" w:type="dxa"/>
            <w:tcBorders>
              <w:top w:val="single" w:sz="6" w:space="0" w:color="000000"/>
              <w:left w:val="nil" w:sz="6" w:space="0" w:color="auto"/>
              <w:bottom w:val="nil" w:sz="6" w:space="0" w:color="auto"/>
              <w:right w:val="nil" w:sz="6" w:space="0" w:color="auto"/>
            </w:tcBorders>
          </w:tcPr>
          <w:p>
            <w:pPr>
              <w:pStyle w:val="TableParagraph"/>
              <w:spacing w:line="240" w:lineRule="auto" w:before="97"/>
              <w:ind w:left="100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852" w:footer="980" w:top="1500" w:bottom="1160" w:left="980" w:right="920"/>
        </w:sectPr>
      </w:pPr>
    </w:p>
    <w:p>
      <w:pPr>
        <w:spacing w:line="240" w:lineRule="auto" w:before="5"/>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890"/>
        <w:gridCol w:w="3769"/>
      </w:tblGrid>
      <w:tr>
        <w:trPr>
          <w:trHeight w:val="357" w:hRule="exact"/>
        </w:trPr>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76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949" w:right="0"/>
              <w:jc w:val="left"/>
              <w:rPr>
                <w:rFonts w:ascii="宋体" w:hAnsi="宋体" w:cs="宋体" w:eastAsia="宋体" w:hint="default"/>
                <w:sz w:val="18"/>
                <w:szCs w:val="18"/>
              </w:rPr>
            </w:pPr>
            <w:r>
              <w:rPr>
                <w:rFonts w:ascii="宋体" w:hAnsi="宋体" w:cs="宋体" w:eastAsia="宋体" w:hint="default"/>
                <w:sz w:val="18"/>
                <w:szCs w:val="18"/>
              </w:rPr>
              <w:t>土地证登记使用年限</w:t>
            </w:r>
          </w:p>
        </w:tc>
      </w:tr>
    </w:tbl>
    <w:p>
      <w:pPr>
        <w:spacing w:line="240" w:lineRule="auto" w:before="13"/>
        <w:rPr>
          <w:rFonts w:ascii="宋体" w:hAnsi="宋体" w:cs="宋体" w:eastAsia="宋体" w:hint="default"/>
          <w:sz w:val="13"/>
          <w:szCs w:val="13"/>
        </w:rPr>
      </w:pPr>
    </w:p>
    <w:p>
      <w:pPr>
        <w:pStyle w:val="BodyText"/>
        <w:spacing w:line="408" w:lineRule="auto" w:before="36"/>
        <w:ind w:right="206" w:firstLine="420"/>
        <w:jc w:val="both"/>
      </w:pPr>
      <w:r>
        <w:rPr/>
        <w:pict>
          <v:group style="position:absolute;margin-left:54.84pt;margin-top:-27.356312pt;width:485.65pt;height:1.45pt;mso-position-horizontal-relative:page;mso-position-vertical-relative:paragraph;z-index:-754000" coordorigin="1097,-547" coordsize="9713,29">
            <v:group style="position:absolute;left:1104;top:-540;width:9698;height:2" coordorigin="1104,-540" coordsize="9698,2">
              <v:shape style="position:absolute;left:1104;top:-540;width:9698;height:2" coordorigin="1104,-540" coordsize="9698,0" path="m1104,-540l10802,-540e" filled="false" stroked="true" strokeweight=".72pt" strokecolor="#000000">
                <v:path arrowok="t"/>
              </v:shape>
            </v:group>
            <v:group style="position:absolute;left:1133;top:-526;width:3489;height:2" coordorigin="1133,-526" coordsize="3489,2">
              <v:shape style="position:absolute;left:1133;top:-526;width:3489;height:2" coordorigin="1133,-526" coordsize="3489,0" path="m1133,-526l4621,-526e" filled="false" stroked="true" strokeweight=".72pt" strokecolor="#000000">
                <v:path arrowok="t"/>
              </v:shape>
            </v:group>
            <v:group style="position:absolute;left:4621;top:-526;width:15;height:2" coordorigin="4621,-526" coordsize="15,2">
              <v:shape style="position:absolute;left:4621;top:-526;width:15;height:2" coordorigin="4621,-526" coordsize="15,0" path="m4621,-526l4635,-526e" filled="false" stroked="true" strokeweight=".72pt" strokecolor="#000000">
                <v:path arrowok="t"/>
              </v:shape>
            </v:group>
            <v:group style="position:absolute;left:4635;top:-526;width:221;height:2" coordorigin="4635,-526" coordsize="221,2">
              <v:shape style="position:absolute;left:4635;top:-526;width:221;height:2" coordorigin="4635,-526" coordsize="221,0" path="m4635,-526l4856,-526e" filled="false" stroked="true" strokeweight=".72pt" strokecolor="#000000">
                <v:path arrowok="t"/>
              </v:shape>
            </v:group>
            <v:group style="position:absolute;left:4856;top:-526;width:15;height:2" coordorigin="4856,-526" coordsize="15,2">
              <v:shape style="position:absolute;left:4856;top:-526;width:15;height:2" coordorigin="4856,-526" coordsize="15,0" path="m4856,-526l4871,-526e" filled="false" stroked="true" strokeweight=".72pt" strokecolor="#000000">
                <v:path arrowok="t"/>
              </v:shape>
            </v:group>
            <v:group style="position:absolute;left:4871;top:-526;width:3776;height:2" coordorigin="4871,-526" coordsize="3776,2">
              <v:shape style="position:absolute;left:4871;top:-526;width:3776;height:2" coordorigin="4871,-526" coordsize="3776,0" path="m4871,-526l8646,-526e" filled="false" stroked="true" strokeweight=".72pt" strokecolor="#000000">
                <v:path arrowok="t"/>
              </v:shape>
            </v:group>
            <w10:wrap type="none"/>
          </v:group>
        </w:pict>
      </w:r>
      <w:r>
        <w:rPr>
          <w:spacing w:val="-2"/>
        </w:rPr>
        <w:t>公司于每年年度终了，对使用寿命有限的无形资产的使用寿命及摊销方法进行复核，无形资产的使用</w:t>
      </w:r>
      <w:r>
        <w:rPr>
          <w:w w:val="100"/>
        </w:rPr>
        <w:t> </w:t>
      </w:r>
      <w:r>
        <w:rPr>
          <w:spacing w:val="-2"/>
        </w:rPr>
        <w:t>寿命及摊销方法与以前估计不同的，则改变摊销期限和摊销方法；对使用寿命不确定的无形资产的使用寿</w:t>
      </w:r>
      <w:r>
        <w:rPr>
          <w:spacing w:val="-42"/>
        </w:rPr>
        <w:t> </w:t>
      </w:r>
      <w:r>
        <w:rPr>
          <w:spacing w:val="-42"/>
        </w:rPr>
      </w:r>
      <w:r>
        <w:rPr/>
        <w:t>命进行复核，如果有证据表明无形资产的使用寿命是有限的，估计其使用寿命，按准则规定处理。</w:t>
      </w:r>
    </w:p>
    <w:p>
      <w:pPr>
        <w:pStyle w:val="BodyText"/>
        <w:spacing w:line="240" w:lineRule="auto"/>
        <w:ind w:left="573" w:right="0"/>
        <w:jc w:val="left"/>
      </w:pPr>
      <w:r>
        <w:rPr/>
        <w:t>经复核，本报告期末无形资产的使用寿命及摊销方法与以前估计未有不同。</w:t>
      </w:r>
    </w:p>
    <w:p>
      <w:pPr>
        <w:spacing w:line="240" w:lineRule="auto" w:before="10"/>
        <w:rPr>
          <w:rFonts w:ascii="宋体" w:hAnsi="宋体" w:cs="宋体" w:eastAsia="宋体" w:hint="default"/>
          <w:sz w:val="14"/>
          <w:szCs w:val="14"/>
        </w:rPr>
      </w:pPr>
    </w:p>
    <w:p>
      <w:pPr>
        <w:pStyle w:val="BodyText"/>
        <w:spacing w:line="386" w:lineRule="auto" w:before="0"/>
        <w:ind w:left="573" w:right="0"/>
        <w:jc w:val="left"/>
      </w:pPr>
      <w:r>
        <w:rPr>
          <w:rFonts w:ascii="Times New Roman" w:hAnsi="Times New Roman" w:cs="Times New Roman" w:eastAsia="Times New Roman" w:hint="default"/>
        </w:rPr>
        <w:t>4.</w:t>
      </w:r>
      <w:r>
        <w:rPr/>
        <w:t>无形资产减值</w:t>
      </w:r>
      <w:r>
        <w:rPr>
          <w:spacing w:val="-103"/>
        </w:rPr>
        <w:t> </w:t>
      </w:r>
      <w:r>
        <w:rPr>
          <w:spacing w:val="-103"/>
        </w:rPr>
      </w:r>
      <w:r>
        <w:rPr>
          <w:spacing w:val="-2"/>
        </w:rPr>
        <w:t>对于使用寿命确定的无形资产，如有明显减值迹象的，期末进行减值测试。对于使用寿命不确定的无</w:t>
      </w:r>
    </w:p>
    <w:p>
      <w:pPr>
        <w:pStyle w:val="BodyText"/>
        <w:spacing w:line="410" w:lineRule="auto" w:before="65"/>
        <w:ind w:left="573" w:right="0" w:hanging="421"/>
        <w:jc w:val="left"/>
      </w:pPr>
      <w:r>
        <w:rPr/>
        <w:t>形资产，每期末进行减值测试。</w:t>
      </w:r>
      <w:r>
        <w:rPr>
          <w:w w:val="100"/>
        </w:rPr>
        <w:t> </w:t>
      </w:r>
      <w:r>
        <w:rPr>
          <w:spacing w:val="-2"/>
        </w:rPr>
        <w:t>对无形资产进行减值测试，估计其可收回金额。可收回金额根据无形资产的公允价值减去处置费用后</w:t>
      </w:r>
    </w:p>
    <w:p>
      <w:pPr>
        <w:pStyle w:val="BodyText"/>
        <w:spacing w:line="408" w:lineRule="auto" w:before="44"/>
        <w:ind w:left="573" w:right="0" w:hanging="421"/>
        <w:jc w:val="left"/>
      </w:pPr>
      <w:r>
        <w:rPr/>
        <w:t>的净额与无形资产预计未来现金流量的现值两者之间较高者确定。</w:t>
      </w:r>
      <w:r>
        <w:rPr>
          <w:w w:val="100"/>
        </w:rPr>
        <w:t> </w:t>
      </w:r>
      <w:r>
        <w:rPr>
          <w:spacing w:val="-2"/>
        </w:rPr>
        <w:t>当无形资产的可收回金额低于其账面价值的，将无形资产的账面价值减记至可收回金额，减记的金额</w:t>
      </w:r>
    </w:p>
    <w:p>
      <w:pPr>
        <w:pStyle w:val="BodyText"/>
        <w:spacing w:line="408" w:lineRule="auto"/>
        <w:ind w:left="573" w:right="0" w:hanging="421"/>
        <w:jc w:val="left"/>
      </w:pPr>
      <w:r>
        <w:rPr/>
        <w:t>确认为无形资产减值损失，计入当期损益。</w:t>
      </w:r>
      <w:r>
        <w:rPr>
          <w:w w:val="100"/>
        </w:rPr>
        <w:t> </w:t>
      </w:r>
      <w:r>
        <w:rPr>
          <w:spacing w:val="-2"/>
        </w:rPr>
        <w:t>无形资产减值损失确认后，减值无形资产的折耗或者摊销费用在未来期间作相应调整，以使该无形资</w:t>
      </w:r>
    </w:p>
    <w:p>
      <w:pPr>
        <w:pStyle w:val="BodyText"/>
        <w:spacing w:line="408" w:lineRule="auto"/>
        <w:ind w:left="573" w:right="0" w:hanging="421"/>
        <w:jc w:val="left"/>
      </w:pPr>
      <w:r>
        <w:rPr/>
        <w:t>产在剩余使用寿命内，系统地分摊调整后的无形资产账面价值（扣除预计净残值）。</w:t>
      </w:r>
      <w:r>
        <w:rPr>
          <w:w w:val="100"/>
        </w:rPr>
        <w:t> </w:t>
      </w:r>
      <w:r>
        <w:rPr/>
        <w:t>无形资产的减值损失一经确认，在以后会计期间不再转回。</w:t>
      </w:r>
      <w:r>
        <w:rPr>
          <w:w w:val="100"/>
        </w:rPr>
        <w:t> </w:t>
      </w:r>
      <w:r>
        <w:rPr>
          <w:spacing w:val="-2"/>
        </w:rPr>
        <w:t>有迹象表明一项无形资产可能发生减值的，公司以单项无形资产为基础估计其可收回金额。公司难以</w:t>
      </w:r>
    </w:p>
    <w:p>
      <w:pPr>
        <w:pStyle w:val="BodyText"/>
        <w:spacing w:line="240" w:lineRule="auto"/>
        <w:ind w:right="0"/>
        <w:jc w:val="left"/>
      </w:pPr>
      <w:r>
        <w:rPr/>
        <w:t>对单项资产的可收回金额进行估计的，以该无形资产所属的资产组为基础确定无形资产组的可收回金额。</w:t>
      </w:r>
    </w:p>
    <w:p>
      <w:pPr>
        <w:spacing w:line="240" w:lineRule="auto" w:before="9"/>
        <w:rPr>
          <w:rFonts w:ascii="宋体" w:hAnsi="宋体" w:cs="宋体" w:eastAsia="宋体" w:hint="default"/>
          <w:sz w:val="26"/>
          <w:szCs w:val="26"/>
        </w:rPr>
      </w:pPr>
    </w:p>
    <w:p>
      <w:pPr>
        <w:spacing w:line="496" w:lineRule="auto" w:before="0"/>
        <w:ind w:left="573" w:right="1024"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）内部研究开发支出会计政策</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本公司内部研究开发项目的支出，区分研究阶段支出与开发阶段支出。</w:t>
      </w:r>
    </w:p>
    <w:p>
      <w:pPr>
        <w:pStyle w:val="BodyText"/>
        <w:spacing w:line="259" w:lineRule="exact" w:before="0"/>
        <w:ind w:left="573" w:right="0"/>
        <w:jc w:val="left"/>
      </w:pPr>
      <w:r>
        <w:rPr>
          <w:rFonts w:ascii="Times New Roman" w:hAnsi="Times New Roman" w:cs="Times New Roman" w:eastAsia="Times New Roman" w:hint="default"/>
        </w:rPr>
        <w:t>1.</w:t>
      </w:r>
      <w:r>
        <w:rPr/>
        <w:t>划分公司内部研究开发项目的研究阶段和开发阶段的标准：为获取并理解新的科学或技术知识而进</w:t>
      </w:r>
    </w:p>
    <w:p>
      <w:pPr>
        <w:pStyle w:val="BodyText"/>
        <w:spacing w:line="408" w:lineRule="auto" w:before="177"/>
        <w:ind w:right="0"/>
        <w:jc w:val="left"/>
      </w:pPr>
      <w:r>
        <w:rPr>
          <w:spacing w:val="-5"/>
        </w:rPr>
        <w:t>行的独创性的有计划调查、资料搜集及相关方面的准备活动作为研究阶段的支出，于发生时计入当期损益；</w:t>
      </w:r>
      <w:r>
        <w:rPr>
          <w:spacing w:val="-6"/>
        </w:rPr>
        <w:t> </w:t>
      </w:r>
      <w:r>
        <w:rPr>
          <w:spacing w:val="-6"/>
        </w:rPr>
      </w:r>
      <w:r>
        <w:rPr/>
        <w:t>本公司完成研究阶段工作，进行商业性生产或使用前，将研究成果或其他知识应用于某项计划或设计，以</w:t>
      </w:r>
      <w:r>
        <w:rPr>
          <w:w w:val="100"/>
        </w:rPr>
        <w:t> </w:t>
      </w:r>
      <w:r>
        <w:rPr/>
        <w:t>生产出新的或具有实质性改进的材料、装置、产品的活动作为研发阶段，研发支出予以资本化。</w:t>
      </w:r>
    </w:p>
    <w:p>
      <w:pPr>
        <w:pStyle w:val="BodyText"/>
        <w:spacing w:line="403" w:lineRule="auto"/>
        <w:ind w:right="206" w:firstLine="420"/>
        <w:jc w:val="both"/>
      </w:pPr>
      <w:r>
        <w:rPr>
          <w:rFonts w:ascii="Times New Roman" w:hAnsi="Times New Roman" w:cs="Times New Roman" w:eastAsia="Times New Roman" w:hint="default"/>
          <w:spacing w:val="-2"/>
        </w:rPr>
        <w:t>2.</w:t>
      </w:r>
      <w:r>
        <w:rPr>
          <w:spacing w:val="-2"/>
        </w:rPr>
        <w:t>研发阶段支出符合资本化的具体标准：内部研究开发项目开发阶段的支出，同时满足下列条件的，</w:t>
      </w:r>
      <w:r>
        <w:rPr>
          <w:w w:val="100"/>
        </w:rPr>
        <w:t> </w:t>
      </w:r>
      <w:r>
        <w:rPr>
          <w:spacing w:val="-2"/>
        </w:rPr>
        <w:t>确认为无形资产：①完成该无形资产以使其能够使用或出售在技术上具有可行性；②具有完成该无形资产</w:t>
      </w:r>
      <w:r>
        <w:rPr>
          <w:spacing w:val="-43"/>
        </w:rPr>
        <w:t> </w:t>
      </w:r>
      <w:r>
        <w:rPr>
          <w:spacing w:val="-43"/>
        </w:rPr>
      </w:r>
      <w:r>
        <w:rPr>
          <w:spacing w:val="-2"/>
        </w:rPr>
        <w:t>并使用或出售的意图；③无形资产产生经济利益的方式，包括能够证明运用该无形资产生产的产品存在市</w:t>
      </w:r>
      <w:r>
        <w:rPr>
          <w:spacing w:val="-43"/>
        </w:rPr>
        <w:t> </w:t>
      </w:r>
      <w:r>
        <w:rPr>
          <w:spacing w:val="-43"/>
        </w:rPr>
      </w:r>
      <w:r>
        <w:rPr>
          <w:spacing w:val="-2"/>
        </w:rPr>
        <w:t>场或无形资产自身存在市场，无形资产将在内部使用的，应当证明其有用性；④有足够的技术、财务资源</w:t>
      </w:r>
      <w:r>
        <w:rPr>
          <w:spacing w:val="-47"/>
        </w:rPr>
        <w:t> </w:t>
      </w:r>
      <w:r>
        <w:rPr>
          <w:spacing w:val="-47"/>
        </w:rPr>
      </w:r>
      <w:r>
        <w:rPr>
          <w:spacing w:val="-2"/>
        </w:rPr>
        <w:t>和其他资源支持，以完成该无形资产的开发，并有能力使用或出售该无形资产；⑤归属于该无形资产开发</w:t>
      </w:r>
    </w:p>
    <w:p>
      <w:pPr>
        <w:spacing w:after="0" w:line="403" w:lineRule="auto"/>
        <w:jc w:val="both"/>
        <w:sectPr>
          <w:pgSz w:w="11910" w:h="16840"/>
          <w:pgMar w:header="852" w:footer="980" w:top="150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9"/>
        <w:ind w:right="0"/>
        <w:jc w:val="left"/>
      </w:pPr>
      <w:r>
        <w:rPr/>
        <w:t>阶段的支出能够可靠地计量。</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left="573" w:right="0"/>
        <w:jc w:val="left"/>
      </w:pPr>
      <w:r>
        <w:rPr>
          <w:rFonts w:ascii="Times New Roman" w:hAnsi="Times New Roman" w:cs="Times New Roman" w:eastAsia="Times New Roman" w:hint="default"/>
        </w:rPr>
        <w:t>1</w:t>
      </w:r>
      <w:r>
        <w:rPr/>
        <w:t>、长期投资减值的确认</w:t>
      </w:r>
      <w:r>
        <w:rPr>
          <w:w w:val="100"/>
        </w:rPr>
        <w:t> </w:t>
      </w:r>
      <w:r>
        <w:rPr>
          <w:spacing w:val="-2"/>
        </w:rPr>
        <w:t>本公司在资产负债表日对长期股权投资进行逐项检查，根据被投资单位经营政策、法律环境、市场需</w:t>
      </w:r>
    </w:p>
    <w:p>
      <w:pPr>
        <w:pStyle w:val="BodyText"/>
        <w:spacing w:line="408" w:lineRule="auto" w:before="65"/>
        <w:ind w:left="573" w:right="0" w:hanging="421"/>
        <w:jc w:val="left"/>
      </w:pPr>
      <w:r>
        <w:rPr/>
        <w:t>求、行业及盈利能力等各种变化判断长期股权投资是否存在减值迹象。</w:t>
      </w:r>
      <w:r>
        <w:rPr>
          <w:w w:val="100"/>
        </w:rPr>
        <w:t> </w:t>
      </w:r>
      <w:r>
        <w:rPr>
          <w:spacing w:val="-2"/>
        </w:rPr>
        <w:t>除因企业合并形成的商誉以外的存在减值迹象的其他长期股权投资，如果可收回金额的计量结果表</w:t>
      </w:r>
    </w:p>
    <w:p>
      <w:pPr>
        <w:pStyle w:val="BodyText"/>
        <w:spacing w:line="408" w:lineRule="auto"/>
        <w:ind w:left="573" w:right="0" w:hanging="421"/>
        <w:jc w:val="left"/>
      </w:pPr>
      <w:r>
        <w:rPr>
          <w:spacing w:val="-2"/>
        </w:rPr>
        <w:t>明，该长期股权投资的可收回金额低于其账面价值的，将差额确认为减值损失。</w:t>
      </w:r>
      <w:r>
        <w:rPr>
          <w:spacing w:val="-38"/>
        </w:rPr>
        <w:t> </w:t>
      </w:r>
      <w:r>
        <w:rPr>
          <w:spacing w:val="-38"/>
        </w:rPr>
      </w:r>
      <w:r>
        <w:rPr/>
        <w:t>因企业合并形成的商誉，无论是否存在减值迹象，每年都进行减值测试。</w:t>
      </w:r>
      <w:r>
        <w:rPr>
          <w:w w:val="100"/>
        </w:rPr>
        <w:t> </w:t>
      </w:r>
      <w:r>
        <w:rPr/>
        <w:t>长期股权投资减值损失一经确认，不再转回。</w:t>
      </w:r>
    </w:p>
    <w:p>
      <w:pPr>
        <w:pStyle w:val="BodyText"/>
        <w:spacing w:line="386" w:lineRule="auto"/>
        <w:ind w:left="573" w:right="0"/>
        <w:jc w:val="left"/>
      </w:pPr>
      <w:r>
        <w:rPr>
          <w:rFonts w:ascii="Times New Roman" w:hAnsi="Times New Roman" w:cs="Times New Roman" w:eastAsia="Times New Roman" w:hint="default"/>
        </w:rPr>
        <w:t>2</w:t>
      </w:r>
      <w:r>
        <w:rPr/>
        <w:t>、固定资产减值的确认</w:t>
      </w:r>
      <w:r>
        <w:rPr>
          <w:w w:val="100"/>
        </w:rPr>
        <w:t> </w:t>
      </w:r>
      <w:r>
        <w:rPr>
          <w:spacing w:val="-5"/>
        </w:rPr>
        <w:t>公司在每期末判断固定资产是否存在可能发生减值的迹象，如果存在资产市价持续下跌，或技术陈旧、</w:t>
      </w:r>
    </w:p>
    <w:p>
      <w:pPr>
        <w:pStyle w:val="BodyText"/>
        <w:spacing w:line="408" w:lineRule="auto" w:before="65"/>
        <w:ind w:right="206"/>
        <w:jc w:val="both"/>
      </w:pPr>
      <w:r>
        <w:rPr>
          <w:spacing w:val="-2"/>
        </w:rPr>
        <w:t>损坏、长期闲置等减值迹象的，估计其可收回金额。可收回金额根据固定资产的公允价值减去处置费用后</w:t>
      </w:r>
      <w:r>
        <w:rPr>
          <w:spacing w:val="-45"/>
        </w:rPr>
        <w:t> </w:t>
      </w:r>
      <w:r>
        <w:rPr>
          <w:spacing w:val="-45"/>
        </w:rPr>
      </w:r>
      <w:r>
        <w:rPr/>
        <w:t>的净额与固定资产预计未来现金流量的现值两者之间较高者确定。</w:t>
      </w:r>
    </w:p>
    <w:p>
      <w:pPr>
        <w:pStyle w:val="BodyText"/>
        <w:spacing w:line="408" w:lineRule="auto"/>
        <w:ind w:right="0" w:firstLine="420"/>
        <w:jc w:val="left"/>
      </w:pPr>
      <w:r>
        <w:rPr>
          <w:spacing w:val="-2"/>
        </w:rPr>
        <w:t>当固定资产的可收回金额低于其账面价值的，将固定资产的账面价值减记至可收回金额，减记的金额</w:t>
      </w:r>
      <w:r>
        <w:rPr>
          <w:w w:val="100"/>
        </w:rPr>
        <w:t> </w:t>
      </w:r>
      <w:r>
        <w:rPr/>
        <w:t>确认为固定资产减值损失，计入当期损益，同时计提相应的固定资产减值准备。</w:t>
      </w:r>
    </w:p>
    <w:p>
      <w:pPr>
        <w:pStyle w:val="BodyText"/>
        <w:spacing w:line="408" w:lineRule="auto"/>
        <w:ind w:right="0" w:firstLine="420"/>
        <w:jc w:val="left"/>
      </w:pPr>
      <w:r>
        <w:rPr>
          <w:spacing w:val="-2"/>
        </w:rPr>
        <w:t>固定资产减值损失确认后，减值固定资产的折旧在未来期间作相应调整，以使该固定资产在剩余使用</w:t>
      </w:r>
      <w:r>
        <w:rPr>
          <w:w w:val="100"/>
        </w:rPr>
        <w:t> </w:t>
      </w:r>
      <w:r>
        <w:rPr/>
        <w:t>寿命内，系统地分摊调整后的固定资产账面价值（扣除预计净残值）。</w:t>
      </w:r>
    </w:p>
    <w:p>
      <w:pPr>
        <w:pStyle w:val="BodyText"/>
        <w:spacing w:line="408" w:lineRule="auto"/>
        <w:ind w:left="573" w:right="0"/>
        <w:jc w:val="left"/>
      </w:pPr>
      <w:r>
        <w:rPr/>
        <w:t>固定资产的减值损失一经确认，在以后会计期间不再转回。</w:t>
      </w:r>
      <w:r>
        <w:rPr>
          <w:w w:val="100"/>
        </w:rPr>
        <w:t> </w:t>
      </w:r>
      <w:r>
        <w:rPr>
          <w:spacing w:val="-2"/>
        </w:rPr>
        <w:t>有迹象表明一项固定资产可能发生减值的，企业以单项固定资产为基础估计其可收回金额。企业难以</w:t>
      </w:r>
    </w:p>
    <w:p>
      <w:pPr>
        <w:pStyle w:val="BodyText"/>
        <w:spacing w:line="398" w:lineRule="auto"/>
        <w:ind w:left="573" w:right="0" w:hanging="421"/>
        <w:jc w:val="left"/>
      </w:pPr>
      <w:r>
        <w:rPr>
          <w:spacing w:val="-2"/>
        </w:rPr>
        <w:t>对单项固定资产的可收回金额进行估计的，以该固定资产所属的资产组为基础确定资产组的可收回金额。</w:t>
      </w:r>
      <w:r>
        <w:rPr>
          <w:spacing w:val="-24"/>
        </w:rPr>
        <w:t> </w:t>
      </w:r>
      <w:r>
        <w:rPr>
          <w:spacing w:val="-24"/>
        </w:rPr>
      </w:r>
      <w:r>
        <w:rPr>
          <w:rFonts w:ascii="Times New Roman" w:hAnsi="Times New Roman" w:cs="Times New Roman" w:eastAsia="Times New Roman" w:hint="default"/>
        </w:rPr>
        <w:t>3</w:t>
      </w:r>
      <w:r>
        <w:rPr/>
        <w:t>、在建工程减值的确认</w:t>
      </w:r>
      <w:r>
        <w:rPr>
          <w:w w:val="100"/>
        </w:rPr>
        <w:t> </w:t>
      </w:r>
      <w:r>
        <w:rPr/>
        <w:t>公司在每期末判断在建工程是否存在可能发生减值的迹象。如果存在：</w:t>
      </w:r>
      <w:r>
        <w:rPr>
          <w:rFonts w:ascii="Times New Roman" w:hAnsi="Times New Roman" w:cs="Times New Roman" w:eastAsia="Times New Roman" w:hint="default"/>
        </w:rPr>
        <w:t>a.</w:t>
      </w:r>
      <w:r>
        <w:rPr/>
        <w:t>在建工程长期停建并且预计</w:t>
      </w:r>
    </w:p>
    <w:p>
      <w:pPr>
        <w:pStyle w:val="BodyText"/>
        <w:spacing w:line="398" w:lineRule="auto" w:before="24"/>
        <w:ind w:right="206"/>
        <w:jc w:val="both"/>
      </w:pPr>
      <w:r>
        <w:rPr>
          <w:spacing w:val="-3"/>
        </w:rPr>
        <w:t>在未来</w:t>
      </w:r>
      <w:r>
        <w:rPr>
          <w:rFonts w:ascii="Times New Roman" w:hAnsi="Times New Roman" w:cs="Times New Roman" w:eastAsia="Times New Roman" w:hint="default"/>
          <w:spacing w:val="-3"/>
        </w:rPr>
        <w:t>3</w:t>
      </w:r>
      <w:r>
        <w:rPr>
          <w:spacing w:val="-3"/>
        </w:rPr>
        <w:t>年内不会重新开工；</w:t>
      </w:r>
      <w:r>
        <w:rPr>
          <w:rFonts w:ascii="Times New Roman" w:hAnsi="Times New Roman" w:cs="Times New Roman" w:eastAsia="Times New Roman" w:hint="default"/>
          <w:spacing w:val="-3"/>
        </w:rPr>
        <w:t>b.</w:t>
      </w:r>
      <w:r>
        <w:rPr>
          <w:spacing w:val="-3"/>
        </w:rPr>
        <w:t>所建项目在性能上、技术上已经落后并且所带来的经济效益具有很大的不确</w:t>
      </w:r>
      <w:r>
        <w:rPr>
          <w:spacing w:val="-45"/>
        </w:rPr>
        <w:t> </w:t>
      </w:r>
      <w:r>
        <w:rPr>
          <w:spacing w:val="-45"/>
        </w:rPr>
      </w:r>
      <w:r>
        <w:rPr>
          <w:spacing w:val="-2"/>
        </w:rPr>
        <w:t>定性等减值迹象的，估计其可收回金额。可收回金额根据在建工程的公允价值减去处置费用后的净额与在</w:t>
      </w:r>
      <w:r>
        <w:rPr>
          <w:spacing w:val="-42"/>
        </w:rPr>
        <w:t> </w:t>
      </w:r>
      <w:r>
        <w:rPr>
          <w:spacing w:val="-42"/>
        </w:rPr>
      </w:r>
      <w:r>
        <w:rPr/>
        <w:t>建工程预计未来现金流量的现值两者之间较高者确定。</w:t>
      </w:r>
    </w:p>
    <w:p>
      <w:pPr>
        <w:pStyle w:val="BodyText"/>
        <w:spacing w:line="408" w:lineRule="auto" w:before="54"/>
        <w:ind w:right="0" w:firstLine="420"/>
        <w:jc w:val="left"/>
      </w:pPr>
      <w:r>
        <w:rPr>
          <w:spacing w:val="-2"/>
        </w:rPr>
        <w:t>当在建工程的可收回金额低于其账面价值的，将在建工程的账面价值减记至可收回金额，减记的金额</w:t>
      </w:r>
      <w:r>
        <w:rPr>
          <w:w w:val="100"/>
        </w:rPr>
        <w:t> </w:t>
      </w:r>
      <w:r>
        <w:rPr/>
        <w:t>确认为在建工程减值损失，计入当期损益。</w:t>
      </w:r>
    </w:p>
    <w:p>
      <w:pPr>
        <w:pStyle w:val="BodyText"/>
        <w:spacing w:line="240" w:lineRule="auto"/>
        <w:ind w:left="573" w:right="0"/>
        <w:jc w:val="left"/>
      </w:pPr>
      <w:r>
        <w:rPr/>
        <w:t>在建工程的减值损失一经确认，在以后会计期间不再转回。</w:t>
      </w:r>
    </w:p>
    <w:p>
      <w:pPr>
        <w:spacing w:after="0" w:line="240" w:lineRule="auto"/>
        <w:jc w:val="left"/>
        <w:sectPr>
          <w:pgSz w:w="11910" w:h="16840"/>
          <w:pgMar w:header="852" w:footer="980" w:top="1500" w:bottom="1160" w:left="980" w:right="920"/>
        </w:sectPr>
      </w:pPr>
    </w:p>
    <w:p>
      <w:pPr>
        <w:pStyle w:val="BodyText"/>
        <w:spacing w:line="408" w:lineRule="auto" w:before="116"/>
        <w:ind w:right="0" w:firstLine="420"/>
        <w:jc w:val="left"/>
      </w:pPr>
      <w:r>
        <w:rPr>
          <w:spacing w:val="-2"/>
        </w:rPr>
        <w:t>有迹象表明一项在建工程可能发生减值的，企业以单项在建工程为基础估计其可收回金额。企业难以</w:t>
      </w:r>
      <w:r>
        <w:rPr>
          <w:w w:val="100"/>
        </w:rPr>
        <w:t> </w:t>
      </w:r>
      <w:r>
        <w:rPr>
          <w:spacing w:val="-2"/>
        </w:rPr>
        <w:t>对单项在建工程的可收回金额进行估计的，以该在建工程所属的资产组为基础确定资产组的可收回金额。</w:t>
      </w:r>
    </w:p>
    <w:p>
      <w:pPr>
        <w:pStyle w:val="BodyText"/>
        <w:spacing w:line="386" w:lineRule="auto"/>
        <w:ind w:left="573" w:right="0"/>
        <w:jc w:val="left"/>
      </w:pPr>
      <w:r>
        <w:rPr>
          <w:rFonts w:ascii="Times New Roman" w:hAnsi="Times New Roman" w:cs="Times New Roman" w:eastAsia="Times New Roman" w:hint="default"/>
        </w:rPr>
        <w:t>4.</w:t>
      </w:r>
      <w:r>
        <w:rPr/>
        <w:t>无形资产减值的确认</w:t>
      </w:r>
      <w:r>
        <w:rPr>
          <w:w w:val="100"/>
        </w:rPr>
        <w:t> </w:t>
      </w:r>
      <w:r>
        <w:rPr>
          <w:spacing w:val="-2"/>
        </w:rPr>
        <w:t>对于使用寿命确定的无形资产，如有明显减值迹象的，期末进行减值测试。对于使用寿命不确定的无</w:t>
      </w:r>
    </w:p>
    <w:p>
      <w:pPr>
        <w:pStyle w:val="BodyText"/>
        <w:spacing w:line="408" w:lineRule="auto" w:before="65"/>
        <w:ind w:left="573" w:right="0" w:hanging="421"/>
        <w:jc w:val="left"/>
      </w:pPr>
      <w:r>
        <w:rPr/>
        <w:t>形资产，每期末进行减值测试。</w:t>
      </w:r>
      <w:r>
        <w:rPr>
          <w:w w:val="100"/>
        </w:rPr>
        <w:t> </w:t>
      </w:r>
      <w:r>
        <w:rPr>
          <w:spacing w:val="-2"/>
        </w:rPr>
        <w:t>对无形资产进行减值测试，估计其可收回金额。可收回金额根据无形资产的公允价值减去处置费用后</w:t>
      </w:r>
    </w:p>
    <w:p>
      <w:pPr>
        <w:pStyle w:val="BodyText"/>
        <w:spacing w:line="408" w:lineRule="auto"/>
        <w:ind w:left="573" w:right="0" w:hanging="421"/>
        <w:jc w:val="left"/>
      </w:pPr>
      <w:r>
        <w:rPr/>
        <w:t>的净额与无形资产预计未来现金流量的现值两者之间较高者确定。</w:t>
      </w:r>
      <w:r>
        <w:rPr>
          <w:w w:val="100"/>
        </w:rPr>
        <w:t> </w:t>
      </w:r>
      <w:r>
        <w:rPr>
          <w:spacing w:val="-2"/>
        </w:rPr>
        <w:t>当无形资产的可收回金额低于其账面价值的，将无形资产的账面价值减记至可收回金额，减记的金额</w:t>
      </w:r>
    </w:p>
    <w:p>
      <w:pPr>
        <w:pStyle w:val="BodyText"/>
        <w:spacing w:line="408" w:lineRule="auto"/>
        <w:ind w:left="573" w:right="0" w:hanging="421"/>
        <w:jc w:val="left"/>
      </w:pPr>
      <w:r>
        <w:rPr/>
        <w:t>确认为无形资产减值损失，计入当期损益。</w:t>
      </w:r>
      <w:r>
        <w:rPr>
          <w:w w:val="100"/>
        </w:rPr>
        <w:t> </w:t>
      </w:r>
      <w:r>
        <w:rPr>
          <w:spacing w:val="-2"/>
        </w:rPr>
        <w:t>无形资产减值损失确认后，减值无形资产的折耗或者摊销费用在未来期间作相应调整，以使该无形资</w:t>
      </w:r>
    </w:p>
    <w:p>
      <w:pPr>
        <w:pStyle w:val="BodyText"/>
        <w:spacing w:line="408" w:lineRule="auto"/>
        <w:ind w:left="573" w:right="0" w:hanging="421"/>
        <w:jc w:val="left"/>
      </w:pPr>
      <w:r>
        <w:rPr/>
        <w:t>产在剩余使用寿命内，系统地分摊调整后的无形资产账面价值（扣除预计净残值）。</w:t>
      </w:r>
      <w:r>
        <w:rPr>
          <w:w w:val="100"/>
        </w:rPr>
        <w:t> </w:t>
      </w:r>
      <w:r>
        <w:rPr/>
        <w:t>无形资产的减值损失一经确认，在以后会计期间不再转回。</w:t>
      </w:r>
      <w:r>
        <w:rPr>
          <w:w w:val="100"/>
        </w:rPr>
        <w:t> </w:t>
      </w:r>
      <w:r>
        <w:rPr>
          <w:spacing w:val="-2"/>
        </w:rPr>
        <w:t>有迹象表明一项无形资产可能发生减值的，公司以单项无形资产为基础估计其可收回金额。公司难以</w:t>
      </w:r>
    </w:p>
    <w:p>
      <w:pPr>
        <w:pStyle w:val="BodyText"/>
        <w:spacing w:line="240" w:lineRule="auto"/>
        <w:ind w:right="0"/>
        <w:jc w:val="left"/>
      </w:pPr>
      <w:r>
        <w:rPr/>
        <w:t>对单项资产的可收回金额进行估计的，以该无形资产所属的资产组为基础确定无形资产组的可收回金额。</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right="0" w:firstLine="420"/>
        <w:jc w:val="left"/>
      </w:pPr>
      <w:r>
        <w:rPr>
          <w:rFonts w:ascii="Times New Roman" w:hAnsi="Times New Roman" w:cs="Times New Roman" w:eastAsia="Times New Roman" w:hint="default"/>
          <w:spacing w:val="-2"/>
        </w:rPr>
        <w:t>1.</w:t>
      </w:r>
      <w:r>
        <w:rPr>
          <w:spacing w:val="-2"/>
        </w:rPr>
        <w:t>本公司长期待摊费用为已经支出，但受益期限在</w:t>
      </w:r>
      <w:r>
        <w:rPr>
          <w:rFonts w:ascii="Times New Roman" w:hAnsi="Times New Roman" w:cs="Times New Roman" w:eastAsia="Times New Roman" w:hint="default"/>
          <w:spacing w:val="-2"/>
        </w:rPr>
        <w:t>1</w:t>
      </w:r>
      <w:r>
        <w:rPr>
          <w:spacing w:val="-2"/>
        </w:rPr>
        <w:t>年以上的费用。长期待摊费用能够确定受益期的，</w:t>
      </w:r>
      <w:r>
        <w:rPr>
          <w:w w:val="100"/>
        </w:rPr>
        <w:t> </w:t>
      </w:r>
      <w:r>
        <w:rPr/>
        <w:t>在受益期内平均摊销；不能确定受益期的，按不超过五年的期限平均摊销。</w:t>
      </w:r>
    </w:p>
    <w:p>
      <w:pPr>
        <w:pStyle w:val="BodyText"/>
        <w:spacing w:line="240" w:lineRule="auto" w:before="65"/>
        <w:ind w:left="573" w:right="0"/>
        <w:jc w:val="left"/>
      </w:pPr>
      <w:r>
        <w:rPr>
          <w:rFonts w:ascii="Times New Roman" w:hAnsi="Times New Roman" w:cs="Times New Roman" w:eastAsia="Times New Roman" w:hint="default"/>
        </w:rPr>
        <w:t>2.</w:t>
      </w:r>
      <w:r>
        <w:rPr/>
        <w:t>筹建期间发生的相关筹建费用（除购建固定资产以外），计入当期损益。</w:t>
      </w:r>
    </w:p>
    <w:p>
      <w:pPr>
        <w:spacing w:line="240" w:lineRule="auto" w:before="7"/>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96" w:lineRule="auto" w:before="0"/>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短期薪酬，是指企业在职工提供相关服务的年度报告期间结束后十二个月内需要全部予以支付的职工</w:t>
      </w:r>
    </w:p>
    <w:p>
      <w:pPr>
        <w:pStyle w:val="BodyText"/>
        <w:spacing w:line="244" w:lineRule="exact" w:before="0"/>
        <w:ind w:right="0"/>
        <w:jc w:val="left"/>
      </w:pPr>
      <w:r>
        <w:rPr/>
        <w:t>薪酬，因解除与职工的劳动关系给予的补偿除外。短期薪酬具体包括：职工工资、奖金、津贴和补贴，职</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5"/>
        </w:rPr>
        <w:t>工福利费，医疗保险费、工伤保险费和生育保险费等社会保险费，住房公积金，工会经费和职工教育经费，</w:t>
      </w:r>
      <w:r>
        <w:rPr>
          <w:spacing w:val="-9"/>
        </w:rPr>
        <w:t> </w:t>
      </w:r>
      <w:r>
        <w:rPr>
          <w:spacing w:val="-9"/>
        </w:rPr>
      </w:r>
      <w:r>
        <w:rPr/>
        <w:t>短期带薪缺勤，短期利润分享计划，非货币性福利以及其他短期薪酬。</w:t>
      </w:r>
    </w:p>
    <w:p>
      <w:pPr>
        <w:spacing w:line="240" w:lineRule="auto" w:before="6"/>
        <w:rPr>
          <w:rFonts w:ascii="宋体" w:hAnsi="宋体" w:cs="宋体" w:eastAsia="宋体" w:hint="default"/>
          <w:sz w:val="15"/>
          <w:szCs w:val="15"/>
        </w:rPr>
      </w:pPr>
    </w:p>
    <w:p>
      <w:pPr>
        <w:spacing w:line="496" w:lineRule="auto" w:before="0"/>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）离职后福利的会计处理方法</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pacing w:val="-2"/>
          <w:sz w:val="21"/>
          <w:szCs w:val="21"/>
        </w:rPr>
        <w:t>离职后福利，是指企业为获得职工提供的服务而在职工退休或与企业解除劳动关系后，提供的各种形</w:t>
      </w:r>
    </w:p>
    <w:p>
      <w:pPr>
        <w:spacing w:after="0" w:line="496" w:lineRule="auto"/>
        <w:jc w:val="left"/>
        <w:rPr>
          <w:rFonts w:ascii="宋体" w:hAnsi="宋体" w:cs="宋体" w:eastAsia="宋体" w:hint="default"/>
          <w:sz w:val="21"/>
          <w:szCs w:val="21"/>
        </w:rPr>
        <w:sectPr>
          <w:pgSz w:w="11910" w:h="16840"/>
          <w:pgMar w:header="852" w:footer="980" w:top="1500" w:bottom="1160" w:left="980" w:right="920"/>
        </w:sectPr>
      </w:pPr>
    </w:p>
    <w:p>
      <w:pPr>
        <w:pStyle w:val="BodyText"/>
        <w:spacing w:line="240" w:lineRule="auto" w:before="116"/>
        <w:ind w:right="0"/>
        <w:jc w:val="left"/>
      </w:pPr>
      <w:r>
        <w:rPr/>
        <w:t>式的报酬和福利，短期薪酬和辞退福利除外。</w:t>
      </w:r>
    </w:p>
    <w:p>
      <w:pPr>
        <w:spacing w:line="590" w:lineRule="atLeast" w:before="125"/>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）辞退福利的会计处理方法</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宋体" w:hAnsi="宋体" w:cs="宋体" w:eastAsia="宋体" w:hint="default"/>
          <w:spacing w:val="-2"/>
          <w:sz w:val="21"/>
          <w:szCs w:val="21"/>
        </w:rPr>
        <w:t>辞退福利，是指企业在职工劳动合同到期之前解除与职工的劳动关系，或者为鼓励职工自愿接受裁减</w:t>
      </w:r>
    </w:p>
    <w:p>
      <w:pPr>
        <w:pStyle w:val="BodyText"/>
        <w:spacing w:line="240" w:lineRule="auto" w:before="37"/>
        <w:ind w:right="0"/>
        <w:jc w:val="left"/>
      </w:pPr>
      <w:r>
        <w:rPr/>
        <w:t>而给予职工的补偿。</w:t>
      </w:r>
    </w:p>
    <w:p>
      <w:pPr>
        <w:spacing w:line="590" w:lineRule="atLeast" w:before="46"/>
        <w:ind w:left="489" w:right="0" w:hanging="337"/>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）其他长期职工福利的会计处理方法</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其他长期职工福利，是指除短期薪酬、离职后福利、辞退福利之外所有的职工薪酬，包括长期带薪缺</w:t>
      </w:r>
    </w:p>
    <w:p>
      <w:pPr>
        <w:pStyle w:val="BodyText"/>
        <w:spacing w:line="240" w:lineRule="auto" w:before="37"/>
        <w:ind w:right="0"/>
        <w:jc w:val="left"/>
      </w:pPr>
      <w:r>
        <w:rPr/>
        <w:t>勤、长期残疾福利、长期利润分享计划等。</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before="0"/>
        <w:ind w:right="146" w:firstLine="420"/>
        <w:jc w:val="both"/>
      </w:pPr>
      <w:r>
        <w:rPr>
          <w:spacing w:val="-2"/>
        </w:rPr>
        <w:t>本公司涉及诉讼、产品质量保证、债务担保、亏损合同、重组事项时，如该等事项很可能需要未来以</w:t>
      </w:r>
      <w:r>
        <w:rPr>
          <w:w w:val="100"/>
        </w:rPr>
        <w:t> </w:t>
      </w:r>
      <w:r>
        <w:rPr/>
        <w:t>交付资产或提供劳务、其金额能够可靠计量的，确认为预计负债。</w:t>
      </w:r>
    </w:p>
    <w:p>
      <w:pPr>
        <w:pStyle w:val="BodyText"/>
        <w:spacing w:line="386" w:lineRule="auto"/>
        <w:ind w:left="573" w:right="0"/>
        <w:jc w:val="left"/>
      </w:pPr>
      <w:r>
        <w:rPr>
          <w:rFonts w:ascii="Times New Roman" w:hAnsi="Times New Roman" w:cs="Times New Roman" w:eastAsia="Times New Roman" w:hint="default"/>
        </w:rPr>
        <w:t>1.</w:t>
      </w:r>
      <w:r>
        <w:rPr/>
        <w:t>预计负债确认原则</w:t>
      </w:r>
      <w:r>
        <w:rPr>
          <w:w w:val="100"/>
        </w:rPr>
        <w:t> </w:t>
      </w:r>
      <w:r>
        <w:rPr>
          <w:spacing w:val="-2"/>
        </w:rPr>
        <w:t>如果与或有事项相关的义务同时符合以下条件，公司将其确认为预计负债：①该义务是公司承担的现</w:t>
      </w:r>
    </w:p>
    <w:p>
      <w:pPr>
        <w:pStyle w:val="BodyText"/>
        <w:spacing w:line="398" w:lineRule="auto" w:before="65"/>
        <w:ind w:left="573" w:right="0" w:hanging="421"/>
        <w:jc w:val="left"/>
      </w:pPr>
      <w:r>
        <w:rPr/>
        <w:t>时义务；②该义务的履行很可能导致经济利益流出公司；③该义务的金额能够可靠地计量。</w:t>
      </w:r>
      <w:r>
        <w:rPr>
          <w:w w:val="100"/>
        </w:rPr>
        <w:t> </w:t>
      </w:r>
      <w:r>
        <w:rPr>
          <w:rFonts w:ascii="Times New Roman" w:hAnsi="Times New Roman" w:cs="Times New Roman" w:eastAsia="Times New Roman" w:hint="default"/>
        </w:rPr>
        <w:t>2.</w:t>
      </w:r>
      <w:r>
        <w:rPr/>
        <w:t>预计负债计量方法</w:t>
      </w:r>
      <w:r>
        <w:rPr>
          <w:w w:val="100"/>
        </w:rPr>
        <w:t> </w:t>
      </w:r>
      <w:r>
        <w:rPr>
          <w:spacing w:val="-2"/>
        </w:rPr>
        <w:t>按照履行相关现时义务所需支出的最佳估计进行初始计量。本公司在确定最佳估计数时，综合考虑与</w:t>
      </w:r>
    </w:p>
    <w:p>
      <w:pPr>
        <w:pStyle w:val="BodyText"/>
        <w:spacing w:line="408" w:lineRule="auto" w:before="54"/>
        <w:ind w:right="0"/>
        <w:jc w:val="left"/>
      </w:pPr>
      <w:r>
        <w:rPr>
          <w:spacing w:val="-2"/>
        </w:rPr>
        <w:t>或有事项有关的风险、不确定性和货币时间价值等因素。对于货币时间价值影响重大的，通过对相关未来</w:t>
      </w:r>
      <w:r>
        <w:rPr>
          <w:spacing w:val="-44"/>
        </w:rPr>
        <w:t> </w:t>
      </w:r>
      <w:r>
        <w:rPr>
          <w:spacing w:val="-44"/>
        </w:rPr>
      </w:r>
      <w:r>
        <w:rPr/>
        <w:t>现金流出进行折现后确定最佳估计数。</w:t>
      </w:r>
    </w:p>
    <w:p>
      <w:pPr>
        <w:pStyle w:val="BodyText"/>
        <w:spacing w:line="408" w:lineRule="auto"/>
        <w:ind w:right="146" w:firstLine="420"/>
        <w:jc w:val="both"/>
      </w:pPr>
      <w:r>
        <w:rPr>
          <w:spacing w:val="-2"/>
        </w:rPr>
        <w:t>所需支出存在一个连续范围，且该范围内各种结果发生的可能性相同的，最佳估计数按照该范围内的</w:t>
      </w:r>
      <w:r>
        <w:rPr>
          <w:w w:val="100"/>
        </w:rPr>
        <w:t> </w:t>
      </w:r>
      <w:r>
        <w:rPr>
          <w:spacing w:val="-2"/>
        </w:rPr>
        <w:t>中间值确定；所需支出不存在一个连续范围（或区间），或虽然存在一个连续范围但该范围内各种结果发</w:t>
      </w:r>
      <w:r>
        <w:rPr>
          <w:spacing w:val="-47"/>
        </w:rPr>
        <w:t> </w:t>
      </w:r>
      <w:r>
        <w:rPr>
          <w:spacing w:val="-47"/>
        </w:rPr>
      </w:r>
      <w:r>
        <w:rPr>
          <w:spacing w:val="-2"/>
        </w:rPr>
        <w:t>生的可能性不相同的，如或有事项涉及单个项目的，则最佳估计数按照最可能发生金额确定；如或有事项</w:t>
      </w:r>
      <w:r>
        <w:rPr>
          <w:spacing w:val="-45"/>
        </w:rPr>
        <w:t> </w:t>
      </w:r>
      <w:r>
        <w:rPr>
          <w:spacing w:val="-45"/>
        </w:rPr>
      </w:r>
      <w:r>
        <w:rPr/>
        <w:t>涉及多个项目的，则最佳估计数按各种可能结果及相关概率计算确定。</w:t>
      </w:r>
    </w:p>
    <w:p>
      <w:pPr>
        <w:pStyle w:val="BodyText"/>
        <w:spacing w:line="410" w:lineRule="auto"/>
        <w:ind w:right="146" w:firstLine="420"/>
        <w:jc w:val="both"/>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after="0" w:line="410" w:lineRule="auto"/>
        <w:jc w:val="both"/>
        <w:sectPr>
          <w:footerReference w:type="default" r:id="rId25"/>
          <w:pgSz w:w="11910" w:h="16840"/>
          <w:pgMar w:footer="980" w:header="852" w:top="1500" w:bottom="1160" w:left="980" w:right="980"/>
          <w:pgNumType w:start="120"/>
        </w:sectPr>
      </w:pPr>
    </w:p>
    <w:p>
      <w:pPr>
        <w:pStyle w:val="Heading3"/>
        <w:spacing w:line="338" w:lineRule="exact"/>
        <w:ind w:right="0"/>
        <w:jc w:val="both"/>
        <w:rPr>
          <w:b w:val="0"/>
          <w:bCs w:val="0"/>
        </w:rPr>
      </w:pPr>
      <w:r>
        <w:rPr/>
        <w:pict>
          <v:group style="position:absolute;margin-left:55.200001pt;margin-top:2.202064pt;width:484.9pt;height:.1pt;mso-position-horizontal-relative:page;mso-position-vertical-relative:paragraph;z-index:-753952"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26</w:t>
      </w:r>
      <w:r>
        <w:rPr/>
        <w:t>、股份支付</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28</w:t>
      </w:r>
      <w:r>
        <w:rPr/>
        <w:t>、收入</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left="573" w:right="0"/>
        <w:jc w:val="left"/>
      </w:pPr>
      <w:r>
        <w:rPr>
          <w:rFonts w:ascii="Times New Roman" w:hAnsi="Times New Roman" w:cs="Times New Roman" w:eastAsia="Times New Roman" w:hint="default"/>
        </w:rPr>
        <w:t>1.</w:t>
      </w:r>
      <w:r>
        <w:rPr/>
        <w:t>销售商品收入确认时间的判断标准</w:t>
      </w:r>
      <w:r>
        <w:rPr>
          <w:w w:val="100"/>
        </w:rPr>
        <w:t> </w:t>
      </w:r>
      <w:r>
        <w:rPr>
          <w:spacing w:val="-2"/>
        </w:rPr>
        <w:t>公司已将商品所有权上的主要风险和报酬转移给购买方；公司既没有保留与所有权相联系的继续管理</w:t>
      </w:r>
    </w:p>
    <w:p>
      <w:pPr>
        <w:pStyle w:val="BodyText"/>
        <w:spacing w:line="408" w:lineRule="auto" w:before="65"/>
        <w:ind w:right="0"/>
        <w:jc w:val="left"/>
      </w:pP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相关的已发生或将发生的成本能够可靠地计量时，确认商品销售收入实现。</w:t>
      </w:r>
    </w:p>
    <w:p>
      <w:pPr>
        <w:pStyle w:val="BodyText"/>
        <w:spacing w:line="408" w:lineRule="auto"/>
        <w:ind w:right="208" w:firstLine="420"/>
        <w:jc w:val="both"/>
      </w:pPr>
      <w:r>
        <w:rPr>
          <w:spacing w:val="-2"/>
        </w:rPr>
        <w:t>本公司的销售分为国内销售和自营出口销售，国内销售在签订销售合同（订单）、将商品交付且验收</w:t>
      </w:r>
      <w:r>
        <w:rPr>
          <w:w w:val="100"/>
        </w:rPr>
        <w:t> </w:t>
      </w:r>
      <w:r>
        <w:rPr>
          <w:spacing w:val="-2"/>
        </w:rPr>
        <w:t>合格后确认销售收入的实现；自营出口销售视销售合同结算方式的不同，分为以下两类：①以离岸价格结</w:t>
      </w:r>
      <w:r>
        <w:rPr>
          <w:spacing w:val="-45"/>
        </w:rPr>
        <w:t> </w:t>
      </w:r>
      <w:r>
        <w:rPr>
          <w:spacing w:val="-45"/>
        </w:rPr>
      </w:r>
      <w:r>
        <w:rPr>
          <w:spacing w:val="-2"/>
        </w:rPr>
        <w:t>算的销售，于货物办理离境手续、交付承运人装船发出后确认收入；②以到岸价格结算的销售，于货物到</w:t>
      </w:r>
      <w:r>
        <w:rPr>
          <w:spacing w:val="-50"/>
        </w:rPr>
        <w:t> </w:t>
      </w:r>
      <w:r>
        <w:rPr>
          <w:spacing w:val="-50"/>
        </w:rPr>
      </w:r>
      <w:r>
        <w:rPr/>
        <w:t>港离船交付给客户后确认收入。</w:t>
      </w:r>
    </w:p>
    <w:p>
      <w:pPr>
        <w:pStyle w:val="BodyText"/>
        <w:spacing w:line="408" w:lineRule="auto"/>
        <w:ind w:right="206" w:firstLine="420"/>
        <w:jc w:val="both"/>
      </w:pPr>
      <w:r>
        <w:rPr>
          <w:spacing w:val="-2"/>
        </w:rPr>
        <w:t>本公司按照从购货方已收或应收的合同或协议价款确定销售商品收入金额，但已收或应收的合同或协</w:t>
      </w:r>
      <w:r>
        <w:rPr>
          <w:w w:val="100"/>
        </w:rPr>
        <w:t> </w:t>
      </w:r>
      <w:r>
        <w:rPr>
          <w:spacing w:val="-2"/>
        </w:rPr>
        <w:t>议价款不公允的除外。合同或协议价款的收取采用递延方式，实质上具有融资性质的，按照应收的合同或</w:t>
      </w:r>
      <w:r>
        <w:rPr>
          <w:spacing w:val="-45"/>
        </w:rPr>
        <w:t> </w:t>
      </w:r>
      <w:r>
        <w:rPr>
          <w:spacing w:val="-45"/>
        </w:rPr>
      </w:r>
      <w:r>
        <w:rPr>
          <w:spacing w:val="-2"/>
        </w:rPr>
        <w:t>协议价款的公允价值确定销售商品收入金额。应收的合同或协议价款与其公允价值之间的差额，在合同或</w:t>
      </w:r>
      <w:r>
        <w:rPr>
          <w:spacing w:val="-42"/>
        </w:rPr>
        <w:t> </w:t>
      </w:r>
      <w:r>
        <w:rPr>
          <w:spacing w:val="-42"/>
        </w:rPr>
      </w:r>
      <w:r>
        <w:rPr/>
        <w:t>协议期间内采用实际利率法进行摊销，计入当期损益。</w:t>
      </w:r>
    </w:p>
    <w:p>
      <w:pPr>
        <w:pStyle w:val="BodyText"/>
        <w:spacing w:line="408" w:lineRule="auto"/>
        <w:ind w:right="206" w:firstLine="420"/>
        <w:jc w:val="both"/>
      </w:pPr>
      <w:r>
        <w:rPr>
          <w:spacing w:val="-2"/>
        </w:rPr>
        <w:t>销售商品涉及现金折扣的，按照扣除现金折扣前的金额确定销售商品收入金额。销售商品涉及商业折</w:t>
      </w:r>
      <w:r>
        <w:rPr>
          <w:w w:val="100"/>
        </w:rPr>
        <w:t> </w:t>
      </w:r>
      <w:r>
        <w:rPr>
          <w:spacing w:val="-2"/>
        </w:rPr>
        <w:t>扣的，按照扣除商业折扣后的金额确定销售商品收入金额。本公司已经确认销售商品收入的售出商品发生</w:t>
      </w:r>
      <w:r>
        <w:rPr>
          <w:spacing w:val="-43"/>
        </w:rPr>
        <w:t> </w:t>
      </w:r>
      <w:r>
        <w:rPr>
          <w:spacing w:val="-43"/>
        </w:rPr>
      </w:r>
      <w:r>
        <w:rPr/>
        <w:t>销售折让的，在发生时冲减当期销售商品收入。</w:t>
      </w:r>
    </w:p>
    <w:p>
      <w:pPr>
        <w:pStyle w:val="BodyText"/>
        <w:spacing w:line="400" w:lineRule="auto"/>
        <w:ind w:left="489" w:right="0" w:firstLine="84"/>
        <w:jc w:val="left"/>
      </w:pPr>
      <w:r>
        <w:rPr/>
        <w:t>企业已经确认销售商品收入的售出商品发生销售退回的，在发生时冲减当期销售商品收入。</w:t>
      </w:r>
      <w:r>
        <w:rPr>
          <w:w w:val="100"/>
        </w:rPr>
        <w:t> </w:t>
      </w:r>
      <w:r>
        <w:rPr>
          <w:rFonts w:ascii="Times New Roman" w:hAnsi="Times New Roman" w:cs="Times New Roman" w:eastAsia="Times New Roman" w:hint="default"/>
        </w:rPr>
        <w:t>2.</w:t>
      </w:r>
      <w:r>
        <w:rPr/>
        <w:t>按完工百分比法确认提供劳务的收入和建造合同收入时，确定合同完工进度的依据和方法</w:t>
      </w:r>
      <w:r>
        <w:rPr>
          <w:w w:val="100"/>
        </w:rPr>
        <w:t> </w:t>
      </w:r>
      <w:r>
        <w:rPr/>
        <w:t>在资产负债表日提供劳务交易的结果能够可靠估计的，采用完工百分比法确认提供劳务收入。</w:t>
      </w:r>
      <w:r>
        <w:rPr>
          <w:w w:val="100"/>
        </w:rPr>
        <w:t> </w:t>
      </w:r>
      <w:r>
        <w:rPr>
          <w:spacing w:val="-2"/>
        </w:rPr>
        <w:t>按照已收或应收的合同或协议价款确定提供劳务收入总额，但已收或应收的合同或协议价款不公允的</w:t>
      </w:r>
    </w:p>
    <w:p>
      <w:pPr>
        <w:pStyle w:val="BodyText"/>
        <w:spacing w:line="408" w:lineRule="auto" w:before="53"/>
        <w:ind w:right="206"/>
        <w:jc w:val="both"/>
      </w:pPr>
      <w:r>
        <w:rPr>
          <w:spacing w:val="-2"/>
        </w:rPr>
        <w:t>除外。资产负债表日按照提供劳务收入总额乘以完工进度扣除以前会计期间累计已确认提供劳务收入后的</w:t>
      </w:r>
      <w:r>
        <w:rPr>
          <w:spacing w:val="-43"/>
        </w:rPr>
        <w:t> </w:t>
      </w:r>
      <w:r>
        <w:rPr>
          <w:spacing w:val="-43"/>
        </w:rPr>
      </w:r>
      <w:r>
        <w:rPr>
          <w:spacing w:val="-2"/>
        </w:rPr>
        <w:t>金额，确认当期提供劳务收入；同时，按照提供劳务估计总成本乘以完工进度扣除以前会计期间累计已确</w:t>
      </w:r>
      <w:r>
        <w:rPr>
          <w:spacing w:val="-44"/>
        </w:rPr>
        <w:t> </w:t>
      </w:r>
      <w:r>
        <w:rPr>
          <w:spacing w:val="-44"/>
        </w:rPr>
      </w:r>
      <w:r>
        <w:rPr/>
        <w:t>认劳务成本后的金额，结转当期劳务成本。</w:t>
      </w:r>
    </w:p>
    <w:p>
      <w:pPr>
        <w:pStyle w:val="BodyText"/>
        <w:spacing w:line="240" w:lineRule="auto"/>
        <w:ind w:left="573" w:right="0"/>
        <w:jc w:val="left"/>
      </w:pPr>
      <w:r>
        <w:rPr/>
        <w:t>在资产负债表日提供劳务交易结果不能够可靠估计的，分别下列情况处理：</w:t>
      </w:r>
    </w:p>
    <w:p>
      <w:pPr>
        <w:spacing w:line="240" w:lineRule="auto" w:before="10"/>
        <w:rPr>
          <w:rFonts w:ascii="宋体" w:hAnsi="宋体" w:cs="宋体" w:eastAsia="宋体" w:hint="default"/>
          <w:sz w:val="14"/>
          <w:szCs w:val="14"/>
        </w:rPr>
      </w:pPr>
    </w:p>
    <w:p>
      <w:pPr>
        <w:pStyle w:val="BodyText"/>
        <w:spacing w:line="386" w:lineRule="auto" w:before="0"/>
        <w:ind w:right="216" w:firstLine="420"/>
        <w:jc w:val="both"/>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w:t>
      </w:r>
      <w:r>
        <w:rPr>
          <w:w w:val="100"/>
        </w:rPr>
        <w:t> </w:t>
      </w:r>
      <w:r>
        <w:rPr/>
        <w:t>并按相同金额结转劳务成本。</w:t>
      </w:r>
    </w:p>
    <w:p>
      <w:pPr>
        <w:spacing w:after="0" w:line="386" w:lineRule="auto"/>
        <w:jc w:val="both"/>
        <w:sectPr>
          <w:pgSz w:w="11910" w:h="16840"/>
          <w:pgMar w:header="852" w:footer="980" w:top="1500" w:bottom="1160" w:left="980" w:right="9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86" w:lineRule="auto" w:before="59"/>
        <w:ind w:right="216" w:firstLine="420"/>
        <w:jc w:val="both"/>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w:t>
      </w:r>
      <w:r>
        <w:rPr>
          <w:w w:val="100"/>
        </w:rPr>
        <w:t> </w:t>
      </w:r>
      <w:r>
        <w:rPr/>
        <w:t>供劳务收入。</w:t>
      </w:r>
    </w:p>
    <w:p>
      <w:pPr>
        <w:pStyle w:val="BodyText"/>
        <w:spacing w:line="386" w:lineRule="auto" w:before="65"/>
        <w:ind w:left="573" w:right="0"/>
        <w:jc w:val="left"/>
      </w:pPr>
      <w:r>
        <w:rPr>
          <w:rFonts w:ascii="Times New Roman" w:hAnsi="Times New Roman" w:cs="Times New Roman" w:eastAsia="Times New Roman" w:hint="default"/>
        </w:rPr>
        <w:t>3.</w:t>
      </w:r>
      <w:r>
        <w:rPr/>
        <w:t>让渡资产使用权收入</w:t>
      </w:r>
      <w:r>
        <w:rPr>
          <w:w w:val="100"/>
        </w:rPr>
        <w:t> </w:t>
      </w:r>
      <w:r>
        <w:rPr>
          <w:spacing w:val="-2"/>
        </w:rPr>
        <w:t>让渡资产使用权收入同时满足当相关的经济利益能够流入企业，并且收入的金额能够可靠地计量时，</w:t>
      </w:r>
    </w:p>
    <w:p>
      <w:pPr>
        <w:pStyle w:val="BodyText"/>
        <w:spacing w:line="240" w:lineRule="auto" w:before="65"/>
        <w:ind w:right="0"/>
        <w:jc w:val="left"/>
      </w:pPr>
      <w:r>
        <w:rPr/>
        <w:t>才能予以确认。</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77"/>
        <w:ind w:left="573"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7"/>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96" w:lineRule="auto" w:before="0"/>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）与资产相关的政府补助判断依据及会计处理方法</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2"/>
          <w:sz w:val="21"/>
          <w:szCs w:val="21"/>
        </w:rPr>
        <w:t>与资产相关的政府补助，冲减相关资产的账面价值或确认为递延收益。与资产相关的政府补助确认为</w:t>
      </w:r>
    </w:p>
    <w:p>
      <w:pPr>
        <w:pStyle w:val="BodyText"/>
        <w:spacing w:line="243" w:lineRule="exact" w:before="0"/>
        <w:ind w:right="0"/>
        <w:jc w:val="left"/>
      </w:pPr>
      <w:r>
        <w:rPr>
          <w:spacing w:val="-5"/>
        </w:rPr>
        <w:t>递延收益的，在相关资产使用寿命内按照合理、系统的方法分期计入损益。按照名义金额计量的政府补助，</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2"/>
        </w:rPr>
        <w:t>直接计入当期损益。相关资产在使用寿命结束前被出售、转让、报废或发生毁损的，将尚未分配的相关递</w:t>
      </w:r>
      <w:r>
        <w:rPr>
          <w:spacing w:val="-46"/>
        </w:rPr>
        <w:t> </w:t>
      </w:r>
      <w:r>
        <w:rPr>
          <w:spacing w:val="-46"/>
        </w:rPr>
      </w:r>
      <w:r>
        <w:rPr/>
        <w:t>延收益余额转入资产处置当期的损益。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496" w:lineRule="auto" w:before="0"/>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）与收益相关的政府补助判断依据及会计处理方法</w:t>
      </w:r>
      <w:r>
        <w:rPr>
          <w:rFonts w:ascii="Microsoft JhengHei" w:hAnsi="Microsoft JhengHei" w:cs="Microsoft JhengHei" w:eastAsia="Microsoft JhengHei" w:hint="default"/>
          <w:b/>
          <w:bCs/>
          <w:spacing w:val="-38"/>
          <w:sz w:val="21"/>
          <w:szCs w:val="21"/>
        </w:rPr>
        <w:t> </w:t>
      </w:r>
      <w:r>
        <w:rPr>
          <w:rFonts w:ascii="Microsoft JhengHei" w:hAnsi="Microsoft JhengHei" w:cs="Microsoft JhengHei" w:eastAsia="Microsoft JhengHei" w:hint="default"/>
          <w:b/>
          <w:bCs/>
          <w:spacing w:val="-38"/>
          <w:sz w:val="21"/>
          <w:szCs w:val="21"/>
        </w:rPr>
      </w:r>
      <w:r>
        <w:rPr>
          <w:rFonts w:ascii="宋体" w:hAnsi="宋体" w:cs="宋体" w:eastAsia="宋体" w:hint="default"/>
          <w:spacing w:val="-2"/>
          <w:sz w:val="21"/>
          <w:szCs w:val="21"/>
        </w:rPr>
        <w:t>与收益相关的政府补助，用于补偿公司以后期间的相关费用或损失的，于取得时确认为递延收益，在</w:t>
      </w:r>
    </w:p>
    <w:p>
      <w:pPr>
        <w:pStyle w:val="BodyText"/>
        <w:spacing w:line="243" w:lineRule="exact" w:before="0"/>
        <w:ind w:right="0"/>
        <w:jc w:val="left"/>
      </w:pPr>
      <w:r>
        <w:rPr>
          <w:spacing w:val="-5"/>
        </w:rPr>
        <w:t>确认相关费用的期间计入当期损益；用于补偿公司已发生的相关费用或损失的，取得时直接计入当期损益。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8"/>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Microsoft JhengHei" w:hAnsi="Microsoft JhengHei" w:cs="Microsoft JhengHei" w:eastAsia="Microsoft JhengHei" w:hint="default"/>
          <w:b/>
          <w:bCs/>
          <w:sz w:val="22"/>
          <w:szCs w:val="22"/>
        </w:rPr>
      </w:pPr>
    </w:p>
    <w:p>
      <w:pPr>
        <w:pStyle w:val="BodyText"/>
        <w:spacing w:line="240" w:lineRule="auto" w:before="0"/>
        <w:ind w:left="573" w:right="0"/>
        <w:jc w:val="left"/>
      </w:pPr>
      <w:r>
        <w:rPr>
          <w:rFonts w:ascii="Times New Roman" w:hAnsi="Times New Roman" w:cs="Times New Roman" w:eastAsia="Times New Roman" w:hint="default"/>
        </w:rPr>
        <w:t>1.</w:t>
      </w:r>
      <w:r>
        <w:rPr/>
        <w:t>本公司采用资产负债表债务法对企业所得税进行核算。</w:t>
      </w:r>
    </w:p>
    <w:p>
      <w:pPr>
        <w:pStyle w:val="BodyText"/>
        <w:spacing w:line="398" w:lineRule="auto" w:before="177"/>
        <w:ind w:right="206" w:firstLine="420"/>
        <w:jc w:val="both"/>
      </w:pPr>
      <w:r>
        <w:rPr>
          <w:rFonts w:ascii="Times New Roman" w:hAnsi="Times New Roman" w:cs="Times New Roman" w:eastAsia="Times New Roman" w:hint="default"/>
          <w:spacing w:val="-2"/>
        </w:rPr>
        <w:t>2.</w:t>
      </w:r>
      <w:r>
        <w:rPr>
          <w:spacing w:val="-2"/>
        </w:rPr>
        <w:t>公司在取得资产、负债时，确定其计税基础。资产、负债的账面价值与其计税基础存在应纳税暂时</w:t>
      </w:r>
      <w:r>
        <w:rPr>
          <w:w w:val="100"/>
        </w:rPr>
        <w:t> </w:t>
      </w:r>
      <w:r>
        <w:rPr>
          <w:spacing w:val="-2"/>
        </w:rPr>
        <w:t>性差异或可抵扣暂时性差异的，按照预期收回该资产或清偿该负债期间的适用税率计算确认递延所得税资</w:t>
      </w:r>
      <w:r>
        <w:rPr>
          <w:spacing w:val="-43"/>
        </w:rPr>
        <w:t> </w:t>
      </w:r>
      <w:r>
        <w:rPr>
          <w:spacing w:val="-43"/>
        </w:rPr>
      </w:r>
      <w:r>
        <w:rPr/>
        <w:t>产或递延所得税负债。</w:t>
      </w:r>
    </w:p>
    <w:p>
      <w:pPr>
        <w:pStyle w:val="BodyText"/>
        <w:spacing w:line="386" w:lineRule="auto" w:before="54"/>
        <w:ind w:left="573" w:right="0"/>
        <w:jc w:val="left"/>
      </w:pPr>
      <w:r>
        <w:rPr>
          <w:rFonts w:ascii="Times New Roman" w:hAnsi="Times New Roman" w:cs="Times New Roman" w:eastAsia="Times New Roman" w:hint="default"/>
        </w:rPr>
        <w:t>3.</w:t>
      </w:r>
      <w:r>
        <w:rPr/>
        <w:t>递延所得税资产确认</w:t>
      </w:r>
      <w:r>
        <w:rPr>
          <w:w w:val="100"/>
        </w:rPr>
        <w:t> </w:t>
      </w:r>
      <w:r>
        <w:rPr>
          <w:spacing w:val="-2"/>
        </w:rPr>
        <w:t>以很可能取得用来抵扣可抵扣暂时性差异的应纳税所得额为限。对已确认的递延所得税资产，当预计</w:t>
      </w:r>
    </w:p>
    <w:p>
      <w:pPr>
        <w:pStyle w:val="BodyText"/>
        <w:spacing w:line="408" w:lineRule="auto" w:before="65"/>
        <w:ind w:right="0"/>
        <w:jc w:val="left"/>
      </w:pPr>
      <w:r>
        <w:rPr>
          <w:spacing w:val="-2"/>
        </w:rPr>
        <w:t>到未来期间很可能无法获得足够的应纳税所得额用于抵扣递延所得税资产时，减记递延所得税资产的账面</w:t>
      </w:r>
      <w:r>
        <w:rPr>
          <w:spacing w:val="-43"/>
        </w:rPr>
        <w:t> </w:t>
      </w:r>
      <w:r>
        <w:rPr>
          <w:spacing w:val="-43"/>
        </w:rPr>
      </w:r>
      <w:r>
        <w:rPr>
          <w:spacing w:val="-2"/>
        </w:rPr>
        <w:t>价值。在很可能获得足够多的应纳税所得额时，减记的金额予以转回。本公司未来期间很可能获得足够的</w:t>
      </w:r>
    </w:p>
    <w:p>
      <w:pPr>
        <w:spacing w:after="0" w:line="408" w:lineRule="auto"/>
        <w:jc w:val="left"/>
        <w:sectPr>
          <w:pgSz w:w="11910" w:h="16840"/>
          <w:pgMar w:header="852" w:footer="980" w:top="1500" w:bottom="1160" w:left="980" w:right="920"/>
        </w:sectPr>
      </w:pPr>
    </w:p>
    <w:p>
      <w:pPr>
        <w:pStyle w:val="BodyText"/>
        <w:spacing w:line="408" w:lineRule="auto" w:before="116"/>
        <w:ind w:left="573" w:right="0" w:hanging="421"/>
        <w:jc w:val="left"/>
      </w:pPr>
      <w:r>
        <w:rPr/>
        <w:t>应纳税所得额的金额是依据管理层批准的经营计划（或盈利预测）确定。</w:t>
      </w:r>
      <w:r>
        <w:rPr>
          <w:w w:val="100"/>
        </w:rPr>
        <w:t> </w:t>
      </w:r>
      <w:r>
        <w:rPr>
          <w:spacing w:val="-2"/>
        </w:rPr>
        <w:t>但是同时具有下列特征的交易中因资产或负债的初始确认所产生的递延所得税资产不予确认：①该项</w:t>
      </w:r>
    </w:p>
    <w:p>
      <w:pPr>
        <w:pStyle w:val="BodyText"/>
        <w:spacing w:line="386" w:lineRule="auto"/>
        <w:ind w:left="573" w:right="0" w:hanging="421"/>
        <w:jc w:val="left"/>
      </w:pPr>
      <w:r>
        <w:rPr/>
        <w:t>交易不是企业合并；②交易发生时既不影响会计利润也不影响应纳税所得额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r>
        <w:rPr>
          <w:w w:val="100"/>
        </w:rPr>
        <w:t> </w:t>
      </w:r>
      <w:r>
        <w:rPr>
          <w:spacing w:val="-2"/>
        </w:rPr>
        <w:t>本公司对与子公司、联营公司及合营企业投资相关的可抵扣暂时性差异，同时满足下列条件的，确认</w:t>
      </w:r>
    </w:p>
    <w:p>
      <w:pPr>
        <w:pStyle w:val="BodyText"/>
        <w:spacing w:line="386" w:lineRule="auto" w:before="65"/>
        <w:ind w:right="0"/>
        <w:jc w:val="left"/>
      </w:pPr>
      <w:r>
        <w:rPr>
          <w:spacing w:val="-2"/>
        </w:rPr>
        <w:t>相应的递延所得税资产：</w:t>
      </w:r>
      <w:r>
        <w:rPr>
          <w:rFonts w:ascii="Times New Roman" w:hAnsi="Times New Roman" w:cs="Times New Roman" w:eastAsia="Times New Roman" w:hint="default"/>
          <w:spacing w:val="-2"/>
        </w:rPr>
        <w:t>a.</w:t>
      </w:r>
      <w:r>
        <w:rPr>
          <w:spacing w:val="-2"/>
        </w:rPr>
        <w:t>暂时性差异在可预见的未来很可能转回；</w:t>
      </w:r>
      <w:r>
        <w:rPr>
          <w:rFonts w:ascii="Times New Roman" w:hAnsi="Times New Roman" w:cs="Times New Roman" w:eastAsia="Times New Roman" w:hint="default"/>
          <w:spacing w:val="-2"/>
        </w:rPr>
        <w:t>b.</w:t>
      </w:r>
      <w:r>
        <w:rPr>
          <w:spacing w:val="-2"/>
        </w:rPr>
        <w:t>未来很可能获得用来抵扣暂时性差</w:t>
      </w:r>
      <w:r>
        <w:rPr>
          <w:spacing w:val="-18"/>
        </w:rPr>
        <w:t> </w:t>
      </w:r>
      <w:r>
        <w:rPr>
          <w:spacing w:val="-18"/>
        </w:rPr>
      </w:r>
      <w:r>
        <w:rPr/>
        <w:t>异的应纳税所得额。</w:t>
      </w:r>
    </w:p>
    <w:p>
      <w:pPr>
        <w:pStyle w:val="BodyText"/>
        <w:spacing w:line="386" w:lineRule="auto" w:before="65"/>
        <w:ind w:left="573" w:right="0"/>
        <w:jc w:val="left"/>
      </w:pPr>
      <w:r>
        <w:rPr>
          <w:rFonts w:ascii="Times New Roman" w:hAnsi="Times New Roman" w:cs="Times New Roman" w:eastAsia="Times New Roman" w:hint="default"/>
        </w:rPr>
        <w:t>4.</w:t>
      </w:r>
      <w:r>
        <w:rPr/>
        <w:t>递延所得税负债的确认</w:t>
      </w:r>
      <w:r>
        <w:rPr>
          <w:w w:val="100"/>
        </w:rPr>
        <w:t> </w:t>
      </w:r>
      <w:r>
        <w:rPr>
          <w:spacing w:val="-2"/>
        </w:rPr>
        <w:t>除下列情况产生的递延所得税负债以外，本公司确认所有应纳税暂时性差异产生的递延所得税负债：</w:t>
      </w:r>
    </w:p>
    <w:p>
      <w:pPr>
        <w:pStyle w:val="BodyText"/>
        <w:spacing w:line="386" w:lineRule="auto" w:before="65"/>
        <w:ind w:right="249"/>
        <w:jc w:val="both"/>
      </w:pPr>
      <w:r>
        <w:rPr>
          <w:spacing w:val="-2"/>
        </w:rPr>
        <w:t>①商誉的初始确认；②同时满足具有下列特征的交易中产生的资产或负债的初始确认：</w:t>
      </w:r>
      <w:r>
        <w:rPr>
          <w:rFonts w:ascii="Times New Roman" w:hAnsi="Times New Roman" w:cs="Times New Roman" w:eastAsia="Times New Roman" w:hint="default"/>
          <w:spacing w:val="-2"/>
        </w:rPr>
        <w:t>a.</w:t>
      </w:r>
      <w:r>
        <w:rPr>
          <w:spacing w:val="-2"/>
        </w:rPr>
        <w:t>该项交易不是企</w:t>
      </w:r>
      <w:r>
        <w:rPr>
          <w:spacing w:val="-20"/>
        </w:rPr>
        <w:t> </w:t>
      </w:r>
      <w:r>
        <w:rPr>
          <w:spacing w:val="-20"/>
        </w:rPr>
      </w:r>
      <w:r>
        <w:rPr>
          <w:spacing w:val="-2"/>
        </w:rPr>
        <w:t>业合并；</w:t>
      </w:r>
      <w:r>
        <w:rPr>
          <w:rFonts w:ascii="Times New Roman" w:hAnsi="Times New Roman" w:cs="Times New Roman" w:eastAsia="Times New Roman" w:hint="default"/>
          <w:spacing w:val="-2"/>
        </w:rPr>
        <w:t>b.</w:t>
      </w:r>
      <w:r>
        <w:rPr>
          <w:spacing w:val="-2"/>
        </w:rPr>
        <w:t>交易发生时既不影响会计利润也不影响应纳税所得额</w:t>
      </w:r>
      <w:r>
        <w:rPr>
          <w:rFonts w:ascii="Times New Roman" w:hAnsi="Times New Roman" w:cs="Times New Roman" w:eastAsia="Times New Roman" w:hint="default"/>
          <w:spacing w:val="-2"/>
        </w:rPr>
        <w:t>(</w:t>
      </w:r>
      <w:r>
        <w:rPr>
          <w:spacing w:val="-2"/>
        </w:rPr>
        <w:t>或可抵扣亏损</w:t>
      </w:r>
      <w:r>
        <w:rPr>
          <w:rFonts w:ascii="Times New Roman" w:hAnsi="Times New Roman" w:cs="Times New Roman" w:eastAsia="Times New Roman" w:hint="default"/>
          <w:spacing w:val="-2"/>
        </w:rPr>
        <w:t>)</w:t>
      </w:r>
      <w:r>
        <w:rPr>
          <w:spacing w:val="-2"/>
        </w:rPr>
        <w:t>。③本公司对与子公司、</w:t>
      </w:r>
      <w:r>
        <w:rPr>
          <w:spacing w:val="-18"/>
        </w:rPr>
        <w:t> </w:t>
      </w:r>
      <w:r>
        <w:rPr>
          <w:spacing w:val="-18"/>
        </w:rPr>
      </w:r>
      <w:r>
        <w:rPr>
          <w:spacing w:val="-2"/>
        </w:rPr>
        <w:t>联营公司及合营企业投资产生相关的应纳税暂时性差异，同时满足下列条件的：</w:t>
      </w:r>
      <w:r>
        <w:rPr>
          <w:rFonts w:ascii="Times New Roman" w:hAnsi="Times New Roman" w:cs="Times New Roman" w:eastAsia="Times New Roman" w:hint="default"/>
          <w:spacing w:val="-2"/>
        </w:rPr>
        <w:t>a.</w:t>
      </w:r>
      <w:r>
        <w:rPr>
          <w:spacing w:val="-2"/>
        </w:rPr>
        <w:t>投资企业能够控制暂时</w:t>
      </w:r>
      <w:r>
        <w:rPr>
          <w:spacing w:val="-20"/>
        </w:rPr>
        <w:t> </w:t>
      </w:r>
      <w:r>
        <w:rPr>
          <w:spacing w:val="-20"/>
        </w:rPr>
      </w:r>
      <w:r>
        <w:rPr/>
        <w:t>性差异的转回的时间；</w:t>
      </w:r>
      <w:r>
        <w:rPr>
          <w:rFonts w:ascii="Times New Roman" w:hAnsi="Times New Roman" w:cs="Times New Roman" w:eastAsia="Times New Roman" w:hint="default"/>
        </w:rPr>
        <w:t>b.</w:t>
      </w:r>
      <w:r>
        <w:rPr/>
        <w:t>该暂时性差异在可预见的未来很可能不会转回。</w:t>
      </w:r>
    </w:p>
    <w:p>
      <w:pPr>
        <w:pStyle w:val="BodyText"/>
        <w:spacing w:line="398" w:lineRule="auto" w:before="35"/>
        <w:ind w:right="206" w:firstLine="420"/>
        <w:jc w:val="both"/>
      </w:pPr>
      <w:r>
        <w:rPr>
          <w:rFonts w:ascii="Times New Roman" w:hAnsi="Times New Roman" w:cs="Times New Roman" w:eastAsia="Times New Roman" w:hint="default"/>
          <w:spacing w:val="-2"/>
        </w:rPr>
        <w:t>5.</w:t>
      </w:r>
      <w:r>
        <w:rPr>
          <w:spacing w:val="-2"/>
        </w:rPr>
        <w:t>资产负债表日，对递延所得税资产的账面价值进行复核，如果未来期间很可能无法获得足够的应纳</w:t>
      </w:r>
      <w:r>
        <w:rPr>
          <w:w w:val="100"/>
        </w:rPr>
        <w:t> </w:t>
      </w:r>
      <w:r>
        <w:rPr>
          <w:spacing w:val="-2"/>
        </w:rPr>
        <w:t>税所得额用以抵扣递延所得税资产的利益，则减记递延所得税资产的账面价值。在很可能获得足够的应纳</w:t>
      </w:r>
      <w:r>
        <w:rPr>
          <w:spacing w:val="-44"/>
        </w:rPr>
        <w:t> </w:t>
      </w:r>
      <w:r>
        <w:rPr>
          <w:spacing w:val="-44"/>
        </w:rPr>
      </w:r>
      <w:r>
        <w:rPr/>
        <w:t>税所得额时，转回减记的金额。</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96" w:lineRule="auto" w:before="0"/>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Microsoft JhengHei" w:hAnsi="Microsoft JhengHei" w:cs="Microsoft JhengHei" w:eastAsia="Microsoft JhengHei" w:hint="default"/>
          <w:b/>
          <w:bCs/>
          <w:sz w:val="21"/>
          <w:szCs w:val="21"/>
        </w:rPr>
        <w:t>、其他重要的会计政策和会计估计</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公司其他主要会计政策、会计估计和财务报表编制方法按照《企业会计准则》执行，未提及的会计业</w:t>
      </w:r>
    </w:p>
    <w:p>
      <w:pPr>
        <w:pStyle w:val="BodyText"/>
        <w:spacing w:line="243" w:lineRule="exact" w:before="0"/>
        <w:ind w:right="0"/>
        <w:jc w:val="left"/>
      </w:pPr>
      <w:r>
        <w:rPr/>
        <w:t>务按企业会计准则的相关规定执行。</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86" w:lineRule="auto" w:before="159"/>
        <w:ind w:right="105" w:firstLine="420"/>
        <w:jc w:val="left"/>
      </w:pPr>
      <w:r>
        <w:rPr/>
        <w:t>（</w:t>
      </w:r>
      <w:r>
        <w:rPr>
          <w:rFonts w:ascii="Times New Roman" w:hAnsi="Times New Roman" w:cs="Times New Roman" w:eastAsia="Times New Roman" w:hint="default"/>
        </w:rPr>
        <w:t>1</w:t>
      </w:r>
      <w:r>
        <w:rPr/>
        <w:t>）本报告期公司根据财政部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月份发布的（财会</w:t>
      </w:r>
      <w:r>
        <w:rPr>
          <w:rFonts w:ascii="Times New Roman" w:hAnsi="Times New Roman" w:cs="Times New Roman" w:eastAsia="Times New Roman" w:hint="default"/>
        </w:rPr>
        <w:t>[2017]13</w:t>
      </w:r>
      <w:r>
        <w:rPr/>
        <w:t>号）文件《关于印发企业会计准则</w:t>
      </w:r>
      <w:r>
        <w:rPr>
          <w:w w:val="100"/>
        </w:rPr>
        <w:t> </w:t>
      </w:r>
      <w:r>
        <w:rPr>
          <w:spacing w:val="-5"/>
        </w:rPr>
        <w:t>第</w:t>
      </w:r>
      <w:r>
        <w:rPr>
          <w:rFonts w:ascii="Times New Roman" w:hAnsi="Times New Roman" w:cs="Times New Roman" w:eastAsia="Times New Roman" w:hint="default"/>
          <w:spacing w:val="-5"/>
        </w:rPr>
        <w:t>42</w:t>
      </w:r>
      <w:r>
        <w:rPr>
          <w:spacing w:val="-5"/>
        </w:rPr>
        <w:t>号</w:t>
      </w:r>
      <w:r>
        <w:rPr>
          <w:rFonts w:ascii="Times New Roman" w:hAnsi="Times New Roman" w:cs="Times New Roman" w:eastAsia="Times New Roman" w:hint="default"/>
          <w:spacing w:val="-5"/>
        </w:rPr>
        <w:t>-</w:t>
      </w:r>
      <w:r>
        <w:rPr>
          <w:spacing w:val="-5"/>
        </w:rPr>
        <w:t>持有待售的非流动资产、处置组和终止确认经营的通知》，本公司资产负债表增加</w:t>
      </w:r>
      <w:r>
        <w:rPr>
          <w:rFonts w:ascii="Times New Roman" w:hAnsi="Times New Roman" w:cs="Times New Roman" w:eastAsia="Times New Roman" w:hint="default"/>
          <w:spacing w:val="-5"/>
        </w:rPr>
        <w:t>“</w:t>
      </w:r>
      <w:r>
        <w:rPr>
          <w:spacing w:val="-5"/>
        </w:rPr>
        <w:t>持有待售资产</w:t>
      </w:r>
      <w:r>
        <w:rPr>
          <w:rFonts w:ascii="Times New Roman" w:hAnsi="Times New Roman" w:cs="Times New Roman" w:eastAsia="Times New Roman" w:hint="default"/>
          <w:spacing w:val="-5"/>
        </w:rPr>
        <w:t>”</w:t>
      </w:r>
      <w:r>
        <w:rPr>
          <w:spacing w:val="-5"/>
        </w:rPr>
        <w:t>、</w:t>
      </w:r>
    </w:p>
    <w:p>
      <w:pPr>
        <w:spacing w:after="0" w:line="386" w:lineRule="auto"/>
        <w:jc w:val="left"/>
        <w:sectPr>
          <w:pgSz w:w="11910" w:h="16840"/>
          <w:pgMar w:header="852" w:footer="980" w:top="1500" w:bottom="1160" w:left="980" w:right="920"/>
        </w:sectPr>
      </w:pPr>
    </w:p>
    <w:p>
      <w:pPr>
        <w:pStyle w:val="BodyText"/>
        <w:spacing w:line="386" w:lineRule="auto" w:before="116"/>
        <w:ind w:right="405"/>
        <w:jc w:val="left"/>
      </w:pPr>
      <w:r>
        <w:rPr>
          <w:rFonts w:ascii="Times New Roman" w:hAnsi="Times New Roman" w:cs="Times New Roman" w:eastAsia="Times New Roman" w:hint="default"/>
          <w:spacing w:val="-2"/>
        </w:rPr>
        <w:t>“</w:t>
      </w:r>
      <w:r>
        <w:rPr>
          <w:spacing w:val="-2"/>
        </w:rPr>
        <w:t>持有待售负债</w:t>
      </w:r>
      <w:r>
        <w:rPr>
          <w:rFonts w:ascii="Times New Roman" w:hAnsi="Times New Roman" w:cs="Times New Roman" w:eastAsia="Times New Roman" w:hint="default"/>
          <w:spacing w:val="-2"/>
        </w:rPr>
        <w:t>”</w:t>
      </w:r>
      <w:r>
        <w:rPr>
          <w:spacing w:val="-2"/>
        </w:rPr>
        <w:t>报表项目，核算通过出售而非持续使用收回其账面价值的一项非流动资产或处置组，以及</w:t>
      </w:r>
      <w:r>
        <w:rPr>
          <w:spacing w:val="-17"/>
        </w:rPr>
        <w:t> </w:t>
      </w:r>
      <w:r>
        <w:rPr>
          <w:spacing w:val="-17"/>
        </w:rPr>
      </w:r>
      <w:r>
        <w:rPr>
          <w:spacing w:val="-2"/>
        </w:rPr>
        <w:t>处置组中与划分为持有待售类别的资产直接相关的负债。会计政策的变更未对财务报表造成实质性影响。</w:t>
      </w:r>
    </w:p>
    <w:p>
      <w:pPr>
        <w:pStyle w:val="BodyText"/>
        <w:spacing w:line="386" w:lineRule="auto" w:before="65"/>
        <w:ind w:right="405" w:firstLine="420"/>
        <w:jc w:val="left"/>
      </w:pPr>
      <w:r>
        <w:rPr/>
        <w:t>（</w:t>
      </w:r>
      <w:r>
        <w:rPr>
          <w:rFonts w:ascii="Times New Roman" w:hAnsi="Times New Roman" w:cs="Times New Roman" w:eastAsia="Times New Roman" w:hint="default"/>
        </w:rPr>
        <w:t>2</w:t>
      </w:r>
      <w:r>
        <w:rPr/>
        <w:t>）本报告期公司根据财政部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月份发布的（财会</w:t>
      </w:r>
      <w:r>
        <w:rPr>
          <w:rFonts w:ascii="Times New Roman" w:hAnsi="Times New Roman" w:cs="Times New Roman" w:eastAsia="Times New Roman" w:hint="default"/>
        </w:rPr>
        <w:t>[2017]15</w:t>
      </w:r>
      <w:r>
        <w:rPr/>
        <w:t>号）文件《关于印发修订企业会计</w:t>
      </w:r>
      <w:r>
        <w:rPr>
          <w:w w:val="100"/>
        </w:rPr>
        <w:t> </w:t>
      </w:r>
      <w:r>
        <w:rPr/>
        <w:t>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政府补助的通知》 以及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月份发布的（财会</w:t>
      </w:r>
      <w:r>
        <w:rPr>
          <w:rFonts w:ascii="Times New Roman" w:hAnsi="Times New Roman" w:cs="Times New Roman" w:eastAsia="Times New Roman" w:hint="default"/>
        </w:rPr>
        <w:t>[2017]30</w:t>
      </w:r>
      <w:r>
        <w:rPr/>
        <w:t>号）文件《关于修订印发一般企</w:t>
      </w:r>
      <w:r>
        <w:rPr>
          <w:spacing w:val="-31"/>
        </w:rPr>
        <w:t> </w:t>
      </w:r>
      <w:r>
        <w:rPr>
          <w:spacing w:val="-31"/>
        </w:rPr>
      </w:r>
      <w:r>
        <w:rPr>
          <w:spacing w:val="-4"/>
        </w:rPr>
        <w:t>业财务报表格式的通知》，本公司利润表增加</w:t>
      </w:r>
      <w:r>
        <w:rPr>
          <w:rFonts w:ascii="Times New Roman" w:hAnsi="Times New Roman" w:cs="Times New Roman" w:eastAsia="Times New Roman" w:hint="default"/>
          <w:spacing w:val="-4"/>
        </w:rPr>
        <w:t>“</w:t>
      </w:r>
      <w:r>
        <w:rPr>
          <w:spacing w:val="-4"/>
        </w:rPr>
        <w:t>其他收益</w:t>
      </w:r>
      <w:r>
        <w:rPr>
          <w:rFonts w:ascii="Times New Roman" w:hAnsi="Times New Roman" w:cs="Times New Roman" w:eastAsia="Times New Roman" w:hint="default"/>
          <w:spacing w:val="-4"/>
        </w:rPr>
        <w:t>”</w:t>
      </w:r>
      <w:r>
        <w:rPr>
          <w:spacing w:val="-4"/>
        </w:rPr>
        <w:t>报表项目，核算与企业日常活动相关的政府补助。</w:t>
      </w:r>
      <w:r>
        <w:rPr>
          <w:spacing w:val="-30"/>
        </w:rPr>
        <w:t> </w:t>
      </w:r>
      <w:r>
        <w:rPr>
          <w:spacing w:val="-30"/>
        </w:rPr>
      </w:r>
      <w:r>
        <w:rPr/>
        <w:t>对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日至准则施行日之间新增的政府补助已按照准则进行调整，该项会计政策变更增加当期其</w:t>
      </w:r>
      <w:r>
        <w:rPr>
          <w:spacing w:val="-31"/>
        </w:rPr>
        <w:t> </w:t>
      </w:r>
      <w:r>
        <w:rPr>
          <w:spacing w:val="-31"/>
        </w:rPr>
      </w:r>
      <w:r>
        <w:rPr/>
        <w:t>他收益</w:t>
      </w:r>
      <w:r>
        <w:rPr>
          <w:rFonts w:ascii="Times New Roman" w:hAnsi="Times New Roman" w:cs="Times New Roman" w:eastAsia="Times New Roman" w:hint="default"/>
        </w:rPr>
        <w:t>2,849,756.00</w:t>
      </w:r>
      <w:r>
        <w:rPr/>
        <w:t>元，减少营业外收入</w:t>
      </w:r>
      <w:r>
        <w:rPr>
          <w:rFonts w:ascii="Times New Roman" w:hAnsi="Times New Roman" w:cs="Times New Roman" w:eastAsia="Times New Roman" w:hint="default"/>
        </w:rPr>
        <w:t>2,849,756.00</w:t>
      </w:r>
      <w:r>
        <w:rPr/>
        <w:t>元。对于</w:t>
      </w:r>
      <w:r>
        <w:rPr>
          <w:rFonts w:ascii="Times New Roman" w:hAnsi="Times New Roman" w:cs="Times New Roman" w:eastAsia="Times New Roman" w:hint="default"/>
        </w:rPr>
        <w:t>2017</w:t>
      </w:r>
      <w:r>
        <w:rPr/>
        <w:t>年财务报表中可比期间的财务报表不予</w:t>
      </w:r>
      <w:r>
        <w:rPr>
          <w:spacing w:val="-34"/>
        </w:rPr>
        <w:t> </w:t>
      </w:r>
      <w:r>
        <w:rPr>
          <w:spacing w:val="-34"/>
        </w:rPr>
      </w:r>
      <w:r>
        <w:rPr/>
        <w:t>追溯调整。</w:t>
      </w:r>
    </w:p>
    <w:p>
      <w:pPr>
        <w:pStyle w:val="BodyText"/>
        <w:spacing w:line="391" w:lineRule="auto" w:before="65"/>
        <w:ind w:right="504" w:firstLine="420"/>
        <w:jc w:val="both"/>
      </w:pPr>
      <w:r>
        <w:rPr>
          <w:spacing w:val="-3"/>
        </w:rPr>
        <w:t>（</w:t>
      </w:r>
      <w:r>
        <w:rPr>
          <w:rFonts w:ascii="Times New Roman" w:hAnsi="Times New Roman" w:cs="Times New Roman" w:eastAsia="Times New Roman" w:hint="default"/>
          <w:spacing w:val="-3"/>
        </w:rPr>
        <w:t>3</w:t>
      </w:r>
      <w:r>
        <w:rPr>
          <w:spacing w:val="-3"/>
        </w:rPr>
        <w:t>）本报告期公司根据财政部</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月份发布的（财会</w:t>
      </w:r>
      <w:r>
        <w:rPr>
          <w:rFonts w:ascii="Times New Roman" w:hAnsi="Times New Roman" w:cs="Times New Roman" w:eastAsia="Times New Roman" w:hint="default"/>
          <w:spacing w:val="-3"/>
        </w:rPr>
        <w:t>[2017]30</w:t>
      </w:r>
      <w:r>
        <w:rPr>
          <w:spacing w:val="-3"/>
        </w:rPr>
        <w:t>号）文件《关于修订印发一般企业</w:t>
      </w:r>
      <w:r>
        <w:rPr>
          <w:w w:val="100"/>
        </w:rPr>
        <w:t> </w:t>
      </w:r>
      <w:r>
        <w:rPr>
          <w:spacing w:val="-2"/>
        </w:rPr>
        <w:t>财务报表格式的通知》，本公司利润表增加</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报表项目，核算出售划分为持有待售的非流动</w:t>
      </w:r>
      <w:r>
        <w:rPr>
          <w:spacing w:val="-21"/>
        </w:rPr>
        <w:t> </w:t>
      </w:r>
      <w:r>
        <w:rPr>
          <w:spacing w:val="-21"/>
        </w:rPr>
      </w:r>
      <w:r>
        <w:rPr>
          <w:spacing w:val="-2"/>
        </w:rPr>
        <w:t>资产（金融工具、长期股权投资和投资性房地产除外）或处置组时确认的处置利得或损失，以及处置未划</w:t>
      </w:r>
      <w:r>
        <w:rPr>
          <w:spacing w:val="-47"/>
        </w:rPr>
        <w:t> </w:t>
      </w:r>
      <w:r>
        <w:rPr>
          <w:spacing w:val="-47"/>
        </w:rPr>
      </w:r>
      <w:r>
        <w:rPr>
          <w:spacing w:val="-2"/>
        </w:rPr>
        <w:t>分为持有待售的固定资产、在建工程、生产性生物资产及无形资产而产生的处置利得或损失，债务重组中</w:t>
      </w:r>
      <w:r>
        <w:rPr>
          <w:spacing w:val="-44"/>
        </w:rPr>
        <w:t> </w:t>
      </w:r>
      <w:r>
        <w:rPr>
          <w:spacing w:val="-44"/>
        </w:rPr>
      </w:r>
      <w:r>
        <w:rPr>
          <w:spacing w:val="-2"/>
        </w:rPr>
        <w:t>因处置非流动资产产生的利得或损失和非货币性资产交换产生的利得或损失。对于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日至规定施</w:t>
      </w:r>
      <w:r>
        <w:rPr>
          <w:spacing w:val="-37"/>
        </w:rPr>
        <w:t> </w:t>
      </w:r>
      <w:r>
        <w:rPr>
          <w:spacing w:val="-37"/>
        </w:rPr>
      </w:r>
      <w:r>
        <w:rPr/>
        <w:t>行之间新增的资产处置已按规定调整，该项会计政策变更增加当期资产处置收益</w:t>
      </w:r>
      <w:r>
        <w:rPr>
          <w:rFonts w:ascii="Times New Roman" w:hAnsi="Times New Roman" w:cs="Times New Roman" w:eastAsia="Times New Roman" w:hint="default"/>
        </w:rPr>
        <w:t>-1,114,287.69</w:t>
      </w:r>
      <w:r>
        <w:rPr/>
        <w:t>元，减少营</w:t>
      </w:r>
      <w:r>
        <w:rPr>
          <w:spacing w:val="-41"/>
        </w:rPr>
        <w:t> </w:t>
      </w:r>
      <w:r>
        <w:rPr>
          <w:spacing w:val="-3"/>
        </w:rPr>
        <w:t>业外收入</w:t>
      </w:r>
      <w:r>
        <w:rPr>
          <w:rFonts w:ascii="Times New Roman" w:hAnsi="Times New Roman" w:cs="Times New Roman" w:eastAsia="Times New Roman" w:hint="default"/>
          <w:spacing w:val="-3"/>
        </w:rPr>
        <w:t>22,625.85</w:t>
      </w:r>
      <w:r>
        <w:rPr>
          <w:spacing w:val="-3"/>
        </w:rPr>
        <w:t>元，减少营业外支出</w:t>
      </w:r>
      <w:r>
        <w:rPr>
          <w:rFonts w:ascii="Times New Roman" w:hAnsi="Times New Roman" w:cs="Times New Roman" w:eastAsia="Times New Roman" w:hint="default"/>
          <w:spacing w:val="-3"/>
        </w:rPr>
        <w:t>1,136,913.54</w:t>
      </w:r>
      <w:r>
        <w:rPr>
          <w:spacing w:val="-3"/>
        </w:rPr>
        <w:t>元。对于</w:t>
      </w:r>
      <w:r>
        <w:rPr>
          <w:rFonts w:ascii="Times New Roman" w:hAnsi="Times New Roman" w:cs="Times New Roman" w:eastAsia="Times New Roman" w:hint="default"/>
          <w:spacing w:val="-3"/>
        </w:rPr>
        <w:t>2017</w:t>
      </w:r>
      <w:r>
        <w:rPr>
          <w:spacing w:val="-3"/>
        </w:rPr>
        <w:t>年财务报表中可比期间的财务报表追溯调</w:t>
      </w:r>
      <w:r>
        <w:rPr>
          <w:spacing w:val="-10"/>
        </w:rPr>
        <w:t> </w:t>
      </w:r>
      <w:r>
        <w:rPr>
          <w:spacing w:val="-10"/>
        </w:rPr>
      </w:r>
      <w:r>
        <w:rPr/>
        <w:t>整，增加可比期间资产处置收益</w:t>
      </w:r>
      <w:r>
        <w:rPr>
          <w:rFonts w:ascii="Times New Roman" w:hAnsi="Times New Roman" w:cs="Times New Roman" w:eastAsia="Times New Roman" w:hint="default"/>
        </w:rPr>
        <w:t>-198,762.38</w:t>
      </w:r>
      <w:r>
        <w:rPr/>
        <w:t>元，减少可比期间营业外收入</w:t>
      </w:r>
      <w:r>
        <w:rPr>
          <w:rFonts w:ascii="Times New Roman" w:hAnsi="Times New Roman" w:cs="Times New Roman" w:eastAsia="Times New Roman" w:hint="default"/>
        </w:rPr>
        <w:t>11,074.65</w:t>
      </w:r>
      <w:r>
        <w:rPr/>
        <w:t>元，减少营业外支出</w:t>
      </w:r>
      <w:r>
        <w:rPr>
          <w:spacing w:val="95"/>
        </w:rPr>
        <w:t> </w:t>
      </w:r>
      <w:r>
        <w:rPr>
          <w:rFonts w:ascii="Times New Roman" w:hAnsi="Times New Roman" w:cs="Times New Roman" w:eastAsia="Times New Roman" w:hint="default"/>
        </w:rPr>
        <w:t>209,837.03</w:t>
      </w:r>
      <w:r>
        <w:rPr/>
        <w:t>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3251"/>
        <w:gridCol w:w="2736"/>
        <w:gridCol w:w="1961"/>
        <w:gridCol w:w="2086"/>
      </w:tblGrid>
      <w:tr>
        <w:trPr>
          <w:trHeight w:val="348" w:hRule="exact"/>
        </w:trPr>
        <w:tc>
          <w:tcPr>
            <w:tcW w:w="32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6" w:lineRule="exact"/>
              <w:ind w:left="3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会计政策变更的内容和原因</w:t>
            </w:r>
            <w:r>
              <w:rPr>
                <w:rFonts w:ascii="Microsoft JhengHei" w:hAnsi="Microsoft JhengHei" w:cs="Microsoft JhengHei" w:eastAsia="Microsoft JhengHei" w:hint="default"/>
                <w:sz w:val="21"/>
                <w:szCs w:val="21"/>
              </w:rPr>
            </w:r>
          </w:p>
        </w:tc>
        <w:tc>
          <w:tcPr>
            <w:tcW w:w="27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受影响的报表项目名称</w:t>
            </w:r>
            <w:r>
              <w:rPr>
                <w:rFonts w:ascii="Microsoft JhengHei" w:hAnsi="Microsoft JhengHei" w:cs="Microsoft JhengHei" w:eastAsia="Microsoft JhengHei" w:hint="default"/>
                <w:sz w:val="21"/>
                <w:szCs w:val="21"/>
              </w:rPr>
            </w:r>
          </w:p>
        </w:tc>
        <w:tc>
          <w:tcPr>
            <w:tcW w:w="19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影响金额（元）</w:t>
            </w:r>
            <w:r>
              <w:rPr>
                <w:rFonts w:ascii="Microsoft JhengHei" w:hAnsi="Microsoft JhengHei" w:cs="Microsoft JhengHei" w:eastAsia="Microsoft JhengHei" w:hint="default"/>
                <w:sz w:val="21"/>
                <w:szCs w:val="21"/>
              </w:rPr>
            </w:r>
          </w:p>
        </w:tc>
        <w:tc>
          <w:tcPr>
            <w:tcW w:w="20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6" w:lineRule="exact"/>
              <w:ind w:left="6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审批程序</w:t>
            </w:r>
            <w:r>
              <w:rPr>
                <w:rFonts w:ascii="Microsoft JhengHei" w:hAnsi="Microsoft JhengHei" w:cs="Microsoft JhengHei" w:eastAsia="Microsoft JhengHei" w:hint="default"/>
                <w:sz w:val="21"/>
                <w:szCs w:val="21"/>
              </w:rPr>
            </w:r>
          </w:p>
        </w:tc>
      </w:tr>
      <w:tr>
        <w:trPr>
          <w:trHeight w:val="970" w:hRule="exact"/>
        </w:trPr>
        <w:tc>
          <w:tcPr>
            <w:tcW w:w="325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）将利润表增加</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其他收益、营业外收入</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2,849,756.00</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已经公司第四届董事会第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五次会议审议通过</w:t>
            </w:r>
          </w:p>
        </w:tc>
      </w:tr>
      <w:tr>
        <w:trPr>
          <w:trHeight w:val="972" w:hRule="exact"/>
        </w:trPr>
        <w:tc>
          <w:tcPr>
            <w:tcW w:w="3251"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99"/>
              <w:ind w:left="4" w:right="-2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）将利润表增加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资产处置收益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比较数据追溯调整。</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资产处置收益、营业外收入、营业</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外支出</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-1,114,287.69</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已经公司第四届董事会第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五次会议审议通过</w:t>
            </w:r>
          </w:p>
        </w:tc>
      </w:tr>
    </w:tbl>
    <w:p>
      <w:pPr>
        <w:spacing w:line="240" w:lineRule="auto" w:before="3"/>
        <w:rPr>
          <w:rFonts w:ascii="宋体" w:hAnsi="宋体" w:cs="宋体" w:eastAsia="宋体" w:hint="default"/>
          <w:sz w:val="19"/>
          <w:szCs w:val="19"/>
        </w:rPr>
      </w:pPr>
    </w:p>
    <w:p>
      <w:pPr>
        <w:pStyle w:val="Heading3"/>
        <w:spacing w:line="335" w:lineRule="exact"/>
        <w:ind w:right="405"/>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4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6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904"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34</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六、税项</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销售收入、不动产经营租赁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原值</w:t>
            </w:r>
            <w:r>
              <w:rPr>
                <w:rFonts w:ascii="Times New Roman" w:hAnsi="Times New Roman" w:cs="Times New Roman" w:eastAsia="Times New Roman" w:hint="default"/>
                <w:sz w:val="18"/>
                <w:szCs w:val="18"/>
              </w:rPr>
              <w:t>*80%</w:t>
            </w:r>
            <w:r>
              <w:rPr>
                <w:rFonts w:ascii="宋体" w:hAnsi="宋体" w:cs="宋体" w:eastAsia="宋体" w:hint="default"/>
                <w:sz w:val="18"/>
                <w:szCs w:val="18"/>
              </w:rPr>
              <w:t>、租金收入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按土地面积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土地地段不同</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0.08%</w:t>
            </w:r>
            <w:r>
              <w:rPr>
                <w:rFonts w:ascii="宋体" w:hAnsi="宋体" w:cs="宋体" w:eastAsia="宋体" w:hint="default"/>
                <w:sz w:val="18"/>
                <w:szCs w:val="18"/>
              </w:rPr>
              <w:t>、</w:t>
            </w:r>
            <w:r>
              <w:rPr>
                <w:rFonts w:ascii="Times New Roman" w:hAnsi="Times New Roman" w:cs="Times New Roman" w:eastAsia="Times New Roman" w:hint="default"/>
                <w:sz w:val="18"/>
                <w:szCs w:val="18"/>
              </w:rPr>
              <w:t>0.04%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陕西永鑫纸业包装有限公司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西安永旭创新服务有限公司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73" w:lineRule="auto" w:before="0"/>
        <w:ind w:right="0" w:firstLine="437"/>
        <w:jc w:val="left"/>
      </w:pPr>
      <w:r>
        <w:rPr>
          <w:rFonts w:ascii="宋体" w:hAnsi="宋体" w:cs="宋体" w:eastAsia="宋体" w:hint="default"/>
          <w:spacing w:val="-3"/>
        </w:rPr>
        <w:t>1.</w:t>
      </w:r>
      <w:r>
        <w:rPr>
          <w:spacing w:val="-3"/>
        </w:rPr>
        <w:t>根据《中华人民共和国企业所得税法》、《中华人民共和国企业所得税法实施条例》、《国家税务</w:t>
      </w:r>
      <w:r>
        <w:rPr>
          <w:w w:val="100"/>
        </w:rPr>
        <w:t> </w:t>
      </w:r>
      <w:r>
        <w:rPr/>
        <w:t>总局关于实施高新技术企业所得税优惠有关问题的通知》（国税函</w:t>
      </w:r>
      <w:r>
        <w:rPr>
          <w:rFonts w:ascii="宋体" w:hAnsi="宋体" w:cs="宋体" w:eastAsia="宋体" w:hint="default"/>
        </w:rPr>
        <w:t>[2009]203</w:t>
      </w:r>
      <w:r>
        <w:rPr/>
        <w:t>号）以及西安市国家税务局</w:t>
      </w:r>
      <w:r>
        <w:rPr>
          <w:w w:val="100"/>
        </w:rPr>
        <w:t> </w:t>
      </w:r>
      <w:r>
        <w:rPr>
          <w:spacing w:val="-10"/>
          <w:w w:val="100"/>
        </w:rPr>
        <w:t>直属税务分局《企业所得税优惠政策备案通知书》（编号：直属国税备字</w:t>
      </w:r>
      <w:r>
        <w:rPr>
          <w:rFonts w:ascii="宋体" w:hAnsi="宋体" w:cs="宋体" w:eastAsia="宋体" w:hint="default"/>
          <w:spacing w:val="-10"/>
          <w:w w:val="100"/>
        </w:rPr>
        <w:t>[2013]26</w:t>
      </w:r>
      <w:r>
        <w:rPr>
          <w:spacing w:val="-10"/>
          <w:w w:val="100"/>
        </w:rPr>
        <w:t>号、直属国税备字</w:t>
      </w:r>
      <w:r>
        <w:rPr>
          <w:rFonts w:ascii="宋体" w:hAnsi="宋体" w:cs="宋体" w:eastAsia="宋体" w:hint="default"/>
          <w:spacing w:val="-10"/>
          <w:w w:val="100"/>
        </w:rPr>
        <w:t>[2014]12</w:t>
      </w:r>
      <w:r>
        <w:rPr>
          <w:rFonts w:ascii="宋体" w:hAnsi="宋体" w:cs="宋体" w:eastAsia="宋体" w:hint="default"/>
          <w:spacing w:val="-60"/>
          <w:w w:val="100"/>
        </w:rPr>
        <w:t> </w:t>
      </w:r>
      <w:r>
        <w:rPr>
          <w:rFonts w:ascii="宋体" w:hAnsi="宋体" w:cs="宋体" w:eastAsia="宋体" w:hint="default"/>
          <w:spacing w:val="-60"/>
          <w:w w:val="100"/>
        </w:rPr>
      </w:r>
      <w:r>
        <w:rPr/>
        <w:t>号）和西安市国家税务局直属税务分局税务事项通知书（编号：西国税直通</w:t>
      </w:r>
      <w:r>
        <w:rPr>
          <w:rFonts w:ascii="宋体" w:hAnsi="宋体" w:cs="宋体" w:eastAsia="宋体" w:hint="default"/>
        </w:rPr>
        <w:t>[2015]Z030501</w:t>
      </w:r>
      <w:r>
        <w:rPr/>
        <w:t>号、西直国税</w:t>
      </w:r>
      <w:r>
        <w:rPr>
          <w:w w:val="100"/>
        </w:rPr>
        <w:t> </w:t>
      </w:r>
      <w:r>
        <w:rPr>
          <w:spacing w:val="-2"/>
        </w:rPr>
        <w:t>通</w:t>
      </w:r>
      <w:r>
        <w:rPr>
          <w:rFonts w:ascii="宋体" w:hAnsi="宋体" w:cs="宋体" w:eastAsia="宋体" w:hint="default"/>
          <w:spacing w:val="-2"/>
        </w:rPr>
        <w:t>[2017]174</w:t>
      </w:r>
      <w:r>
        <w:rPr>
          <w:spacing w:val="-2"/>
        </w:rPr>
        <w:t>号），本公司</w:t>
      </w:r>
      <w:r>
        <w:rPr>
          <w:rFonts w:ascii="宋体" w:hAnsi="宋体" w:cs="宋体" w:eastAsia="宋体" w:hint="default"/>
          <w:spacing w:val="-2"/>
        </w:rPr>
        <w:t>2013</w:t>
      </w:r>
      <w:r>
        <w:rPr>
          <w:spacing w:val="-2"/>
        </w:rPr>
        <w:t>年、</w:t>
      </w:r>
      <w:r>
        <w:rPr>
          <w:rFonts w:ascii="宋体" w:hAnsi="宋体" w:cs="宋体" w:eastAsia="宋体" w:hint="default"/>
          <w:spacing w:val="-2"/>
        </w:rPr>
        <w:t>2014</w:t>
      </w:r>
      <w:r>
        <w:rPr>
          <w:spacing w:val="-2"/>
        </w:rPr>
        <w:t>年及</w:t>
      </w:r>
      <w:r>
        <w:rPr>
          <w:rFonts w:ascii="宋体" w:hAnsi="宋体" w:cs="宋体" w:eastAsia="宋体" w:hint="default"/>
          <w:spacing w:val="-2"/>
        </w:rPr>
        <w:t>2015</w:t>
      </w:r>
      <w:r>
        <w:rPr>
          <w:spacing w:val="-2"/>
        </w:rPr>
        <w:t>年、</w:t>
      </w:r>
      <w:r>
        <w:rPr>
          <w:rFonts w:ascii="宋体" w:hAnsi="宋体" w:cs="宋体" w:eastAsia="宋体" w:hint="default"/>
          <w:spacing w:val="-2"/>
        </w:rPr>
        <w:t>2016</w:t>
      </w:r>
      <w:r>
        <w:rPr>
          <w:spacing w:val="-2"/>
        </w:rPr>
        <w:t>年享受高新技术企业所得税优惠，减按</w:t>
      </w:r>
      <w:r>
        <w:rPr>
          <w:rFonts w:ascii="宋体" w:hAnsi="宋体" w:cs="宋体" w:eastAsia="宋体" w:hint="default"/>
          <w:spacing w:val="-2"/>
        </w:rPr>
        <w:t>15%</w:t>
      </w:r>
      <w:r>
        <w:rPr>
          <w:spacing w:val="-2"/>
        </w:rPr>
        <w:t>的税</w:t>
      </w:r>
      <w:r>
        <w:rPr>
          <w:spacing w:val="-23"/>
        </w:rPr>
        <w:t> </w:t>
      </w:r>
      <w:r>
        <w:rPr/>
        <w:t>率缴纳企业所得税、</w:t>
      </w:r>
      <w:r>
        <w:rPr>
          <w:rFonts w:ascii="宋体" w:hAnsi="宋体" w:cs="宋体" w:eastAsia="宋体" w:hint="default"/>
        </w:rPr>
        <w:t>2017</w:t>
      </w:r>
      <w:r>
        <w:rPr/>
        <w:t>年度减按</w:t>
      </w:r>
      <w:r>
        <w:rPr>
          <w:rFonts w:ascii="宋体" w:hAnsi="宋体" w:cs="宋体" w:eastAsia="宋体" w:hint="default"/>
        </w:rPr>
        <w:t>15%</w:t>
      </w:r>
      <w:r>
        <w:rPr/>
        <w:t>的税率预缴企业所得税。</w:t>
      </w:r>
    </w:p>
    <w:p>
      <w:pPr>
        <w:pStyle w:val="BodyText"/>
        <w:spacing w:line="273" w:lineRule="auto" w:before="7"/>
        <w:ind w:right="0" w:firstLine="437"/>
        <w:jc w:val="left"/>
      </w:pPr>
      <w:r>
        <w:rPr>
          <w:rFonts w:ascii="宋体" w:hAnsi="宋体" w:cs="宋体" w:eastAsia="宋体" w:hint="default"/>
          <w:spacing w:val="-3"/>
        </w:rPr>
        <w:t>2.</w:t>
      </w:r>
      <w:r>
        <w:rPr>
          <w:spacing w:val="-3"/>
        </w:rPr>
        <w:t>根据《中华人民共和国企业所得税法》、《中华人民共和国企业所得税法实施条例》、《国家税务</w:t>
      </w:r>
      <w:r>
        <w:rPr>
          <w:w w:val="100"/>
        </w:rPr>
        <w:t> </w:t>
      </w:r>
      <w:r>
        <w:rPr/>
        <w:t>总局关于实施高新技术企业所得税优惠有关问题的通知》（国税函</w:t>
      </w:r>
      <w:r>
        <w:rPr>
          <w:rFonts w:ascii="宋体" w:hAnsi="宋体" w:cs="宋体" w:eastAsia="宋体" w:hint="default"/>
        </w:rPr>
        <w:t>[2009]203</w:t>
      </w:r>
      <w:r>
        <w:rPr/>
        <w:t>号）以及经天津市北辰区国</w:t>
      </w:r>
      <w:r>
        <w:rPr>
          <w:w w:val="100"/>
        </w:rPr>
        <w:t> </w:t>
      </w:r>
      <w:r>
        <w:rPr>
          <w:spacing w:val="-2"/>
        </w:rPr>
        <w:t>家税务局通过的</w:t>
      </w:r>
      <w:r>
        <w:rPr>
          <w:rFonts w:ascii="宋体" w:hAnsi="宋体" w:cs="宋体" w:eastAsia="宋体" w:hint="default"/>
          <w:spacing w:val="-2"/>
        </w:rPr>
        <w:t>2017</w:t>
      </w:r>
      <w:r>
        <w:rPr>
          <w:spacing w:val="-2"/>
        </w:rPr>
        <w:t>年度企业所得税优惠事项备案表，本公司之子公司天津滨海环球印务有限公司</w:t>
      </w:r>
      <w:r>
        <w:rPr>
          <w:rFonts w:ascii="宋体" w:hAnsi="宋体" w:cs="宋体" w:eastAsia="宋体" w:hint="default"/>
          <w:spacing w:val="-2"/>
        </w:rPr>
        <w:t>2017</w:t>
      </w:r>
      <w:r>
        <w:rPr>
          <w:spacing w:val="-2"/>
        </w:rPr>
        <w:t>年</w:t>
      </w:r>
      <w:r>
        <w:rPr>
          <w:spacing w:val="-39"/>
        </w:rPr>
        <w:t> </w:t>
      </w:r>
      <w:r>
        <w:rPr/>
        <w:t>享受高新技术企业所得税优惠，减按</w:t>
      </w:r>
      <w:r>
        <w:rPr>
          <w:rFonts w:ascii="宋体" w:hAnsi="宋体" w:cs="宋体" w:eastAsia="宋体" w:hint="default"/>
        </w:rPr>
        <w:t>15%</w:t>
      </w:r>
      <w:r>
        <w:rPr/>
        <w:t>的税率缴纳企业所得税。</w:t>
      </w:r>
    </w:p>
    <w:p>
      <w:pPr>
        <w:pStyle w:val="BodyText"/>
        <w:spacing w:line="273" w:lineRule="auto" w:before="8"/>
        <w:ind w:right="0" w:firstLine="437"/>
        <w:jc w:val="left"/>
      </w:pPr>
      <w:r>
        <w:rPr>
          <w:rFonts w:ascii="宋体" w:hAnsi="宋体" w:cs="宋体" w:eastAsia="宋体" w:hint="default"/>
          <w:spacing w:val="-2"/>
        </w:rPr>
        <w:t>3.</w:t>
      </w:r>
      <w:r>
        <w:rPr>
          <w:spacing w:val="-2"/>
        </w:rPr>
        <w:t>根据《陕西省人民政府办公厅关于支持实体经济发展若干财税措施的意见》（陕政办发</w:t>
      </w:r>
      <w:r>
        <w:rPr>
          <w:rFonts w:ascii="宋体" w:hAnsi="宋体" w:cs="宋体" w:eastAsia="宋体" w:hint="default"/>
          <w:spacing w:val="-2"/>
        </w:rPr>
        <w:t>[2017]102</w:t>
      </w:r>
      <w:r>
        <w:rPr>
          <w:rFonts w:ascii="宋体" w:hAnsi="宋体" w:cs="宋体" w:eastAsia="宋体" w:hint="default"/>
          <w:w w:val="100"/>
        </w:rPr>
        <w:t> </w:t>
      </w:r>
      <w:r>
        <w:rPr/>
        <w:t>号），自</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w:t>
      </w:r>
      <w:r>
        <w:rPr/>
        <w:t>日起，本公司水利基金减按销售商品收入和提供劳务收入的</w:t>
      </w:r>
      <w:r>
        <w:rPr>
          <w:rFonts w:ascii="宋体" w:hAnsi="宋体" w:cs="宋体" w:eastAsia="宋体" w:hint="default"/>
        </w:rPr>
        <w:t>0.04%</w:t>
      </w:r>
      <w:r>
        <w:rPr/>
        <w:t>缴纳。</w:t>
      </w:r>
    </w:p>
    <w:p>
      <w:pPr>
        <w:spacing w:line="240" w:lineRule="auto" w:before="5"/>
        <w:rPr>
          <w:rFonts w:ascii="宋体" w:hAnsi="宋体" w:cs="宋体" w:eastAsia="宋体" w:hint="default"/>
          <w:sz w:val="18"/>
          <w:szCs w:val="18"/>
        </w:rPr>
      </w:pPr>
    </w:p>
    <w:p>
      <w:pPr>
        <w:spacing w:line="376" w:lineRule="auto" w:before="0"/>
        <w:ind w:left="152" w:right="689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七、合并财务报表项目注释</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spacing w:before="17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2" w:footer="980" w:top="1500" w:bottom="1160" w:left="980" w:right="980"/>
        </w:sectPr>
      </w:pPr>
    </w:p>
    <w:p>
      <w:pPr>
        <w:spacing w:line="240" w:lineRule="auto" w:before="6"/>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168"/>
        <w:gridCol w:w="3201"/>
        <w:gridCol w:w="3190"/>
      </w:tblGrid>
      <w:tr>
        <w:trPr>
          <w:trHeight w:val="416" w:hRule="exact"/>
        </w:trPr>
        <w:tc>
          <w:tcPr>
            <w:tcW w:w="316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241,151.84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266,403.62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131,409,046.61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106,344,479.52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1,698,383.57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5,519,000.00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133,348,582.02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112,129,883.14</w:t>
            </w:r>
          </w:p>
        </w:tc>
      </w:tr>
    </w:tbl>
    <w:p>
      <w:pPr>
        <w:spacing w:before="49"/>
        <w:ind w:left="112" w:right="3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left="112" w:right="385"/>
        <w:jc w:val="left"/>
      </w:pPr>
      <w:r>
        <w:rPr/>
        <w:t>本公司除其他货币资金的保证金外，不存在其他使用受限的情形，无潜在不可收回风险。</w:t>
      </w:r>
    </w:p>
    <w:p>
      <w:pPr>
        <w:spacing w:line="240" w:lineRule="auto" w:before="9"/>
        <w:rPr>
          <w:rFonts w:ascii="宋体" w:hAnsi="宋体" w:cs="宋体" w:eastAsia="宋体" w:hint="default"/>
          <w:sz w:val="20"/>
          <w:szCs w:val="20"/>
        </w:rPr>
      </w:pPr>
    </w:p>
    <w:p>
      <w:pPr>
        <w:pStyle w:val="Heading3"/>
        <w:spacing w:line="240" w:lineRule="auto"/>
        <w:ind w:left="112" w:right="385"/>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30,607,536.31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20,417,906.34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300,980.27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8,368,704.90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30,908,516.58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28,786,611.24</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49,726,376.72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49,726,376.72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2" w:footer="980" w:top="1500" w:bottom="1160" w:left="1020" w:right="1020"/>
        </w:sectPr>
      </w:pPr>
    </w:p>
    <w:p>
      <w:pPr>
        <w:spacing w:line="240" w:lineRule="auto" w:before="6"/>
        <w:rPr>
          <w:rFonts w:ascii="宋体" w:hAnsi="宋体" w:cs="宋体" w:eastAsia="宋体" w:hint="default"/>
          <w:sz w:val="2"/>
          <w:szCs w:val="2"/>
        </w:rPr>
      </w:pPr>
    </w:p>
    <w:tbl>
      <w:tblPr>
        <w:tblW w:w="0" w:type="auto"/>
        <w:jc w:val="left"/>
        <w:tblInd w:w="960" w:type="dxa"/>
        <w:tblLayout w:type="fixed"/>
        <w:tblCellMar>
          <w:top w:w="0" w:type="dxa"/>
          <w:left w:w="0" w:type="dxa"/>
          <w:bottom w:w="0" w:type="dxa"/>
          <w:right w:w="0" w:type="dxa"/>
        </w:tblCellMar>
        <w:tblLook w:val="01E0"/>
      </w:tblPr>
      <w:tblGrid>
        <w:gridCol w:w="4773"/>
        <w:gridCol w:w="4785"/>
      </w:tblGrid>
      <w:tr>
        <w:trPr>
          <w:trHeight w:val="416" w:hRule="exact"/>
        </w:trPr>
        <w:tc>
          <w:tcPr>
            <w:tcW w:w="477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75"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1"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5" w:type="dxa"/>
            <w:tcBorders>
              <w:top w:val="single" w:sz="4" w:space="0" w:color="000000"/>
              <w:left w:val="single" w:sz="10" w:space="0" w:color="D2D2D2"/>
              <w:bottom w:val="single" w:sz="4" w:space="0" w:color="000000"/>
              <w:right w:val="single" w:sz="4" w:space="0" w:color="000000"/>
            </w:tcBorders>
          </w:tcPr>
          <w:p>
            <w:pPr/>
          </w:p>
        </w:tc>
      </w:tr>
    </w:tbl>
    <w:p>
      <w:pPr>
        <w:spacing w:before="49"/>
        <w:ind w:left="9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left="952" w:right="0"/>
        <w:jc w:val="left"/>
      </w:pPr>
      <w:r>
        <w:rPr/>
        <w:t>报告期末，公司无已质押的应收票据、无出票人无力履约而转为应收账款的票据。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left="952"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952"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8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70"/>
        <w:gridCol w:w="1288"/>
        <w:gridCol w:w="708"/>
        <w:gridCol w:w="1136"/>
        <w:gridCol w:w="708"/>
        <w:gridCol w:w="1275"/>
        <w:gridCol w:w="1277"/>
        <w:gridCol w:w="710"/>
        <w:gridCol w:w="1133"/>
        <w:gridCol w:w="566"/>
        <w:gridCol w:w="1419"/>
      </w:tblGrid>
      <w:tr>
        <w:trPr>
          <w:trHeight w:val="403" w:hRule="exact"/>
        </w:trPr>
        <w:tc>
          <w:tcPr>
            <w:tcW w:w="970" w:type="dxa"/>
            <w:vMerge w:val="restart"/>
            <w:tcBorders>
              <w:top w:val="single" w:sz="4" w:space="0" w:color="000000"/>
              <w:left w:val="single" w:sz="4" w:space="0" w:color="000000"/>
              <w:right w:val="single" w:sz="4" w:space="0" w:color="000000"/>
            </w:tcBorders>
            <w:shd w:val="clear" w:color="auto" w:fill="D2D2D2"/>
          </w:tcPr>
          <w:p>
            <w:pPr/>
          </w:p>
        </w:tc>
        <w:tc>
          <w:tcPr>
            <w:tcW w:w="51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9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96"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987" w:type="dxa"/>
            <w:gridSpan w:val="2"/>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970"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970"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970"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 w:right="45"/>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131,286,868.00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98.07%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7,512,526.14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123,774,341.86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128,711,735.53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98.66%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7,130,858.35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121,580,877.18</w:t>
            </w:r>
          </w:p>
        </w:tc>
      </w:tr>
      <w:tr>
        <w:trPr>
          <w:trHeight w:val="1649"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 w:right="45"/>
              <w:jc w:val="both"/>
              <w:rPr>
                <w:rFonts w:ascii="宋体" w:hAnsi="宋体" w:cs="宋体" w:eastAsia="宋体" w:hint="default"/>
                <w:sz w:val="18"/>
                <w:szCs w:val="18"/>
              </w:rPr>
            </w:pPr>
            <w:r>
              <w:rPr>
                <w:rFonts w:ascii="宋体" w:hAnsi="宋体" w:cs="宋体" w:eastAsia="宋体" w:hint="default"/>
                <w:sz w:val="18"/>
                <w:szCs w:val="18"/>
              </w:rPr>
              <w:t>单项金额不 重大但单独 计提坏账准 备的应收账 款</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2,590,013.72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2,096,209.26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493,804.46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1,747,714.39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1,524,957.67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222,756.72</w:t>
            </w:r>
          </w:p>
        </w:tc>
      </w:tr>
      <w:tr>
        <w:trPr>
          <w:trHeight w:val="403" w:hRule="exact"/>
        </w:trPr>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133,876,881.72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9,608,735.40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124,268,146.32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130,459,449.92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8,655,816.02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6.63%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121,803,633.90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180" w:right="300"/>
        </w:sectPr>
      </w:pPr>
    </w:p>
    <w:p>
      <w:pPr>
        <w:spacing w:before="49"/>
        <w:ind w:left="9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9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1"/>
        <w:ind w:left="9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9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280" w:left="180" w:right="300"/>
          <w:cols w:num="2" w:equalWidth="0">
            <w:col w:w="5093" w:space="3736"/>
            <w:col w:w="2601"/>
          </w:cols>
        </w:sectPr>
      </w:pPr>
    </w:p>
    <w:p>
      <w:pPr>
        <w:spacing w:line="240" w:lineRule="auto" w:before="4"/>
        <w:rPr>
          <w:rFonts w:ascii="宋体" w:hAnsi="宋体" w:cs="宋体" w:eastAsia="宋体" w:hint="default"/>
          <w:sz w:val="8"/>
          <w:szCs w:val="8"/>
        </w:rPr>
      </w:pPr>
    </w:p>
    <w:tbl>
      <w:tblPr>
        <w:tblW w:w="0" w:type="auto"/>
        <w:jc w:val="left"/>
        <w:tblInd w:w="960" w:type="dxa"/>
        <w:tblLayout w:type="fixed"/>
        <w:tblCellMar>
          <w:top w:w="0" w:type="dxa"/>
          <w:left w:w="0" w:type="dxa"/>
          <w:bottom w:w="0" w:type="dxa"/>
          <w:right w:w="0" w:type="dxa"/>
        </w:tblCellMar>
        <w:tblLook w:val="01E0"/>
      </w:tblPr>
      <w:tblGrid>
        <w:gridCol w:w="2375"/>
        <w:gridCol w:w="2398"/>
        <w:gridCol w:w="2393"/>
        <w:gridCol w:w="2393"/>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184"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124,270,968.19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6,213,548.41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7" w:right="0"/>
              <w:jc w:val="lef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4,028,961.08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402,896.11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4" w:right="0"/>
              <w:jc w:val="lef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2,986,938.73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896,081.62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4" w:right="0"/>
              <w:jc w:val="lef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131,286,868.00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7,512,526.14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7" w:right="0"/>
              <w:jc w:val="left"/>
              <w:rPr>
                <w:rFonts w:ascii="Times New Roman" w:hAnsi="Times New Roman" w:cs="Times New Roman" w:eastAsia="Times New Roman" w:hint="default"/>
                <w:sz w:val="18"/>
                <w:szCs w:val="18"/>
              </w:rPr>
            </w:pPr>
            <w:r>
              <w:rPr>
                <w:rFonts w:ascii="Times New Roman"/>
                <w:sz w:val="18"/>
              </w:rPr>
              <w:t>5.72%</w:t>
            </w:r>
          </w:p>
        </w:tc>
      </w:tr>
    </w:tbl>
    <w:p>
      <w:pPr>
        <w:spacing w:before="49"/>
        <w:ind w:left="9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type w:val="continuous"/>
          <w:pgSz w:w="11910" w:h="16840"/>
          <w:pgMar w:top="1580" w:bottom="280" w:left="180" w:right="300"/>
        </w:sectPr>
      </w:pPr>
    </w:p>
    <w:p>
      <w:pPr>
        <w:spacing w:line="240" w:lineRule="auto" w:before="11"/>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86" w:lineRule="auto" w:before="59"/>
        <w:ind w:left="212" w:right="0"/>
        <w:jc w:val="left"/>
      </w:pPr>
      <w:r>
        <w:rPr>
          <w:spacing w:val="-2"/>
        </w:rPr>
        <w:t>（</w:t>
      </w:r>
      <w:r>
        <w:rPr>
          <w:rFonts w:ascii="Times New Roman" w:hAnsi="Times New Roman" w:cs="Times New Roman" w:eastAsia="Times New Roman" w:hint="default"/>
          <w:spacing w:val="-2"/>
        </w:rPr>
        <w:t>1</w:t>
      </w:r>
      <w:r>
        <w:rPr>
          <w:spacing w:val="-2"/>
        </w:rPr>
        <w:t>）单项金额重大并单项计提坏账准备的应收账款：账面金额人民币</w:t>
      </w:r>
      <w:r>
        <w:rPr>
          <w:rFonts w:ascii="Times New Roman" w:hAnsi="Times New Roman" w:cs="Times New Roman" w:eastAsia="Times New Roman" w:hint="default"/>
          <w:spacing w:val="-2"/>
        </w:rPr>
        <w:t>500</w:t>
      </w:r>
      <w:r>
        <w:rPr>
          <w:spacing w:val="-2"/>
        </w:rPr>
        <w:t>万元以上或公司应收账款前五名</w:t>
      </w:r>
      <w:r>
        <w:rPr>
          <w:spacing w:val="-43"/>
        </w:rPr>
        <w:t> </w:t>
      </w:r>
      <w:r>
        <w:rPr>
          <w:spacing w:val="-43"/>
        </w:rPr>
      </w:r>
      <w:r>
        <w:rPr/>
        <w:t>客户。</w:t>
      </w:r>
    </w:p>
    <w:p>
      <w:pPr>
        <w:pStyle w:val="BodyText"/>
        <w:spacing w:line="398" w:lineRule="auto" w:before="65"/>
        <w:ind w:left="212" w:right="226"/>
        <w:jc w:val="both"/>
      </w:pPr>
      <w:r>
        <w:rPr>
          <w:spacing w:val="-2"/>
        </w:rPr>
        <w:t>（</w:t>
      </w:r>
      <w:r>
        <w:rPr>
          <w:rFonts w:ascii="Times New Roman" w:hAnsi="Times New Roman" w:cs="Times New Roman" w:eastAsia="Times New Roman" w:hint="default"/>
          <w:spacing w:val="-2"/>
        </w:rPr>
        <w:t>2</w:t>
      </w:r>
      <w:r>
        <w:rPr>
          <w:spacing w:val="-2"/>
        </w:rPr>
        <w:t>）单项金额不重大但按信用风险特征组合后该组合的风险较大的应收账款：账龄超过</w:t>
      </w:r>
      <w:r>
        <w:rPr>
          <w:rFonts w:ascii="Times New Roman" w:hAnsi="Times New Roman" w:cs="Times New Roman" w:eastAsia="Times New Roman" w:hint="default"/>
          <w:spacing w:val="-2"/>
        </w:rPr>
        <w:t>3</w:t>
      </w:r>
      <w:r>
        <w:rPr>
          <w:spacing w:val="-2"/>
        </w:rPr>
        <w:t>年以上的应收账</w:t>
      </w:r>
      <w:r>
        <w:rPr>
          <w:spacing w:val="-45"/>
        </w:rPr>
        <w:t> </w:t>
      </w:r>
      <w:r>
        <w:rPr>
          <w:spacing w:val="-45"/>
        </w:rPr>
      </w:r>
      <w:r>
        <w:rPr>
          <w:spacing w:val="-2"/>
        </w:rPr>
        <w:t>款以及与对方存在争议或涉及诉讼、仲裁的应收账款；已有明显迹象表明债务人很可能无法履行还款义务</w:t>
      </w:r>
      <w:r>
        <w:rPr>
          <w:spacing w:val="-43"/>
        </w:rPr>
        <w:t> </w:t>
      </w:r>
      <w:r>
        <w:rPr>
          <w:spacing w:val="-43"/>
        </w:rPr>
      </w:r>
      <w:r>
        <w:rPr/>
        <w:t>的应收账款。</w:t>
      </w:r>
    </w:p>
    <w:p>
      <w:pPr>
        <w:pStyle w:val="BodyText"/>
        <w:spacing w:line="386" w:lineRule="auto" w:before="54"/>
        <w:ind w:left="212" w:right="0"/>
        <w:jc w:val="left"/>
      </w:pPr>
      <w:r>
        <w:rPr/>
        <w:t>（</w:t>
      </w:r>
      <w:r>
        <w:rPr>
          <w:rFonts w:ascii="Times New Roman" w:hAnsi="Times New Roman" w:cs="Times New Roman" w:eastAsia="Times New Roman" w:hint="default"/>
        </w:rPr>
        <w:t>3</w:t>
      </w:r>
      <w:r>
        <w:rPr/>
        <w:t>）按组合计提坏账准备的应收账款：除上述第（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）种情形以外的其他应收账款。其他不重大</w:t>
      </w:r>
      <w:r>
        <w:rPr>
          <w:spacing w:val="-26"/>
        </w:rPr>
        <w:t> </w:t>
      </w:r>
      <w:r>
        <w:rPr>
          <w:spacing w:val="-26"/>
        </w:rPr>
      </w:r>
      <w:r>
        <w:rPr/>
        <w:t>应收账款以账龄分析作为组合，按账龄分析计提坏账准备。</w:t>
      </w:r>
    </w:p>
    <w:p>
      <w:pPr>
        <w:spacing w:line="240" w:lineRule="auto" w:before="9"/>
        <w:rPr>
          <w:rFonts w:ascii="宋体" w:hAnsi="宋体" w:cs="宋体" w:eastAsia="宋体" w:hint="default"/>
          <w:sz w:val="27"/>
          <w:szCs w:val="27"/>
        </w:rPr>
      </w:pPr>
    </w:p>
    <w:p>
      <w:pPr>
        <w:spacing w:before="0"/>
        <w:ind w:left="212" w:right="0" w:firstLine="0"/>
        <w:jc w:val="both"/>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212" w:right="5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240" w:lineRule="auto" w:before="4"/>
        <w:rPr>
          <w:rFonts w:ascii="宋体" w:hAnsi="宋体" w:cs="宋体" w:eastAsia="宋体" w:hint="default"/>
          <w:sz w:val="16"/>
          <w:szCs w:val="16"/>
        </w:rPr>
      </w:pPr>
    </w:p>
    <w:p>
      <w:pPr>
        <w:pStyle w:val="Heading3"/>
        <w:spacing w:line="240" w:lineRule="auto"/>
        <w:ind w:left="212" w:right="0"/>
        <w:jc w:val="both"/>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7" w:lineRule="auto" w:before="0"/>
        <w:ind w:left="633" w:right="0"/>
        <w:jc w:val="left"/>
      </w:pPr>
      <w:r>
        <w:rPr/>
        <w:t>本期计提坏账准备金额</w:t>
      </w:r>
      <w:r>
        <w:rPr>
          <w:spacing w:val="-54"/>
        </w:rPr>
        <w:t> </w:t>
      </w:r>
      <w:r>
        <w:rPr>
          <w:rFonts w:ascii="Times New Roman" w:hAnsi="Times New Roman" w:cs="Times New Roman" w:eastAsia="Times New Roman" w:hint="default"/>
        </w:rPr>
        <w:t>952,919.38</w:t>
      </w:r>
      <w:r>
        <w:rPr>
          <w:rFonts w:ascii="Times New Roman" w:hAnsi="Times New Roman" w:cs="Times New Roman" w:eastAsia="Times New Roman" w:hint="default"/>
          <w:spacing w:val="-1"/>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3"/>
        </w:rPr>
        <w:t>元。</w:t>
      </w:r>
      <w:r>
        <w:rPr>
          <w:spacing w:val="-3"/>
          <w:w w:val="100"/>
        </w:rPr>
        <w:t> </w:t>
      </w:r>
      <w:r>
        <w:rPr>
          <w:spacing w:val="-5"/>
        </w:rPr>
        <w:t>报告期本公司无前期已全额计提坏账准备，或计提减值准备的比例较大，但在本期又全额收回或转回，</w:t>
      </w:r>
    </w:p>
    <w:p>
      <w:pPr>
        <w:pStyle w:val="BodyText"/>
        <w:spacing w:line="240" w:lineRule="auto" w:before="37"/>
        <w:ind w:left="212" w:right="0"/>
        <w:jc w:val="both"/>
      </w:pPr>
      <w:r>
        <w:rPr/>
        <w:t>或在本期收回或转回比例较大的应收账款。</w:t>
      </w:r>
    </w:p>
    <w:p>
      <w:pPr>
        <w:spacing w:line="240" w:lineRule="auto" w:before="10"/>
        <w:rPr>
          <w:rFonts w:ascii="宋体" w:hAnsi="宋体" w:cs="宋体" w:eastAsia="宋体" w:hint="default"/>
          <w:sz w:val="26"/>
          <w:szCs w:val="26"/>
        </w:rPr>
      </w:pPr>
    </w:p>
    <w:p>
      <w:pPr>
        <w:pStyle w:val="Heading3"/>
        <w:spacing w:line="240" w:lineRule="auto"/>
        <w:ind w:left="212" w:right="0"/>
        <w:jc w:val="both"/>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2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陕西红西凤酒销售有限公司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陕西中科航天农业发展股份有限公司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line="240" w:lineRule="auto" w:before="3"/>
        <w:rPr>
          <w:rFonts w:ascii="宋体" w:hAnsi="宋体" w:cs="宋体" w:eastAsia="宋体" w:hint="default"/>
          <w:sz w:val="19"/>
          <w:szCs w:val="19"/>
        </w:rPr>
      </w:pPr>
    </w:p>
    <w:p>
      <w:pPr>
        <w:pStyle w:val="Heading3"/>
        <w:spacing w:line="335" w:lineRule="exact"/>
        <w:ind w:left="212"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0" w:type="dxa"/>
        <w:tblLayout w:type="fixed"/>
        <w:tblCellMar>
          <w:top w:w="0" w:type="dxa"/>
          <w:left w:w="0" w:type="dxa"/>
          <w:bottom w:w="0" w:type="dxa"/>
          <w:right w:w="0" w:type="dxa"/>
        </w:tblCellMar>
        <w:tblLook w:val="01E0"/>
      </w:tblPr>
      <w:tblGrid>
        <w:gridCol w:w="1971"/>
        <w:gridCol w:w="1971"/>
        <w:gridCol w:w="1971"/>
        <w:gridCol w:w="1973"/>
        <w:gridCol w:w="1970"/>
      </w:tblGrid>
      <w:tr>
        <w:trPr>
          <w:trHeight w:val="668" w:hRule="exact"/>
        </w:trPr>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34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大额债务人名称</w:t>
            </w:r>
            <w:r>
              <w:rPr>
                <w:rFonts w:ascii="Microsoft JhengHei" w:hAnsi="Microsoft JhengHei" w:cs="Microsoft JhengHei" w:eastAsia="Microsoft JhengHei" w:hint="default"/>
                <w:sz w:val="18"/>
                <w:szCs w:val="18"/>
              </w:rPr>
            </w:r>
          </w:p>
        </w:tc>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金额</w:t>
            </w:r>
            <w:r>
              <w:rPr>
                <w:rFonts w:ascii="Microsoft JhengHei" w:hAnsi="Microsoft JhengHei" w:cs="Microsoft JhengHei" w:eastAsia="Microsoft JhengHei" w:hint="default"/>
                <w:sz w:val="18"/>
                <w:szCs w:val="18"/>
              </w:rPr>
            </w:r>
          </w:p>
        </w:tc>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124" w:right="0"/>
              <w:jc w:val="left"/>
              <w:rPr>
                <w:rFonts w:ascii="Arial" w:hAnsi="Arial" w:cs="Arial" w:eastAsia="Arial" w:hint="default"/>
                <w:sz w:val="18"/>
                <w:szCs w:val="18"/>
              </w:rPr>
            </w:pPr>
            <w:r>
              <w:rPr>
                <w:rFonts w:ascii="Microsoft JhengHei" w:hAnsi="Microsoft JhengHei" w:cs="Microsoft JhengHei" w:eastAsia="Microsoft JhengHei" w:hint="default"/>
                <w:b/>
                <w:bCs/>
                <w:sz w:val="18"/>
                <w:szCs w:val="18"/>
              </w:rPr>
              <w:t>占应收帐款总额比例</w:t>
            </w:r>
            <w:r>
              <w:rPr>
                <w:rFonts w:ascii="Arial" w:hAnsi="Arial" w:cs="Arial" w:eastAsia="Arial" w:hint="default"/>
                <w:b/>
                <w:bCs/>
                <w:sz w:val="18"/>
                <w:szCs w:val="18"/>
              </w:rPr>
              <w:t>%</w:t>
            </w:r>
            <w:r>
              <w:rPr>
                <w:rFonts w:ascii="Arial" w:hAnsi="Arial" w:cs="Arial" w:eastAsia="Arial"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1"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帐龄在 </w:t>
            </w:r>
            <w:r>
              <w:rPr>
                <w:rFonts w:ascii="Arial" w:hAnsi="Arial" w:cs="Arial" w:eastAsia="Arial" w:hint="default"/>
                <w:b/>
                <w:bCs/>
                <w:sz w:val="18"/>
                <w:szCs w:val="18"/>
              </w:rPr>
              <w:t>1</w:t>
            </w:r>
            <w:r>
              <w:rPr>
                <w:rFonts w:ascii="Arial" w:hAnsi="Arial" w:cs="Arial" w:eastAsia="Arial" w:hint="default"/>
                <w:b/>
                <w:bCs/>
                <w:spacing w:val="-11"/>
                <w:sz w:val="18"/>
                <w:szCs w:val="18"/>
              </w:rPr>
              <w:t> </w:t>
            </w:r>
            <w:r>
              <w:rPr>
                <w:rFonts w:ascii="Microsoft JhengHei" w:hAnsi="Microsoft JhengHei" w:cs="Microsoft JhengHei" w:eastAsia="Microsoft JhengHei" w:hint="default"/>
                <w:b/>
                <w:bCs/>
                <w:sz w:val="18"/>
                <w:szCs w:val="18"/>
              </w:rPr>
              <w:t>年以内的应</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收账款</w:t>
            </w:r>
            <w:r>
              <w:rPr>
                <w:rFonts w:ascii="Microsoft JhengHei" w:hAnsi="Microsoft JhengHei" w:cs="Microsoft JhengHei" w:eastAsia="Microsoft JhengHei" w:hint="default"/>
                <w:sz w:val="18"/>
                <w:szCs w:val="18"/>
              </w:rPr>
            </w:r>
          </w:p>
        </w:tc>
        <w:tc>
          <w:tcPr>
            <w:tcW w:w="1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3"/>
              <w:ind w:left="61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款项性质</w:t>
            </w:r>
            <w:r>
              <w:rPr>
                <w:rFonts w:ascii="Microsoft JhengHei" w:hAnsi="Microsoft JhengHei" w:cs="Microsoft JhengHei" w:eastAsia="Microsoft JhengHei" w:hint="default"/>
                <w:sz w:val="18"/>
                <w:szCs w:val="18"/>
              </w:rPr>
            </w:r>
          </w:p>
        </w:tc>
      </w:tr>
      <w:tr>
        <w:trPr>
          <w:trHeight w:val="454"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90"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4"/>
              <w:jc w:val="right"/>
              <w:rPr>
                <w:rFonts w:ascii="宋体" w:hAnsi="宋体" w:cs="宋体" w:eastAsia="宋体" w:hint="default"/>
                <w:sz w:val="18"/>
                <w:szCs w:val="18"/>
              </w:rPr>
            </w:pPr>
            <w:r>
              <w:rPr>
                <w:rFonts w:ascii="宋体"/>
                <w:spacing w:val="-1"/>
                <w:sz w:val="18"/>
              </w:rPr>
              <w:t>18,983,621.48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35" w:right="0"/>
              <w:jc w:val="left"/>
              <w:rPr>
                <w:rFonts w:ascii="宋体" w:hAnsi="宋体" w:cs="宋体" w:eastAsia="宋体" w:hint="default"/>
                <w:sz w:val="18"/>
                <w:szCs w:val="18"/>
              </w:rPr>
            </w:pPr>
            <w:r>
              <w:rPr>
                <w:rFonts w:ascii="宋体"/>
                <w:sz w:val="18"/>
              </w:rPr>
              <w:t>14.18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14"/>
              <w:jc w:val="right"/>
              <w:rPr>
                <w:rFonts w:ascii="宋体" w:hAnsi="宋体" w:cs="宋体" w:eastAsia="宋体" w:hint="default"/>
                <w:sz w:val="18"/>
                <w:szCs w:val="18"/>
              </w:rPr>
            </w:pPr>
            <w:r>
              <w:rPr>
                <w:rFonts w:ascii="宋体"/>
                <w:spacing w:val="-1"/>
                <w:sz w:val="18"/>
              </w:rPr>
              <w:t>18,983,621.48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3"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454"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90"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0"/>
              <w:jc w:val="right"/>
              <w:rPr>
                <w:rFonts w:ascii="宋体" w:hAnsi="宋体" w:cs="宋体" w:eastAsia="宋体" w:hint="default"/>
                <w:sz w:val="18"/>
                <w:szCs w:val="18"/>
              </w:rPr>
            </w:pPr>
            <w:r>
              <w:rPr>
                <w:rFonts w:ascii="宋体"/>
                <w:spacing w:val="-1"/>
                <w:sz w:val="18"/>
              </w:rPr>
              <w:t>7,897,907.99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81" w:right="0"/>
              <w:jc w:val="left"/>
              <w:rPr>
                <w:rFonts w:ascii="宋体" w:hAnsi="宋体" w:cs="宋体" w:eastAsia="宋体" w:hint="default"/>
                <w:sz w:val="18"/>
                <w:szCs w:val="18"/>
              </w:rPr>
            </w:pPr>
            <w:r>
              <w:rPr>
                <w:rFonts w:ascii="宋体"/>
                <w:sz w:val="18"/>
              </w:rPr>
              <w:t>5.90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0"/>
              <w:jc w:val="right"/>
              <w:rPr>
                <w:rFonts w:ascii="宋体" w:hAnsi="宋体" w:cs="宋体" w:eastAsia="宋体" w:hint="default"/>
                <w:sz w:val="18"/>
                <w:szCs w:val="18"/>
              </w:rPr>
            </w:pPr>
            <w:r>
              <w:rPr>
                <w:rFonts w:ascii="宋体"/>
                <w:spacing w:val="-1"/>
                <w:sz w:val="18"/>
              </w:rPr>
              <w:t>7,897,907.99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3"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454"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90"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0"/>
              <w:jc w:val="right"/>
              <w:rPr>
                <w:rFonts w:ascii="宋体" w:hAnsi="宋体" w:cs="宋体" w:eastAsia="宋体" w:hint="default"/>
                <w:sz w:val="18"/>
                <w:szCs w:val="18"/>
              </w:rPr>
            </w:pPr>
            <w:r>
              <w:rPr>
                <w:rFonts w:ascii="宋体"/>
                <w:spacing w:val="-1"/>
                <w:sz w:val="18"/>
              </w:rPr>
              <w:t>4,539,553.87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81" w:right="0"/>
              <w:jc w:val="left"/>
              <w:rPr>
                <w:rFonts w:ascii="宋体" w:hAnsi="宋体" w:cs="宋体" w:eastAsia="宋体" w:hint="default"/>
                <w:sz w:val="18"/>
                <w:szCs w:val="18"/>
              </w:rPr>
            </w:pPr>
            <w:r>
              <w:rPr>
                <w:rFonts w:ascii="宋体"/>
                <w:sz w:val="18"/>
              </w:rPr>
              <w:t>3.39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0"/>
              <w:jc w:val="right"/>
              <w:rPr>
                <w:rFonts w:ascii="宋体" w:hAnsi="宋体" w:cs="宋体" w:eastAsia="宋体" w:hint="default"/>
                <w:sz w:val="18"/>
                <w:szCs w:val="18"/>
              </w:rPr>
            </w:pPr>
            <w:r>
              <w:rPr>
                <w:rFonts w:ascii="宋体"/>
                <w:spacing w:val="-1"/>
                <w:sz w:val="18"/>
              </w:rPr>
              <w:t>4,539,553.87</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3"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454"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90"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0"/>
              <w:jc w:val="right"/>
              <w:rPr>
                <w:rFonts w:ascii="宋体" w:hAnsi="宋体" w:cs="宋体" w:eastAsia="宋体" w:hint="default"/>
                <w:sz w:val="18"/>
                <w:szCs w:val="18"/>
              </w:rPr>
            </w:pPr>
            <w:r>
              <w:rPr>
                <w:rFonts w:ascii="宋体"/>
                <w:spacing w:val="-1"/>
                <w:sz w:val="18"/>
              </w:rPr>
              <w:t>4,287,238.45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81" w:right="0"/>
              <w:jc w:val="left"/>
              <w:rPr>
                <w:rFonts w:ascii="宋体" w:hAnsi="宋体" w:cs="宋体" w:eastAsia="宋体" w:hint="default"/>
                <w:sz w:val="18"/>
                <w:szCs w:val="18"/>
              </w:rPr>
            </w:pPr>
            <w:r>
              <w:rPr>
                <w:rFonts w:ascii="宋体"/>
                <w:sz w:val="18"/>
              </w:rPr>
              <w:t>3.20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0"/>
              <w:jc w:val="right"/>
              <w:rPr>
                <w:rFonts w:ascii="宋体" w:hAnsi="宋体" w:cs="宋体" w:eastAsia="宋体" w:hint="default"/>
                <w:sz w:val="18"/>
                <w:szCs w:val="18"/>
              </w:rPr>
            </w:pPr>
            <w:r>
              <w:rPr>
                <w:rFonts w:ascii="宋体"/>
                <w:spacing w:val="-1"/>
                <w:sz w:val="18"/>
              </w:rPr>
              <w:t>4,287,238.45</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3"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454"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90"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0"/>
              <w:jc w:val="right"/>
              <w:rPr>
                <w:rFonts w:ascii="宋体" w:hAnsi="宋体" w:cs="宋体" w:eastAsia="宋体" w:hint="default"/>
                <w:sz w:val="18"/>
                <w:szCs w:val="18"/>
              </w:rPr>
            </w:pPr>
            <w:r>
              <w:rPr>
                <w:rFonts w:ascii="宋体"/>
                <w:spacing w:val="-1"/>
                <w:sz w:val="18"/>
              </w:rPr>
              <w:t>3,421,729.03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81" w:right="0"/>
              <w:jc w:val="left"/>
              <w:rPr>
                <w:rFonts w:ascii="宋体" w:hAnsi="宋体" w:cs="宋体" w:eastAsia="宋体" w:hint="default"/>
                <w:sz w:val="18"/>
                <w:szCs w:val="18"/>
              </w:rPr>
            </w:pPr>
            <w:r>
              <w:rPr>
                <w:rFonts w:ascii="宋体"/>
                <w:sz w:val="18"/>
              </w:rPr>
              <w:t>2.56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0"/>
              <w:jc w:val="right"/>
              <w:rPr>
                <w:rFonts w:ascii="宋体" w:hAnsi="宋体" w:cs="宋体" w:eastAsia="宋体" w:hint="default"/>
                <w:sz w:val="18"/>
                <w:szCs w:val="18"/>
              </w:rPr>
            </w:pPr>
            <w:r>
              <w:rPr>
                <w:rFonts w:ascii="宋体"/>
                <w:spacing w:val="-1"/>
                <w:sz w:val="18"/>
              </w:rPr>
              <w:t>3,421,729.03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3"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456"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7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4"/>
              <w:jc w:val="right"/>
              <w:rPr>
                <w:rFonts w:ascii="宋体" w:hAnsi="宋体" w:cs="宋体" w:eastAsia="宋体" w:hint="default"/>
                <w:sz w:val="18"/>
                <w:szCs w:val="18"/>
              </w:rPr>
            </w:pPr>
            <w:r>
              <w:rPr>
                <w:rFonts w:ascii="宋体"/>
                <w:spacing w:val="-1"/>
                <w:sz w:val="18"/>
              </w:rPr>
              <w:t>39,130,050.82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935" w:right="0"/>
              <w:jc w:val="left"/>
              <w:rPr>
                <w:rFonts w:ascii="宋体" w:hAnsi="宋体" w:cs="宋体" w:eastAsia="宋体" w:hint="default"/>
                <w:sz w:val="18"/>
                <w:szCs w:val="18"/>
              </w:rPr>
            </w:pPr>
            <w:r>
              <w:rPr>
                <w:rFonts w:ascii="宋体"/>
                <w:sz w:val="18"/>
              </w:rPr>
              <w:t>29.23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4"/>
              <w:jc w:val="right"/>
              <w:rPr>
                <w:rFonts w:ascii="宋体" w:hAnsi="宋体" w:cs="宋体" w:eastAsia="宋体" w:hint="default"/>
                <w:sz w:val="18"/>
                <w:szCs w:val="18"/>
              </w:rPr>
            </w:pPr>
            <w:r>
              <w:rPr>
                <w:rFonts w:ascii="宋体"/>
                <w:spacing w:val="-1"/>
                <w:sz w:val="18"/>
              </w:rPr>
              <w:t>39,130,050.82</w:t>
            </w:r>
          </w:p>
        </w:tc>
        <w:tc>
          <w:tcPr>
            <w:tcW w:w="19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500" w:bottom="1160" w:left="920" w:right="90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856"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1,518,262.97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3,564,470.72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152,924.30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311,604.25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1,625,282.97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4,039,066.27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81"/>
        <w:ind w:right="0"/>
        <w:jc w:val="left"/>
      </w:pPr>
      <w:r>
        <w:rPr/>
        <w:t>超过一年以上的预付账款系结算差异。</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38" w:type="dxa"/>
        <w:tblLayout w:type="fixed"/>
        <w:tblCellMar>
          <w:top w:w="0" w:type="dxa"/>
          <w:left w:w="0" w:type="dxa"/>
          <w:bottom w:w="0" w:type="dxa"/>
          <w:right w:w="0" w:type="dxa"/>
        </w:tblCellMar>
        <w:tblLook w:val="01E0"/>
      </w:tblPr>
      <w:tblGrid>
        <w:gridCol w:w="3359"/>
        <w:gridCol w:w="1301"/>
        <w:gridCol w:w="1119"/>
        <w:gridCol w:w="1349"/>
        <w:gridCol w:w="1037"/>
        <w:gridCol w:w="1495"/>
      </w:tblGrid>
      <w:tr>
        <w:trPr>
          <w:trHeight w:val="733" w:hRule="exact"/>
        </w:trPr>
        <w:tc>
          <w:tcPr>
            <w:tcW w:w="335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4" w:lineRule="auto" w:before="59"/>
              <w:ind w:left="417" w:right="12" w:hanging="404"/>
              <w:jc w:val="left"/>
              <w:rPr>
                <w:rFonts w:ascii="宋体" w:hAnsi="宋体" w:cs="宋体" w:eastAsia="宋体" w:hint="default"/>
                <w:sz w:val="18"/>
                <w:szCs w:val="18"/>
              </w:rPr>
            </w:pPr>
            <w:r>
              <w:rPr>
                <w:rFonts w:ascii="宋体" w:hAnsi="宋体" w:cs="宋体" w:eastAsia="宋体" w:hint="default"/>
                <w:sz w:val="18"/>
                <w:szCs w:val="18"/>
              </w:rPr>
              <w:t>占预付账款比 例</w:t>
            </w:r>
            <w:r>
              <w:rPr>
                <w:rFonts w:ascii="宋体" w:hAnsi="宋体" w:cs="宋体" w:eastAsia="宋体" w:hint="default"/>
                <w:sz w:val="18"/>
                <w:szCs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03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4" w:lineRule="auto" w:before="59"/>
              <w:ind w:left="424" w:right="62" w:hanging="360"/>
              <w:jc w:val="left"/>
              <w:rPr>
                <w:rFonts w:ascii="宋体" w:hAnsi="宋体" w:cs="宋体" w:eastAsia="宋体" w:hint="default"/>
                <w:sz w:val="18"/>
                <w:szCs w:val="18"/>
              </w:rPr>
            </w:pPr>
            <w:r>
              <w:rPr>
                <w:rFonts w:ascii="宋体" w:hAnsi="宋体" w:cs="宋体" w:eastAsia="宋体" w:hint="default"/>
                <w:sz w:val="18"/>
                <w:szCs w:val="18"/>
              </w:rPr>
              <w:t>与本公司关 系</w:t>
            </w:r>
          </w:p>
        </w:tc>
        <w:tc>
          <w:tcPr>
            <w:tcW w:w="149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2"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静宁县恒达有限责任公司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250,000.00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15.38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34"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313" w:right="54" w:hanging="1261"/>
              <w:jc w:val="left"/>
              <w:rPr>
                <w:rFonts w:ascii="宋体" w:hAnsi="宋体" w:cs="宋体" w:eastAsia="宋体" w:hint="default"/>
                <w:sz w:val="18"/>
                <w:szCs w:val="18"/>
              </w:rPr>
            </w:pPr>
            <w:r>
              <w:rPr>
                <w:rFonts w:ascii="宋体" w:hAnsi="宋体" w:cs="宋体" w:eastAsia="宋体" w:hint="default"/>
                <w:sz w:val="18"/>
                <w:szCs w:val="18"/>
              </w:rPr>
              <w:t>中国石油天然气股份有限公司陕西西安销 售分公司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140,187.14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8.63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23"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河南省龙源纸业股份有限公司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sz w:val="18"/>
              </w:rPr>
              <w:t>124,193.48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sz w:val="18"/>
              </w:rPr>
              <w:t>7.64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22"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东莞市力顺源机械有限公司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80,000.00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sz w:val="18"/>
              </w:rPr>
              <w:t>4.92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732"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493" w:right="54" w:hanging="1441"/>
              <w:jc w:val="left"/>
              <w:rPr>
                <w:rFonts w:ascii="宋体" w:hAnsi="宋体" w:cs="宋体" w:eastAsia="宋体" w:hint="default"/>
                <w:sz w:val="18"/>
                <w:szCs w:val="18"/>
              </w:rPr>
            </w:pPr>
            <w:r>
              <w:rPr>
                <w:rFonts w:ascii="宋体" w:hAnsi="宋体" w:cs="宋体" w:eastAsia="宋体" w:hint="default"/>
                <w:sz w:val="18"/>
                <w:szCs w:val="18"/>
              </w:rPr>
              <w:t>中国太平洋财产保险股份有限公司陕西分 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36,814.92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22" w:hRule="exact"/>
        </w:trPr>
        <w:tc>
          <w:tcPr>
            <w:tcW w:w="3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sz w:val="18"/>
              </w:rPr>
              <w:t>631,195.54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sz w:val="18"/>
              </w:rPr>
              <w:t>38.84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832"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7</w:t>
      </w:r>
      <w:r>
        <w:rPr/>
        <w:t>、应收利息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西安德宝药用包装有限公司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2,210,308.58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2,588,109.75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2,210,308.58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2,588,109.75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521"/>
        <w:gridCol w:w="1012"/>
        <w:gridCol w:w="701"/>
        <w:gridCol w:w="866"/>
        <w:gridCol w:w="629"/>
        <w:gridCol w:w="1001"/>
        <w:gridCol w:w="866"/>
        <w:gridCol w:w="701"/>
        <w:gridCol w:w="778"/>
        <w:gridCol w:w="744"/>
        <w:gridCol w:w="866"/>
      </w:tblGrid>
      <w:tr>
        <w:trPr>
          <w:trHeight w:val="398" w:hRule="exact"/>
        </w:trPr>
        <w:tc>
          <w:tcPr>
            <w:tcW w:w="1521" w:type="dxa"/>
            <w:vMerge w:val="restart"/>
            <w:tcBorders>
              <w:top w:val="single" w:sz="4" w:space="0" w:color="000000"/>
              <w:left w:val="single" w:sz="4" w:space="0" w:color="000000"/>
              <w:right w:val="single" w:sz="4" w:space="0" w:color="000000"/>
            </w:tcBorders>
            <w:shd w:val="clear" w:color="auto" w:fill="D2D2D2"/>
          </w:tcPr>
          <w:p>
            <w:pPr/>
          </w:p>
        </w:tc>
        <w:tc>
          <w:tcPr>
            <w:tcW w:w="420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521" w:type="dxa"/>
            <w:vMerge/>
            <w:tcBorders>
              <w:left w:val="single" w:sz="4" w:space="0" w:color="000000"/>
              <w:bottom w:val="nil" w:sz="6" w:space="0" w:color="auto"/>
              <w:right w:val="single" w:sz="4" w:space="0" w:color="000000"/>
            </w:tcBorders>
            <w:shd w:val="clear" w:color="auto" w:fill="D2D2D2"/>
          </w:tcPr>
          <w:p>
            <w:pPr/>
          </w:p>
        </w:tc>
        <w:tc>
          <w:tcPr>
            <w:tcW w:w="1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5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66"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5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1495" w:type="dxa"/>
            <w:gridSpan w:val="2"/>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567" w:type="dxa"/>
            <w:gridSpan w:val="2"/>
            <w:vMerge/>
            <w:tcBorders>
              <w:left w:val="single" w:sz="4" w:space="0" w:color="000000"/>
              <w:bottom w:val="single" w:sz="4" w:space="0" w:color="000000"/>
              <w:right w:val="single" w:sz="4" w:space="0" w:color="000000"/>
            </w:tcBorders>
            <w:shd w:val="clear" w:color="auto" w:fill="D2D2D2"/>
          </w:tcPr>
          <w:p>
            <w:pP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521" w:type="dxa"/>
            <w:vMerge/>
            <w:tcBorders>
              <w:left w:val="single" w:sz="4" w:space="0" w:color="000000"/>
              <w:bottom w:val="nil" w:sz="6" w:space="0" w:color="auto"/>
              <w:right w:val="single" w:sz="4" w:space="0" w:color="000000"/>
            </w:tcBorders>
            <w:shd w:val="clear" w:color="auto" w:fill="D2D2D2"/>
          </w:tcPr>
          <w:p>
            <w:pPr/>
          </w:p>
        </w:tc>
        <w:tc>
          <w:tcPr>
            <w:tcW w:w="10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20" w:right="3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78" w:right="9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6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521" w:type="dxa"/>
            <w:vMerge w:val="restart"/>
            <w:tcBorders>
              <w:top w:val="nil" w:sz="6" w:space="0" w:color="auto"/>
              <w:left w:val="single" w:sz="4" w:space="0" w:color="000000"/>
              <w:right w:val="single" w:sz="4" w:space="0" w:color="000000"/>
            </w:tcBorders>
            <w:shd w:val="clear" w:color="auto" w:fill="D2D2D2"/>
          </w:tcPr>
          <w:p>
            <w:pPr/>
          </w:p>
        </w:tc>
        <w:tc>
          <w:tcPr>
            <w:tcW w:w="10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29"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4" w:type="dxa"/>
            <w:vMerge/>
            <w:tcBorders>
              <w:left w:val="single" w:sz="4" w:space="0" w:color="000000"/>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21" w:type="dxa"/>
            <w:vMerge/>
            <w:tcBorders>
              <w:left w:val="single" w:sz="4" w:space="0" w:color="000000"/>
              <w:right w:val="single" w:sz="4" w:space="0" w:color="000000"/>
            </w:tcBorders>
            <w:shd w:val="clear" w:color="auto" w:fill="D2D2D2"/>
          </w:tcPr>
          <w:p>
            <w:pPr/>
          </w:p>
        </w:tc>
        <w:tc>
          <w:tcPr>
            <w:tcW w:w="1012"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629"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866"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right w:val="single" w:sz="4" w:space="0" w:color="000000"/>
            </w:tcBorders>
            <w:shd w:val="clear" w:color="auto" w:fill="D2D2D2"/>
          </w:tcPr>
          <w:p>
            <w:pPr/>
          </w:p>
        </w:tc>
        <w:tc>
          <w:tcPr>
            <w:tcW w:w="86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21" w:type="dxa"/>
            <w:vMerge/>
            <w:tcBorders>
              <w:left w:val="single" w:sz="4" w:space="0" w:color="000000"/>
              <w:bottom w:val="single" w:sz="4" w:space="0" w:color="000000"/>
              <w:right w:val="single" w:sz="4" w:space="0" w:color="000000"/>
            </w:tcBorders>
            <w:shd w:val="clear" w:color="auto" w:fill="D2D2D2"/>
          </w:tcPr>
          <w:p>
            <w:pPr/>
          </w:p>
        </w:tc>
        <w:tc>
          <w:tcPr>
            <w:tcW w:w="10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10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1,542,354.36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97.85%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92,742.72</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1,449,611.64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797,742.64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68,517.13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729,225.51</w:t>
            </w:r>
          </w:p>
        </w:tc>
      </w:tr>
      <w:tr>
        <w:trPr>
          <w:trHeight w:val="1027" w:hRule="exact"/>
        </w:trPr>
        <w:tc>
          <w:tcPr>
            <w:tcW w:w="1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5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10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33,820.00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16,910.00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16,910.00</w:t>
            </w:r>
          </w:p>
        </w:tc>
        <w:tc>
          <w:tcPr>
            <w:tcW w:w="866"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1,576,174.36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109,652.72</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1,466,521.64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797,742.64</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68,517.13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729,225.51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80"/>
        </w:sectPr>
      </w:pPr>
    </w:p>
    <w:p>
      <w:pPr>
        <w:spacing w:before="59"/>
        <w:ind w:left="152" w:right="-20" w:firstLine="0"/>
        <w:jc w:val="left"/>
        <w:rPr>
          <w:rFonts w:ascii="宋体" w:hAnsi="宋体" w:cs="宋体" w:eastAsia="宋体" w:hint="default"/>
          <w:sz w:val="18"/>
          <w:szCs w:val="18"/>
        </w:rPr>
      </w:pPr>
      <w:r>
        <w:rPr/>
        <w:pict>
          <v:group style="position:absolute;margin-left:55.200001pt;margin-top:2.181704pt;width:484.9pt;height:.1pt;mso-position-horizontal-relative:page;mso-position-vertical-relative:paragraph;z-index:2968"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宋体" w:hAnsi="宋体" w:cs="宋体" w:eastAsia="宋体" w:hint="default"/>
          <w:sz w:val="18"/>
          <w:szCs w:val="18"/>
        </w:rPr>
        <w:t>组合中，按账龄分析法计提坏账准备的其他应收款：</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52" w:footer="980" w:top="150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1,455,854.36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72,792.72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1,542,354.36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92,742.72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w:t>
            </w:r>
          </w:p>
        </w:tc>
      </w:tr>
    </w:tbl>
    <w:p>
      <w:pPr>
        <w:spacing w:line="240" w:lineRule="auto" w:before="3"/>
        <w:rPr>
          <w:rFonts w:ascii="宋体" w:hAnsi="宋体" w:cs="宋体" w:eastAsia="宋体" w:hint="default"/>
          <w:sz w:val="5"/>
          <w:szCs w:val="5"/>
        </w:rPr>
      </w:pPr>
    </w:p>
    <w:p>
      <w:pPr>
        <w:pStyle w:val="BodyText"/>
        <w:spacing w:line="240" w:lineRule="auto" w:before="36"/>
        <w:ind w:right="0"/>
        <w:jc w:val="left"/>
      </w:pPr>
      <w:r>
        <w:rPr/>
        <w:t>确定该组合依据的说明：</w:t>
      </w:r>
    </w:p>
    <w:p>
      <w:pPr>
        <w:spacing w:line="240" w:lineRule="auto" w:before="9"/>
        <w:rPr>
          <w:rFonts w:ascii="宋体" w:hAnsi="宋体" w:cs="宋体" w:eastAsia="宋体" w:hint="default"/>
          <w:sz w:val="17"/>
          <w:szCs w:val="17"/>
        </w:rPr>
      </w:pPr>
    </w:p>
    <w:p>
      <w:pPr>
        <w:pStyle w:val="BodyText"/>
        <w:spacing w:line="240" w:lineRule="auto" w:before="0"/>
        <w:ind w:left="467" w:right="0"/>
        <w:jc w:val="left"/>
      </w:pPr>
      <w:r>
        <w:rPr/>
        <w:t>（</w:t>
      </w:r>
      <w:r>
        <w:rPr>
          <w:rFonts w:ascii="Times New Roman" w:hAnsi="Times New Roman" w:cs="Times New Roman" w:eastAsia="Times New Roman" w:hint="default"/>
        </w:rPr>
        <w:t>1</w:t>
      </w:r>
      <w:r>
        <w:rPr/>
        <w:t>）单项金额重大并单项计提坏账准备的其他应收款：单项金额在</w:t>
      </w:r>
      <w:r>
        <w:rPr>
          <w:rFonts w:ascii="Times New Roman" w:hAnsi="Times New Roman" w:cs="Times New Roman" w:eastAsia="Times New Roman" w:hint="default"/>
        </w:rPr>
        <w:t>50</w:t>
      </w:r>
      <w:r>
        <w:rPr/>
        <w:t>万元以上的往来单位。</w:t>
      </w:r>
    </w:p>
    <w:p>
      <w:pPr>
        <w:pStyle w:val="BodyText"/>
        <w:spacing w:line="398" w:lineRule="auto" w:before="177"/>
        <w:ind w:right="146" w:firstLine="314"/>
        <w:jc w:val="both"/>
      </w:pPr>
      <w:r>
        <w:rPr/>
        <w:t>（</w:t>
      </w:r>
      <w:r>
        <w:rPr>
          <w:rFonts w:ascii="Times New Roman" w:hAnsi="Times New Roman" w:cs="Times New Roman" w:eastAsia="Times New Roman" w:hint="default"/>
        </w:rPr>
        <w:t>2</w:t>
      </w:r>
      <w:r>
        <w:rPr/>
        <w:t>）单项金额虽不重大但单项计提坏账准备的其他应收款：账龄超过</w:t>
      </w:r>
      <w:r>
        <w:rPr>
          <w:rFonts w:ascii="Times New Roman" w:hAnsi="Times New Roman" w:cs="Times New Roman" w:eastAsia="Times New Roman" w:hint="default"/>
        </w:rPr>
        <w:t>3</w:t>
      </w:r>
      <w:r>
        <w:rPr/>
        <w:t>年以上的其他应收款以及与对</w:t>
      </w:r>
      <w:r>
        <w:rPr>
          <w:w w:val="100"/>
        </w:rPr>
        <w:t> </w:t>
      </w:r>
      <w:r>
        <w:rPr>
          <w:spacing w:val="-2"/>
        </w:rPr>
        <w:t>方存在争议或涉及诉讼、仲裁的其他应收款；已有明显迹象表明债务人很可能无法履行还款义务的其他应</w:t>
      </w:r>
      <w:r>
        <w:rPr>
          <w:spacing w:val="-42"/>
        </w:rPr>
        <w:t> </w:t>
      </w:r>
      <w:r>
        <w:rPr>
          <w:spacing w:val="-42"/>
        </w:rPr>
      </w:r>
      <w:r>
        <w:rPr/>
        <w:t>收款。</w:t>
      </w:r>
    </w:p>
    <w:p>
      <w:pPr>
        <w:pStyle w:val="BodyText"/>
        <w:spacing w:line="386" w:lineRule="auto" w:before="54"/>
        <w:ind w:right="148" w:firstLine="314"/>
        <w:jc w:val="both"/>
      </w:pPr>
      <w:r>
        <w:rPr>
          <w:spacing w:val="-2"/>
        </w:rPr>
        <w:t>（</w:t>
      </w:r>
      <w:r>
        <w:rPr>
          <w:rFonts w:ascii="Times New Roman" w:hAnsi="Times New Roman" w:cs="Times New Roman" w:eastAsia="Times New Roman" w:hint="default"/>
          <w:spacing w:val="-2"/>
        </w:rPr>
        <w:t>3</w:t>
      </w:r>
      <w:r>
        <w:rPr>
          <w:spacing w:val="-2"/>
        </w:rPr>
        <w:t>）按组合计提坏账准备的其他应收款：除上述（</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w:t>
      </w:r>
      <w:r>
        <w:rPr>
          <w:spacing w:val="-2"/>
        </w:rPr>
        <w:t>）以外的其他应收款。其他不重大其他应</w:t>
      </w:r>
      <w:r>
        <w:rPr>
          <w:w w:val="100"/>
        </w:rPr>
        <w:t> </w:t>
      </w:r>
      <w:r>
        <w:rPr/>
        <w:t>收款以账龄分析作为组合，按账龄分析计提坏账准备。</w:t>
      </w:r>
    </w:p>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before="0"/>
        <w:ind w:right="0"/>
        <w:jc w:val="left"/>
      </w:pPr>
      <w:r>
        <w:rPr/>
        <w:t>本期计提坏账准备金额</w:t>
      </w:r>
      <w:r>
        <w:rPr>
          <w:spacing w:val="-54"/>
        </w:rPr>
        <w:t> </w:t>
      </w:r>
      <w:r>
        <w:rPr>
          <w:rFonts w:ascii="Times New Roman" w:hAnsi="Times New Roman" w:cs="Times New Roman" w:eastAsia="Times New Roman" w:hint="default"/>
        </w:rPr>
        <w:t>41,135.59</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366,922.64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422,922.64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担保金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980" w:right="9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16" w:hRule="exact"/>
        </w:trPr>
        <w:tc>
          <w:tcPr>
            <w:tcW w:w="31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固定资产处置款</w:t>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1,052,526.76</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156,724.96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1,576,174.36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797,742.64</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43" w:right="70" w:hanging="272"/>
              <w:jc w:val="left"/>
              <w:rPr>
                <w:rFonts w:ascii="宋体" w:hAnsi="宋体" w:cs="宋体" w:eastAsia="宋体" w:hint="default"/>
                <w:sz w:val="18"/>
                <w:szCs w:val="18"/>
              </w:rPr>
            </w:pPr>
            <w:r>
              <w:rPr>
                <w:rFonts w:ascii="宋体" w:hAnsi="宋体" w:cs="宋体" w:eastAsia="宋体" w:hint="default"/>
                <w:sz w:val="18"/>
                <w:szCs w:val="18"/>
              </w:rPr>
              <w:t>深圳市盛龙印刷器 材有限公司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固定资产处置款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796,116.50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50.51%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39,805.83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32" w:right="70" w:hanging="361"/>
              <w:jc w:val="left"/>
              <w:rPr>
                <w:rFonts w:ascii="宋体" w:hAnsi="宋体" w:cs="宋体" w:eastAsia="宋体" w:hint="default"/>
                <w:sz w:val="18"/>
                <w:szCs w:val="18"/>
              </w:rPr>
            </w:pPr>
            <w:r>
              <w:rPr>
                <w:rFonts w:ascii="宋体" w:hAnsi="宋体" w:cs="宋体" w:eastAsia="宋体" w:hint="default"/>
                <w:sz w:val="18"/>
                <w:szCs w:val="18"/>
              </w:rPr>
              <w:t>北京大恒图像视觉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固定资产处置款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256,410.26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16.27%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12,820.51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63" w:right="70" w:hanging="92"/>
              <w:jc w:val="left"/>
              <w:rPr>
                <w:rFonts w:ascii="宋体" w:hAnsi="宋体" w:cs="宋体" w:eastAsia="宋体" w:hint="default"/>
                <w:sz w:val="18"/>
                <w:szCs w:val="18"/>
              </w:rPr>
            </w:pPr>
            <w:r>
              <w:rPr>
                <w:rFonts w:ascii="宋体" w:hAnsi="宋体" w:cs="宋体" w:eastAsia="宋体" w:hint="default"/>
                <w:sz w:val="18"/>
                <w:szCs w:val="18"/>
              </w:rPr>
              <w:t>长春生物制品研究 所有限责任公司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3.49%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2,750.00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43" w:right="69" w:hanging="272"/>
              <w:jc w:val="left"/>
              <w:rPr>
                <w:rFonts w:ascii="宋体" w:hAnsi="宋体" w:cs="宋体" w:eastAsia="宋体" w:hint="default"/>
                <w:sz w:val="18"/>
                <w:szCs w:val="18"/>
              </w:rPr>
            </w:pPr>
            <w:r>
              <w:rPr>
                <w:rFonts w:ascii="宋体" w:hAnsi="宋体" w:cs="宋体" w:eastAsia="宋体" w:hint="default"/>
                <w:sz w:val="18"/>
                <w:szCs w:val="18"/>
              </w:rPr>
              <w:t>马应龙药业集团股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3.17%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郎致集团有限公司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9" w:right="0"/>
              <w:jc w:val="left"/>
              <w:rPr>
                <w:rFonts w:ascii="Times New Roman" w:hAnsi="Times New Roman" w:cs="Times New Roman" w:eastAsia="Times New Roman" w:hint="default"/>
                <w:sz w:val="18"/>
                <w:szCs w:val="18"/>
              </w:rPr>
            </w:pPr>
            <w:r>
              <w:rPr>
                <w:rFonts w:ascii="Times New Roman"/>
                <w:sz w:val="18"/>
              </w:rPr>
              <w:t>3.17%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1,207,526.76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6" w:right="0"/>
              <w:jc w:val="left"/>
              <w:rPr>
                <w:rFonts w:ascii="Times New Roman" w:hAnsi="Times New Roman" w:cs="Times New Roman" w:eastAsia="Times New Roman" w:hint="default"/>
                <w:sz w:val="18"/>
                <w:szCs w:val="18"/>
              </w:rPr>
            </w:pPr>
            <w:r>
              <w:rPr>
                <w:rFonts w:ascii="Times New Roman"/>
                <w:sz w:val="18"/>
              </w:rPr>
              <w:t>76.61%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60,376.34</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80"/>
        <w:gridCol w:w="1357"/>
        <w:gridCol w:w="1368"/>
        <w:gridCol w:w="1367"/>
        <w:gridCol w:w="1367"/>
        <w:gridCol w:w="1366"/>
        <w:gridCol w:w="1357"/>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092" w:type="dxa"/>
            <w:gridSpan w:val="3"/>
            <w:vMerge/>
            <w:tcBorders>
              <w:left w:val="single" w:sz="4" w:space="0" w:color="000000"/>
              <w:bottom w:val="single" w:sz="4" w:space="0" w:color="000000"/>
              <w:right w:val="single" w:sz="4" w:space="0" w:color="000000"/>
            </w:tcBorders>
            <w:shd w:val="clear" w:color="auto" w:fill="D2D2D2"/>
          </w:tcPr>
          <w:p>
            <w:pPr/>
          </w:p>
        </w:tc>
        <w:tc>
          <w:tcPr>
            <w:tcW w:w="4090"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9" w:right="0"/>
              <w:jc w:val="left"/>
              <w:rPr>
                <w:rFonts w:ascii="Times New Roman" w:hAnsi="Times New Roman" w:cs="Times New Roman" w:eastAsia="Times New Roman" w:hint="default"/>
                <w:sz w:val="18"/>
                <w:szCs w:val="18"/>
              </w:rPr>
            </w:pPr>
            <w:r>
              <w:rPr>
                <w:rFonts w:ascii="Times New Roman"/>
                <w:sz w:val="18"/>
              </w:rPr>
              <w:t>52,307,845.32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28,394.98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52,279,450.34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38,416,004.36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38,416,004.36</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500" w:bottom="1160" w:left="1020" w:right="102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16" w:hRule="exact"/>
        </w:trPr>
        <w:tc>
          <w:tcPr>
            <w:tcW w:w="13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18,424,624.32</w:t>
            </w:r>
          </w:p>
        </w:tc>
        <w:tc>
          <w:tcPr>
            <w:tcW w:w="1368"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18,424,624.32</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14,695,555.16</w:t>
            </w:r>
          </w:p>
        </w:tc>
        <w:tc>
          <w:tcPr>
            <w:tcW w:w="1366"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14,695,555.16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16,015,797.81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16,015,797.81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14,604,188.82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14,604,188.82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234,558.13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234,558.13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261,966.76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261,966.76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86,982,825.58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28,394.98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86,954,430.60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67,977,715.10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67,977,715.10</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28,394.98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28,394.98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28,394.98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28,394.98</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0"/>
        <w:rPr>
          <w:rFonts w:ascii="Microsoft JhengHei" w:hAnsi="Microsoft JhengHei" w:cs="Microsoft JhengHei" w:eastAsia="Microsoft JhengHei" w:hint="default"/>
          <w:b/>
          <w:bCs/>
          <w:sz w:val="18"/>
          <w:szCs w:val="18"/>
        </w:rPr>
      </w:pPr>
    </w:p>
    <w:p>
      <w:pPr>
        <w:pStyle w:val="BodyText"/>
        <w:spacing w:line="240" w:lineRule="auto" w:before="0"/>
        <w:ind w:left="112" w:right="385"/>
        <w:jc w:val="left"/>
      </w:pPr>
      <w:r>
        <w:rPr/>
        <w:t>报告期内各期末存货余额中不含借款费用资本化的情况。</w:t>
      </w:r>
    </w:p>
    <w:p>
      <w:pPr>
        <w:spacing w:line="240" w:lineRule="auto" w:before="9"/>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left="112" w:right="385"/>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9,967.44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1,979,293.24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9,967.44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1,979,293.24</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1020" w:right="10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784"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760"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17</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2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1"/>
        <w:gridCol w:w="1194"/>
        <w:gridCol w:w="1142"/>
        <w:gridCol w:w="277"/>
        <w:gridCol w:w="1069"/>
        <w:gridCol w:w="476"/>
        <w:gridCol w:w="811"/>
        <w:gridCol w:w="1046"/>
        <w:gridCol w:w="619"/>
        <w:gridCol w:w="375"/>
        <w:gridCol w:w="1222"/>
        <w:gridCol w:w="799"/>
      </w:tblGrid>
      <w:tr>
        <w:trPr>
          <w:trHeight w:val="161" w:hRule="exact"/>
        </w:trPr>
        <w:tc>
          <w:tcPr>
            <w:tcW w:w="791"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5814"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12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vMerge w:val="restart"/>
            <w:tcBorders>
              <w:top w:val="single" w:sz="4" w:space="0" w:color="000000"/>
              <w:left w:val="single" w:sz="4" w:space="0" w:color="000000"/>
              <w:right w:val="single" w:sz="5" w:space="0" w:color="000000"/>
            </w:tcBorders>
            <w:shd w:val="clear" w:color="auto" w:fill="D2D2D2"/>
          </w:tcPr>
          <w:p>
            <w:pPr>
              <w:pStyle w:val="TableParagraph"/>
              <w:spacing w:line="316" w:lineRule="auto" w:before="49"/>
              <w:ind w:left="45" w:right="20"/>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394" w:hRule="exact"/>
        </w:trPr>
        <w:tc>
          <w:tcPr>
            <w:tcW w:w="791"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5814" w:type="dxa"/>
            <w:gridSpan w:val="8"/>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vMerge/>
            <w:tcBorders>
              <w:left w:val="single" w:sz="4" w:space="0" w:color="000000"/>
              <w:right w:val="single" w:sz="5" w:space="0" w:color="000000"/>
            </w:tcBorders>
            <w:shd w:val="clear" w:color="auto" w:fill="D2D2D2"/>
          </w:tcPr>
          <w:p>
            <w:pPr/>
          </w:p>
        </w:tc>
      </w:tr>
      <w:tr>
        <w:trPr>
          <w:trHeight w:val="138" w:hRule="exact"/>
        </w:trPr>
        <w:tc>
          <w:tcPr>
            <w:tcW w:w="791"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5814"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12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5" w:space="0" w:color="000000"/>
            </w:tcBorders>
            <w:shd w:val="clear" w:color="auto" w:fill="D2D2D2"/>
          </w:tcPr>
          <w:p>
            <w:pPr/>
          </w:p>
        </w:tc>
      </w:tr>
      <w:tr>
        <w:trPr>
          <w:trHeight w:val="161" w:hRule="exact"/>
        </w:trPr>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31"/>
              <w:ind w:left="302" w:right="26"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194" w:type="dxa"/>
            <w:vMerge/>
            <w:tcBorders>
              <w:left w:val="single" w:sz="4" w:space="0" w:color="000000"/>
              <w:bottom w:val="nil" w:sz="6" w:space="0" w:color="auto"/>
              <w:right w:val="single" w:sz="4" w:space="0" w:color="000000"/>
            </w:tcBorders>
            <w:shd w:val="clear" w:color="auto" w:fill="D2D2D2"/>
          </w:tcPr>
          <w:p>
            <w:pPr/>
          </w:p>
        </w:tc>
        <w:tc>
          <w:tcPr>
            <w:tcW w:w="1142" w:type="dxa"/>
            <w:vMerge w:val="restart"/>
            <w:tcBorders>
              <w:top w:val="single" w:sz="4" w:space="0" w:color="000000"/>
              <w:left w:val="single" w:sz="4" w:space="0" w:color="000000"/>
              <w:right w:val="single" w:sz="4" w:space="0" w:color="000000"/>
            </w:tcBorders>
            <w:shd w:val="clear" w:color="auto" w:fill="D2D2D2"/>
          </w:tcPr>
          <w:p>
            <w:pPr/>
          </w:p>
        </w:tc>
        <w:tc>
          <w:tcPr>
            <w:tcW w:w="2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41" w:right="43"/>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4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56" w:right="47"/>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811" w:type="dxa"/>
            <w:vMerge w:val="restart"/>
            <w:tcBorders>
              <w:top w:val="single" w:sz="4" w:space="0" w:color="000000"/>
              <w:left w:val="single" w:sz="4" w:space="0" w:color="000000"/>
              <w:right w:val="single" w:sz="4" w:space="0" w:color="000000"/>
            </w:tcBorders>
            <w:shd w:val="clear" w:color="auto" w:fill="D2D2D2"/>
          </w:tcPr>
          <w:p>
            <w:pPr/>
          </w:p>
        </w:tc>
        <w:tc>
          <w:tcPr>
            <w:tcW w:w="1046" w:type="dxa"/>
            <w:tcBorders>
              <w:top w:val="single" w:sz="4" w:space="0" w:color="000000"/>
              <w:left w:val="single" w:sz="4" w:space="0" w:color="000000"/>
              <w:bottom w:val="nil" w:sz="6" w:space="0" w:color="auto"/>
              <w:right w:val="single" w:sz="4" w:space="0" w:color="000000"/>
            </w:tcBorders>
            <w:shd w:val="clear" w:color="auto" w:fill="D2D2D2"/>
          </w:tcPr>
          <w:p>
            <w:pPr/>
          </w:p>
        </w:tc>
        <w:tc>
          <w:tcPr>
            <w:tcW w:w="619" w:type="dxa"/>
            <w:vMerge w:val="restart"/>
            <w:tcBorders>
              <w:top w:val="single" w:sz="4" w:space="0" w:color="000000"/>
              <w:left w:val="single" w:sz="4" w:space="0" w:color="000000"/>
              <w:right w:val="single" w:sz="4" w:space="0" w:color="000000"/>
            </w:tcBorders>
            <w:shd w:val="clear" w:color="auto" w:fill="D2D2D2"/>
          </w:tcPr>
          <w:p>
            <w:pPr/>
          </w:p>
        </w:tc>
        <w:tc>
          <w:tcPr>
            <w:tcW w:w="375" w:type="dxa"/>
            <w:vMerge w:val="restart"/>
            <w:tcBorders>
              <w:top w:val="single" w:sz="4" w:space="0" w:color="000000"/>
              <w:left w:val="single" w:sz="4" w:space="0" w:color="000000"/>
              <w:right w:val="single" w:sz="4" w:space="0" w:color="000000"/>
            </w:tcBorders>
            <w:shd w:val="clear" w:color="auto" w:fill="D2D2D2"/>
          </w:tcPr>
          <w:p>
            <w:pPr/>
          </w:p>
        </w:tc>
        <w:tc>
          <w:tcPr>
            <w:tcW w:w="1222" w:type="dxa"/>
            <w:vMerge w:val="restart"/>
            <w:tcBorders>
              <w:top w:val="single" w:sz="4" w:space="0" w:color="000000"/>
              <w:left w:val="single" w:sz="9" w:space="0" w:color="D2D2D2"/>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r>
      <w:tr>
        <w:trPr>
          <w:trHeight w:val="167" w:hRule="exact"/>
        </w:trPr>
        <w:tc>
          <w:tcPr>
            <w:tcW w:w="791"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42" w:type="dxa"/>
            <w:vMerge/>
            <w:tcBorders>
              <w:left w:val="single" w:sz="4" w:space="0" w:color="000000"/>
              <w:right w:val="single" w:sz="4" w:space="0" w:color="000000"/>
            </w:tcBorders>
            <w:shd w:val="clear" w:color="auto" w:fill="D2D2D2"/>
          </w:tcPr>
          <w:p>
            <w:pPr/>
          </w:p>
        </w:tc>
        <w:tc>
          <w:tcPr>
            <w:tcW w:w="277" w:type="dxa"/>
            <w:vMerge/>
            <w:tcBorders>
              <w:left w:val="single" w:sz="4" w:space="0" w:color="000000"/>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79" w:right="77"/>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476" w:type="dxa"/>
            <w:vMerge/>
            <w:tcBorders>
              <w:left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5" w:right="68"/>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619" w:type="dxa"/>
            <w:vMerge/>
            <w:tcBorders>
              <w:left w:val="single" w:sz="4" w:space="0" w:color="000000"/>
              <w:bottom w:val="nil" w:sz="6" w:space="0" w:color="auto"/>
              <w:right w:val="single" w:sz="4" w:space="0" w:color="000000"/>
            </w:tcBorders>
            <w:shd w:val="clear" w:color="auto" w:fill="D2D2D2"/>
          </w:tcPr>
          <w:p>
            <w:pPr/>
          </w:p>
        </w:tc>
        <w:tc>
          <w:tcPr>
            <w:tcW w:w="375" w:type="dxa"/>
            <w:vMerge/>
            <w:tcBorders>
              <w:left w:val="single" w:sz="4" w:space="0" w:color="000000"/>
              <w:bottom w:val="nil" w:sz="6" w:space="0" w:color="auto"/>
              <w:right w:val="single" w:sz="4" w:space="0" w:color="000000"/>
            </w:tcBorders>
            <w:shd w:val="clear" w:color="auto" w:fill="D2D2D2"/>
          </w:tcPr>
          <w:p>
            <w:pPr/>
          </w:p>
        </w:tc>
        <w:tc>
          <w:tcPr>
            <w:tcW w:w="1222" w:type="dxa"/>
            <w:vMerge/>
            <w:tcBorders>
              <w:left w:val="single" w:sz="9" w:space="0" w:color="D2D2D2"/>
              <w:right w:val="single" w:sz="4" w:space="0" w:color="000000"/>
            </w:tcBorders>
          </w:tcPr>
          <w:p>
            <w:pPr/>
          </w:p>
        </w:tc>
        <w:tc>
          <w:tcPr>
            <w:tcW w:w="799" w:type="dxa"/>
            <w:vMerge/>
            <w:tcBorders>
              <w:left w:val="single" w:sz="4" w:space="0" w:color="000000"/>
              <w:right w:val="single" w:sz="4" w:space="0" w:color="000000"/>
            </w:tcBorders>
          </w:tcPr>
          <w:p>
            <w:pPr/>
          </w:p>
        </w:tc>
      </w:tr>
      <w:tr>
        <w:trPr>
          <w:trHeight w:val="174" w:hRule="exact"/>
        </w:trPr>
        <w:tc>
          <w:tcPr>
            <w:tcW w:w="791"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single" w:sz="14" w:space="0" w:color="FFFFFF"/>
              <w:right w:val="single" w:sz="4" w:space="0" w:color="000000"/>
            </w:tcBorders>
            <w:shd w:val="clear" w:color="auto" w:fill="D2D2D2"/>
          </w:tcPr>
          <w:p>
            <w:pPr/>
          </w:p>
        </w:tc>
        <w:tc>
          <w:tcPr>
            <w:tcW w:w="1142" w:type="dxa"/>
            <w:vMerge/>
            <w:tcBorders>
              <w:left w:val="single" w:sz="4" w:space="0" w:color="000000"/>
              <w:bottom w:val="single" w:sz="14" w:space="0" w:color="FFFFFF"/>
              <w:right w:val="single" w:sz="4" w:space="0" w:color="000000"/>
            </w:tcBorders>
            <w:shd w:val="clear" w:color="auto" w:fill="D2D2D2"/>
          </w:tcPr>
          <w:p>
            <w:pPr/>
          </w:p>
        </w:tc>
        <w:tc>
          <w:tcPr>
            <w:tcW w:w="277"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right w:val="single" w:sz="4" w:space="0" w:color="000000"/>
            </w:tcBorders>
            <w:shd w:val="clear" w:color="auto" w:fill="D2D2D2"/>
          </w:tcPr>
          <w:p>
            <w:pPr/>
          </w:p>
        </w:tc>
        <w:tc>
          <w:tcPr>
            <w:tcW w:w="476" w:type="dxa"/>
            <w:vMerge/>
            <w:tcBorders>
              <w:left w:val="single" w:sz="4" w:space="0" w:color="000000"/>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8" w:right="40"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1046" w:type="dxa"/>
            <w:vMerge/>
            <w:tcBorders>
              <w:left w:val="single" w:sz="4" w:space="0" w:color="000000"/>
              <w:right w:val="single" w:sz="4" w:space="0" w:color="000000"/>
            </w:tcBorders>
            <w:shd w:val="clear" w:color="auto" w:fill="D2D2D2"/>
          </w:tcPr>
          <w:p>
            <w:pPr/>
          </w:p>
        </w:tc>
        <w:tc>
          <w:tcPr>
            <w:tcW w:w="6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3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1" w:right="92"/>
              <w:jc w:val="left"/>
              <w:rPr>
                <w:rFonts w:ascii="宋体" w:hAnsi="宋体" w:cs="宋体" w:eastAsia="宋体" w:hint="default"/>
                <w:sz w:val="18"/>
                <w:szCs w:val="18"/>
              </w:rPr>
            </w:pPr>
            <w:r>
              <w:rPr>
                <w:rFonts w:ascii="宋体" w:hAnsi="宋体" w:cs="宋体" w:eastAsia="宋体" w:hint="default"/>
                <w:sz w:val="18"/>
                <w:szCs w:val="18"/>
              </w:rPr>
              <w:t>其 他</w:t>
            </w:r>
          </w:p>
        </w:tc>
        <w:tc>
          <w:tcPr>
            <w:tcW w:w="1222" w:type="dxa"/>
            <w:vMerge/>
            <w:tcBorders>
              <w:left w:val="single" w:sz="9" w:space="0" w:color="D2D2D2"/>
              <w:right w:val="single" w:sz="4" w:space="0" w:color="000000"/>
            </w:tcBorders>
          </w:tcPr>
          <w:p>
            <w:pPr/>
          </w:p>
        </w:tc>
        <w:tc>
          <w:tcPr>
            <w:tcW w:w="799" w:type="dxa"/>
            <w:vMerge/>
            <w:tcBorders>
              <w:left w:val="single" w:sz="4" w:space="0" w:color="000000"/>
              <w:right w:val="single" w:sz="4" w:space="0" w:color="000000"/>
            </w:tcBorders>
          </w:tcPr>
          <w:p>
            <w:pPr/>
          </w:p>
        </w:tc>
      </w:tr>
      <w:tr>
        <w:trPr>
          <w:trHeight w:val="174" w:hRule="exact"/>
        </w:trPr>
        <w:tc>
          <w:tcPr>
            <w:tcW w:w="791"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single" w:sz="14" w:space="0" w:color="FFFFFF"/>
              <w:left w:val="single" w:sz="4" w:space="0" w:color="000000"/>
              <w:right w:val="single" w:sz="4" w:space="0" w:color="000000"/>
            </w:tcBorders>
            <w:shd w:val="clear" w:color="auto" w:fill="D2D2D2"/>
          </w:tcPr>
          <w:p>
            <w:pPr/>
          </w:p>
        </w:tc>
        <w:tc>
          <w:tcPr>
            <w:tcW w:w="114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277"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right w:val="single" w:sz="4" w:space="0" w:color="000000"/>
            </w:tcBorders>
            <w:shd w:val="clear" w:color="auto" w:fill="D2D2D2"/>
          </w:tcPr>
          <w:p>
            <w:pPr/>
          </w:p>
        </w:tc>
        <w:tc>
          <w:tcPr>
            <w:tcW w:w="476" w:type="dxa"/>
            <w:vMerge/>
            <w:tcBorders>
              <w:left w:val="single" w:sz="4" w:space="0" w:color="000000"/>
              <w:right w:val="single" w:sz="4" w:space="0" w:color="000000"/>
            </w:tcBorders>
            <w:shd w:val="clear" w:color="auto" w:fill="D2D2D2"/>
          </w:tcPr>
          <w:p>
            <w:pPr/>
          </w:p>
        </w:tc>
        <w:tc>
          <w:tcPr>
            <w:tcW w:w="811" w:type="dxa"/>
            <w:vMerge/>
            <w:tcBorders>
              <w:left w:val="single" w:sz="4" w:space="0" w:color="000000"/>
              <w:right w:val="single" w:sz="4" w:space="0" w:color="000000"/>
            </w:tcBorders>
            <w:shd w:val="clear" w:color="auto" w:fill="D2D2D2"/>
          </w:tcPr>
          <w:p>
            <w:pPr/>
          </w:p>
        </w:tc>
        <w:tc>
          <w:tcPr>
            <w:tcW w:w="1046" w:type="dxa"/>
            <w:vMerge/>
            <w:tcBorders>
              <w:left w:val="single" w:sz="4" w:space="0" w:color="000000"/>
              <w:right w:val="single" w:sz="4" w:space="0" w:color="000000"/>
            </w:tcBorders>
            <w:shd w:val="clear" w:color="auto" w:fill="D2D2D2"/>
          </w:tcPr>
          <w:p>
            <w:pPr/>
          </w:p>
        </w:tc>
        <w:tc>
          <w:tcPr>
            <w:tcW w:w="619" w:type="dxa"/>
            <w:vMerge/>
            <w:tcBorders>
              <w:left w:val="single" w:sz="4" w:space="0" w:color="000000"/>
              <w:right w:val="single" w:sz="4" w:space="0" w:color="000000"/>
            </w:tcBorders>
            <w:shd w:val="clear" w:color="auto" w:fill="D2D2D2"/>
          </w:tcPr>
          <w:p>
            <w:pPr/>
          </w:p>
        </w:tc>
        <w:tc>
          <w:tcPr>
            <w:tcW w:w="375" w:type="dxa"/>
            <w:vMerge/>
            <w:tcBorders>
              <w:left w:val="single" w:sz="4" w:space="0" w:color="000000"/>
              <w:right w:val="single" w:sz="4" w:space="0" w:color="000000"/>
            </w:tcBorders>
            <w:shd w:val="clear" w:color="auto" w:fill="D2D2D2"/>
          </w:tcPr>
          <w:p>
            <w:pPr/>
          </w:p>
        </w:tc>
        <w:tc>
          <w:tcPr>
            <w:tcW w:w="1222" w:type="dxa"/>
            <w:vMerge/>
            <w:tcBorders>
              <w:left w:val="single" w:sz="9" w:space="0" w:color="D2D2D2"/>
              <w:right w:val="single" w:sz="4" w:space="0" w:color="000000"/>
            </w:tcBorders>
          </w:tcPr>
          <w:p>
            <w:pPr/>
          </w:p>
        </w:tc>
        <w:tc>
          <w:tcPr>
            <w:tcW w:w="799" w:type="dxa"/>
            <w:vMerge/>
            <w:tcBorders>
              <w:left w:val="single" w:sz="4" w:space="0" w:color="000000"/>
              <w:right w:val="single" w:sz="4" w:space="0" w:color="000000"/>
            </w:tcBorders>
          </w:tcPr>
          <w:p>
            <w:pPr/>
          </w:p>
        </w:tc>
      </w:tr>
      <w:tr>
        <w:trPr>
          <w:trHeight w:val="199" w:hRule="exact"/>
        </w:trPr>
        <w:tc>
          <w:tcPr>
            <w:tcW w:w="791"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42" w:type="dxa"/>
            <w:vMerge/>
            <w:tcBorders>
              <w:left w:val="single" w:sz="4" w:space="0" w:color="000000"/>
              <w:bottom w:val="nil" w:sz="6" w:space="0" w:color="auto"/>
              <w:right w:val="single" w:sz="4" w:space="0" w:color="000000"/>
            </w:tcBorders>
            <w:shd w:val="clear" w:color="auto" w:fill="D2D2D2"/>
          </w:tcPr>
          <w:p>
            <w:pPr/>
          </w:p>
        </w:tc>
        <w:tc>
          <w:tcPr>
            <w:tcW w:w="277"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right w:val="single" w:sz="4" w:space="0" w:color="000000"/>
            </w:tcBorders>
            <w:shd w:val="clear" w:color="auto" w:fill="D2D2D2"/>
          </w:tcPr>
          <w:p>
            <w:pPr/>
          </w:p>
        </w:tc>
        <w:tc>
          <w:tcPr>
            <w:tcW w:w="476" w:type="dxa"/>
            <w:vMerge/>
            <w:tcBorders>
              <w:left w:val="single" w:sz="4" w:space="0" w:color="000000"/>
              <w:right w:val="single" w:sz="4" w:space="0" w:color="000000"/>
            </w:tcBorders>
            <w:shd w:val="clear" w:color="auto" w:fill="D2D2D2"/>
          </w:tcPr>
          <w:p>
            <w:pPr/>
          </w:p>
        </w:tc>
        <w:tc>
          <w:tcPr>
            <w:tcW w:w="811" w:type="dxa"/>
            <w:vMerge/>
            <w:tcBorders>
              <w:left w:val="single" w:sz="4" w:space="0" w:color="000000"/>
              <w:right w:val="single" w:sz="4" w:space="0" w:color="000000"/>
            </w:tcBorders>
            <w:shd w:val="clear" w:color="auto" w:fill="D2D2D2"/>
          </w:tcPr>
          <w:p>
            <w:pPr/>
          </w:p>
        </w:tc>
        <w:tc>
          <w:tcPr>
            <w:tcW w:w="1046" w:type="dxa"/>
            <w:vMerge/>
            <w:tcBorders>
              <w:left w:val="single" w:sz="4" w:space="0" w:color="000000"/>
              <w:right w:val="single" w:sz="4" w:space="0" w:color="000000"/>
            </w:tcBorders>
            <w:shd w:val="clear" w:color="auto" w:fill="D2D2D2"/>
          </w:tcPr>
          <w:p>
            <w:pPr/>
          </w:p>
        </w:tc>
        <w:tc>
          <w:tcPr>
            <w:tcW w:w="619" w:type="dxa"/>
            <w:vMerge/>
            <w:tcBorders>
              <w:left w:val="single" w:sz="4" w:space="0" w:color="000000"/>
              <w:right w:val="single" w:sz="4" w:space="0" w:color="000000"/>
            </w:tcBorders>
            <w:shd w:val="clear" w:color="auto" w:fill="D2D2D2"/>
          </w:tcPr>
          <w:p>
            <w:pPr/>
          </w:p>
        </w:tc>
        <w:tc>
          <w:tcPr>
            <w:tcW w:w="375" w:type="dxa"/>
            <w:vMerge/>
            <w:tcBorders>
              <w:left w:val="single" w:sz="4" w:space="0" w:color="000000"/>
              <w:right w:val="single" w:sz="4" w:space="0" w:color="000000"/>
            </w:tcBorders>
            <w:shd w:val="clear" w:color="auto" w:fill="D2D2D2"/>
          </w:tcPr>
          <w:p>
            <w:pPr/>
          </w:p>
        </w:tc>
        <w:tc>
          <w:tcPr>
            <w:tcW w:w="1222" w:type="dxa"/>
            <w:vMerge/>
            <w:tcBorders>
              <w:left w:val="single" w:sz="9" w:space="0" w:color="D2D2D2"/>
              <w:right w:val="single" w:sz="4" w:space="0" w:color="000000"/>
            </w:tcBorders>
          </w:tcPr>
          <w:p>
            <w:pPr/>
          </w:p>
        </w:tc>
        <w:tc>
          <w:tcPr>
            <w:tcW w:w="799" w:type="dxa"/>
            <w:vMerge/>
            <w:tcBorders>
              <w:left w:val="single" w:sz="4" w:space="0" w:color="000000"/>
              <w:right w:val="single" w:sz="4" w:space="0" w:color="000000"/>
            </w:tcBorders>
          </w:tcPr>
          <w:p>
            <w:pPr/>
          </w:p>
        </w:tc>
      </w:tr>
      <w:tr>
        <w:trPr>
          <w:trHeight w:val="156" w:hRule="exact"/>
        </w:trPr>
        <w:tc>
          <w:tcPr>
            <w:tcW w:w="791"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42" w:type="dxa"/>
            <w:vMerge w:val="restart"/>
            <w:tcBorders>
              <w:top w:val="nil" w:sz="6" w:space="0" w:color="auto"/>
              <w:left w:val="single" w:sz="4" w:space="0" w:color="000000"/>
              <w:right w:val="single" w:sz="4" w:space="0" w:color="000000"/>
            </w:tcBorders>
            <w:shd w:val="clear" w:color="auto" w:fill="D2D2D2"/>
          </w:tcPr>
          <w:p>
            <w:pPr/>
          </w:p>
        </w:tc>
        <w:tc>
          <w:tcPr>
            <w:tcW w:w="277"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right w:val="single" w:sz="4" w:space="0" w:color="000000"/>
            </w:tcBorders>
            <w:shd w:val="clear" w:color="auto" w:fill="D2D2D2"/>
          </w:tcPr>
          <w:p>
            <w:pPr/>
          </w:p>
        </w:tc>
        <w:tc>
          <w:tcPr>
            <w:tcW w:w="476" w:type="dxa"/>
            <w:vMerge/>
            <w:tcBorders>
              <w:left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right w:val="single" w:sz="4" w:space="0" w:color="000000"/>
            </w:tcBorders>
            <w:shd w:val="clear" w:color="auto" w:fill="D2D2D2"/>
          </w:tcPr>
          <w:p>
            <w:pPr/>
          </w:p>
        </w:tc>
        <w:tc>
          <w:tcPr>
            <w:tcW w:w="619" w:type="dxa"/>
            <w:vMerge/>
            <w:tcBorders>
              <w:left w:val="single" w:sz="4" w:space="0" w:color="000000"/>
              <w:bottom w:val="nil" w:sz="6" w:space="0" w:color="auto"/>
              <w:right w:val="single" w:sz="4" w:space="0" w:color="000000"/>
            </w:tcBorders>
            <w:shd w:val="clear" w:color="auto" w:fill="D2D2D2"/>
          </w:tcPr>
          <w:p>
            <w:pPr/>
          </w:p>
        </w:tc>
        <w:tc>
          <w:tcPr>
            <w:tcW w:w="375" w:type="dxa"/>
            <w:vMerge/>
            <w:tcBorders>
              <w:left w:val="single" w:sz="4" w:space="0" w:color="000000"/>
              <w:bottom w:val="nil" w:sz="6" w:space="0" w:color="auto"/>
              <w:right w:val="single" w:sz="4" w:space="0" w:color="000000"/>
            </w:tcBorders>
            <w:shd w:val="clear" w:color="auto" w:fill="D2D2D2"/>
          </w:tcPr>
          <w:p>
            <w:pPr/>
          </w:p>
        </w:tc>
        <w:tc>
          <w:tcPr>
            <w:tcW w:w="1222" w:type="dxa"/>
            <w:vMerge/>
            <w:tcBorders>
              <w:left w:val="single" w:sz="9" w:space="0" w:color="D2D2D2"/>
              <w:right w:val="single" w:sz="4" w:space="0" w:color="000000"/>
            </w:tcBorders>
          </w:tcPr>
          <w:p>
            <w:pPr/>
          </w:p>
        </w:tc>
        <w:tc>
          <w:tcPr>
            <w:tcW w:w="799" w:type="dxa"/>
            <w:vMerge/>
            <w:tcBorders>
              <w:left w:val="single" w:sz="4" w:space="0" w:color="000000"/>
              <w:right w:val="single" w:sz="4" w:space="0" w:color="000000"/>
            </w:tcBorders>
          </w:tcPr>
          <w:p>
            <w:pPr/>
          </w:p>
        </w:tc>
      </w:tr>
      <w:tr>
        <w:trPr>
          <w:trHeight w:val="156" w:hRule="exact"/>
        </w:trPr>
        <w:tc>
          <w:tcPr>
            <w:tcW w:w="791"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42" w:type="dxa"/>
            <w:vMerge/>
            <w:tcBorders>
              <w:left w:val="single" w:sz="4" w:space="0" w:color="000000"/>
              <w:right w:val="single" w:sz="4" w:space="0" w:color="000000"/>
            </w:tcBorders>
            <w:shd w:val="clear" w:color="auto" w:fill="D2D2D2"/>
          </w:tcPr>
          <w:p>
            <w:pPr/>
          </w:p>
        </w:tc>
        <w:tc>
          <w:tcPr>
            <w:tcW w:w="277"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476" w:type="dxa"/>
            <w:vMerge/>
            <w:tcBorders>
              <w:left w:val="single" w:sz="4" w:space="0" w:color="000000"/>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619" w:type="dxa"/>
            <w:vMerge w:val="restart"/>
            <w:tcBorders>
              <w:top w:val="nil" w:sz="6" w:space="0" w:color="auto"/>
              <w:left w:val="single" w:sz="4" w:space="0" w:color="000000"/>
              <w:right w:val="single" w:sz="4" w:space="0" w:color="000000"/>
            </w:tcBorders>
            <w:shd w:val="clear" w:color="auto" w:fill="D2D2D2"/>
          </w:tcPr>
          <w:p>
            <w:pPr/>
          </w:p>
        </w:tc>
        <w:tc>
          <w:tcPr>
            <w:tcW w:w="375" w:type="dxa"/>
            <w:vMerge w:val="restart"/>
            <w:tcBorders>
              <w:top w:val="nil" w:sz="6" w:space="0" w:color="auto"/>
              <w:left w:val="single" w:sz="4" w:space="0" w:color="000000"/>
              <w:right w:val="single" w:sz="4" w:space="0" w:color="000000"/>
            </w:tcBorders>
            <w:shd w:val="clear" w:color="auto" w:fill="D2D2D2"/>
          </w:tcPr>
          <w:p>
            <w:pPr/>
          </w:p>
        </w:tc>
        <w:tc>
          <w:tcPr>
            <w:tcW w:w="1222" w:type="dxa"/>
            <w:vMerge/>
            <w:tcBorders>
              <w:left w:val="single" w:sz="9" w:space="0" w:color="D2D2D2"/>
              <w:right w:val="single" w:sz="4" w:space="0" w:color="000000"/>
            </w:tcBorders>
          </w:tcPr>
          <w:p>
            <w:pPr/>
          </w:p>
        </w:tc>
        <w:tc>
          <w:tcPr>
            <w:tcW w:w="799" w:type="dxa"/>
            <w:vMerge/>
            <w:tcBorders>
              <w:left w:val="single" w:sz="4" w:space="0" w:color="000000"/>
              <w:right w:val="single" w:sz="4" w:space="0" w:color="000000"/>
            </w:tcBorders>
          </w:tcPr>
          <w:p>
            <w:pPr/>
          </w:p>
        </w:tc>
      </w:tr>
      <w:tr>
        <w:trPr>
          <w:trHeight w:val="161" w:hRule="exact"/>
        </w:trPr>
        <w:tc>
          <w:tcPr>
            <w:tcW w:w="791"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42" w:type="dxa"/>
            <w:vMerge/>
            <w:tcBorders>
              <w:left w:val="single" w:sz="4" w:space="0" w:color="000000"/>
              <w:bottom w:val="single" w:sz="4" w:space="0" w:color="000000"/>
              <w:right w:val="single" w:sz="4" w:space="0" w:color="000000"/>
            </w:tcBorders>
            <w:shd w:val="clear" w:color="auto" w:fill="D2D2D2"/>
          </w:tcPr>
          <w:p>
            <w:pPr/>
          </w:p>
        </w:tc>
        <w:tc>
          <w:tcPr>
            <w:tcW w:w="277"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476" w:type="dxa"/>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single" w:sz="4" w:space="0" w:color="000000"/>
              <w:right w:val="single" w:sz="4" w:space="0" w:color="000000"/>
            </w:tcBorders>
            <w:shd w:val="clear" w:color="auto" w:fill="D2D2D2"/>
          </w:tcPr>
          <w:p>
            <w:pPr/>
          </w:p>
        </w:tc>
        <w:tc>
          <w:tcPr>
            <w:tcW w:w="619" w:type="dxa"/>
            <w:vMerge/>
            <w:tcBorders>
              <w:left w:val="single" w:sz="4" w:space="0" w:color="000000"/>
              <w:bottom w:val="single" w:sz="4" w:space="0" w:color="000000"/>
              <w:right w:val="single" w:sz="4" w:space="0" w:color="000000"/>
            </w:tcBorders>
            <w:shd w:val="clear" w:color="auto" w:fill="D2D2D2"/>
          </w:tcPr>
          <w:p>
            <w:pPr/>
          </w:p>
        </w:tc>
        <w:tc>
          <w:tcPr>
            <w:tcW w:w="375" w:type="dxa"/>
            <w:vMerge/>
            <w:tcBorders>
              <w:left w:val="single" w:sz="4" w:space="0" w:color="000000"/>
              <w:bottom w:val="single" w:sz="4" w:space="0" w:color="000000"/>
              <w:right w:val="single" w:sz="4" w:space="0" w:color="000000"/>
            </w:tcBorders>
            <w:shd w:val="clear" w:color="auto" w:fill="D2D2D2"/>
          </w:tcPr>
          <w:p>
            <w:pPr/>
          </w:p>
        </w:tc>
        <w:tc>
          <w:tcPr>
            <w:tcW w:w="1222" w:type="dxa"/>
            <w:vMerge/>
            <w:tcBorders>
              <w:left w:val="single" w:sz="9" w:space="0" w:color="D2D2D2"/>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r>
      <w:tr>
        <w:trPr>
          <w:trHeight w:val="403" w:hRule="exact"/>
        </w:trPr>
        <w:tc>
          <w:tcPr>
            <w:tcW w:w="9820" w:type="dxa"/>
            <w:gridSpan w:val="12"/>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820" w:type="dxa"/>
            <w:gridSpan w:val="12"/>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both"/>
              <w:rPr>
                <w:rFonts w:ascii="宋体" w:hAnsi="宋体" w:cs="宋体" w:eastAsia="宋体" w:hint="default"/>
                <w:sz w:val="18"/>
                <w:szCs w:val="18"/>
              </w:rPr>
            </w:pPr>
            <w:r>
              <w:rPr>
                <w:rFonts w:ascii="宋体" w:hAnsi="宋体" w:cs="宋体" w:eastAsia="宋体" w:hint="default"/>
                <w:sz w:val="18"/>
                <w:szCs w:val="18"/>
              </w:rPr>
              <w:t>西安德宝 药用包装 有限公司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40,698,958.40</w:t>
            </w:r>
          </w:p>
        </w:tc>
        <w:tc>
          <w:tcPr>
            <w:tcW w:w="1142" w:type="dxa"/>
            <w:tcBorders>
              <w:top w:val="single" w:sz="4" w:space="0" w:color="000000"/>
              <w:left w:val="single" w:sz="4" w:space="0" w:color="000000"/>
              <w:bottom w:val="single" w:sz="4" w:space="0" w:color="000000"/>
              <w:right w:val="single" w:sz="4" w:space="0" w:color="000000"/>
            </w:tcBorders>
          </w:tcPr>
          <w:p>
            <w:pPr/>
          </w:p>
        </w:tc>
        <w:tc>
          <w:tcPr>
            <w:tcW w:w="27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5,232,192.88</w:t>
            </w:r>
          </w:p>
        </w:tc>
        <w:tc>
          <w:tcPr>
            <w:tcW w:w="47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4,798,418.33</w:t>
            </w:r>
          </w:p>
        </w:tc>
        <w:tc>
          <w:tcPr>
            <w:tcW w:w="619"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41,132,732.95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5"/>
              <w:jc w:val="both"/>
              <w:rPr>
                <w:rFonts w:ascii="宋体" w:hAnsi="宋体" w:cs="宋体" w:eastAsia="宋体" w:hint="default"/>
                <w:sz w:val="18"/>
                <w:szCs w:val="18"/>
              </w:rPr>
            </w:pPr>
            <w:r>
              <w:rPr>
                <w:rFonts w:ascii="宋体" w:hAnsi="宋体" w:cs="宋体" w:eastAsia="宋体" w:hint="default"/>
                <w:sz w:val="18"/>
                <w:szCs w:val="18"/>
              </w:rPr>
              <w:t>上海久旭 环保科技 股份有限 公司</w:t>
            </w:r>
          </w:p>
        </w:tc>
        <w:tc>
          <w:tcPr>
            <w:tcW w:w="1194"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25,000,000.00</w:t>
            </w:r>
          </w:p>
        </w:tc>
        <w:tc>
          <w:tcPr>
            <w:tcW w:w="27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347.30</w:t>
            </w:r>
          </w:p>
        </w:tc>
        <w:tc>
          <w:tcPr>
            <w:tcW w:w="47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25,000,347.30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40,698,958.40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25,000,000.00</w:t>
            </w:r>
          </w:p>
        </w:tc>
        <w:tc>
          <w:tcPr>
            <w:tcW w:w="27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4,798,418.33</w:t>
            </w:r>
          </w:p>
        </w:tc>
        <w:tc>
          <w:tcPr>
            <w:tcW w:w="619"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66,133,080.25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40,698,958.40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25,000,000.00</w:t>
            </w:r>
          </w:p>
        </w:tc>
        <w:tc>
          <w:tcPr>
            <w:tcW w:w="277"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5,232,540.18</w:t>
            </w:r>
          </w:p>
        </w:tc>
        <w:tc>
          <w:tcPr>
            <w:tcW w:w="476"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4,798,418.33</w:t>
            </w:r>
          </w:p>
        </w:tc>
        <w:tc>
          <w:tcPr>
            <w:tcW w:w="619" w:type="dxa"/>
            <w:tcBorders>
              <w:top w:val="single" w:sz="4" w:space="0" w:color="000000"/>
              <w:left w:val="single" w:sz="4" w:space="0" w:color="000000"/>
              <w:bottom w:val="single" w:sz="4" w:space="0" w:color="000000"/>
              <w:right w:val="single" w:sz="4" w:space="0" w:color="000000"/>
            </w:tcBorders>
          </w:tcPr>
          <w:p>
            <w:pPr/>
          </w:p>
        </w:tc>
        <w:tc>
          <w:tcPr>
            <w:tcW w:w="37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66,133,080.25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62" w:lineRule="exact" w:before="0"/>
        <w:ind w:right="0"/>
        <w:jc w:val="left"/>
      </w:pPr>
      <w:r>
        <w:rPr/>
        <w:t>其他说明：</w:t>
      </w:r>
    </w:p>
    <w:p>
      <w:pPr>
        <w:pStyle w:val="BodyText"/>
        <w:spacing w:line="273" w:lineRule="auto" w:before="37"/>
        <w:ind w:right="0"/>
        <w:jc w:val="left"/>
      </w:pPr>
      <w:r>
        <w:rPr>
          <w:spacing w:val="-2"/>
        </w:rPr>
        <w:t>（</w:t>
      </w:r>
      <w:r>
        <w:rPr>
          <w:rFonts w:ascii="宋体" w:hAnsi="宋体" w:cs="宋体" w:eastAsia="宋体" w:hint="default"/>
          <w:spacing w:val="-2"/>
        </w:rPr>
        <w:t>1</w:t>
      </w:r>
      <w:r>
        <w:rPr>
          <w:spacing w:val="-2"/>
        </w:rPr>
        <w:t>）长期股权投资</w:t>
      </w:r>
      <w:r>
        <w:rPr>
          <w:rFonts w:ascii="宋体" w:hAnsi="宋体" w:cs="宋体" w:eastAsia="宋体" w:hint="default"/>
          <w:spacing w:val="-2"/>
        </w:rPr>
        <w:t>-</w:t>
      </w:r>
      <w:r>
        <w:rPr>
          <w:spacing w:val="-2"/>
        </w:rPr>
        <w:t>西安德宝药用包装有限公司本期变动额主要系：本公司根据持股比例确认应享有西安</w:t>
      </w:r>
      <w:r>
        <w:rPr>
          <w:spacing w:val="-43"/>
        </w:rPr>
        <w:t> </w:t>
      </w:r>
      <w:r>
        <w:rPr>
          <w:spacing w:val="-43"/>
        </w:rPr>
      </w:r>
      <w:r>
        <w:rPr/>
        <w:t>德宝实现净损益的份额，增加长期股权投资的账面价值</w:t>
      </w:r>
      <w:r>
        <w:rPr>
          <w:spacing w:val="-53"/>
        </w:rPr>
        <w:t> </w:t>
      </w:r>
      <w:r>
        <w:rPr>
          <w:rFonts w:ascii="宋体" w:hAnsi="宋体" w:cs="宋体" w:eastAsia="宋体" w:hint="default"/>
        </w:rPr>
        <w:t>5,232,192.88</w:t>
      </w:r>
      <w:r>
        <w:rPr>
          <w:rFonts w:ascii="宋体" w:hAnsi="宋体" w:cs="宋体" w:eastAsia="宋体" w:hint="default"/>
          <w:spacing w:val="-56"/>
        </w:rPr>
        <w:t> </w:t>
      </w:r>
      <w:r>
        <w:rPr>
          <w:spacing w:val="-3"/>
        </w:rPr>
        <w:t>元；西安德宝于</w:t>
      </w:r>
      <w:r>
        <w:rPr>
          <w:spacing w:val="-53"/>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月召开通</w:t>
      </w:r>
    </w:p>
    <w:p>
      <w:pPr>
        <w:pStyle w:val="BodyText"/>
        <w:spacing w:line="240" w:lineRule="auto" w:before="7"/>
        <w:ind w:right="0"/>
        <w:jc w:val="left"/>
      </w:pPr>
      <w:r>
        <w:rPr/>
        <w:t>过第</w:t>
      </w:r>
      <w:r>
        <w:rPr>
          <w:spacing w:val="-44"/>
        </w:rPr>
        <w:t> </w:t>
      </w:r>
      <w:r>
        <w:rPr>
          <w:rFonts w:ascii="宋体" w:hAnsi="宋体" w:cs="宋体" w:eastAsia="宋体" w:hint="default"/>
        </w:rPr>
        <w:t>35</w:t>
      </w:r>
      <w:r>
        <w:rPr>
          <w:rFonts w:ascii="宋体" w:hAnsi="宋体" w:cs="宋体" w:eastAsia="宋体" w:hint="default"/>
          <w:spacing w:val="-45"/>
        </w:rPr>
        <w:t> </w:t>
      </w:r>
      <w:r>
        <w:rPr>
          <w:spacing w:val="-4"/>
        </w:rPr>
        <w:t>次董事会决议，决定向各股东分配</w:t>
      </w:r>
      <w:r>
        <w:rPr>
          <w:spacing w:val="-45"/>
        </w:rPr>
        <w:t> </w:t>
      </w:r>
      <w:r>
        <w:rPr>
          <w:rFonts w:ascii="宋体" w:hAnsi="宋体" w:cs="宋体" w:eastAsia="宋体" w:hint="default"/>
        </w:rPr>
        <w:t>2015</w:t>
      </w:r>
      <w:r>
        <w:rPr>
          <w:rFonts w:ascii="宋体" w:hAnsi="宋体" w:cs="宋体" w:eastAsia="宋体" w:hint="default"/>
          <w:spacing w:val="-45"/>
        </w:rPr>
        <w:t> </w:t>
      </w:r>
      <w:r>
        <w:rPr/>
        <w:t>年度剩余</w:t>
      </w:r>
      <w:r>
        <w:rPr>
          <w:spacing w:val="-44"/>
        </w:rPr>
        <w:t> </w:t>
      </w:r>
      <w:r>
        <w:rPr>
          <w:rFonts w:ascii="宋体" w:hAnsi="宋体" w:cs="宋体" w:eastAsia="宋体" w:hint="default"/>
          <w:spacing w:val="-3"/>
        </w:rPr>
        <w:t>50.00%</w:t>
      </w:r>
      <w:r>
        <w:rPr>
          <w:spacing w:val="-3"/>
        </w:rPr>
        <w:t>股利，本公司据持股比例计算应收股利并</w:t>
      </w:r>
    </w:p>
    <w:p>
      <w:pPr>
        <w:pStyle w:val="BodyText"/>
        <w:spacing w:line="273" w:lineRule="auto" w:before="37"/>
        <w:ind w:right="320"/>
        <w:jc w:val="both"/>
      </w:pPr>
      <w:r>
        <w:rPr/>
        <w:t>减少长期股权投资账面价值</w:t>
      </w:r>
      <w:r>
        <w:rPr>
          <w:spacing w:val="-55"/>
        </w:rPr>
        <w:t> </w:t>
      </w:r>
      <w:r>
        <w:rPr>
          <w:rFonts w:ascii="宋体" w:hAnsi="宋体" w:cs="宋体" w:eastAsia="宋体" w:hint="default"/>
        </w:rPr>
        <w:t>2,588,109.75</w:t>
      </w:r>
      <w:r>
        <w:rPr>
          <w:rFonts w:ascii="宋体" w:hAnsi="宋体" w:cs="宋体" w:eastAsia="宋体" w:hint="default"/>
          <w:spacing w:val="-54"/>
        </w:rPr>
        <w:t> </w:t>
      </w:r>
      <w:r>
        <w:rPr/>
        <w:t>元；西安德宝于</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7"/>
        </w:rPr>
        <w:t> </w:t>
      </w:r>
      <w:r>
        <w:rPr>
          <w:rFonts w:ascii="宋体" w:hAnsi="宋体" w:cs="宋体" w:eastAsia="宋体" w:hint="default"/>
        </w:rPr>
        <w:t>9</w:t>
      </w:r>
      <w:r>
        <w:rPr>
          <w:rFonts w:ascii="宋体" w:hAnsi="宋体" w:cs="宋体" w:eastAsia="宋体" w:hint="default"/>
          <w:spacing w:val="-55"/>
        </w:rPr>
        <w:t> </w:t>
      </w:r>
      <w:r>
        <w:rPr/>
        <w:t>月召开通过第</w:t>
      </w:r>
      <w:r>
        <w:rPr>
          <w:spacing w:val="-55"/>
        </w:rPr>
        <w:t> </w:t>
      </w:r>
      <w:r>
        <w:rPr>
          <w:rFonts w:ascii="宋体" w:hAnsi="宋体" w:cs="宋体" w:eastAsia="宋体" w:hint="default"/>
        </w:rPr>
        <w:t>36</w:t>
      </w:r>
      <w:r>
        <w:rPr>
          <w:rFonts w:ascii="宋体" w:hAnsi="宋体" w:cs="宋体" w:eastAsia="宋体" w:hint="default"/>
          <w:spacing w:val="-54"/>
        </w:rPr>
        <w:t> </w:t>
      </w:r>
      <w:r>
        <w:rPr/>
        <w:t>次董事会决议，决</w:t>
      </w:r>
      <w:r>
        <w:rPr>
          <w:w w:val="100"/>
        </w:rPr>
        <w:t> </w:t>
      </w:r>
      <w:r>
        <w:rPr/>
        <w:t>定向各股东分配</w:t>
      </w:r>
      <w:r>
        <w:rPr>
          <w:spacing w:val="-57"/>
        </w:rPr>
        <w:t> </w:t>
      </w:r>
      <w:r>
        <w:rPr>
          <w:rFonts w:ascii="宋体" w:hAnsi="宋体" w:cs="宋体" w:eastAsia="宋体" w:hint="default"/>
        </w:rPr>
        <w:t>2016</w:t>
      </w:r>
      <w:r>
        <w:rPr>
          <w:rFonts w:ascii="宋体" w:hAnsi="宋体" w:cs="宋体" w:eastAsia="宋体" w:hint="default"/>
          <w:spacing w:val="-57"/>
        </w:rPr>
        <w:t> </w:t>
      </w:r>
      <w:r>
        <w:rPr/>
        <w:t>年度股利的</w:t>
      </w:r>
      <w:r>
        <w:rPr>
          <w:spacing w:val="-56"/>
        </w:rPr>
        <w:t> </w:t>
      </w:r>
      <w:r>
        <w:rPr>
          <w:rFonts w:ascii="宋体" w:hAnsi="宋体" w:cs="宋体" w:eastAsia="宋体" w:hint="default"/>
        </w:rPr>
        <w:t>50.00%</w:t>
      </w:r>
      <w:r>
        <w:rPr/>
        <w:t>，本公司据持股比例计算应收股利并减少长期股权投资账面价值</w:t>
      </w:r>
      <w:r>
        <w:rPr>
          <w:w w:val="100"/>
        </w:rPr>
        <w:t> </w:t>
      </w:r>
      <w:r>
        <w:rPr>
          <w:rFonts w:ascii="宋体" w:hAnsi="宋体" w:cs="宋体" w:eastAsia="宋体" w:hint="default"/>
        </w:rPr>
        <w:t>2,210,308.58</w:t>
      </w:r>
      <w:r>
        <w:rPr>
          <w:rFonts w:ascii="宋体" w:hAnsi="宋体" w:cs="宋体" w:eastAsia="宋体" w:hint="default"/>
          <w:spacing w:val="-52"/>
        </w:rPr>
        <w:t> </w:t>
      </w:r>
      <w:r>
        <w:rPr/>
        <w:t>元。</w:t>
      </w:r>
    </w:p>
    <w:p>
      <w:pPr>
        <w:pStyle w:val="BodyText"/>
        <w:spacing w:line="273" w:lineRule="auto" w:before="7"/>
        <w:ind w:right="0"/>
        <w:jc w:val="left"/>
      </w:pPr>
      <w:r>
        <w:rPr>
          <w:spacing w:val="-3"/>
        </w:rPr>
        <w:t>（</w:t>
      </w:r>
      <w:r>
        <w:rPr>
          <w:rFonts w:ascii="宋体" w:hAnsi="宋体" w:cs="宋体" w:eastAsia="宋体" w:hint="default"/>
          <w:spacing w:val="-3"/>
        </w:rPr>
        <w:t>2</w:t>
      </w:r>
      <w:r>
        <w:rPr>
          <w:spacing w:val="-3"/>
        </w:rPr>
        <w:t>）长期股权投资</w:t>
      </w:r>
      <w:r>
        <w:rPr>
          <w:rFonts w:ascii="宋体" w:hAnsi="宋体" w:cs="宋体" w:eastAsia="宋体" w:hint="default"/>
          <w:spacing w:val="-3"/>
        </w:rPr>
        <w:t>-</w:t>
      </w:r>
      <w:r>
        <w:rPr>
          <w:spacing w:val="-3"/>
        </w:rPr>
        <w:t>上海久旭环保科技股份有限公司本期变动额主要系：根据</w:t>
      </w:r>
      <w:r>
        <w:rPr>
          <w:spacing w:val="-43"/>
        </w:rPr>
        <w:t> </w:t>
      </w:r>
      <w:r>
        <w:rPr>
          <w:rFonts w:ascii="宋体" w:hAnsi="宋体" w:cs="宋体" w:eastAsia="宋体" w:hint="default"/>
        </w:rPr>
        <w:t>2017</w:t>
      </w:r>
      <w:r>
        <w:rPr>
          <w:rFonts w:ascii="宋体" w:hAnsi="宋体" w:cs="宋体" w:eastAsia="宋体" w:hint="default"/>
          <w:spacing w:val="-44"/>
        </w:rPr>
        <w:t> </w:t>
      </w:r>
      <w:r>
        <w:rPr/>
        <w:t>年</w:t>
      </w:r>
      <w:r>
        <w:rPr>
          <w:spacing w:val="-45"/>
        </w:rPr>
        <w:t> </w:t>
      </w:r>
      <w:r>
        <w:rPr>
          <w:rFonts w:ascii="宋体" w:hAnsi="宋体" w:cs="宋体" w:eastAsia="宋体" w:hint="default"/>
        </w:rPr>
        <w:t>5</w:t>
      </w:r>
      <w:r>
        <w:rPr>
          <w:rFonts w:ascii="宋体" w:hAnsi="宋体" w:cs="宋体" w:eastAsia="宋体" w:hint="default"/>
          <w:spacing w:val="-44"/>
        </w:rPr>
        <w:t> </w:t>
      </w:r>
      <w:r>
        <w:rPr/>
        <w:t>月</w:t>
      </w:r>
      <w:r>
        <w:rPr>
          <w:spacing w:val="-47"/>
        </w:rPr>
        <w:t> </w:t>
      </w:r>
      <w:r>
        <w:rPr>
          <w:rFonts w:ascii="宋体" w:hAnsi="宋体" w:cs="宋体" w:eastAsia="宋体" w:hint="default"/>
        </w:rPr>
        <w:t>27</w:t>
      </w:r>
      <w:r>
        <w:rPr>
          <w:rFonts w:ascii="宋体" w:hAnsi="宋体" w:cs="宋体" w:eastAsia="宋体" w:hint="default"/>
          <w:spacing w:val="-44"/>
        </w:rPr>
        <w:t> </w:t>
      </w:r>
      <w:r>
        <w:rPr/>
        <w:t>日公司与上</w:t>
      </w:r>
      <w:r>
        <w:rPr>
          <w:spacing w:val="-83"/>
        </w:rPr>
        <w:t> </w:t>
      </w:r>
      <w:r>
        <w:rPr>
          <w:spacing w:val="-83"/>
        </w:rPr>
      </w:r>
      <w:r>
        <w:rPr>
          <w:spacing w:val="-5"/>
        </w:rPr>
        <w:t>海贵灵实业有限公司、上海久日投资管理有限公司签订的投资合作协议，本公司与上海贵灵实业有限公司、</w:t>
      </w:r>
      <w:r>
        <w:rPr>
          <w:spacing w:val="-4"/>
        </w:rPr>
        <w:t> </w:t>
      </w:r>
      <w:r>
        <w:rPr>
          <w:spacing w:val="-4"/>
        </w:rPr>
      </w:r>
      <w:r>
        <w:rPr/>
        <w:t>上海久日投资管理有限公司共同出资设立上海久旭环保股份有限公司，本公司认缴出资</w:t>
      </w:r>
      <w:r>
        <w:rPr>
          <w:spacing w:val="-53"/>
        </w:rPr>
        <w:t> </w:t>
      </w:r>
      <w:r>
        <w:rPr>
          <w:rFonts w:ascii="宋体" w:hAnsi="宋体" w:cs="宋体" w:eastAsia="宋体" w:hint="default"/>
        </w:rPr>
        <w:t>2,500.00</w:t>
      </w:r>
      <w:r>
        <w:rPr>
          <w:rFonts w:ascii="宋体" w:hAnsi="宋体" w:cs="宋体" w:eastAsia="宋体" w:hint="default"/>
          <w:spacing w:val="-54"/>
        </w:rPr>
        <w:t> </w:t>
      </w:r>
      <w:r>
        <w:rPr>
          <w:spacing w:val="-3"/>
        </w:rPr>
        <w:t>万元，</w:t>
      </w:r>
      <w:r>
        <w:rPr>
          <w:spacing w:val="-3"/>
          <w:w w:val="100"/>
        </w:rPr>
        <w:t> </w:t>
      </w:r>
      <w:r>
        <w:rPr/>
        <w:t>占认缴出资的</w:t>
      </w:r>
      <w:r>
        <w:rPr>
          <w:spacing w:val="-54"/>
        </w:rPr>
        <w:t> </w:t>
      </w:r>
      <w:r>
        <w:rPr>
          <w:rFonts w:ascii="宋体" w:hAnsi="宋体" w:cs="宋体" w:eastAsia="宋体" w:hint="default"/>
        </w:rPr>
        <w:t>5.00%</w:t>
      </w:r>
      <w:r>
        <w:rPr/>
        <w:t>；实缴出资额</w:t>
      </w:r>
      <w:r>
        <w:rPr>
          <w:spacing w:val="-54"/>
        </w:rPr>
        <w:t> </w:t>
      </w:r>
      <w:r>
        <w:rPr>
          <w:rFonts w:ascii="宋体" w:hAnsi="宋体" w:cs="宋体" w:eastAsia="宋体" w:hint="default"/>
        </w:rPr>
        <w:t>2,500.00</w:t>
      </w:r>
      <w:r>
        <w:rPr>
          <w:rFonts w:ascii="宋体" w:hAnsi="宋体" w:cs="宋体" w:eastAsia="宋体" w:hint="default"/>
          <w:spacing w:val="-57"/>
        </w:rPr>
        <w:t> </w:t>
      </w:r>
      <w:r>
        <w:rPr/>
        <w:t>万元，占实缴出资的</w:t>
      </w:r>
      <w:r>
        <w:rPr>
          <w:spacing w:val="-55"/>
        </w:rPr>
        <w:t> </w:t>
      </w:r>
      <w:r>
        <w:rPr>
          <w:rFonts w:ascii="宋体" w:hAnsi="宋体" w:cs="宋体" w:eastAsia="宋体" w:hint="default"/>
        </w:rPr>
        <w:t>43.10%</w:t>
      </w:r>
      <w:r>
        <w:rPr/>
        <w:t>。根据投资合作协议的约定，上</w:t>
      </w:r>
      <w:r>
        <w:rPr>
          <w:w w:val="100"/>
        </w:rPr>
        <w:t> </w:t>
      </w:r>
      <w:r>
        <w:rPr>
          <w:spacing w:val="-2"/>
        </w:rPr>
        <w:t>海久旭设董事五名，本公司委派一名董事，参与经营决策，对上海久旭施加重大影响，增加长期股权投资</w:t>
      </w:r>
      <w:r>
        <w:rPr>
          <w:spacing w:val="-50"/>
        </w:rPr>
        <w:t> </w:t>
      </w:r>
      <w:r>
        <w:rPr>
          <w:spacing w:val="-50"/>
        </w:rPr>
      </w:r>
      <w:r>
        <w:rPr/>
        <w:t>账面价值</w:t>
      </w:r>
      <w:r>
        <w:rPr>
          <w:spacing w:val="-55"/>
        </w:rPr>
        <w:t> </w:t>
      </w:r>
      <w:r>
        <w:rPr>
          <w:rFonts w:ascii="宋体" w:hAnsi="宋体" w:cs="宋体" w:eastAsia="宋体" w:hint="default"/>
        </w:rPr>
        <w:t>2,500.00</w:t>
      </w:r>
      <w:r>
        <w:rPr>
          <w:rFonts w:ascii="宋体" w:hAnsi="宋体" w:cs="宋体" w:eastAsia="宋体" w:hint="default"/>
          <w:spacing w:val="-58"/>
        </w:rPr>
        <w:t> </w:t>
      </w:r>
      <w:r>
        <w:rPr/>
        <w:t>万元；根据持实缴出资比例确认应享有上海久旭实现净损益的份额，增加长期股权投</w:t>
      </w:r>
    </w:p>
    <w:p>
      <w:pPr>
        <w:pStyle w:val="BodyText"/>
        <w:spacing w:line="240" w:lineRule="auto" w:before="7"/>
        <w:ind w:right="0"/>
        <w:jc w:val="left"/>
      </w:pPr>
      <w:r>
        <w:rPr/>
        <w:t>资账面价值</w:t>
      </w:r>
      <w:r>
        <w:rPr>
          <w:spacing w:val="-51"/>
        </w:rPr>
        <w:t> </w:t>
      </w:r>
      <w:r>
        <w:rPr>
          <w:rFonts w:ascii="宋体" w:hAnsi="宋体" w:cs="宋体" w:eastAsia="宋体" w:hint="default"/>
        </w:rPr>
        <w:t>347.30</w:t>
      </w:r>
      <w:r>
        <w:rPr>
          <w:rFonts w:ascii="宋体" w:hAnsi="宋体" w:cs="宋体" w:eastAsia="宋体" w:hint="default"/>
          <w:spacing w:val="-54"/>
        </w:rPr>
        <w:t> </w:t>
      </w:r>
      <w:r>
        <w:rPr/>
        <w:t>元。</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84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736"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36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190,867,387.83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205,501,645.35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6,253,072.89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8,032,225.30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2,877,752.54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413,532,083.91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618,366.42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30,264,303.47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476,829.25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48,805.64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32,058,304.78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806,728.20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45,934.37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1,502,662.57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618,366.42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29,457,575.27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430,894.88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48,805.64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30,555,642.21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9,977,375.41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307,400.21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10,291,975.62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9,977,375.41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307,400.21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10,291,975.62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191,478,554.25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225,788,573.41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6,903,072.89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8,201,654.34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2,926,558.18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435,298,413.07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36,147,284.96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109,178,487.10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5,152,926.27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5,958,551.55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2,247,345.91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158,684,595.79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5,183,236.94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14,137,287.20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289,036.55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480,277.25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280,068.87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20,369,906.81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5,183,236.94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14,137,287.20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289,036.55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480,277.25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280,068.87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20,369,906.81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7,746,668.66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274,513.10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8,027,661.76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7,746,668.66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274,513.10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8,027,661.76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41,324,041.90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115,569,105.64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5,441,962.82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6,164,315.70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2,527,414.78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171,026,840.84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500" w:bottom="1160" w:left="980" w:right="98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16" w:hRule="exact"/>
        </w:trPr>
        <w:tc>
          <w:tcPr>
            <w:tcW w:w="13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
        </w:tc>
        <w:tc>
          <w:tcPr>
            <w:tcW w:w="1369"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150,154,512.35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110,219,467.77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1,461,110.07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2,037,338.64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399,143.40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264,271,572.23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154,720,102.87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96,323,158.25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1,100,146.62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2,073,673.75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630,406.63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254,847,488.12</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西安环球设备采 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7,292,157.65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7,292,157.65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16,124,092.12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16,124,092.12</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500" w:bottom="1160" w:left="1020" w:right="1020"/>
        </w:sectPr>
      </w:pPr>
    </w:p>
    <w:p>
      <w:pPr>
        <w:spacing w:line="240" w:lineRule="auto" w:before="6"/>
        <w:rPr>
          <w:rFonts w:ascii="宋体" w:hAnsi="宋体" w:cs="宋体" w:eastAsia="宋体" w:hint="default"/>
          <w:sz w:val="2"/>
          <w:szCs w:val="2"/>
        </w:rPr>
      </w:pPr>
    </w:p>
    <w:tbl>
      <w:tblPr>
        <w:tblW w:w="0" w:type="auto"/>
        <w:jc w:val="left"/>
        <w:tblInd w:w="487"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16" w:hRule="exact"/>
        </w:trPr>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天津环球项目</w:t>
            </w:r>
          </w:p>
        </w:tc>
        <w:tc>
          <w:tcPr>
            <w:tcW w:w="136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4,516,339.95</w:t>
            </w:r>
          </w:p>
        </w:tc>
        <w:tc>
          <w:tcPr>
            <w:tcW w:w="1368"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4,516,339.95</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10,604,037.99</w:t>
            </w:r>
          </w:p>
        </w:tc>
        <w:tc>
          <w:tcPr>
            <w:tcW w:w="1366"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10,604,037.99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陕西永鑫设备采 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11,106,942.97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11,106,942.97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22,915,440.57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22,915,440.57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26,728,130.11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26,728,130.11</w:t>
            </w:r>
          </w:p>
        </w:tc>
      </w:tr>
    </w:tbl>
    <w:p>
      <w:pPr>
        <w:spacing w:line="240" w:lineRule="auto" w:before="3"/>
        <w:rPr>
          <w:rFonts w:ascii="宋体" w:hAnsi="宋体" w:cs="宋体" w:eastAsia="宋体" w:hint="default"/>
          <w:sz w:val="19"/>
          <w:szCs w:val="19"/>
        </w:rPr>
      </w:pPr>
    </w:p>
    <w:p>
      <w:pPr>
        <w:pStyle w:val="Heading3"/>
        <w:spacing w:line="335" w:lineRule="exact"/>
        <w:ind w:left="492"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4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492"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4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492"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4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492"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4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492"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492"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4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4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pStyle w:val="Heading3"/>
        <w:spacing w:line="335" w:lineRule="exact"/>
        <w:ind w:left="492"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4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492"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4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492"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492"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4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986"/>
        <w:gridCol w:w="1309"/>
        <w:gridCol w:w="1510"/>
        <w:gridCol w:w="1325"/>
        <w:gridCol w:w="1418"/>
        <w:gridCol w:w="1418"/>
        <w:gridCol w:w="1410"/>
      </w:tblGrid>
      <w:tr>
        <w:trPr>
          <w:trHeight w:val="71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9"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314" w:lineRule="auto" w:before="50"/>
              <w:ind w:left="559" w:right="106" w:hanging="449"/>
              <w:jc w:val="left"/>
              <w:rPr>
                <w:rFonts w:ascii="宋体" w:hAnsi="宋体" w:cs="宋体" w:eastAsia="宋体" w:hint="default"/>
                <w:sz w:val="18"/>
                <w:szCs w:val="18"/>
              </w:rPr>
            </w:pPr>
            <w:r>
              <w:rPr>
                <w:rFonts w:ascii="宋体" w:hAnsi="宋体" w:cs="宋体" w:eastAsia="宋体" w:hint="default"/>
                <w:sz w:val="18"/>
                <w:szCs w:val="18"/>
              </w:rPr>
              <w:t>高新土地使用 权</w:t>
            </w:r>
          </w:p>
        </w:tc>
        <w:tc>
          <w:tcPr>
            <w:tcW w:w="1510"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临潼土地使用权</w:t>
            </w:r>
          </w:p>
        </w:tc>
        <w:tc>
          <w:tcPr>
            <w:tcW w:w="1325"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永旭土地使用权</w:t>
            </w:r>
          </w:p>
        </w:tc>
        <w:tc>
          <w:tcPr>
            <w:tcW w:w="1418"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天津土地使用权</w:t>
            </w:r>
          </w:p>
        </w:tc>
        <w:tc>
          <w:tcPr>
            <w:tcW w:w="1418" w:type="dxa"/>
            <w:tcBorders>
              <w:top w:val="single" w:sz="4" w:space="0" w:color="000000"/>
              <w:left w:val="single" w:sz="4" w:space="0" w:color="000000"/>
              <w:bottom w:val="single" w:sz="4" w:space="0" w:color="000000"/>
              <w:right w:val="single" w:sz="4" w:space="0" w:color="000000"/>
            </w:tcBorders>
            <w:shd w:val="clear" w:color="auto" w:fill="E7E6E6"/>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52" w:footer="980" w:top="1500" w:bottom="1160" w:left="640" w:right="640"/>
        </w:sectPr>
      </w:pPr>
    </w:p>
    <w:tbl>
      <w:tblPr>
        <w:tblW w:w="0" w:type="auto"/>
        <w:jc w:val="left"/>
        <w:tblInd w:w="119" w:type="dxa"/>
        <w:tblLayout w:type="fixed"/>
        <w:tblCellMar>
          <w:top w:w="0" w:type="dxa"/>
          <w:left w:w="0" w:type="dxa"/>
          <w:bottom w:w="0" w:type="dxa"/>
          <w:right w:w="0" w:type="dxa"/>
        </w:tblCellMar>
        <w:tblLook w:val="01E0"/>
      </w:tblPr>
      <w:tblGrid>
        <w:gridCol w:w="1986"/>
        <w:gridCol w:w="1309"/>
        <w:gridCol w:w="1510"/>
        <w:gridCol w:w="1325"/>
        <w:gridCol w:w="1418"/>
        <w:gridCol w:w="1417"/>
        <w:gridCol w:w="1411"/>
      </w:tblGrid>
      <w:tr>
        <w:trPr>
          <w:trHeight w:val="416" w:hRule="exact"/>
        </w:trPr>
        <w:tc>
          <w:tcPr>
            <w:tcW w:w="198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09" w:type="dxa"/>
            <w:tcBorders>
              <w:top w:val="single" w:sz="10" w:space="0" w:color="000000"/>
              <w:left w:val="single" w:sz="4" w:space="0" w:color="000000"/>
              <w:bottom w:val="single" w:sz="4" w:space="0" w:color="000000"/>
              <w:right w:val="single" w:sz="4" w:space="0" w:color="000000"/>
            </w:tcBorders>
          </w:tcPr>
          <w:p>
            <w:pPr/>
          </w:p>
        </w:tc>
        <w:tc>
          <w:tcPr>
            <w:tcW w:w="1510" w:type="dxa"/>
            <w:tcBorders>
              <w:top w:val="single" w:sz="10" w:space="0" w:color="000000"/>
              <w:left w:val="single" w:sz="4" w:space="0" w:color="000000"/>
              <w:bottom w:val="single" w:sz="4" w:space="0" w:color="000000"/>
              <w:right w:val="single" w:sz="4" w:space="0" w:color="000000"/>
            </w:tcBorders>
          </w:tcPr>
          <w:p>
            <w:pPr/>
          </w:p>
        </w:tc>
        <w:tc>
          <w:tcPr>
            <w:tcW w:w="1325" w:type="dxa"/>
            <w:tcBorders>
              <w:top w:val="single" w:sz="10" w:space="0" w:color="000000"/>
              <w:left w:val="single" w:sz="4" w:space="0" w:color="000000"/>
              <w:bottom w:val="single" w:sz="4" w:space="0" w:color="000000"/>
              <w:right w:val="single" w:sz="4" w:space="0" w:color="000000"/>
            </w:tcBorders>
          </w:tcPr>
          <w:p>
            <w:pPr/>
          </w:p>
        </w:tc>
        <w:tc>
          <w:tcPr>
            <w:tcW w:w="1418" w:type="dxa"/>
            <w:tcBorders>
              <w:top w:val="single" w:sz="10" w:space="0" w:color="000000"/>
              <w:left w:val="single" w:sz="4" w:space="0" w:color="000000"/>
              <w:bottom w:val="single" w:sz="4" w:space="0" w:color="000000"/>
              <w:right w:val="single" w:sz="4" w:space="0" w:color="000000"/>
            </w:tcBorders>
          </w:tcPr>
          <w:p>
            <w:pPr/>
          </w:p>
        </w:tc>
        <w:tc>
          <w:tcPr>
            <w:tcW w:w="1417" w:type="dxa"/>
            <w:tcBorders>
              <w:top w:val="single" w:sz="10" w:space="0" w:color="000000"/>
              <w:left w:val="single" w:sz="4" w:space="0" w:color="000000"/>
              <w:bottom w:val="single" w:sz="4" w:space="0" w:color="000000"/>
              <w:right w:val="single" w:sz="4" w:space="0" w:color="000000"/>
            </w:tcBorders>
          </w:tcPr>
          <w:p>
            <w:pPr/>
          </w:p>
        </w:tc>
        <w:tc>
          <w:tcPr>
            <w:tcW w:w="1411"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12,328,794.00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3,717,713.84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4,270,160.00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13,247,880.00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2,950,587.44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36,515,135.28</w:t>
            </w: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659,289.13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659,289.13</w:t>
            </w: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659,289.13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659,289.13</w:t>
            </w: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12,328,794.00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3,717,713.84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4,270,160.00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13,247,880.00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pacing w:val="-1"/>
                <w:sz w:val="18"/>
              </w:rPr>
              <w:t>3,609,876.57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37,174,424.41</w:t>
            </w: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3,032,718.56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675,225.55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1,189,004.81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1,788,463.80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2,271,312.23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8,956,724.95</w:t>
            </w: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291,512.76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95,325.96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96,286.20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264,957.60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281,063.73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1,029,146.25</w:t>
            </w: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291,512.76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95,325.96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96,286.20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264,957.60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281,063.73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1,029,146.25</w:t>
            </w: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3,324,231.32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770,551.51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1,285,291.01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2,053,421.40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2,552,375.96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9,985,871.20</w:t>
            </w: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9,004,562.68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2,947,162.33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2,984,868.99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11,194,458.60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1,057,500.61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27,188,553.21</w:t>
            </w:r>
          </w:p>
        </w:tc>
      </w:tr>
      <w:tr>
        <w:trPr>
          <w:trHeight w:val="401"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9,296,075.44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3,042,488.29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3,081,155.19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11,459,416.20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679,275.21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27,558,410.33</w:t>
            </w:r>
          </w:p>
        </w:tc>
      </w:tr>
    </w:tbl>
    <w:p>
      <w:pPr>
        <w:spacing w:before="44"/>
        <w:ind w:left="49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1"/>
        <w:rPr>
          <w:rFonts w:ascii="宋体" w:hAnsi="宋体" w:cs="宋体" w:eastAsia="宋体" w:hint="default"/>
          <w:sz w:val="21"/>
          <w:szCs w:val="21"/>
        </w:rPr>
      </w:pPr>
    </w:p>
    <w:p>
      <w:pPr>
        <w:pStyle w:val="Heading3"/>
        <w:spacing w:line="240" w:lineRule="auto"/>
        <w:ind w:left="492"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4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492"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4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20" w:bottom="1160" w:left="640" w:right="64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712"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27</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317" w:hRule="exact"/>
        </w:trPr>
        <w:tc>
          <w:tcPr>
            <w:tcW w:w="1368" w:type="dxa"/>
            <w:vMerge w:val="restart"/>
            <w:tcBorders>
              <w:top w:val="single" w:sz="4" w:space="0" w:color="000000"/>
              <w:left w:val="single" w:sz="4" w:space="0" w:color="000000"/>
              <w:right w:val="single" w:sz="4" w:space="0" w:color="000000"/>
            </w:tcBorders>
            <w:shd w:val="clear" w:color="auto" w:fill="D0CECE"/>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nil" w:sz="6" w:space="0" w:color="auto"/>
              <w:right w:val="single" w:sz="4" w:space="0" w:color="000000"/>
            </w:tcBorders>
            <w:shd w:val="clear" w:color="auto" w:fill="D0CECE"/>
          </w:tcPr>
          <w:p>
            <w:pPr/>
          </w:p>
        </w:tc>
        <w:tc>
          <w:tcPr>
            <w:tcW w:w="2734" w:type="dxa"/>
            <w:gridSpan w:val="2"/>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0CECE"/>
          </w:tcPr>
          <w:p>
            <w:pPr/>
          </w:p>
        </w:tc>
      </w:tr>
      <w:tr>
        <w:trPr>
          <w:trHeight w:val="140" w:hRule="exact"/>
        </w:trPr>
        <w:tc>
          <w:tcPr>
            <w:tcW w:w="1368" w:type="dxa"/>
            <w:vMerge/>
            <w:tcBorders>
              <w:left w:val="single" w:sz="4" w:space="0" w:color="000000"/>
              <w:right w:val="single" w:sz="4" w:space="0" w:color="000000"/>
            </w:tcBorders>
            <w:shd w:val="clear" w:color="auto" w:fill="D0CECE"/>
          </w:tcPr>
          <w:p>
            <w:pPr/>
          </w:p>
        </w:tc>
        <w:tc>
          <w:tcPr>
            <w:tcW w:w="1366" w:type="dxa"/>
            <w:vMerge w:val="restart"/>
            <w:tcBorders>
              <w:top w:val="nil" w:sz="6" w:space="0" w:color="auto"/>
              <w:left w:val="single" w:sz="4" w:space="0" w:color="000000"/>
              <w:right w:val="single" w:sz="4" w:space="0" w:color="000000"/>
            </w:tcBorders>
            <w:shd w:val="clear" w:color="auto" w:fill="D0CECE"/>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0CECE"/>
          </w:tcPr>
          <w:p>
            <w:pPr/>
          </w:p>
        </w:tc>
        <w:tc>
          <w:tcPr>
            <w:tcW w:w="2737" w:type="dxa"/>
            <w:gridSpan w:val="2"/>
            <w:vMerge/>
            <w:tcBorders>
              <w:left w:val="single" w:sz="4" w:space="0" w:color="000000"/>
              <w:bottom w:val="single" w:sz="4" w:space="0" w:color="000000"/>
              <w:right w:val="single" w:sz="4" w:space="0" w:color="000000"/>
            </w:tcBorders>
            <w:shd w:val="clear" w:color="auto" w:fill="D0CECE"/>
          </w:tcPr>
          <w:p>
            <w:pPr/>
          </w:p>
        </w:tc>
        <w:tc>
          <w:tcPr>
            <w:tcW w:w="1366" w:type="dxa"/>
            <w:vMerge w:val="restart"/>
            <w:tcBorders>
              <w:top w:val="nil" w:sz="6" w:space="0" w:color="auto"/>
              <w:left w:val="single" w:sz="4" w:space="0" w:color="000000"/>
              <w:right w:val="single" w:sz="4" w:space="0" w:color="000000"/>
            </w:tcBorders>
            <w:shd w:val="clear" w:color="auto" w:fill="D0CECE"/>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68" w:type="dxa"/>
            <w:vMerge/>
            <w:tcBorders>
              <w:left w:val="single" w:sz="4" w:space="0" w:color="000000"/>
              <w:right w:val="single" w:sz="4" w:space="0" w:color="000000"/>
            </w:tcBorders>
            <w:shd w:val="clear" w:color="auto" w:fill="D0CECE"/>
          </w:tcPr>
          <w:p>
            <w:pPr/>
          </w:p>
        </w:tc>
        <w:tc>
          <w:tcPr>
            <w:tcW w:w="1366" w:type="dxa"/>
            <w:vMerge/>
            <w:tcBorders>
              <w:left w:val="single" w:sz="4" w:space="0" w:color="000000"/>
              <w:bottom w:val="nil" w:sz="6" w:space="0" w:color="auto"/>
              <w:right w:val="single" w:sz="4" w:space="0" w:color="000000"/>
            </w:tcBorders>
            <w:shd w:val="clear" w:color="auto" w:fill="D0CECE"/>
          </w:tcPr>
          <w:p>
            <w:pPr/>
          </w:p>
        </w:tc>
        <w:tc>
          <w:tcPr>
            <w:tcW w:w="1368" w:type="dxa"/>
            <w:vMerge w:val="restart"/>
            <w:tcBorders>
              <w:top w:val="single" w:sz="4" w:space="0" w:color="000000"/>
              <w:left w:val="single" w:sz="10" w:space="0" w:color="D0CECE"/>
              <w:right w:val="single" w:sz="13" w:space="0" w:color="D0CECE"/>
            </w:tcBorders>
            <w:shd w:val="clear" w:color="auto" w:fill="D2D2D2"/>
          </w:tcPr>
          <w:p>
            <w:pPr>
              <w:pStyle w:val="TableParagraph"/>
              <w:spacing w:line="240" w:lineRule="auto" w:before="105"/>
              <w:ind w:left="40"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0CECE"/>
          </w:tcPr>
          <w:p>
            <w:pPr/>
          </w:p>
        </w:tc>
        <w:tc>
          <w:tcPr>
            <w:tcW w:w="1368"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0CECE"/>
          </w:tcPr>
          <w:p>
            <w:pPr/>
          </w:p>
        </w:tc>
        <w:tc>
          <w:tcPr>
            <w:tcW w:w="1366" w:type="dxa"/>
            <w:vMerge/>
            <w:tcBorders>
              <w:left w:val="single" w:sz="4" w:space="0" w:color="000000"/>
              <w:bottom w:val="nil" w:sz="6" w:space="0" w:color="auto"/>
              <w:right w:val="single" w:sz="4" w:space="0" w:color="000000"/>
            </w:tcBorders>
            <w:shd w:val="clear" w:color="auto" w:fill="D0CECE"/>
          </w:tcPr>
          <w:p>
            <w:pPr/>
          </w:p>
        </w:tc>
      </w:tr>
      <w:tr>
        <w:trPr>
          <w:trHeight w:val="317" w:hRule="exact"/>
        </w:trPr>
        <w:tc>
          <w:tcPr>
            <w:tcW w:w="1368" w:type="dxa"/>
            <w:vMerge/>
            <w:tcBorders>
              <w:left w:val="single" w:sz="4" w:space="0" w:color="000000"/>
              <w:bottom w:val="single" w:sz="4" w:space="0" w:color="000000"/>
              <w:right w:val="single" w:sz="4" w:space="0" w:color="000000"/>
            </w:tcBorders>
            <w:shd w:val="clear" w:color="auto" w:fill="D0CECE"/>
          </w:tcPr>
          <w:p>
            <w:pPr/>
          </w:p>
        </w:tc>
        <w:tc>
          <w:tcPr>
            <w:tcW w:w="1366" w:type="dxa"/>
            <w:tcBorders>
              <w:top w:val="nil" w:sz="6" w:space="0" w:color="auto"/>
              <w:left w:val="single" w:sz="4" w:space="0" w:color="000000"/>
              <w:bottom w:val="single" w:sz="4" w:space="0" w:color="000000"/>
              <w:right w:val="single" w:sz="4" w:space="0" w:color="000000"/>
            </w:tcBorders>
            <w:shd w:val="clear" w:color="auto" w:fill="D0CECE"/>
          </w:tcPr>
          <w:p>
            <w:pPr/>
          </w:p>
        </w:tc>
        <w:tc>
          <w:tcPr>
            <w:tcW w:w="1368" w:type="dxa"/>
            <w:vMerge/>
            <w:tcBorders>
              <w:left w:val="single" w:sz="10" w:space="0" w:color="D0CECE"/>
              <w:bottom w:val="single" w:sz="4" w:space="0" w:color="000000"/>
              <w:right w:val="single" w:sz="13" w:space="0" w:color="D0CECE"/>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0CECE"/>
          </w:tcPr>
          <w:p>
            <w:pPr/>
          </w:p>
        </w:tc>
        <w:tc>
          <w:tcPr>
            <w:tcW w:w="1368" w:type="dxa"/>
            <w:vMerge/>
            <w:tcBorders>
              <w:left w:val="single" w:sz="4" w:space="0" w:color="000000"/>
              <w:bottom w:val="single" w:sz="4" w:space="0" w:color="000000"/>
              <w:right w:val="single" w:sz="4" w:space="0" w:color="000000"/>
            </w:tcBorders>
            <w:shd w:val="clear" w:color="auto" w:fill="D0CECE"/>
          </w:tcPr>
          <w:p>
            <w:pPr/>
          </w:p>
        </w:tc>
        <w:tc>
          <w:tcPr>
            <w:tcW w:w="1369" w:type="dxa"/>
            <w:vMerge/>
            <w:tcBorders>
              <w:left w:val="single" w:sz="4" w:space="0" w:color="000000"/>
              <w:bottom w:val="single" w:sz="4" w:space="0" w:color="000000"/>
              <w:right w:val="single" w:sz="4" w:space="0" w:color="000000"/>
            </w:tcBorders>
            <w:shd w:val="clear" w:color="auto" w:fill="D0CECE"/>
          </w:tcPr>
          <w:p>
            <w:pPr/>
          </w:p>
        </w:tc>
        <w:tc>
          <w:tcPr>
            <w:tcW w:w="1366" w:type="dxa"/>
            <w:tcBorders>
              <w:top w:val="nil" w:sz="6" w:space="0" w:color="auto"/>
              <w:left w:val="single" w:sz="4" w:space="0" w:color="000000"/>
              <w:bottom w:val="single" w:sz="4" w:space="0" w:color="000000"/>
              <w:right w:val="single" w:sz="4" w:space="0" w:color="000000"/>
            </w:tcBorders>
            <w:shd w:val="clear" w:color="auto" w:fill="D0CECE"/>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商誉系收购价格 与永鑫包装账面 净资产的差额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182,522.18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4" w:space="0" w:color="D0CECE"/>
              <w:left w:val="single" w:sz="4" w:space="0" w:color="000000"/>
              <w:bottom w:val="single" w:sz="4" w:space="0" w:color="000000"/>
              <w:right w:val="single" w:sz="4" w:space="0" w:color="000000"/>
            </w:tcBorders>
          </w:tcPr>
          <w:p>
            <w:pPr/>
          </w:p>
        </w:tc>
        <w:tc>
          <w:tcPr>
            <w:tcW w:w="1368" w:type="dxa"/>
            <w:tcBorders>
              <w:top w:val="single" w:sz="44" w:space="0" w:color="D0CECE"/>
              <w:left w:val="single" w:sz="4" w:space="0" w:color="000000"/>
              <w:bottom w:val="single" w:sz="4" w:space="0" w:color="000000"/>
              <w:right w:val="single" w:sz="4" w:space="0" w:color="000000"/>
            </w:tcBorders>
          </w:tcPr>
          <w:p>
            <w:pPr/>
          </w:p>
        </w:tc>
        <w:tc>
          <w:tcPr>
            <w:tcW w:w="1369" w:type="dxa"/>
            <w:tcBorders>
              <w:top w:val="single" w:sz="44" w:space="0" w:color="D0CECE"/>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182,522.18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73" w:lineRule="auto" w:before="0"/>
        <w:ind w:right="0" w:firstLine="420"/>
        <w:jc w:val="left"/>
      </w:pPr>
      <w:r>
        <w:rPr>
          <w:spacing w:val="-2"/>
        </w:rPr>
        <w:t>期末对商誉进行减值测试，未发现被分配了商誉的资产组或资产组组合的可收回金额低于账面价值的</w:t>
      </w:r>
      <w:r>
        <w:rPr>
          <w:w w:val="100"/>
        </w:rPr>
        <w:t> </w:t>
      </w:r>
      <w:r>
        <w:rPr/>
        <w:t>情形，故未计提减值准备。</w:t>
      </w:r>
    </w:p>
    <w:p>
      <w:pPr>
        <w:spacing w:line="240" w:lineRule="auto" w:before="2"/>
        <w:rPr>
          <w:rFonts w:ascii="宋体" w:hAnsi="宋体" w:cs="宋体" w:eastAsia="宋体" w:hint="default"/>
          <w:sz w:val="29"/>
          <w:szCs w:val="2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模切钢板</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100,267.02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168,205.16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86,547.96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181,924.22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车间</w:t>
            </w:r>
            <w:r>
              <w:rPr>
                <w:rFonts w:ascii="宋体" w:hAnsi="宋体" w:cs="宋体" w:eastAsia="宋体" w:hint="default"/>
                <w:spacing w:val="-82"/>
                <w:sz w:val="18"/>
                <w:szCs w:val="18"/>
              </w:rPr>
              <w:t>、</w:t>
            </w:r>
            <w:r>
              <w:rPr>
                <w:rFonts w:ascii="宋体" w:hAnsi="宋体" w:cs="宋体" w:eastAsia="宋体" w:hint="default"/>
                <w:sz w:val="18"/>
                <w:szCs w:val="18"/>
              </w:rPr>
              <w:t>综合楼装修费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461,006.02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209,800.14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219,119.41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451,686.75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托盘</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65,277.76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128,034.19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27,844.28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165,467.67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压缩机房装修改造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50,536.67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12,995.19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37,541.48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945,945.90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131,381.40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814,564.50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626,550.80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1,502,522.06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477,888.24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1,651,184.62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5"/>
        <w:ind w:right="0" w:firstLine="420"/>
        <w:jc w:val="left"/>
      </w:pPr>
      <w:r>
        <w:rPr>
          <w:spacing w:val="-2"/>
        </w:rPr>
        <w:t>本公司对模切钢板、装修费的摊销期为</w:t>
      </w:r>
      <w:r>
        <w:rPr>
          <w:rFonts w:ascii="Times New Roman" w:hAnsi="Times New Roman" w:cs="Times New Roman" w:eastAsia="Times New Roman" w:hint="default"/>
          <w:spacing w:val="-2"/>
        </w:rPr>
        <w:t>36</w:t>
      </w:r>
      <w:r>
        <w:rPr>
          <w:spacing w:val="-2"/>
        </w:rPr>
        <w:t>个月，托盘的摊销期为</w:t>
      </w:r>
      <w:r>
        <w:rPr>
          <w:rFonts w:ascii="Times New Roman" w:hAnsi="Times New Roman" w:cs="Times New Roman" w:eastAsia="Times New Roman" w:hint="default"/>
          <w:spacing w:val="-2"/>
        </w:rPr>
        <w:t>60</w:t>
      </w:r>
      <w:r>
        <w:rPr>
          <w:spacing w:val="-2"/>
        </w:rPr>
        <w:t>个月，房租摊销期为租赁合同约定</w:t>
      </w:r>
      <w:r>
        <w:rPr>
          <w:w w:val="100"/>
        </w:rPr>
        <w:t> </w:t>
      </w:r>
      <w:r>
        <w:rPr/>
        <w:t>的租赁期限。</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2" w:footer="980" w:top="150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11" w:hRule="exact"/>
        </w:trPr>
        <w:tc>
          <w:tcPr>
            <w:tcW w:w="1912" w:type="dxa"/>
            <w:vMerge w:val="restart"/>
            <w:tcBorders>
              <w:top w:val="single" w:sz="10"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1,594,259.07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239,138.86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1,594,259.07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239,138.86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4"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应收款项坏账准备、存 货跌价准备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9,746,783.10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1,767,901.21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8,724,333.15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1,623,076.98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322,144.76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80,536.19</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11,341,042.17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2,007,040.07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10,640,736.98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1,942,752.03</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FFFFFF"/>
            </w:tcBorders>
            <w:shd w:val="clear" w:color="auto" w:fill="D2D2D2"/>
          </w:tcPr>
          <w:p>
            <w:pPr/>
          </w:p>
        </w:tc>
        <w:tc>
          <w:tcPr>
            <w:tcW w:w="1916" w:type="dxa"/>
            <w:vMerge/>
            <w:tcBorders>
              <w:left w:val="single" w:sz="4" w:space="0" w:color="FFFFFF"/>
              <w:bottom w:val="single" w:sz="4" w:space="0" w:color="000000"/>
              <w:right w:val="single" w:sz="4" w:space="0" w:color="000000"/>
            </w:tcBorders>
            <w:shd w:val="clear" w:color="auto" w:fill="D2D2D2"/>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加速折旧资产所得税负 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50,503.44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12,625.86</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72,557.28</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18,139.32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50,503.44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12,625.86</w:t>
            </w:r>
          </w:p>
        </w:tc>
        <w:tc>
          <w:tcPr>
            <w:tcW w:w="191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72,557.28</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18,139.32</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2,007,040.07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1,942,752.03</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12,625.86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18,139.32</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4,580,859.11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2,005,672.80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4,580,859.11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2,005,672.80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1020" w:right="10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688"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-280,265.41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-280,265.41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-140,478.57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-140,478.57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-271,689.32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-271,689.32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-1,313,239.50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-1,313,239.50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-2,575,286.31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-4,580,959.11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-2,005,672.80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98,146.15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46,181,907.04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121,894,319.74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121,992,465.89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66,181,907.04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2" w:footer="980" w:top="1500" w:bottom="1160" w:left="980" w:right="980"/>
        </w:sectPr>
      </w:pPr>
    </w:p>
    <w:p>
      <w:pPr>
        <w:spacing w:line="240" w:lineRule="auto" w:before="6"/>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16" w:hRule="exact"/>
        </w:trPr>
        <w:tc>
          <w:tcPr>
            <w:tcW w:w="316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6,807,889.18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12,712,984.95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6,807,889.18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12,712,984.95</w:t>
            </w:r>
          </w:p>
        </w:tc>
      </w:tr>
    </w:tbl>
    <w:p>
      <w:pPr>
        <w:spacing w:before="49"/>
        <w:ind w:left="112" w:right="385"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87,841,812.72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79,432,303.29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1,407,437.28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695,121.52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83,979.20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328,186.17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662,744.03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2,451,892.64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89,995,973.23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82,907,503.62</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西安俊星实业有限公司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1,081,599.12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未结算材料款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西安启恒包装有限责任公司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799,470.54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未结算材料款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442,693.75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未结算的工程款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江苏省建工集团有限公司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406,181.69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未结算的工程款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成都金富源包装材料有限公司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171,862.64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未结算材料款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2,901,807.74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2,646,877.09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971,357.41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26,599.69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4,334.10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328,287.64</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1020" w:right="10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16" w:hRule="exact"/>
        </w:trPr>
        <w:tc>
          <w:tcPr>
            <w:tcW w:w="31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294,544.82</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180,706.55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3,009,778.11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1,506,951.29</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before="0"/>
        <w:ind w:left="112" w:right="385"/>
        <w:jc w:val="left"/>
      </w:pPr>
      <w:r>
        <w:rPr/>
        <w:t>期末无账龄超过一年以上大额的预收账款。</w:t>
      </w:r>
    </w:p>
    <w:p>
      <w:pPr>
        <w:spacing w:line="240" w:lineRule="auto" w:before="9"/>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985,443.02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81,780,593.80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76,131,152.06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6,634,884.76</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6,943,879.82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6,818,575.05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125,304.77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985,443.02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88,724,473.62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82,949,727.11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6,760,189.53</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246"/>
        <w:gridCol w:w="1571"/>
        <w:gridCol w:w="1916"/>
        <w:gridCol w:w="1913"/>
        <w:gridCol w:w="1916"/>
      </w:tblGrid>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、工资、奖金、津贴和补贴</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920,567.78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74,348,771.81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69,315,740.36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5,953,599.23</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671,314.00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413,314.00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258,000.00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3,012,242.07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2,962,854.96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49,387.11</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2,672,167.74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2,628,294.24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43,873.50</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243,462.30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239,515.06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3,947.24</w:t>
            </w:r>
          </w:p>
        </w:tc>
      </w:tr>
      <w:tr>
        <w:trPr>
          <w:trHeight w:val="40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right"/>
              <w:rPr>
                <w:rFonts w:ascii="宋体" w:hAnsi="宋体" w:cs="宋体" w:eastAsia="宋体" w:hint="default"/>
                <w:sz w:val="18"/>
                <w:szCs w:val="18"/>
              </w:rPr>
            </w:pPr>
            <w:r>
              <w:rPr>
                <w:rFonts w:ascii="宋体" w:hAnsi="宋体" w:cs="宋体" w:eastAsia="宋体" w:hint="default"/>
                <w:sz w:val="18"/>
                <w:szCs w:val="18"/>
              </w:rPr>
              <w:t>生育保险</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96,612.03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95,045.66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1,566.37</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571" w:type="dxa"/>
            <w:tcBorders>
              <w:top w:val="single" w:sz="4" w:space="0" w:color="000000"/>
              <w:left w:val="single" w:sz="9"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2,556,223.92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2,506,783.00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49,440.92</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、工会经费和职工教育经费</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64,875.24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1,192,042.00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932,459.74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324,457.50</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985,443.02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81,780,593.80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76,131,152.06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6,634,884.76</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2" w:footer="980" w:top="1500" w:bottom="1160" w:left="1020" w:right="1020"/>
        </w:sectPr>
      </w:pPr>
    </w:p>
    <w:p>
      <w:pPr>
        <w:spacing w:line="240" w:lineRule="auto" w:before="6"/>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16" w:hRule="exact"/>
        </w:trPr>
        <w:tc>
          <w:tcPr>
            <w:tcW w:w="188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6,742,038.02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6,620,796.13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121,241.89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201,841.80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197,778.92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4,062.88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6,943,879.82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6,818,575.05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125,304.77</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74,292.37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60,631.62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596,408.79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2,471,615.54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174,008.61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115,181.45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33,087.28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6,276.21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220,111.15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123,533.55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152,256.45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3,013.07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8,346.77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1,469.94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30,921.01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30,306.83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188,708.05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1,297,252.58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3,054,126.97</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219,916.68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219,916.68</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52" w:footer="980" w:top="150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11" w:hRule="exact"/>
        </w:trPr>
        <w:tc>
          <w:tcPr>
            <w:tcW w:w="318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3,053,693.68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8,272,894.88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890,401.00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77,733.00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77,733.00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328,770.00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523,702.41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254,132.41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4,545,530.09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8,933,530.29</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设备款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1020" w:right="10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664"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50,000,000.00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50,000,000.00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150,000,000.00</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50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before="2"/>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13"/>
          <w:szCs w:val="13"/>
        </w:rPr>
      </w:pPr>
    </w:p>
    <w:p>
      <w:pPr>
        <w:pStyle w:val="BodyText"/>
        <w:spacing w:line="386" w:lineRule="auto" w:before="0"/>
        <w:ind w:right="139" w:firstLine="511"/>
        <w:jc w:val="both"/>
      </w:pPr>
      <w:r>
        <w:rPr>
          <w:spacing w:val="-2"/>
        </w:rPr>
        <w:t>本期股本增加系根据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日三届十一次董事会决议，以可供股东分配的利润向全体股东每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w w:val="100"/>
        </w:rPr>
        <w:t> </w:t>
      </w:r>
      <w:r>
        <w:rPr>
          <w:spacing w:val="7"/>
        </w:rPr>
        <w:t>股送</w:t>
      </w:r>
      <w:r>
        <w:rPr>
          <w:rFonts w:ascii="Times New Roman" w:hAnsi="Times New Roman" w:cs="Times New Roman" w:eastAsia="Times New Roman" w:hint="default"/>
          <w:spacing w:val="7"/>
        </w:rPr>
        <w:t>5</w:t>
      </w:r>
      <w:r>
        <w:rPr>
          <w:spacing w:val="7"/>
        </w:rPr>
        <w:t>股红股，合计红股总额为</w:t>
      </w:r>
      <w:r>
        <w:rPr>
          <w:rFonts w:ascii="Times New Roman" w:hAnsi="Times New Roman" w:cs="Times New Roman" w:eastAsia="Times New Roman" w:hint="default"/>
          <w:spacing w:val="7"/>
        </w:rPr>
        <w:t>5,000.00</w:t>
      </w:r>
      <w:r>
        <w:rPr>
          <w:spacing w:val="7"/>
        </w:rPr>
        <w:t>万股，增加股本账面价值</w:t>
      </w:r>
      <w:r>
        <w:rPr>
          <w:rFonts w:ascii="Times New Roman" w:hAnsi="Times New Roman" w:cs="Times New Roman" w:eastAsia="Times New Roman" w:hint="default"/>
          <w:spacing w:val="7"/>
        </w:rPr>
        <w:t>5,000.00</w:t>
      </w:r>
      <w:r>
        <w:rPr>
          <w:spacing w:val="7"/>
        </w:rPr>
        <w:t>万元，送股后总股本增加至</w:t>
      </w:r>
      <w:r>
        <w:rPr>
          <w:spacing w:val="33"/>
        </w:rPr>
        <w:t> </w:t>
      </w:r>
      <w:r>
        <w:rPr>
          <w:rFonts w:ascii="Times New Roman" w:hAnsi="Times New Roman" w:cs="Times New Roman" w:eastAsia="Times New Roman" w:hint="default"/>
        </w:rPr>
        <w:t>15,000.00</w:t>
      </w:r>
      <w:r>
        <w:rPr/>
        <w:t>万股。</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145,424,528.35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138,600.99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145,563,129.34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2,916,394.13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2,796,394.13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148,340,922.48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138,600.99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148,359,523.47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28,731,910.54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2,204,249.48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30,936,160.02</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500" w:bottom="1160" w:left="980" w:right="98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16" w:hRule="exact"/>
        </w:trPr>
        <w:tc>
          <w:tcPr>
            <w:tcW w:w="191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850" w:right="0"/>
              <w:jc w:val="left"/>
              <w:rPr>
                <w:rFonts w:ascii="Times New Roman" w:hAnsi="Times New Roman" w:cs="Times New Roman" w:eastAsia="Times New Roman" w:hint="default"/>
                <w:sz w:val="18"/>
                <w:szCs w:val="18"/>
              </w:rPr>
            </w:pPr>
            <w:r>
              <w:rPr>
                <w:rFonts w:ascii="Times New Roman"/>
                <w:sz w:val="18"/>
              </w:rPr>
              <w:t>28,731,910.54</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2,204,249.48</w:t>
            </w:r>
          </w:p>
        </w:tc>
        <w:tc>
          <w:tcPr>
            <w:tcW w:w="1913" w:type="dxa"/>
            <w:tcBorders>
              <w:top w:val="single" w:sz="10" w:space="0" w:color="000000"/>
              <w:left w:val="single" w:sz="4" w:space="0" w:color="000000"/>
              <w:bottom w:val="single" w:sz="4" w:space="0" w:color="000000"/>
              <w:right w:val="single" w:sz="4" w:space="0" w:color="000000"/>
            </w:tcBorders>
          </w:tcPr>
          <w:p>
            <w:pP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847" w:right="0"/>
              <w:jc w:val="left"/>
              <w:rPr>
                <w:rFonts w:ascii="Times New Roman" w:hAnsi="Times New Roman" w:cs="Times New Roman" w:eastAsia="Times New Roman" w:hint="default"/>
                <w:sz w:val="18"/>
                <w:szCs w:val="18"/>
              </w:rPr>
            </w:pPr>
            <w:r>
              <w:rPr>
                <w:rFonts w:ascii="Times New Roman"/>
                <w:sz w:val="18"/>
              </w:rPr>
              <w:t>30,936,160.02</w:t>
            </w:r>
          </w:p>
        </w:tc>
      </w:tr>
    </w:tbl>
    <w:p>
      <w:pPr>
        <w:spacing w:before="49"/>
        <w:ind w:left="112" w:right="385"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94"/>
        <w:ind w:left="533" w:right="385"/>
        <w:jc w:val="left"/>
      </w:pPr>
      <w:r>
        <w:rPr/>
        <w:t>盈余公积增加系根据公司章程按比例计提。</w:t>
      </w:r>
    </w:p>
    <w:p>
      <w:pPr>
        <w:spacing w:line="240" w:lineRule="auto" w:before="9"/>
        <w:rPr>
          <w:rFonts w:ascii="宋体" w:hAnsi="宋体" w:cs="宋体" w:eastAsia="宋体" w:hint="default"/>
          <w:sz w:val="20"/>
          <w:szCs w:val="20"/>
        </w:rPr>
      </w:pPr>
    </w:p>
    <w:p>
      <w:pPr>
        <w:pStyle w:val="Heading3"/>
        <w:spacing w:line="240" w:lineRule="auto"/>
        <w:ind w:left="112" w:right="385"/>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239,025,013.92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215,165,516.66</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239,025,013.92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215,165,516.66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22,608,687.67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26,795,985.32</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2,204,249.48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2,936,488.06</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189,429,452.11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239,025,013.92</w:t>
            </w:r>
          </w:p>
        </w:tc>
      </w:tr>
    </w:tbl>
    <w:p>
      <w:pPr>
        <w:spacing w:before="49"/>
        <w:ind w:left="112" w:right="385"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435,377,478.53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351,550,737.72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385,103,691.09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304,828,581.04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2,834,018.77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550,042.36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2,398,775.84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438,211,497.30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352,100,780.08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387,502,466.93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304,828,581.04</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1,357,269.08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1,019,569.22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581,686.75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436,696.80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1020" w:right="10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16" w:hRule="exact"/>
        </w:trPr>
        <w:tc>
          <w:tcPr>
            <w:tcW w:w="318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1,835,357.35</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1,424,861.52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640,302.30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497,149.07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8,028.30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7,209.30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327,534.38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305,936.72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44,340.34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387,795.20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291,131.23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36,393.10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13,026.62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5,216,734.04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4,063,287.30</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11,481,700.23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8,438,675.47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834,210.88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1,119,168.06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520,941.04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736,581.37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15,181,699.07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12,399,777.35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128,605.66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137,007.72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121,160.95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213,801.85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230,463.25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695,726.02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444,523.66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29,137,507.28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23,627,357.83</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9,469,210.04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8,605,898.34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税金、上缴基金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740,130.83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1,470,729.76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7,399,093.46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5,301,124.33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300,257.35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307,839.36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461,039.06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476,878.29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162,262.19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173,759.68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安全环保费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958,730.39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912,756.79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917,862.89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767,394.85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1020" w:right="10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16" w:hRule="exact"/>
        </w:trPr>
        <w:tc>
          <w:tcPr>
            <w:tcW w:w="3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912,420.88</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699,577.39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154,600.41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213,413.06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303,257.12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229,247.81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253,228.32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233,903.20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533,530.10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381,405.81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5,599,456.38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4,928,682.64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28,165,079.42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24,702,611.31</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3,189,493.65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7,216,494.82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842,089.58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960,109.42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245,069.36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125,797.16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108,414.17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46,139.48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2,700,887.60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6,428,322.04</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1,052,054.97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505,667.43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28,394.98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1,080,449.95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505,667.43</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5,232,540.18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4,698,673.82</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-134,318.24</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5,232,540.18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4,564,355.58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1020" w:right="10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616"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69</w:t>
      </w:r>
      <w:r>
        <w:rPr/>
        <w:t>、资产处置收益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处置非流动资产收益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11,074.65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减：处置非流动资产损失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1,136,913.54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209,837.03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-1,114,287.69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-198,762.38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2,849,756.00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5,025,971.00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66,991.47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66,991.47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66,991.47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5,062,837.81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66,991.47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年度市 级环境保护 专项补助资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27"/>
              <w:jc w:val="left"/>
              <w:rPr>
                <w:rFonts w:ascii="宋体" w:hAnsi="宋体" w:cs="宋体" w:eastAsia="宋体" w:hint="default"/>
                <w:sz w:val="18"/>
                <w:szCs w:val="18"/>
              </w:rPr>
            </w:pPr>
            <w:r>
              <w:rPr>
                <w:rFonts w:ascii="宋体" w:hAnsi="宋体" w:cs="宋体" w:eastAsia="宋体" w:hint="default"/>
                <w:sz w:val="18"/>
                <w:szCs w:val="18"/>
              </w:rPr>
              <w:t>西安市财政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年西安 市鼓励企业 上市发展专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西安市财政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4" w:right="36"/>
              <w:jc w:val="left"/>
              <w:rPr>
                <w:rFonts w:ascii="宋体" w:hAnsi="宋体" w:cs="宋体" w:eastAsia="宋体" w:hint="default"/>
                <w:sz w:val="18"/>
                <w:szCs w:val="18"/>
              </w:rPr>
            </w:pPr>
            <w:r>
              <w:rPr>
                <w:rFonts w:ascii="宋体" w:hAnsi="宋体" w:cs="宋体" w:eastAsia="宋体" w:hint="default"/>
                <w:sz w:val="18"/>
                <w:szCs w:val="18"/>
              </w:rPr>
              <w:t>兑现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度加快创新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西安高新区 管委会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27"/>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52" w:footer="980" w:top="1500" w:bottom="1160" w:left="980" w:right="980"/>
        </w:sectPr>
      </w:pPr>
    </w:p>
    <w:tbl>
      <w:tblPr>
        <w:tblW w:w="0" w:type="auto"/>
        <w:jc w:val="left"/>
        <w:tblInd w:w="10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999" w:hRule="exact"/>
        </w:trPr>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8"/>
              <w:ind w:left="24" w:right="130"/>
              <w:jc w:val="left"/>
              <w:rPr>
                <w:rFonts w:ascii="宋体" w:hAnsi="宋体" w:cs="宋体" w:eastAsia="宋体" w:hint="default"/>
                <w:sz w:val="18"/>
                <w:szCs w:val="18"/>
              </w:rPr>
            </w:pPr>
            <w:r>
              <w:rPr>
                <w:rFonts w:ascii="宋体" w:hAnsi="宋体" w:cs="宋体" w:eastAsia="宋体" w:hint="default"/>
                <w:sz w:val="18"/>
                <w:szCs w:val="18"/>
              </w:rPr>
              <w:t>驱动发展系 列政策</w:t>
            </w:r>
          </w:p>
        </w:tc>
        <w:tc>
          <w:tcPr>
            <w:tcW w:w="1063" w:type="dxa"/>
            <w:tcBorders>
              <w:top w:val="single" w:sz="10" w:space="0" w:color="000000"/>
              <w:left w:val="single" w:sz="4" w:space="0" w:color="000000"/>
              <w:bottom w:val="single" w:sz="4" w:space="0" w:color="000000"/>
              <w:right w:val="single" w:sz="4" w:space="0" w:color="000000"/>
            </w:tcBorders>
          </w:tcPr>
          <w:p>
            <w:pPr/>
          </w:p>
        </w:tc>
        <w:tc>
          <w:tcPr>
            <w:tcW w:w="1064"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1"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1064"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2" w:lineRule="auto"/>
              <w:ind w:left="24" w:right="36"/>
              <w:jc w:val="left"/>
              <w:rPr>
                <w:rFonts w:ascii="宋体" w:hAnsi="宋体" w:cs="宋体" w:eastAsia="宋体" w:hint="default"/>
                <w:sz w:val="18"/>
                <w:szCs w:val="18"/>
              </w:rPr>
            </w:pPr>
            <w:r>
              <w:rPr>
                <w:rFonts w:ascii="宋体" w:hAnsi="宋体" w:cs="宋体" w:eastAsia="宋体" w:hint="default"/>
                <w:sz w:val="18"/>
                <w:szCs w:val="18"/>
              </w:rPr>
              <w:t>兑现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度加快创新 驱动发展系 列政策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西安高新区 管委会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年外经 贸发展专项 资金进口贴 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27"/>
              <w:jc w:val="left"/>
              <w:rPr>
                <w:rFonts w:ascii="宋体" w:hAnsi="宋体" w:cs="宋体" w:eastAsia="宋体" w:hint="default"/>
                <w:sz w:val="18"/>
                <w:szCs w:val="18"/>
              </w:rPr>
            </w:pPr>
            <w:r>
              <w:rPr>
                <w:rFonts w:ascii="宋体" w:hAnsi="宋体" w:cs="宋体" w:eastAsia="宋体" w:hint="default"/>
                <w:sz w:val="18"/>
                <w:szCs w:val="18"/>
              </w:rPr>
              <w:t>陕西省商务 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350,471.00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09"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年环保 目标责任先 进单位</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西安高新区 管委会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2"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 批污染减排 治理项目补 助资金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天津市北辰 区环境保护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7"/>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0"/>
              <w:ind w:left="24" w:right="22"/>
              <w:jc w:val="left"/>
              <w:rPr>
                <w:rFonts w:ascii="宋体" w:hAnsi="宋体" w:cs="宋体" w:eastAsia="宋体" w:hint="default"/>
                <w:sz w:val="18"/>
                <w:szCs w:val="18"/>
              </w:rPr>
            </w:pPr>
            <w:r>
              <w:rPr>
                <w:rFonts w:ascii="宋体" w:hAnsi="宋体" w:cs="宋体" w:eastAsia="宋体" w:hint="default"/>
                <w:sz w:val="18"/>
                <w:szCs w:val="18"/>
              </w:rPr>
              <w:t>天津市北辰 区科技型中 小企业专项 </w:t>
            </w:r>
            <w:r>
              <w:rPr>
                <w:rFonts w:ascii="宋体" w:hAnsi="宋体" w:cs="宋体" w:eastAsia="宋体" w:hint="default"/>
                <w:spacing w:val="-12"/>
                <w:sz w:val="18"/>
                <w:szCs w:val="18"/>
              </w:rPr>
              <w:t>资金（贷款贴</w:t>
            </w:r>
            <w:r>
              <w:rPr>
                <w:rFonts w:ascii="宋体" w:hAnsi="宋体" w:cs="宋体" w:eastAsia="宋体" w:hint="default"/>
                <w:sz w:val="18"/>
                <w:szCs w:val="18"/>
              </w:rPr>
              <w:t> 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天津市北辰 区科委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西安市实施 名牌战略扶 持企业创驰</w:t>
            </w:r>
          </w:p>
          <w:p>
            <w:pPr>
              <w:pStyle w:val="TableParagraph"/>
              <w:spacing w:line="316" w:lineRule="auto" w:before="19"/>
              <w:ind w:left="24" w:right="22"/>
              <w:jc w:val="left"/>
              <w:rPr>
                <w:rFonts w:ascii="宋体" w:hAnsi="宋体" w:cs="宋体" w:eastAsia="宋体" w:hint="default"/>
                <w:sz w:val="18"/>
                <w:szCs w:val="18"/>
              </w:rPr>
            </w:pPr>
            <w:r>
              <w:rPr>
                <w:rFonts w:ascii="宋体" w:hAnsi="宋体" w:cs="宋体" w:eastAsia="宋体" w:hint="default"/>
                <w:spacing w:val="-12"/>
                <w:sz w:val="18"/>
                <w:szCs w:val="18"/>
              </w:rPr>
              <w:t>（著）名商标</w:t>
            </w:r>
            <w:r>
              <w:rPr>
                <w:rFonts w:ascii="宋体" w:hAnsi="宋体" w:cs="宋体" w:eastAsia="宋体" w:hint="default"/>
                <w:sz w:val="18"/>
                <w:szCs w:val="18"/>
              </w:rPr>
              <w:t> 奖励资金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西安市人民 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24"/>
                <w:sz w:val="18"/>
                <w:szCs w:val="18"/>
              </w:rPr>
              <w:t>特定行业、产</w:t>
            </w:r>
            <w:r>
              <w:rPr>
                <w:rFonts w:ascii="宋体" w:hAnsi="宋体" w:cs="宋体" w:eastAsia="宋体" w:hint="default"/>
                <w:spacing w:val="-72"/>
                <w:sz w:val="18"/>
                <w:szCs w:val="18"/>
              </w:rPr>
              <w:t> </w:t>
            </w:r>
            <w:r>
              <w:rPr>
                <w:rFonts w:ascii="宋体" w:hAnsi="宋体" w:cs="宋体" w:eastAsia="宋体" w:hint="default"/>
                <w:sz w:val="18"/>
                <w:szCs w:val="18"/>
              </w:rPr>
              <w:t>业而获得的</w:t>
            </w:r>
            <w:r>
              <w:rPr>
                <w:rFonts w:ascii="宋体" w:hAnsi="宋体" w:cs="宋体" w:eastAsia="宋体" w:hint="default"/>
                <w:sz w:val="18"/>
                <w:szCs w:val="18"/>
              </w:rPr>
              <w:t>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980" w:top="1520" w:bottom="1160" w:left="1020" w:right="10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75" w:hRule="exact"/>
        </w:trPr>
        <w:tc>
          <w:tcPr>
            <w:tcW w:w="1066"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1064"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right="103"/>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c>
          <w:tcPr>
            <w:tcW w:w="1064" w:type="dxa"/>
            <w:tcBorders>
              <w:top w:val="single" w:sz="10" w:space="0" w:color="000000"/>
              <w:left w:val="single" w:sz="4" w:space="0" w:color="000000"/>
              <w:bottom w:val="single" w:sz="4" w:space="0" w:color="000000"/>
              <w:right w:val="single" w:sz="4" w:space="0" w:color="000000"/>
            </w:tcBorders>
          </w:tcPr>
          <w:p>
            <w:pPr/>
          </w:p>
        </w:tc>
        <w:tc>
          <w:tcPr>
            <w:tcW w:w="1063" w:type="dxa"/>
            <w:tcBorders>
              <w:top w:val="single" w:sz="10"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5,025,971.00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子公司滞纳金及罚款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53,058.00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53,058.01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4,444,631.51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5,565,769.98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413,315.69</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4,374,830.01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5,979,085.67</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26,792,000.88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4,018,800.13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-1,081,337.05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54,739.88</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2,575,286.31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免税投资收益的影响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-784,881.03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加计扣除项目的影响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-548,386.45</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140,608.22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4,374,830.01</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1020" w:right="102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592"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74</w:t>
      </w:r>
      <w:r>
        <w:rPr/>
        <w:t>、其他综合收益</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before="0"/>
        <w:ind w:right="0"/>
        <w:jc w:val="left"/>
      </w:pPr>
      <w:r>
        <w:rPr/>
        <w:t>详见附注。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其他往来增加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1,696,898.47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611,607.90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2,849,756.00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2,675,500.00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收到的贷款贴息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2,350,471.00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842,089.58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960,109.42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66,991.47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36,866.81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5,455,735.52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6,634,555.13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303,257.12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274,218.40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228,658.65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70,540.21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683,203.23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910,341.05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1,134,468.23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1,456,220.59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13,694,801.09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10,169,994.96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144,000.97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160,746.96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制版费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703,736.12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958,730.39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912,756.79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35,157.11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35,471.70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533,530.10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381,405.81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405,642.88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528,478.99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191,304.37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129,100.57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128,605.66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138,612.72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154,600.41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304,245.09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邮电通信费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467,030.17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477,692.20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438,246.62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146,653.73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980" w:right="9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16" w:hRule="exact"/>
        </w:trPr>
        <w:tc>
          <w:tcPr>
            <w:tcW w:w="31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90,651.50</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27,915.00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239,282.25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19,964,128.53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17,067,413.14</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支付的上市相关费用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支付其他与筹资相关的现金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6,620,000.00</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22,417,170.87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26,795,985.32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1,080,449.95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505,667.43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20,369,906.81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18,700,155.24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1,029,146.25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909,565.15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477,888.24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251,784.16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1,114,287.70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198,762.38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1020" w:right="1020"/>
        </w:sectPr>
      </w:pPr>
    </w:p>
    <w:p>
      <w:pPr>
        <w:spacing w:line="240" w:lineRule="auto" w:before="6"/>
        <w:rPr>
          <w:rFonts w:ascii="宋体" w:hAnsi="宋体" w:cs="宋体" w:eastAsia="宋体" w:hint="default"/>
          <w:sz w:val="2"/>
          <w:szCs w:val="2"/>
        </w:rPr>
      </w:pPr>
      <w:r>
        <w:rPr/>
        <w:pict>
          <v:group style="position:absolute;margin-left:223.369995pt;margin-top:117.79998pt;width:151.25pt;height:40.8pt;mso-position-horizontal-relative:page;mso-position-vertical-relative:page;z-index:-753568" coordorigin="4467,2356" coordsize="3025,816">
            <v:group style="position:absolute;left:4478;top:2367;width:2;height:394" coordorigin="4478,2367" coordsize="2,394">
              <v:shape style="position:absolute;left:4478;top:2367;width:2;height:394" coordorigin="4478,2367" coordsize="0,394" path="m4478,2367l4478,2760e" filled="false" stroked="true" strokeweight="1.08pt" strokecolor="#ffffff">
                <v:path arrowok="t"/>
              </v:shape>
            </v:group>
            <v:group style="position:absolute;left:4489;top:2367;width:3003;height:394" coordorigin="4489,2367" coordsize="3003,394">
              <v:shape style="position:absolute;left:4489;top:2367;width:3003;height:394" coordorigin="4489,2367" coordsize="3003,394" path="m4489,2760l7492,2760,7492,2367,4489,2367,4489,2760xe" filled="true" fillcolor="#ffffff" stroked="false">
                <v:path arrowok="t"/>
                <v:fill type="solid"/>
              </v:shape>
            </v:group>
            <v:group style="position:absolute;left:4478;top:2770;width:2;height:392" coordorigin="4478,2770" coordsize="2,392">
              <v:shape style="position:absolute;left:4478;top:2770;width:2;height:392" coordorigin="4478,2770" coordsize="0,392" path="m4478,2770l4478,3161e" filled="false" stroked="true" strokeweight="1.08pt" strokecolor="#ffffff">
                <v:path arrowok="t"/>
              </v:shape>
            </v:group>
            <v:group style="position:absolute;left:4489;top:2770;width:3003;height:392" coordorigin="4489,2770" coordsize="3003,392">
              <v:shape style="position:absolute;left:4489;top:2770;width:3003;height:392" coordorigin="4489,2770" coordsize="3003,392" path="m4489,3161l7492,3161,7492,2770,4489,2770,4489,3161xe" filled="true" fillcolor="#ffffff" stroked="false">
                <v:path arrowok="t"/>
                <v:fill type="solid"/>
              </v:shape>
            </v:group>
            <w10:wrap type="none"/>
          </v:group>
        </w:pict>
      </w:r>
    </w:p>
    <w:tbl>
      <w:tblPr>
        <w:tblW w:w="0" w:type="auto"/>
        <w:jc w:val="left"/>
        <w:tblInd w:w="120" w:type="dxa"/>
        <w:tblLayout w:type="fixed"/>
        <w:tblCellMar>
          <w:top w:w="0" w:type="dxa"/>
          <w:left w:w="0" w:type="dxa"/>
          <w:bottom w:w="0" w:type="dxa"/>
          <w:right w:w="0" w:type="dxa"/>
        </w:tblCellMar>
        <w:tblLook w:val="01E0"/>
      </w:tblPr>
      <w:tblGrid>
        <w:gridCol w:w="3305"/>
        <w:gridCol w:w="1166"/>
        <w:gridCol w:w="1903"/>
        <w:gridCol w:w="3185"/>
      </w:tblGrid>
      <w:tr>
        <w:trPr>
          <w:trHeight w:val="416" w:hRule="exact"/>
        </w:trPr>
        <w:tc>
          <w:tcPr>
            <w:tcW w:w="330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3,189,493.65</w:t>
            </w:r>
          </w:p>
        </w:tc>
        <w:tc>
          <w:tcPr>
            <w:tcW w:w="318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7,272,933.21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-5,232,540.18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-4,564,355.58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66"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-64,288.04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418,829.15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66"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-5,513.46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40" w:right="0"/>
              <w:jc w:val="left"/>
              <w:rPr>
                <w:rFonts w:ascii="Times New Roman" w:hAnsi="Times New Roman" w:cs="Times New Roman" w:eastAsia="Times New Roman" w:hint="default"/>
                <w:sz w:val="18"/>
                <w:szCs w:val="18"/>
              </w:rPr>
            </w:pPr>
            <w:r>
              <w:rPr>
                <w:rFonts w:ascii="Times New Roman"/>
                <w:sz w:val="18"/>
              </w:rPr>
              <w:t>-19,005,110.48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-21,210,332.63</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6,240,477.49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-7,284,176.19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20,300,581.64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19,276,977.75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8" w:right="0"/>
              <w:jc w:val="left"/>
              <w:rPr>
                <w:rFonts w:ascii="Times New Roman" w:hAnsi="Times New Roman" w:cs="Times New Roman" w:eastAsia="Times New Roman" w:hint="default"/>
                <w:sz w:val="18"/>
                <w:szCs w:val="18"/>
              </w:rPr>
            </w:pPr>
            <w:r>
              <w:rPr>
                <w:rFonts w:ascii="Times New Roman"/>
                <w:sz w:val="18"/>
              </w:rPr>
              <w:t>51,911,950.44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41,266,281.93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132,774,482.64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107,578,026.05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107,578,026.05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51,324,612.20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25,196,456.59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56,253,413.85</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132,774,482.64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107,578,026.05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241,151.84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266,403.62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131,409,046.61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106,344,479.52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1,124,284.19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967,142.91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132,774,482.64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107,578,026.05</w:t>
            </w:r>
          </w:p>
        </w:tc>
      </w:tr>
    </w:tbl>
    <w:p>
      <w:pPr>
        <w:spacing w:before="49"/>
        <w:ind w:left="112" w:right="385"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408" w:lineRule="auto" w:before="0"/>
        <w:ind w:left="112" w:right="0" w:firstLine="420"/>
        <w:jc w:val="left"/>
      </w:pPr>
      <w:r>
        <w:rPr>
          <w:spacing w:val="2"/>
        </w:rPr>
        <w:t>本期现金及现金等价物余额与资产负债表货币资金余额不一致的原因主要系其他货币资金中存在到</w:t>
      </w:r>
      <w:r>
        <w:rPr>
          <w:w w:val="100"/>
        </w:rPr>
        <w:t> </w:t>
      </w:r>
      <w:r>
        <w:rPr>
          <w:spacing w:val="-2"/>
        </w:rPr>
        <w:t>期日超过</w:t>
      </w:r>
      <w:r>
        <w:rPr>
          <w:rFonts w:ascii="Times New Roman" w:hAnsi="Times New Roman" w:cs="Times New Roman" w:eastAsia="Times New Roman" w:hint="default"/>
          <w:spacing w:val="-2"/>
        </w:rPr>
        <w:t>3</w:t>
      </w:r>
      <w:r>
        <w:rPr>
          <w:spacing w:val="-2"/>
        </w:rPr>
        <w:t>个月的保证金</w:t>
      </w:r>
      <w:r>
        <w:rPr>
          <w:rFonts w:ascii="Times New Roman" w:hAnsi="Times New Roman" w:cs="Times New Roman" w:eastAsia="Times New Roman" w:hint="default"/>
          <w:spacing w:val="-2"/>
        </w:rPr>
        <w:t>574,099.38</w:t>
      </w:r>
      <w:r>
        <w:rPr>
          <w:spacing w:val="-2"/>
        </w:rPr>
        <w:t>元，该项资金使用权受到限制，故现金及现金等价物余额中未包括此项</w:t>
      </w:r>
    </w:p>
    <w:p>
      <w:pPr>
        <w:spacing w:after="0" w:line="408" w:lineRule="auto"/>
        <w:jc w:val="left"/>
        <w:sectPr>
          <w:pgSz w:w="11910" w:h="16840"/>
          <w:pgMar w:header="852" w:footer="980" w:top="150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59"/>
        <w:ind w:right="0"/>
        <w:jc w:val="left"/>
      </w:pPr>
      <w:r>
        <w:rPr/>
        <w:t>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38"/>
        <w:ind w:right="0"/>
        <w:jc w:val="left"/>
        <w:rPr>
          <w:b w:val="0"/>
          <w:bCs w:val="0"/>
        </w:rPr>
      </w:pPr>
      <w:r>
        <w:rPr>
          <w:rFonts w:ascii="Times New Roman" w:hAnsi="Times New Roman" w:cs="Times New Roman" w:eastAsia="Times New Roman" w:hint="default"/>
        </w:rPr>
        <w:t>77</w:t>
      </w:r>
      <w:r>
        <w:rPr/>
        <w:t>、所有者权益变动表项目注释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78</w:t>
      </w:r>
      <w:r>
        <w:rPr/>
        <w:t>、所有权或使用权受到限制的资产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78"/>
              <w:jc w:val="right"/>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574,099.38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109,051.28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应收账款抵押的保理产品</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478"/>
              <w:jc w:val="righ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683,150.66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434,685.96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2,840,325.00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2,113.22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16,487.98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2,358,212.00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0.0579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136,500.38</w:t>
            </w:r>
          </w:p>
        </w:tc>
      </w:tr>
    </w:tbl>
    <w:p>
      <w:pPr>
        <w:spacing w:line="240" w:lineRule="auto" w:before="3"/>
        <w:rPr>
          <w:rFonts w:ascii="宋体" w:hAnsi="宋体" w:cs="宋体" w:eastAsia="宋体" w:hint="default"/>
          <w:sz w:val="19"/>
          <w:szCs w:val="19"/>
        </w:rPr>
      </w:pPr>
    </w:p>
    <w:p>
      <w:pPr>
        <w:pStyle w:val="Heading3"/>
        <w:spacing w:line="312" w:lineRule="exact" w:before="32"/>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4"/>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81</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80"/>
        </w:sectPr>
      </w:pPr>
    </w:p>
    <w:p>
      <w:pPr>
        <w:pStyle w:val="Heading2"/>
        <w:spacing w:line="355" w:lineRule="exact"/>
        <w:ind w:right="0"/>
        <w:jc w:val="left"/>
        <w:rPr>
          <w:b w:val="0"/>
          <w:bCs w:val="0"/>
        </w:rPr>
      </w:pPr>
      <w:r>
        <w:rPr/>
        <w:pict>
          <v:group style="position:absolute;margin-left:55.200001pt;margin-top:2.202064pt;width:484.9pt;height:.1pt;mso-position-horizontal-relative:page;mso-position-vertical-relative:paragraph;z-index:-753520" coordorigin="1104,44" coordsize="9698,2">
            <v:shape style="position:absolute;left:1104;top:44;width:9698;height:2" coordorigin="1104,44" coordsize="9698,0" path="m1104,44l10802,44e" filled="false" stroked="true" strokeweight=".72pt" strokecolor="#000000">
              <v:path arrowok="t"/>
            </v:shape>
            <w10:wrap type="none"/>
          </v:group>
        </w:pict>
      </w:r>
      <w:r>
        <w:rPr/>
        <w:t>八、合并范围的变更</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446" w:lineRule="auto" w:before="0"/>
        <w:ind w:left="152" w:right="5494"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）本期发生的非同一控制下企业合并</w:t>
      </w:r>
      <w:r>
        <w:rPr>
          <w:rFonts w:ascii="Microsoft JhengHei" w:hAnsi="Microsoft JhengHei" w:cs="Microsoft JhengHei" w:eastAsia="Microsoft JhengHei" w:hint="default"/>
          <w:b/>
          <w:bCs/>
          <w:spacing w:val="-39"/>
          <w:sz w:val="21"/>
          <w:szCs w:val="21"/>
        </w:rPr>
        <w:t> </w:t>
      </w:r>
      <w:r>
        <w:rPr>
          <w:rFonts w:ascii="Microsoft JhengHei" w:hAnsi="Microsoft JhengHei" w:cs="Microsoft JhengHei" w:eastAsia="Microsoft JhengHei" w:hint="default"/>
          <w:b/>
          <w:bCs/>
          <w:spacing w:val="-39"/>
          <w:sz w:val="21"/>
          <w:szCs w:val="21"/>
        </w:rPr>
      </w:r>
      <w:r>
        <w:rPr>
          <w:rFonts w:ascii="宋体" w:hAnsi="宋体" w:cs="宋体" w:eastAsia="宋体" w:hint="default"/>
          <w:spacing w:val="-2"/>
          <w:sz w:val="21"/>
          <w:szCs w:val="21"/>
        </w:rPr>
        <w:t>公司本期未发生非同一控制下企业合并。</w:t>
      </w:r>
    </w:p>
    <w:p>
      <w:pPr>
        <w:pStyle w:val="Heading3"/>
        <w:spacing w:line="240" w:lineRule="auto" w:before="87"/>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446" w:lineRule="auto" w:before="0"/>
        <w:ind w:left="152" w:right="5494"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）本期发生的同一控制下企业合并</w:t>
      </w:r>
      <w:r>
        <w:rPr>
          <w:rFonts w:ascii="Microsoft JhengHei" w:hAnsi="Microsoft JhengHei" w:cs="Microsoft JhengHei" w:eastAsia="Microsoft JhengHei" w:hint="default"/>
          <w:b/>
          <w:bCs/>
          <w:spacing w:val="-40"/>
          <w:sz w:val="21"/>
          <w:szCs w:val="21"/>
        </w:rPr>
        <w:t> </w:t>
      </w:r>
      <w:r>
        <w:rPr>
          <w:rFonts w:ascii="Microsoft JhengHei" w:hAnsi="Microsoft JhengHei" w:cs="Microsoft JhengHei" w:eastAsia="Microsoft JhengHei" w:hint="default"/>
          <w:b/>
          <w:bCs/>
          <w:spacing w:val="-40"/>
          <w:sz w:val="21"/>
          <w:szCs w:val="21"/>
        </w:rPr>
      </w:r>
      <w:r>
        <w:rPr>
          <w:rFonts w:ascii="宋体" w:hAnsi="宋体" w:cs="宋体" w:eastAsia="宋体" w:hint="default"/>
          <w:spacing w:val="-2"/>
          <w:sz w:val="21"/>
          <w:szCs w:val="21"/>
        </w:rPr>
        <w:t>公司本期未发生同一控制下企业合并。</w:t>
      </w:r>
    </w:p>
    <w:p>
      <w:pPr>
        <w:pStyle w:val="Heading3"/>
        <w:spacing w:line="240" w:lineRule="auto" w:before="90"/>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496"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2" w:right="40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九、在其他主体中的权益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pict>
          <v:group style="position:absolute;margin-left:330.670013pt;margin-top:75.364449pt;width:67.8pt;height:74.7pt;mso-position-horizontal-relative:page;mso-position-vertical-relative:paragraph;z-index:-753472" coordorigin="6613,1507" coordsize="1356,1494">
            <v:group style="position:absolute;left:6613;top:1507;width:1356;height:1092" coordorigin="6613,1507" coordsize="1356,1092">
              <v:shape style="position:absolute;left:6613;top:1507;width:1356;height:1092" coordorigin="6613,1507" coordsize="1356,1092" path="m6613,2599l7969,2599,7969,1507,6613,1507,6613,2599xe" filled="true" fillcolor="#ffffff" stroked="false">
                <v:path arrowok="t"/>
                <v:fill type="solid"/>
              </v:shape>
            </v:group>
            <v:group style="position:absolute;left:6624;top:2599;width:2;height:392" coordorigin="6624,2599" coordsize="2,392">
              <v:shape style="position:absolute;left:6624;top:2599;width:2;height:392" coordorigin="6624,2599" coordsize="0,392" path="m6624,2599l6624,2990e" filled="false" stroked="true" strokeweight="1.08pt" strokecolor="#ffffff">
                <v:path arrowok="t"/>
              </v:shape>
            </v:group>
            <v:group style="position:absolute;left:6635;top:2599;width:1311;height:392" coordorigin="6635,2599" coordsize="1311,392">
              <v:shape style="position:absolute;left:6635;top:2599;width:1311;height:392" coordorigin="6635,2599" coordsize="1311,392" path="m6635,2990l7945,2990,7945,2599,6635,2599,6635,2990xe" filled="true" fillcolor="#ffffff" stroked="false">
                <v:path arrowok="t"/>
                <v:fill type="solid"/>
              </v:shape>
            </v:group>
            <w10:wrap type="none"/>
          </v:group>
        </w:pict>
      </w:r>
      <w:r>
        <w:rPr/>
        <w:t>（</w:t>
      </w:r>
      <w:r>
        <w:rPr>
          <w:rFonts w:ascii="Times New Roman" w:hAnsi="Times New Roman" w:cs="Times New Roman" w:eastAsia="Times New Roman" w:hint="default"/>
        </w:rPr>
        <w:t>1</w:t>
      </w:r>
      <w:r>
        <w:rPr/>
        <w:t>）企业集团的构成</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425"/>
        <w:gridCol w:w="943"/>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258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陕西永鑫纸业包 装有限公司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陕西省西安市临 潼区经济开发区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陕西省西安市临 潼区经济开发区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包装装潢设计、 生产和加工各类 包装材料、包装 </w:t>
            </w:r>
            <w:r>
              <w:rPr>
                <w:rFonts w:ascii="宋体" w:hAnsi="宋体" w:cs="宋体" w:eastAsia="宋体" w:hint="default"/>
                <w:spacing w:val="-6"/>
                <w:sz w:val="18"/>
                <w:szCs w:val="18"/>
              </w:rPr>
              <w:t>制品，彩色印刷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高档纸板生产， 销售塑料零件和 其它塑料制品， 销售自产产品。</w:t>
            </w:r>
          </w:p>
        </w:tc>
        <w:tc>
          <w:tcPr>
            <w:tcW w:w="42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13"/>
                <w:szCs w:val="13"/>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西安永旭创新服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西安市高新区科 技一路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号西安 医药园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西安市高新区科 技一路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号西安 医药园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出租实验室、办 公场地、生产场 地及仓储</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r>
        <w:trPr>
          <w:trHeight w:val="161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天津滨海环球印 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天津医药医疗器 械工业园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天津医药医疗器 械工业园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包装装潢印刷品 印刷、其他印刷 品印刷；包装装 潢设计；纸制包 装材料制造、加</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97.50%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7"/>
              <w:ind w:right="0"/>
              <w:jc w:val="left"/>
              <w:rPr>
                <w:rFonts w:ascii="Microsoft JhengHei" w:hAnsi="Microsoft JhengHei" w:cs="Microsoft JhengHei" w:eastAsia="Microsoft JhengHei" w:hint="default"/>
                <w:b/>
                <w:bCs/>
                <w:sz w:val="21"/>
                <w:szCs w:val="21"/>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直接出资取得</w:t>
            </w:r>
          </w:p>
        </w:tc>
      </w:tr>
    </w:tbl>
    <w:p>
      <w:pPr>
        <w:spacing w:after="0" w:line="240" w:lineRule="auto"/>
        <w:jc w:val="left"/>
        <w:rPr>
          <w:rFonts w:ascii="宋体" w:hAnsi="宋体" w:cs="宋体" w:eastAsia="宋体" w:hint="default"/>
          <w:sz w:val="18"/>
          <w:szCs w:val="18"/>
        </w:rPr>
        <w:sectPr>
          <w:pgSz w:w="11910" w:h="16840"/>
          <w:pgMar w:header="852" w:footer="980" w:top="1500" w:bottom="1160" w:left="980" w:right="980"/>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935" w:hRule="exact"/>
        </w:trPr>
        <w:tc>
          <w:tcPr>
            <w:tcW w:w="1371" w:type="dxa"/>
            <w:tcBorders>
              <w:top w:val="single" w:sz="10" w:space="0" w:color="000000"/>
              <w:left w:val="single" w:sz="4" w:space="0" w:color="000000"/>
              <w:bottom w:val="single" w:sz="4" w:space="0" w:color="000000"/>
              <w:right w:val="single" w:sz="4" w:space="0" w:color="000000"/>
            </w:tcBorders>
          </w:tcPr>
          <w:p>
            <w:pPr/>
          </w:p>
        </w:tc>
        <w:tc>
          <w:tcPr>
            <w:tcW w:w="1369"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3"/>
              <w:ind w:left="26" w:right="70"/>
              <w:jc w:val="left"/>
              <w:rPr>
                <w:rFonts w:ascii="宋体" w:hAnsi="宋体" w:cs="宋体" w:eastAsia="宋体" w:hint="default"/>
                <w:sz w:val="18"/>
                <w:szCs w:val="18"/>
              </w:rPr>
            </w:pPr>
            <w:r>
              <w:rPr>
                <w:rFonts w:ascii="宋体" w:hAnsi="宋体" w:cs="宋体" w:eastAsia="宋体" w:hint="default"/>
                <w:sz w:val="18"/>
                <w:szCs w:val="18"/>
              </w:rPr>
              <w:t>工、销售；包装 装潢印刷品技术 开发（国家有专 营、 按专营、专项规 定办理）</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1913" w:lineRule="exact"/>
              <w:ind w:left="2" w:right="-5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7"/>
                <w:sz w:val="20"/>
                <w:szCs w:val="20"/>
              </w:rPr>
              <w:pict>
                <v:group style="width:67.8pt;height:95.7pt;mso-position-horizontal-relative:char;mso-position-vertical-relative:line" coordorigin="0,0" coordsize="1356,1914">
                  <v:group style="position:absolute;left:0;top:0;width:1356;height:1914" coordorigin="0,0" coordsize="1356,1914">
                    <v:shape style="position:absolute;left:0;top:0;width:1356;height:1914" coordorigin="0,0" coordsize="1356,1914" path="m0,1913l1356,1913,1356,0,0,0,0,1913xe" filled="true" fillcolor="#ffffff" stroked="false">
                      <v:path arrowok="t"/>
                      <v:fill type="solid"/>
                    </v:shape>
                  </v:group>
                </v:group>
              </w:pict>
            </w:r>
            <w:r>
              <w:rPr>
                <w:rFonts w:ascii="Microsoft JhengHei" w:hAnsi="Microsoft JhengHei" w:cs="Microsoft JhengHei" w:eastAsia="Microsoft JhengHei" w:hint="default"/>
                <w:position w:val="-37"/>
                <w:sz w:val="20"/>
                <w:szCs w:val="20"/>
              </w:rPr>
            </w:r>
          </w:p>
        </w:tc>
        <w:tc>
          <w:tcPr>
            <w:tcW w:w="1366"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r>
    </w:tbl>
    <w:p>
      <w:pPr>
        <w:spacing w:line="240" w:lineRule="auto" w:before="5"/>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pict>
          <v:shape style="position:absolute;margin-left:279.53299pt;margin-top:-108.709pt;width:118.95pt;height:95.7pt;mso-position-horizontal-relative:page;mso-position-vertical-relative:paragraph;z-index:-753424"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5"/>
                    <w:rPr>
                      <w:rFonts w:ascii="Microsoft JhengHei" w:hAnsi="Microsoft JhengHei" w:cs="Microsoft JhengHei" w:eastAsia="Microsoft JhengHei" w:hint="default"/>
                      <w:b/>
                      <w:bCs/>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专项规定的，</w:t>
                  </w:r>
                </w:p>
              </w:txbxContent>
            </v:textbox>
            <w10:wrap type="none"/>
          </v:shape>
        </w:pict>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Microsoft JhengHei" w:hAnsi="Microsoft JhengHei" w:cs="Microsoft JhengHei" w:eastAsia="Microsoft JhengHei" w:hint="default"/>
                <w:b/>
                <w:bCs/>
                <w:sz w:val="13"/>
                <w:szCs w:val="13"/>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陕西永鑫纸业包装有限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-205,812.76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10,504,906.50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天津滨海环球印务有限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14,295.96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1,372,675.71</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陕西永 鑫纸业 包装有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40,701,1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54.60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21,793,0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46.28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62,494,2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27,477,8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45.87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27,477,8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45.87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24,325,6</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21.88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10,117,6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02.32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34,443,2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24.20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17,873,4</w:t>
            </w:r>
          </w:p>
          <w:p>
            <w:pPr>
              <w:pStyle w:val="TableParagraph"/>
              <w:spacing w:line="240" w:lineRule="auto" w:before="102"/>
              <w:ind w:left="299" w:right="0"/>
              <w:jc w:val="left"/>
              <w:rPr>
                <w:rFonts w:ascii="Times New Roman" w:hAnsi="Times New Roman" w:cs="Times New Roman" w:eastAsia="Times New Roman" w:hint="default"/>
                <w:sz w:val="18"/>
                <w:szCs w:val="18"/>
              </w:rPr>
            </w:pPr>
            <w:r>
              <w:rPr>
                <w:rFonts w:ascii="Times New Roman"/>
                <w:sz w:val="18"/>
              </w:rPr>
              <w:t>14.07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17,873,4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14.07</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天津滨 海环球 印务有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80,650,3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140,700,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699.86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221,351,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094.80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38,327,6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38,327,6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66.46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88,694,0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51.07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143,715,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743.51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232,409,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794.58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60,557,1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60,557,1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20.00</w:t>
            </w:r>
          </w:p>
        </w:tc>
      </w:tr>
    </w:tbl>
    <w:p>
      <w:pPr>
        <w:spacing w:line="240" w:lineRule="auto" w:before="8"/>
        <w:rPr>
          <w:rFonts w:ascii="Microsoft JhengHei" w:hAnsi="Microsoft JhengHei" w:cs="Microsoft JhengHei" w:eastAsia="Microsoft JhengHei" w:hint="default"/>
          <w:b/>
          <w:bCs/>
          <w:sz w:val="22"/>
          <w:szCs w:val="22"/>
        </w:rPr>
      </w:pPr>
    </w:p>
    <w:tbl>
      <w:tblPr>
        <w:tblW w:w="0" w:type="auto"/>
        <w:jc w:val="left"/>
        <w:tblInd w:w="119" w:type="dxa"/>
        <w:tblLayout w:type="fixed"/>
        <w:tblCellMar>
          <w:top w:w="0" w:type="dxa"/>
          <w:left w:w="0" w:type="dxa"/>
          <w:bottom w:w="0" w:type="dxa"/>
          <w:right w:w="0" w:type="dxa"/>
        </w:tblCellMar>
        <w:tblLook w:val="01E0"/>
      </w:tblPr>
      <w:tblGrid>
        <w:gridCol w:w="948"/>
        <w:gridCol w:w="1181"/>
        <w:gridCol w:w="1088"/>
        <w:gridCol w:w="1085"/>
        <w:gridCol w:w="1090"/>
        <w:gridCol w:w="1092"/>
        <w:gridCol w:w="1061"/>
        <w:gridCol w:w="1061"/>
        <w:gridCol w:w="1092"/>
      </w:tblGrid>
      <w:tr>
        <w:trPr>
          <w:trHeight w:val="403" w:hRule="exact"/>
        </w:trPr>
        <w:tc>
          <w:tcPr>
            <w:tcW w:w="9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319" w:lineRule="auto"/>
              <w:ind w:left="379" w:right="106"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4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30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948"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8" w:right="8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1" w:right="8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1" w:right="89"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both"/>
              <w:rPr>
                <w:rFonts w:ascii="宋体" w:hAnsi="宋体" w:cs="宋体" w:eastAsia="宋体" w:hint="default"/>
                <w:sz w:val="18"/>
                <w:szCs w:val="18"/>
              </w:rPr>
            </w:pPr>
            <w:r>
              <w:rPr>
                <w:rFonts w:ascii="宋体" w:hAnsi="宋体" w:cs="宋体" w:eastAsia="宋体" w:hint="default"/>
                <w:sz w:val="18"/>
                <w:szCs w:val="18"/>
              </w:rPr>
              <w:t>陕西永鑫 纸业包装 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45,794,211.38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-1,721,155.12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-1,721,155.12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10,015,418.69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30,279,746.05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-2,125,468.33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-2,125,468.33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-2,258,116.71</w:t>
            </w:r>
          </w:p>
        </w:tc>
      </w:tr>
      <w:tr>
        <w:trPr>
          <w:trHeight w:val="1025"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both"/>
              <w:rPr>
                <w:rFonts w:ascii="宋体" w:hAnsi="宋体" w:cs="宋体" w:eastAsia="宋体" w:hint="default"/>
                <w:sz w:val="18"/>
                <w:szCs w:val="18"/>
              </w:rPr>
            </w:pPr>
            <w:r>
              <w:rPr>
                <w:rFonts w:ascii="宋体" w:hAnsi="宋体" w:cs="宋体" w:eastAsia="宋体" w:hint="default"/>
                <w:sz w:val="18"/>
                <w:szCs w:val="18"/>
              </w:rPr>
              <w:t>天津滨海 环球印务 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122,052,077.99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11,170,753.76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11,170,753.76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-8,561,848.81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96,290,257.90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4,943,690.88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4,943,690.88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15,552,097.58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980" w:right="980"/>
        </w:sectPr>
      </w:pPr>
    </w:p>
    <w:p>
      <w:pPr>
        <w:pStyle w:val="Heading3"/>
        <w:spacing w:line="338" w:lineRule="exact"/>
        <w:ind w:right="0"/>
        <w:jc w:val="left"/>
        <w:rPr>
          <w:b w:val="0"/>
          <w:bCs w:val="0"/>
        </w:rPr>
      </w:pPr>
      <w:r>
        <w:rPr/>
        <w:pict>
          <v:shape style="position:absolute;margin-left:288.53299pt;margin-top:551.115967pt;width:109.95pt;height:92.55pt;mso-position-horizontal-relative:page;mso-position-vertical-relative:page;z-index:-753400" type="#_x0000_t202" filled="false" stroked="false">
            <v:textbox inset="0,0,0,0">
              <w:txbxContent>
                <w:p>
                  <w:pPr>
                    <w:spacing w:line="240" w:lineRule="auto" w:before="10"/>
                    <w:rPr>
                      <w:rFonts w:ascii="Microsoft JhengHei" w:hAnsi="Microsoft JhengHei" w:cs="Microsoft JhengHei" w:eastAsia="Microsoft JhengHei" w:hint="default"/>
                      <w:b/>
                      <w:bCs/>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网络信息、</w:t>
                  </w: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4"/>
                    <w:rPr>
                      <w:rFonts w:ascii="Microsoft JhengHei" w:hAnsi="Microsoft JhengHei" w:cs="Microsoft JhengHei" w:eastAsia="Microsoft JhengHei" w:hint="default"/>
                      <w:b/>
                      <w:bCs/>
                      <w:sz w:val="22"/>
                      <w:szCs w:val="22"/>
                    </w:rPr>
                  </w:pPr>
                </w:p>
                <w:p>
                  <w:pPr>
                    <w:spacing w:before="0"/>
                    <w:ind w:left="359" w:right="0" w:firstLine="0"/>
                    <w:jc w:val="left"/>
                    <w:rPr>
                      <w:rFonts w:ascii="宋体" w:hAnsi="宋体" w:cs="宋体" w:eastAsia="宋体" w:hint="default"/>
                      <w:sz w:val="18"/>
                      <w:szCs w:val="18"/>
                    </w:rPr>
                  </w:pPr>
                  <w:r>
                    <w:rPr>
                      <w:rFonts w:ascii="宋体" w:hAnsi="宋体" w:cs="宋体" w:eastAsia="宋体" w:hint="default"/>
                      <w:sz w:val="18"/>
                      <w:szCs w:val="18"/>
                    </w:rPr>
                    <w:t>咨询、</w:t>
                  </w:r>
                </w:p>
              </w:txbxContent>
            </v:textbox>
            <w10:wrap type="none"/>
          </v:shape>
        </w:pict>
      </w:r>
      <w:r>
        <w:rPr/>
        <w:pict>
          <v:shape style="position:absolute;margin-left:306.53299pt;margin-top:663.335999pt;width:91.95pt;height:92.55pt;mso-position-horizontal-relative:page;mso-position-vertical-relative:page;z-index:-753376"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
                    <w:rPr>
                      <w:rFonts w:ascii="Microsoft JhengHei" w:hAnsi="Microsoft JhengHei" w:cs="Microsoft JhengHei" w:eastAsia="Microsoft JhengHei" w:hint="default"/>
                      <w:b/>
                      <w:bCs/>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智能、</w:t>
                  </w:r>
                </w:p>
              </w:txbxContent>
            </v:textbox>
            <w10:wrap type="none"/>
          </v:shape>
        </w:pict>
      </w:r>
      <w:r>
        <w:rPr/>
        <w:pict>
          <v:group style="position:absolute;margin-left:55.200001pt;margin-top:2.202064pt;width:484.9pt;height:.1pt;mso-position-horizontal-relative:page;mso-position-vertical-relative:paragraph;z-index:-753352" coordorigin="1104,44" coordsize="9698,2">
            <v:shape style="position:absolute;left:1104;top:44;width:9698;height:2" coordorigin="1104,44" coordsize="9698,0" path="m1104,44l10802,44e" filled="false" stroked="true" strokeweight=".72pt" strokecolor="#000000">
              <v:path arrowok="t"/>
            </v:shape>
            <w10:wrap type="none"/>
          </v:group>
        </w:pict>
      </w:r>
      <w:r>
        <w:rPr/>
        <w:pict>
          <v:group style="position:absolute;margin-left:330.670013pt;margin-top:551.115967pt;width:67.8pt;height:92.55pt;mso-position-horizontal-relative:page;mso-position-vertical-relative:page;z-index:-753328" coordorigin="6613,11022" coordsize="1356,1851">
            <v:shape style="position:absolute;left:6613;top:11022;width:1356;height:1851" coordorigin="6613,11022" coordsize="1356,1851" path="m6613,12873l7969,12873,7969,11022,6613,11022,6613,12873xe" filled="true" fillcolor="#ffffff" stroked="false">
              <v:path arrowok="t"/>
              <v:fill type="solid"/>
            </v:shape>
            <w10:wrap type="none"/>
          </v:group>
        </w:pict>
      </w:r>
      <w:r>
        <w:rPr/>
        <w:pict>
          <v:group style="position:absolute;margin-left:330.670013pt;margin-top:663.335999pt;width:67.8pt;height:92.55pt;mso-position-horizontal-relative:page;mso-position-vertical-relative:page;z-index:-753304" coordorigin="6613,13267" coordsize="1356,1851">
            <v:shape style="position:absolute;left:6613;top:13267;width:1356;height:1851" coordorigin="6613,13267" coordsize="1356,1851" path="m6613,15117l7969,15117,7969,13267,6613,13267,6613,15117xe" filled="true" fillcolor="#ffffff" stroked="false">
              <v:path arrowok="t"/>
              <v:fill type="solid"/>
            </v:shape>
            <w10:wrap type="none"/>
          </v:group>
        </w:pict>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4"/>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469"/>
        <w:gridCol w:w="899"/>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西安德宝药用包 装有限公司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开发、生产、销 售药用包装铝管 及相关包装材料 产品</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10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0"/>
                <w:szCs w:val="10"/>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上海久旭环保科 技股份有限公司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上海市普陀区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环保、印务、计 算机、 通信、电子、生 物、新媒体、农 业科技的技术开 </w:t>
            </w:r>
            <w:r>
              <w:rPr>
                <w:rFonts w:ascii="宋体" w:hAnsi="宋体" w:cs="宋体" w:eastAsia="宋体" w:hint="default"/>
                <w:spacing w:val="-4"/>
                <w:sz w:val="18"/>
                <w:szCs w:val="18"/>
              </w:rPr>
              <w:t>发、转让、</w:t>
            </w:r>
            <w:r>
              <w:rPr>
                <w:rFonts w:ascii="宋体" w:hAnsi="宋体" w:cs="宋体" w:eastAsia="宋体" w:hint="default"/>
                <w:sz w:val="18"/>
                <w:szCs w:val="18"/>
              </w:rPr>
              <w:t> 服务，计算机技 术开发与销售， 计算机、电子产 品等销售， 通信、电子设备 等安装、销售， 商务咨询，进出</w:t>
            </w:r>
          </w:p>
        </w:tc>
        <w:tc>
          <w:tcPr>
            <w:tcW w:w="469" w:type="dxa"/>
            <w:tcBorders>
              <w:top w:val="single" w:sz="4" w:space="0" w:color="000000"/>
              <w:left w:val="single" w:sz="4" w:space="0" w:color="000000"/>
              <w:bottom w:val="single" w:sz="4" w:space="0" w:color="000000"/>
              <w:right w:val="nil" w:sz="6" w:space="0" w:color="auto"/>
            </w:tcBorders>
          </w:tcPr>
          <w:p>
            <w:pPr/>
          </w:p>
        </w:tc>
        <w:tc>
          <w:tcPr>
            <w:tcW w:w="89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852" w:footer="980" w:top="1500" w:bottom="1160" w:left="980" w:right="980"/>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75" w:hRule="exact"/>
        </w:trPr>
        <w:tc>
          <w:tcPr>
            <w:tcW w:w="1371" w:type="dxa"/>
            <w:tcBorders>
              <w:top w:val="single" w:sz="10" w:space="0" w:color="000000"/>
              <w:left w:val="single" w:sz="4" w:space="0" w:color="000000"/>
              <w:bottom w:val="single" w:sz="4" w:space="0" w:color="000000"/>
              <w:right w:val="single" w:sz="4" w:space="0" w:color="000000"/>
            </w:tcBorders>
          </w:tcPr>
          <w:p>
            <w:pPr/>
          </w:p>
        </w:tc>
        <w:tc>
          <w:tcPr>
            <w:tcW w:w="1369"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口业务</w:t>
            </w:r>
          </w:p>
        </w:tc>
        <w:tc>
          <w:tcPr>
            <w:tcW w:w="1368"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
        </w:tc>
      </w:tr>
    </w:tbl>
    <w:p>
      <w:pPr>
        <w:spacing w:line="240" w:lineRule="auto" w:before="5"/>
        <w:rPr>
          <w:rFonts w:ascii="Microsoft JhengHei" w:hAnsi="Microsoft JhengHei" w:cs="Microsoft JhengHei" w:eastAsia="Microsoft JhengHei" w:hint="default"/>
          <w:b/>
          <w:bCs/>
          <w:sz w:val="14"/>
          <w:szCs w:val="14"/>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tabs>
          <w:tab w:pos="8944" w:val="left" w:leader="none"/>
        </w:tabs>
        <w:spacing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单位名称：西安德宝药用包装有限公司</w:t>
        <w:tab/>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55,856,838.85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52,538,570.39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50,595,379.20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52,588,872.44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106,452,218.05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105,127,442.83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17,033,294.89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16,651,507.83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17,033,294.89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16,651,507.83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41,132,732.95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40,698,930.10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41,132,732.95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40,698,958.40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64,677,638.62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62,722,656.48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11,374,332.35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10,214,508.30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11,374,332.35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10,214,508.30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4,798,418.33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5,486,808.18</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after="0" w:line="240" w:lineRule="auto"/>
        <w:jc w:val="left"/>
        <w:sectPr>
          <w:footerReference w:type="default" r:id="rId26"/>
          <w:pgSz w:w="11910" w:h="16840"/>
          <w:pgMar w:footer="1539" w:header="852" w:top="1500" w:bottom="1720" w:left="1020" w:right="1020"/>
          <w:pgNumType w:start="163"/>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280"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4</w:t>
      </w:r>
      <w:r>
        <w:rPr/>
        <w:t>、重要的共同经营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十、与金融工具相关的风险</w:t>
      </w:r>
      <w:r>
        <w:rPr>
          <w:b w:val="0"/>
          <w:bCs w:val="0"/>
        </w:rPr>
      </w:r>
    </w:p>
    <w:p>
      <w:pPr>
        <w:spacing w:line="240" w:lineRule="auto" w:before="6"/>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after="0" w:line="240" w:lineRule="auto"/>
        <w:jc w:val="left"/>
        <w:sectPr>
          <w:pgSz w:w="11910" w:h="16840"/>
          <w:pgMar w:header="852" w:footer="1539" w:top="1500" w:bottom="172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2"/>
          <w:szCs w:val="12"/>
        </w:rPr>
      </w:pPr>
    </w:p>
    <w:p>
      <w:pPr>
        <w:pStyle w:val="Heading3"/>
        <w:spacing w:line="335" w:lineRule="exact"/>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十二、关联方及关联交易</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pict>
          <v:group style="position:absolute;margin-left:296.089996pt;margin-top:70.804443pt;width:79.25pt;height:124.85pt;mso-position-horizontal-relative:page;mso-position-vertical-relative:paragraph;z-index:-753232" coordorigin="5922,1416" coordsize="1585,2497">
            <v:shape style="position:absolute;left:5922;top:1416;width:1585;height:2497" coordorigin="5922,1416" coordsize="1585,2497" path="m5922,3912l7506,3912,7506,1416,5922,1416,5922,3912xe" filled="true" fillcolor="#ffffff" stroked="false">
              <v:path arrowok="t"/>
              <v:fill type="solid"/>
            </v:shape>
            <w10:wrap type="none"/>
          </v:group>
        </w:pict>
      </w: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539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陕西医药控股集团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西安市高新区科技 二路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医药及相关产业投 </w:t>
            </w:r>
            <w:r>
              <w:rPr>
                <w:rFonts w:ascii="宋体" w:hAnsi="宋体" w:cs="宋体" w:eastAsia="宋体" w:hint="default"/>
                <w:spacing w:val="-10"/>
                <w:sz w:val="18"/>
                <w:szCs w:val="18"/>
              </w:rPr>
              <w:t>资、医药企业受托管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理、资产重组；医药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实业投资项目的咨 询服务；办理药品 医疗器械的展览展 </w:t>
            </w:r>
            <w:r>
              <w:rPr>
                <w:rFonts w:ascii="宋体" w:hAnsi="宋体" w:cs="宋体" w:eastAsia="宋体" w:hint="default"/>
                <w:spacing w:val="-10"/>
                <w:sz w:val="18"/>
                <w:szCs w:val="18"/>
              </w:rPr>
              <w:t>销；中西药品、生物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制品、医药保健品的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开发研制；医药行业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的人员上岗培训</w:t>
            </w:r>
            <w:r>
              <w:rPr>
                <w:rFonts w:ascii="Times New Roman" w:hAnsi="Times New Roman" w:cs="Times New Roman" w:eastAsia="Times New Roman" w:hint="default"/>
                <w:sz w:val="18"/>
                <w:szCs w:val="18"/>
              </w:rPr>
              <w:t>(</w:t>
            </w:r>
            <w:r>
              <w:rPr>
                <w:rFonts w:ascii="宋体" w:hAnsi="宋体" w:cs="宋体" w:eastAsia="宋体" w:hint="default"/>
                <w:sz w:val="18"/>
                <w:szCs w:val="18"/>
              </w:rPr>
              <w:t>上 述范围中国家法律 行政法规和国务院 决定规定必须报经 </w:t>
            </w:r>
            <w:r>
              <w:rPr>
                <w:rFonts w:ascii="宋体" w:hAnsi="宋体" w:cs="宋体" w:eastAsia="宋体" w:hint="default"/>
                <w:spacing w:val="-10"/>
                <w:sz w:val="18"/>
                <w:szCs w:val="18"/>
              </w:rPr>
              <w:t>批准的，凭许可证在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有效期内经营；未经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批准不得从事经营 活动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20"/>
                <w:szCs w:val="20"/>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3"/>
              <w:ind w:right="0"/>
              <w:jc w:val="left"/>
              <w:rPr>
                <w:rFonts w:ascii="Microsoft JhengHei" w:hAnsi="Microsoft JhengHei" w:cs="Microsoft JhengHei" w:eastAsia="Microsoft JhengHei"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167,100.00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9"/>
              <w:ind w:right="0"/>
              <w:jc w:val="left"/>
              <w:rPr>
                <w:rFonts w:ascii="Microsoft JhengHei" w:hAnsi="Microsoft JhengHei" w:cs="Microsoft JhengHei" w:eastAsia="Microsoft JhengHei" w:hint="default"/>
                <w:b/>
                <w:bCs/>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2"/>
                <w:szCs w:val="22"/>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46.25%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22"/>
                <w:szCs w:val="2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46.25%</w:t>
            </w:r>
          </w:p>
        </w:tc>
      </w:tr>
    </w:tbl>
    <w:p>
      <w:pPr>
        <w:spacing w:before="49"/>
        <w:ind w:left="152" w:right="0" w:firstLine="0"/>
        <w:jc w:val="left"/>
        <w:rPr>
          <w:rFonts w:ascii="宋体" w:hAnsi="宋体" w:cs="宋体" w:eastAsia="宋体" w:hint="default"/>
          <w:sz w:val="18"/>
          <w:szCs w:val="18"/>
        </w:rPr>
      </w:pPr>
      <w:r>
        <w:rPr/>
        <w:pict>
          <v:group style="position:absolute;margin-left:296.089996pt;margin-top:-125.27829pt;width:79.25pt;height:124.8pt;mso-position-horizontal-relative:page;mso-position-vertical-relative:paragraph;z-index:-753208" coordorigin="5922,-2506" coordsize="1585,2496">
            <v:shape style="position:absolute;left:5922;top:-2506;width:1585;height:2496" coordorigin="5922,-2506" coordsize="1585,2496" path="m5922,-10l7506,-10,7506,-2506,5922,-2506,5922,-10xe" filled="true" fillcolor="#ffffff" stroked="false">
              <v:path arrowok="t"/>
              <v:fill type="solid"/>
            </v:shape>
            <w10:wrap type="none"/>
          </v:group>
        </w:pict>
      </w:r>
      <w:r>
        <w:rPr>
          <w:rFonts w:ascii="宋体" w:hAnsi="宋体" w:cs="宋体" w:eastAsia="宋体" w:hint="default"/>
          <w:sz w:val="18"/>
          <w:szCs w:val="18"/>
        </w:rPr>
        <w:t>本企业的母公司情况的说明</w:t>
      </w:r>
    </w:p>
    <w:p>
      <w:pPr>
        <w:pStyle w:val="BodyText"/>
        <w:spacing w:line="240" w:lineRule="auto" w:before="97"/>
        <w:ind w:right="0"/>
        <w:jc w:val="left"/>
      </w:pPr>
      <w:r>
        <w:rPr/>
        <w:t>本企业最终控制方是陕西医药控股集团有限责任公司。</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right="182" w:firstLine="420"/>
        <w:jc w:val="left"/>
      </w:pPr>
      <w:r>
        <w:rPr/>
        <w:t>本企业子公司的情况详见附注 </w:t>
      </w:r>
      <w:r>
        <w:rPr>
          <w:rFonts w:ascii="Times New Roman" w:hAnsi="Times New Roman" w:cs="Times New Roman" w:eastAsia="Times New Roman" w:hint="default"/>
        </w:rPr>
        <w:t>“</w:t>
      </w:r>
      <w:r>
        <w:rPr/>
        <w:t>第十一节</w:t>
      </w:r>
      <w:r>
        <w:rPr>
          <w:spacing w:val="-9"/>
        </w:rPr>
        <w:t> </w:t>
      </w:r>
      <w:r>
        <w:rPr/>
        <w:t>财务报告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“1</w:t>
      </w:r>
      <w:r>
        <w:rPr/>
        <w:t>、在子公司中</w:t>
      </w:r>
      <w:r>
        <w:rPr>
          <w:w w:val="100"/>
        </w:rPr>
        <w:t> </w:t>
      </w:r>
      <w:r>
        <w:rPr/>
        <w:t>的权益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）企业集团的构成</w:t>
      </w:r>
      <w:r>
        <w:rPr>
          <w:rFonts w:ascii="Times New Roman" w:hAnsi="Times New Roman" w:cs="Times New Roman" w:eastAsia="Times New Roman" w:hint="default"/>
        </w:rPr>
        <w:t>”</w:t>
      </w:r>
      <w:r>
        <w:rPr/>
        <w:t>。</w:t>
      </w:r>
    </w:p>
    <w:p>
      <w:pPr>
        <w:spacing w:after="0" w:line="386" w:lineRule="auto"/>
        <w:jc w:val="left"/>
        <w:sectPr>
          <w:footerReference w:type="default" r:id="rId27"/>
          <w:pgSz w:w="11910" w:h="16840"/>
          <w:pgMar w:footer="980" w:header="852" w:top="1500" w:bottom="1160" w:left="980" w:right="980"/>
          <w:pgNumType w:start="165"/>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184"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3</w:t>
      </w:r>
      <w:r>
        <w:rPr/>
        <w:t>、本企业合营和联营企业情况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right="0" w:firstLine="211"/>
        <w:jc w:val="left"/>
      </w:pPr>
      <w:r>
        <w:rPr/>
        <w:t>本企业重要的合营或联营企业详见附注</w:t>
      </w:r>
      <w:r>
        <w:rPr>
          <w:rFonts w:ascii="Times New Roman" w:hAnsi="Times New Roman" w:cs="Times New Roman" w:eastAsia="Times New Roman" w:hint="default"/>
        </w:rPr>
        <w:t>“</w:t>
      </w:r>
      <w:r>
        <w:rPr/>
        <w:t>第十一节</w:t>
      </w:r>
      <w:r>
        <w:rPr>
          <w:spacing w:val="40"/>
        </w:rPr>
        <w:t> </w:t>
      </w:r>
      <w:r>
        <w:rPr>
          <w:spacing w:val="-5"/>
        </w:rPr>
        <w:t>财务报告</w:t>
      </w:r>
      <w:r>
        <w:rPr>
          <w:rFonts w:ascii="Times New Roman" w:hAnsi="Times New Roman" w:cs="Times New Roman" w:eastAsia="Times New Roman" w:hint="default"/>
          <w:spacing w:val="-5"/>
        </w:rPr>
        <w:t>”</w:t>
      </w:r>
      <w:r>
        <w:rPr>
          <w:spacing w:val="-5"/>
        </w:rPr>
        <w:t>之</w:t>
      </w:r>
      <w:r>
        <w:rPr>
          <w:rFonts w:ascii="Times New Roman" w:hAnsi="Times New Roman" w:cs="Times New Roman" w:eastAsia="Times New Roman" w:hint="default"/>
          <w:spacing w:val="-5"/>
        </w:rPr>
        <w:t>“</w:t>
      </w:r>
      <w:r>
        <w:rPr>
          <w:spacing w:val="-5"/>
        </w:rPr>
        <w:t>九、在其他主体中的权益</w:t>
      </w:r>
      <w:r>
        <w:rPr>
          <w:rFonts w:ascii="Times New Roman" w:hAnsi="Times New Roman" w:cs="Times New Roman" w:eastAsia="Times New Roman" w:hint="default"/>
          <w:spacing w:val="-5"/>
        </w:rPr>
        <w:t>”</w:t>
      </w:r>
      <w:r>
        <w:rPr>
          <w:spacing w:val="-5"/>
        </w:rPr>
        <w:t>之</w:t>
      </w:r>
      <w:r>
        <w:rPr>
          <w:rFonts w:ascii="Times New Roman" w:hAnsi="Times New Roman" w:cs="Times New Roman" w:eastAsia="Times New Roman" w:hint="default"/>
          <w:spacing w:val="-5"/>
        </w:rPr>
        <w:t>“3</w:t>
      </w:r>
      <w:r>
        <w:rPr>
          <w:spacing w:val="-5"/>
        </w:rPr>
        <w:t>、在合营</w:t>
      </w:r>
      <w:r>
        <w:rPr>
          <w:w w:val="100"/>
        </w:rPr>
        <w:t> </w:t>
      </w:r>
      <w:r>
        <w:rPr/>
        <w:t>安排或联营企业中的权益</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）重要的合营企业或联营企业</w:t>
      </w:r>
      <w:r>
        <w:rPr>
          <w:rFonts w:ascii="Times New Roman" w:hAnsi="Times New Roman" w:cs="Times New Roman" w:eastAsia="Times New Roman" w:hint="default"/>
        </w:rPr>
        <w:t>”</w:t>
      </w:r>
      <w:r>
        <w:rPr/>
        <w:t>。</w:t>
      </w:r>
    </w:p>
    <w:p>
      <w:pPr>
        <w:pStyle w:val="Heading3"/>
        <w:spacing w:line="240" w:lineRule="auto" w:before="189"/>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香港原石国际有限公司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比特（香港）投资有限公司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陕西新药技术开发中心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陕西医药控股集团实业开发有限责任公司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陕西医药控股集团中药产业投资有限责任公司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陕西医药控股集团山海丹药业有限责任公司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山海丹企业集团公司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陕西孙思邈健康有限责任公司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陕西医药控股集团天宁制药有限责任公司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陕西医药控股集团派昂医药有限责任公司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陕西医药控股集团江兴医化科技有限公司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陕西医药产业投资管理有限公司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陕西医药控股医药研究院有限公司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陕西中药研究所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陕西医药控股集团生物制品有限公司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同受控股股东实质控制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西安黄河制药有限公司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同受控股股东实质控制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西安海欣制药有限公司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西安正大制药有限公司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国药控股陕西有限公司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西安杨森制药有限公司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陕西汉江药业集团股份有限公司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陕西省外经贸实业集团有限公司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威海沿黄医药有限公司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陕西孙思邈高新制药有限公司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陕西省产业扶贫投资开发有限公司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受控股股东重大影响</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西安尊泽商贸有限公司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高管投资公司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上海久日投资管理有限公司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董事投资公司</w:t>
            </w:r>
          </w:p>
        </w:tc>
      </w:tr>
    </w:tbl>
    <w:p>
      <w:pPr>
        <w:spacing w:after="0" w:line="240" w:lineRule="auto"/>
        <w:jc w:val="left"/>
        <w:rPr>
          <w:rFonts w:ascii="宋体" w:hAnsi="宋体" w:cs="宋体" w:eastAsia="宋体" w:hint="default"/>
          <w:sz w:val="18"/>
          <w:szCs w:val="18"/>
        </w:rPr>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160"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西安杨森制药有限公司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22,869,565.00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24,232,857.50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西安海欣制药有限公司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967,732.56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1,707,972.84</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西安正大制药有限公司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102,717.16</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2"/>
              <w:jc w:val="left"/>
              <w:rPr>
                <w:rFonts w:ascii="宋体" w:hAnsi="宋体" w:cs="宋体" w:eastAsia="宋体" w:hint="default"/>
                <w:sz w:val="18"/>
                <w:szCs w:val="18"/>
              </w:rPr>
            </w:pPr>
            <w:r>
              <w:rPr>
                <w:rFonts w:ascii="宋体" w:hAnsi="宋体" w:cs="宋体" w:eastAsia="宋体" w:hint="default"/>
                <w:sz w:val="18"/>
                <w:szCs w:val="18"/>
              </w:rPr>
              <w:t>陕西医药控股集团天宁制药有 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64,948.91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113,318.31</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西安德宝药用包装有限公司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64,510.10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23,173.61</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陕西医药控股集团实业开发有 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1,375,183.93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19,179.15</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陕西医药控股集团派昂医药有 限责任公司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69,084.96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251,290.57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852" w:footer="980" w:top="1500" w:bottom="1160" w:left="980" w:right="980"/>
        </w:sectPr>
      </w:pPr>
    </w:p>
    <w:p>
      <w:pPr>
        <w:pStyle w:val="BodyText"/>
        <w:spacing w:line="240" w:lineRule="auto" w:before="36"/>
        <w:ind w:right="-7"/>
        <w:jc w:val="left"/>
      </w:pPr>
      <w:r>
        <w:rPr>
          <w:spacing w:val="-1"/>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280" w:left="980" w:right="980"/>
          <w:cols w:num="2" w:equalWidth="0">
            <w:col w:w="2047" w:space="6782"/>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陕西医药控股集团有限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陕西医药控股集团有限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陕西医药控股集团有限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陕西医药控股集团有限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type w:val="continuous"/>
          <w:pgSz w:w="11910" w:h="16840"/>
          <w:pgMar w:top="1580" w:bottom="28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136"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5</w:t>
      </w:r>
      <w:r>
        <w:rPr/>
        <w:t>）关联方资金拆借</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before="0"/>
        <w:ind w:right="0" w:firstLine="420"/>
        <w:jc w:val="left"/>
      </w:pPr>
      <w:r>
        <w:rPr/>
        <w:t>（</w:t>
      </w:r>
      <w:r>
        <w:rPr>
          <w:rFonts w:ascii="Times New Roman" w:hAnsi="Times New Roman" w:cs="Times New Roman" w:eastAsia="Times New Roman" w:hint="default"/>
        </w:rPr>
        <w:t>1</w:t>
      </w:r>
      <w:r>
        <w:rPr/>
        <w:t>）陕西医药控股集团实业开发有限责任公司为本公司提供生产用水和供暖用蒸汽，本期向本公司</w:t>
      </w:r>
      <w:r>
        <w:rPr>
          <w:w w:val="100"/>
        </w:rPr>
        <w:t> </w:t>
      </w:r>
      <w:r>
        <w:rPr/>
        <w:t>收取的费用金额为</w:t>
      </w:r>
      <w:r>
        <w:rPr>
          <w:spacing w:val="-22"/>
        </w:rPr>
        <w:t> </w:t>
      </w:r>
      <w:r>
        <w:rPr>
          <w:rFonts w:ascii="Times New Roman" w:hAnsi="Times New Roman" w:cs="Times New Roman" w:eastAsia="Times New Roman" w:hint="default"/>
        </w:rPr>
        <w:t>73.18</w:t>
      </w:r>
      <w:r>
        <w:rPr/>
        <w:t>万元。</w:t>
      </w:r>
    </w:p>
    <w:p>
      <w:pPr>
        <w:pStyle w:val="BodyText"/>
        <w:spacing w:line="240" w:lineRule="auto" w:before="35"/>
        <w:ind w:left="573" w:right="0"/>
        <w:jc w:val="left"/>
      </w:pPr>
      <w:r>
        <w:rPr>
          <w:spacing w:val="-3"/>
        </w:rPr>
        <w:t>（</w:t>
      </w:r>
      <w:r>
        <w:rPr>
          <w:rFonts w:ascii="Times New Roman" w:hAnsi="Times New Roman" w:cs="Times New Roman" w:eastAsia="Times New Roman" w:hint="default"/>
          <w:spacing w:val="-3"/>
        </w:rPr>
        <w:t>2</w:t>
      </w:r>
      <w:r>
        <w:rPr>
          <w:spacing w:val="-3"/>
        </w:rPr>
        <w:t>）西安海欣制药有限公司为本公司提供仓储管理服务，本期向本公司收取的费用金额为</w:t>
      </w:r>
      <w:r>
        <w:rPr>
          <w:rFonts w:ascii="Times New Roman" w:hAnsi="Times New Roman" w:cs="Times New Roman" w:eastAsia="Times New Roman" w:hint="default"/>
          <w:spacing w:val="-3"/>
        </w:rPr>
        <w:t>40.08</w:t>
      </w:r>
      <w:r>
        <w:rPr>
          <w:spacing w:val="-3"/>
        </w:rPr>
        <w:t>万元。</w:t>
      </w:r>
    </w:p>
    <w:p>
      <w:pPr>
        <w:spacing w:line="240" w:lineRule="auto" w:before="7"/>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2"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西安杨森制药有限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3,624,910.99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181,245.55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3,336,090.68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166,804.53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西安海欣制药有限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1,179,530.30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64,748.73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1,807,044.30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90,352.22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西安正大制药有限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41,910.35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2,095.52</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陕西医药控股集团 天宁制药有限责任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22,753.13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1,137.66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西安德宝药用包装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45,999.94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951.87</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陕西医药控股集团 实业开发有限责任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387,957.20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656.98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陕西医药控股集团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4,702.10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235.11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906.50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980" w:right="9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687" w:hRule="exact"/>
        </w:trPr>
        <w:tc>
          <w:tcPr>
            <w:tcW w:w="1596"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3"/>
              <w:ind w:left="24" w:right="118"/>
              <w:jc w:val="left"/>
              <w:rPr>
                <w:rFonts w:ascii="宋体" w:hAnsi="宋体" w:cs="宋体" w:eastAsia="宋体" w:hint="default"/>
                <w:sz w:val="18"/>
                <w:szCs w:val="18"/>
              </w:rPr>
            </w:pPr>
            <w:r>
              <w:rPr>
                <w:rFonts w:ascii="宋体" w:hAnsi="宋体" w:cs="宋体" w:eastAsia="宋体" w:hint="default"/>
                <w:sz w:val="18"/>
                <w:szCs w:val="18"/>
              </w:rPr>
              <w:t>派昂医药有限责任 公司</w:t>
            </w:r>
          </w:p>
        </w:tc>
        <w:tc>
          <w:tcPr>
            <w:tcW w:w="1594" w:type="dxa"/>
            <w:tcBorders>
              <w:top w:val="single" w:sz="10" w:space="0" w:color="000000"/>
              <w:left w:val="single" w:sz="4" w:space="0" w:color="000000"/>
              <w:bottom w:val="single" w:sz="4" w:space="0" w:color="000000"/>
              <w:right w:val="single" w:sz="4" w:space="0" w:color="000000"/>
            </w:tcBorders>
          </w:tcPr>
          <w:p>
            <w:pPr/>
          </w:p>
        </w:tc>
        <w:tc>
          <w:tcPr>
            <w:tcW w:w="1596"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西安海欣制药有限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169,920.00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西安德宝药用包装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2,210,308.58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2,588,109.75</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left="112" w:right="385"/>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left="112" w:right="385"/>
        <w:jc w:val="left"/>
        <w:rPr>
          <w:b w:val="0"/>
          <w:bCs w:val="0"/>
        </w:rPr>
      </w:pPr>
      <w:r>
        <w:rPr/>
        <w:t>十三、股份支付</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left="112" w:right="385"/>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1020" w:right="1020"/>
        </w:sectPr>
      </w:pPr>
    </w:p>
    <w:p>
      <w:pPr>
        <w:pStyle w:val="Heading2"/>
        <w:spacing w:line="355" w:lineRule="exact"/>
        <w:ind w:right="0"/>
        <w:jc w:val="left"/>
        <w:rPr>
          <w:b w:val="0"/>
          <w:bCs w:val="0"/>
        </w:rPr>
      </w:pPr>
      <w:r>
        <w:rPr/>
        <w:pict>
          <v:group style="position:absolute;margin-left:55.200001pt;margin-top:2.202064pt;width:484.9pt;height:.1pt;mso-position-horizontal-relative:page;mso-position-vertical-relative:paragraph;z-index:-753112" coordorigin="1104,44" coordsize="9698,2">
            <v:shape style="position:absolute;left:1104;top:44;width:9698;height:2" coordorigin="1104,44" coordsize="9698,0" path="m1104,44l10802,44e" filled="false" stroked="true" strokeweight=".72pt" strokecolor="#000000">
              <v:path arrowok="t"/>
            </v:shape>
            <w10:wrap type="none"/>
          </v:group>
        </w:pict>
      </w:r>
      <w:r>
        <w:rPr/>
        <w:t>十四、承诺及或有事项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96"/>
        <w:ind w:left="513" w:right="0"/>
        <w:jc w:val="left"/>
      </w:pPr>
      <w:r>
        <w:rPr/>
        <w:t>截止资产负债表日本公司无需要披露的重大承诺事项。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before="0"/>
        <w:ind w:left="573" w:right="0"/>
        <w:jc w:val="left"/>
      </w:pPr>
      <w:r>
        <w:rPr>
          <w:rFonts w:ascii="Times New Roman" w:hAnsi="Times New Roman" w:cs="Times New Roman" w:eastAsia="Times New Roman" w:hint="default"/>
        </w:rPr>
        <w:t>1.</w:t>
      </w:r>
      <w:r>
        <w:rPr/>
        <w:t>截止资产负债表日，本公司已背书给他人的尚未到期的银行承兑汇票</w:t>
      </w:r>
      <w:r>
        <w:rPr>
          <w:rFonts w:ascii="Times New Roman" w:hAnsi="Times New Roman" w:cs="Times New Roman" w:eastAsia="Times New Roman" w:hint="default"/>
        </w:rPr>
        <w:t>49,726,376.72</w:t>
      </w:r>
      <w:r>
        <w:rPr/>
        <w:t>元。</w:t>
      </w:r>
    </w:p>
    <w:p>
      <w:pPr>
        <w:pStyle w:val="BodyText"/>
        <w:spacing w:line="386" w:lineRule="auto" w:before="177"/>
        <w:ind w:right="146" w:firstLine="420"/>
        <w:jc w:val="both"/>
      </w:pPr>
      <w:r>
        <w:rPr>
          <w:rFonts w:ascii="Times New Roman" w:hAnsi="Times New Roman" w:cs="Times New Roman" w:eastAsia="Times New Roman" w:hint="default"/>
          <w:spacing w:val="-2"/>
        </w:rPr>
        <w:t>2.</w:t>
      </w:r>
      <w:r>
        <w:rPr>
          <w:spacing w:val="-2"/>
        </w:rPr>
        <w:t>本公司为子公司永鑫包装提供全额担保，永鑫包装存入</w:t>
      </w:r>
      <w:r>
        <w:rPr>
          <w:rFonts w:ascii="Times New Roman" w:hAnsi="Times New Roman" w:cs="Times New Roman" w:eastAsia="Times New Roman" w:hint="default"/>
          <w:spacing w:val="-2"/>
        </w:rPr>
        <w:t>1,448,383.57</w:t>
      </w:r>
      <w:r>
        <w:rPr>
          <w:spacing w:val="-2"/>
        </w:rPr>
        <w:t>元保证金，取得中国光大银行股</w:t>
      </w:r>
      <w:r>
        <w:rPr>
          <w:w w:val="100"/>
        </w:rPr>
        <w:t> </w:t>
      </w:r>
      <w:r>
        <w:rPr>
          <w:spacing w:val="-3"/>
        </w:rPr>
        <w:t>份有限公司西安分行综合授信额度</w:t>
      </w:r>
      <w:r>
        <w:rPr>
          <w:rFonts w:ascii="Times New Roman" w:hAnsi="Times New Roman" w:cs="Times New Roman" w:eastAsia="Times New Roman" w:hint="default"/>
          <w:spacing w:val="-3"/>
        </w:rPr>
        <w:t>9,000,000.00</w:t>
      </w:r>
      <w:r>
        <w:rPr>
          <w:spacing w:val="-3"/>
        </w:rPr>
        <w:t>元，截止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日，永鑫包装实际对外开出银行承兑</w:t>
      </w:r>
      <w:r>
        <w:rPr>
          <w:spacing w:val="-17"/>
        </w:rPr>
        <w:t> </w:t>
      </w:r>
      <w:r>
        <w:rPr>
          <w:spacing w:val="-17"/>
        </w:rPr>
      </w:r>
      <w:r>
        <w:rPr/>
        <w:t>汇票</w:t>
      </w:r>
      <w:r>
        <w:rPr>
          <w:rFonts w:ascii="Times New Roman" w:hAnsi="Times New Roman" w:cs="Times New Roman" w:eastAsia="Times New Roman" w:hint="default"/>
        </w:rPr>
        <w:t>6,307,889.18</w:t>
      </w:r>
      <w:r>
        <w:rPr/>
        <w:t>元。</w:t>
      </w:r>
    </w:p>
    <w:p>
      <w:pPr>
        <w:pStyle w:val="BodyText"/>
        <w:spacing w:line="386" w:lineRule="auto" w:before="35"/>
        <w:ind w:right="148" w:firstLine="420"/>
        <w:jc w:val="both"/>
      </w:pPr>
      <w:r>
        <w:rPr>
          <w:rFonts w:ascii="Times New Roman" w:hAnsi="Times New Roman" w:cs="Times New Roman" w:eastAsia="Times New Roman" w:hint="default"/>
          <w:spacing w:val="-3"/>
        </w:rPr>
        <w:t>3.</w:t>
      </w:r>
      <w:r>
        <w:rPr>
          <w:spacing w:val="-3"/>
        </w:rPr>
        <w:t>本公司为子公司天津环球提供全额担保，天津环球存入</w:t>
      </w:r>
      <w:r>
        <w:rPr>
          <w:rFonts w:ascii="Times New Roman" w:hAnsi="Times New Roman" w:cs="Times New Roman" w:eastAsia="Times New Roman" w:hint="default"/>
          <w:spacing w:val="-3"/>
        </w:rPr>
        <w:t>250,000.00</w:t>
      </w:r>
      <w:r>
        <w:rPr>
          <w:spacing w:val="-3"/>
        </w:rPr>
        <w:t>元保证金，取得浦发银行天津浦嘉</w:t>
      </w:r>
      <w:r>
        <w:rPr>
          <w:w w:val="100"/>
        </w:rPr>
        <w:t> </w:t>
      </w:r>
      <w:r>
        <w:rPr>
          <w:spacing w:val="-3"/>
        </w:rPr>
        <w:t>支行授信</w:t>
      </w:r>
      <w:r>
        <w:rPr>
          <w:rFonts w:ascii="Times New Roman" w:hAnsi="Times New Roman" w:cs="Times New Roman" w:eastAsia="Times New Roman" w:hint="default"/>
          <w:spacing w:val="-3"/>
        </w:rPr>
        <w:t>10,000,000.00</w:t>
      </w:r>
      <w:r>
        <w:rPr>
          <w:spacing w:val="-3"/>
        </w:rPr>
        <w:t>元提供担保，截止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日，天津环球实际对外开出银行承兑汇票</w:t>
      </w:r>
      <w:r>
        <w:rPr>
          <w:rFonts w:ascii="Times New Roman" w:hAnsi="Times New Roman" w:cs="Times New Roman" w:eastAsia="Times New Roman" w:hint="default"/>
          <w:spacing w:val="-3"/>
        </w:rPr>
        <w:t>500,000.00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元。</w:t>
      </w:r>
    </w:p>
    <w:p>
      <w:pPr>
        <w:pStyle w:val="BodyText"/>
        <w:spacing w:line="240" w:lineRule="auto" w:before="65"/>
        <w:ind w:left="573" w:right="0"/>
        <w:jc w:val="left"/>
      </w:pPr>
      <w:r>
        <w:rPr>
          <w:rFonts w:ascii="Times New Roman" w:hAnsi="Times New Roman" w:cs="Times New Roman" w:eastAsia="Times New Roman" w:hint="default"/>
        </w:rPr>
        <w:t>4.</w:t>
      </w:r>
      <w:r>
        <w:rPr/>
        <w:t>除上述已披露事项外，本公司无其他需要披露的或有事项。</w:t>
      </w:r>
    </w:p>
    <w:p>
      <w:pPr>
        <w:spacing w:line="240" w:lineRule="auto" w:before="7"/>
        <w:rPr>
          <w:rFonts w:ascii="宋体" w:hAnsi="宋体" w:cs="宋体" w:eastAsia="宋体" w:hint="default"/>
          <w:sz w:val="25"/>
          <w:szCs w:val="25"/>
        </w:rPr>
      </w:pPr>
    </w:p>
    <w:p>
      <w:pPr>
        <w:spacing w:line="496" w:lineRule="auto" w:before="0"/>
        <w:ind w:left="573" w:right="0" w:hanging="421"/>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）公司没有需要披露的重要或有事项，也应予以说明</w:t>
      </w:r>
      <w:r>
        <w:rPr>
          <w:rFonts w:ascii="Microsoft JhengHei" w:hAnsi="Microsoft JhengHei" w:cs="Microsoft JhengHei" w:eastAsia="Microsoft JhengHei" w:hint="default"/>
          <w:b/>
          <w:bCs/>
          <w:spacing w:val="-37"/>
          <w:sz w:val="21"/>
          <w:szCs w:val="21"/>
        </w:rPr>
        <w:t> </w:t>
      </w:r>
      <w:r>
        <w:rPr>
          <w:rFonts w:ascii="Microsoft JhengHei" w:hAnsi="Microsoft JhengHei" w:cs="Microsoft JhengHei" w:eastAsia="Microsoft JhengHei" w:hint="default"/>
          <w:b/>
          <w:bCs/>
          <w:spacing w:val="-37"/>
          <w:sz w:val="21"/>
          <w:szCs w:val="21"/>
        </w:rPr>
      </w:r>
      <w:r>
        <w:rPr>
          <w:rFonts w:ascii="宋体" w:hAnsi="宋体" w:cs="宋体" w:eastAsia="宋体" w:hint="default"/>
          <w:spacing w:val="-2"/>
          <w:sz w:val="21"/>
          <w:szCs w:val="21"/>
        </w:rPr>
        <w:t>除上述已披露事项外，本公司无其他需要披露的或有事项。</w:t>
      </w:r>
    </w:p>
    <w:p>
      <w:pPr>
        <w:pStyle w:val="Heading3"/>
        <w:spacing w:line="240" w:lineRule="auto" w:before="125"/>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十五、资产负债表日后事项</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088"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3</w:t>
      </w:r>
      <w:r>
        <w:rPr/>
        <w:t>、销售退回</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spacing w:line="446" w:lineRule="auto" w:before="0"/>
        <w:ind w:left="573" w:right="264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、其他资产负债表日后事项说明</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pacing w:val="-2"/>
          <w:sz w:val="21"/>
          <w:szCs w:val="21"/>
        </w:rPr>
        <w:t>截止资产负债表日本公司无需要披露的日后事项。</w:t>
      </w:r>
    </w:p>
    <w:p>
      <w:pPr>
        <w:pStyle w:val="Heading2"/>
        <w:spacing w:line="240" w:lineRule="auto" w:before="54"/>
        <w:ind w:right="0"/>
        <w:jc w:val="left"/>
        <w:rPr>
          <w:b w:val="0"/>
          <w:bCs w:val="0"/>
        </w:rPr>
      </w:pPr>
      <w:r>
        <w:rPr/>
        <w:t>十六、其他重要事项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80"/>
        </w:sectPr>
      </w:pPr>
    </w:p>
    <w:p>
      <w:pPr>
        <w:pStyle w:val="Heading3"/>
        <w:spacing w:line="338" w:lineRule="exact"/>
        <w:ind w:left="552" w:right="0"/>
        <w:jc w:val="left"/>
        <w:rPr>
          <w:b w:val="0"/>
          <w:bCs w:val="0"/>
        </w:rPr>
      </w:pPr>
      <w:r>
        <w:rPr/>
        <w:pict>
          <v:group style="position:absolute;margin-left:55.200001pt;margin-top:2.202064pt;width:484.9pt;height:.1pt;mso-position-horizontal-relative:page;mso-position-vertical-relative:paragraph;z-index:-753064"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552"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5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552"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5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552"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5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spacing w:line="460" w:lineRule="auto" w:before="0"/>
        <w:ind w:left="552" w:right="385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b/>
          <w:bCs/>
          <w:spacing w:val="-46"/>
          <w:sz w:val="21"/>
          <w:szCs w:val="21"/>
        </w:rPr>
        <w:t> </w:t>
      </w:r>
      <w:r>
        <w:rPr>
          <w:rFonts w:ascii="宋体" w:hAnsi="宋体" w:cs="宋体" w:eastAsia="宋体" w:hint="default"/>
          <w:spacing w:val="-2"/>
          <w:sz w:val="21"/>
          <w:szCs w:val="21"/>
        </w:rPr>
        <w:t>截止资产负债表日本公司无需要披露的其他重要事项。</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、其他对投资者决策有影响的重要交易和事项</w:t>
      </w:r>
      <w:r>
        <w:rPr>
          <w:rFonts w:ascii="Microsoft JhengHei" w:hAnsi="Microsoft JhengHei" w:cs="Microsoft JhengHei" w:eastAsia="Microsoft JhengHei" w:hint="default"/>
          <w:sz w:val="21"/>
          <w:szCs w:val="21"/>
        </w:rPr>
      </w:r>
    </w:p>
    <w:p>
      <w:pPr>
        <w:spacing w:before="79"/>
        <w:ind w:left="5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552"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5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left="552" w:right="0"/>
        <w:jc w:val="left"/>
        <w:rPr>
          <w:b w:val="0"/>
          <w:bCs w:val="0"/>
        </w:rPr>
      </w:pPr>
      <w:r>
        <w:rPr/>
        <w:t>十七、母公司财务报表主要项目注释</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left="552"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552"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5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35"/>
        <w:gridCol w:w="1193"/>
        <w:gridCol w:w="701"/>
        <w:gridCol w:w="1001"/>
        <w:gridCol w:w="610"/>
        <w:gridCol w:w="1181"/>
        <w:gridCol w:w="1092"/>
        <w:gridCol w:w="701"/>
        <w:gridCol w:w="1001"/>
        <w:gridCol w:w="612"/>
        <w:gridCol w:w="1092"/>
      </w:tblGrid>
      <w:tr>
        <w:trPr>
          <w:trHeight w:val="398"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468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18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7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3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94" w:type="dxa"/>
            <w:gridSpan w:val="2"/>
            <w:vMerge/>
            <w:tcBorders>
              <w:left w:val="single" w:sz="4" w:space="0" w:color="000000"/>
              <w:bottom w:val="single" w:sz="4" w:space="0" w:color="000000"/>
              <w:right w:val="single" w:sz="4" w:space="0" w:color="000000"/>
            </w:tcBorders>
            <w:shd w:val="clear" w:color="auto" w:fill="D2D2D2"/>
          </w:tcPr>
          <w:p>
            <w:pPr/>
          </w:p>
        </w:tc>
        <w:tc>
          <w:tcPr>
            <w:tcW w:w="1610" w:type="dxa"/>
            <w:gridSpan w:val="2"/>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793" w:type="dxa"/>
            <w:gridSpan w:val="2"/>
            <w:vMerge/>
            <w:tcBorders>
              <w:left w:val="single" w:sz="4" w:space="0" w:color="000000"/>
              <w:bottom w:val="single" w:sz="4" w:space="0" w:color="000000"/>
              <w:right w:val="single" w:sz="4" w:space="0" w:color="000000"/>
            </w:tcBorders>
            <w:shd w:val="clear" w:color="auto" w:fill="D2D2D2"/>
          </w:tcPr>
          <w:p>
            <w:pPr/>
          </w:p>
        </w:tc>
        <w:tc>
          <w:tcPr>
            <w:tcW w:w="1613" w:type="dxa"/>
            <w:gridSpan w:val="2"/>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6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1" w:right="2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6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2"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3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610"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612"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610"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612"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106,702,480.68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98.60%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4,503,749.96</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4.22%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102,198,730.72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90,087,713.53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99.06%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4,737,166.48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85,350,547.05</w:t>
            </w:r>
          </w:p>
        </w:tc>
      </w:tr>
      <w:tr>
        <w:trPr>
          <w:trHeight w:val="1027"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1,511,377.90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1,143,513.19</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75.66%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367,864.71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850,608.07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801,575.51</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94.24%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49,032.56</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580" w:right="580"/>
        </w:sectPr>
      </w:pPr>
    </w:p>
    <w:p>
      <w:pPr>
        <w:spacing w:line="240" w:lineRule="auto" w:before="6"/>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346"/>
        <w:gridCol w:w="1181"/>
        <w:gridCol w:w="701"/>
        <w:gridCol w:w="1001"/>
        <w:gridCol w:w="610"/>
        <w:gridCol w:w="1181"/>
        <w:gridCol w:w="1092"/>
        <w:gridCol w:w="701"/>
        <w:gridCol w:w="1001"/>
        <w:gridCol w:w="612"/>
        <w:gridCol w:w="1092"/>
      </w:tblGrid>
      <w:tr>
        <w:trPr>
          <w:trHeight w:val="416" w:hRule="exact"/>
        </w:trPr>
        <w:tc>
          <w:tcPr>
            <w:tcW w:w="134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108,213,858.58</w:t>
            </w:r>
          </w:p>
        </w:tc>
        <w:tc>
          <w:tcPr>
            <w:tcW w:w="7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5,647,263.15</w:t>
            </w:r>
          </w:p>
        </w:tc>
        <w:tc>
          <w:tcPr>
            <w:tcW w:w="61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5.22%</w:t>
            </w:r>
          </w:p>
        </w:tc>
        <w:tc>
          <w:tcPr>
            <w:tcW w:w="11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102,566,595.43</w:t>
            </w:r>
          </w:p>
        </w:tc>
        <w:tc>
          <w:tcPr>
            <w:tcW w:w="10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90,938,321.60</w:t>
            </w:r>
          </w:p>
        </w:tc>
        <w:tc>
          <w:tcPr>
            <w:tcW w:w="7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100.00%</w:t>
            </w:r>
          </w:p>
        </w:tc>
        <w:tc>
          <w:tcPr>
            <w:tcW w:w="10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5,538,741.99</w:t>
            </w:r>
          </w:p>
        </w:tc>
        <w:tc>
          <w:tcPr>
            <w:tcW w:w="61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112" w:right="0"/>
              <w:jc w:val="left"/>
              <w:rPr>
                <w:rFonts w:ascii="Times New Roman" w:hAnsi="Times New Roman" w:cs="Times New Roman" w:eastAsia="Times New Roman" w:hint="default"/>
                <w:sz w:val="18"/>
                <w:szCs w:val="18"/>
              </w:rPr>
            </w:pPr>
            <w:r>
              <w:rPr>
                <w:rFonts w:ascii="Times New Roman"/>
                <w:sz w:val="18"/>
              </w:rPr>
              <w:t>6.09%</w:t>
            </w:r>
          </w:p>
        </w:tc>
        <w:tc>
          <w:tcPr>
            <w:tcW w:w="10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85,399,579.61</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980" w:top="1500" w:bottom="1160" w:left="580" w:right="580"/>
        </w:sectPr>
      </w:pPr>
    </w:p>
    <w:p>
      <w:pPr>
        <w:spacing w:before="49"/>
        <w:ind w:left="5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5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5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5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280" w:left="580" w:right="580"/>
          <w:cols w:num="2" w:equalWidth="0">
            <w:col w:w="4693" w:space="4136"/>
            <w:col w:w="1921"/>
          </w:cols>
        </w:sectPr>
      </w:pPr>
    </w:p>
    <w:p>
      <w:pPr>
        <w:spacing w:line="240" w:lineRule="auto" w:before="4"/>
        <w:rPr>
          <w:rFonts w:ascii="宋体" w:hAnsi="宋体" w:cs="宋体" w:eastAsia="宋体" w:hint="default"/>
          <w:sz w:val="8"/>
          <w:szCs w:val="8"/>
        </w:rPr>
      </w:pPr>
    </w:p>
    <w:tbl>
      <w:tblPr>
        <w:tblW w:w="0" w:type="auto"/>
        <w:jc w:val="left"/>
        <w:tblInd w:w="5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88,577,637.30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4,428,881.86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382,279.96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38,228.00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122,133.68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36,640.10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89,082,050.94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4,503,749.96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w:t>
            </w:r>
          </w:p>
        </w:tc>
      </w:tr>
    </w:tbl>
    <w:p>
      <w:pPr>
        <w:spacing w:before="49"/>
        <w:ind w:left="5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3"/>
        <w:rPr>
          <w:rFonts w:ascii="宋体" w:hAnsi="宋体" w:cs="宋体" w:eastAsia="宋体" w:hint="default"/>
          <w:sz w:val="13"/>
          <w:szCs w:val="13"/>
        </w:rPr>
      </w:pPr>
    </w:p>
    <w:p>
      <w:pPr>
        <w:pStyle w:val="BodyText"/>
        <w:spacing w:line="386" w:lineRule="auto" w:before="0"/>
        <w:ind w:left="552" w:right="546" w:firstLine="211"/>
        <w:jc w:val="both"/>
      </w:pPr>
      <w:r>
        <w:rPr>
          <w:spacing w:val="-2"/>
        </w:rPr>
        <w:t>（</w:t>
      </w:r>
      <w:r>
        <w:rPr>
          <w:rFonts w:ascii="Times New Roman" w:hAnsi="Times New Roman" w:cs="Times New Roman" w:eastAsia="Times New Roman" w:hint="default"/>
          <w:spacing w:val="-2"/>
        </w:rPr>
        <w:t>1</w:t>
      </w:r>
      <w:r>
        <w:rPr>
          <w:spacing w:val="-2"/>
        </w:rPr>
        <w:t>）单项金额重大并单项计提坏账准备的应收账款：账面金额人民币</w:t>
      </w:r>
      <w:r>
        <w:rPr>
          <w:rFonts w:ascii="Times New Roman" w:hAnsi="Times New Roman" w:cs="Times New Roman" w:eastAsia="Times New Roman" w:hint="default"/>
          <w:spacing w:val="-2"/>
        </w:rPr>
        <w:t>500</w:t>
      </w:r>
      <w:r>
        <w:rPr>
          <w:spacing w:val="-2"/>
        </w:rPr>
        <w:t>万元以上或公司应收账款前五</w:t>
      </w:r>
      <w:r>
        <w:rPr>
          <w:w w:val="100"/>
        </w:rPr>
        <w:t> </w:t>
      </w:r>
      <w:r>
        <w:rPr/>
        <w:t>名客户。</w:t>
      </w:r>
    </w:p>
    <w:p>
      <w:pPr>
        <w:pStyle w:val="BodyText"/>
        <w:spacing w:line="398" w:lineRule="auto" w:before="65"/>
        <w:ind w:left="552" w:right="546" w:firstLine="211"/>
        <w:jc w:val="both"/>
      </w:pPr>
      <w:r>
        <w:rPr>
          <w:spacing w:val="-2"/>
        </w:rPr>
        <w:t>（</w:t>
      </w:r>
      <w:r>
        <w:rPr>
          <w:rFonts w:ascii="Times New Roman" w:hAnsi="Times New Roman" w:cs="Times New Roman" w:eastAsia="Times New Roman" w:hint="default"/>
          <w:spacing w:val="-2"/>
        </w:rPr>
        <w:t>2</w:t>
      </w:r>
      <w:r>
        <w:rPr>
          <w:spacing w:val="-2"/>
        </w:rPr>
        <w:t>）单项金额不重大但按信用风险特征组合后该组合的风险较大的应收账款：账龄超过</w:t>
      </w:r>
      <w:r>
        <w:rPr>
          <w:rFonts w:ascii="Times New Roman" w:hAnsi="Times New Roman" w:cs="Times New Roman" w:eastAsia="Times New Roman" w:hint="default"/>
          <w:spacing w:val="-2"/>
        </w:rPr>
        <w:t>3</w:t>
      </w:r>
      <w:r>
        <w:rPr>
          <w:spacing w:val="-2"/>
        </w:rPr>
        <w:t>年以上的应收</w:t>
      </w:r>
      <w:r>
        <w:rPr>
          <w:w w:val="100"/>
        </w:rPr>
        <w:t> </w:t>
      </w:r>
      <w:r>
        <w:rPr>
          <w:spacing w:val="-2"/>
        </w:rPr>
        <w:t>款项以及与对方存在争议或涉及诉讼、仲裁的应收款项；已有明显迹象表明债务人很可能无法履行还款义</w:t>
      </w:r>
      <w:r>
        <w:rPr>
          <w:spacing w:val="-42"/>
        </w:rPr>
        <w:t> </w:t>
      </w:r>
      <w:r>
        <w:rPr>
          <w:spacing w:val="-42"/>
        </w:rPr>
      </w:r>
      <w:r>
        <w:rPr/>
        <w:t>务的应收款项。</w:t>
      </w:r>
    </w:p>
    <w:p>
      <w:pPr>
        <w:pStyle w:val="BodyText"/>
        <w:spacing w:line="398" w:lineRule="auto" w:before="54"/>
        <w:ind w:left="552" w:right="546" w:firstLine="211"/>
        <w:jc w:val="both"/>
      </w:pPr>
      <w:r>
        <w:rPr/>
        <w:t>（</w:t>
      </w:r>
      <w:r>
        <w:rPr>
          <w:rFonts w:ascii="Times New Roman" w:hAnsi="Times New Roman" w:cs="Times New Roman" w:eastAsia="Times New Roman" w:hint="default"/>
        </w:rPr>
        <w:t>3</w:t>
      </w:r>
      <w:r>
        <w:rPr/>
        <w:t>）按组合计提坏账准备的应收账款：除上述第（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）种情形以外的其他应收账款。本公司对</w:t>
      </w:r>
      <w:r>
        <w:rPr>
          <w:w w:val="100"/>
        </w:rPr>
        <w:t> </w:t>
      </w:r>
      <w:r>
        <w:rPr>
          <w:spacing w:val="-2"/>
        </w:rPr>
        <w:t>其他不重大应收账款分为二个组合：按账龄分析组合，按账龄分析计提坏账准备；公司及所属子公司往来</w:t>
      </w:r>
      <w:r>
        <w:rPr>
          <w:spacing w:val="-44"/>
        </w:rPr>
        <w:t> </w:t>
      </w:r>
      <w:r>
        <w:rPr>
          <w:spacing w:val="-44"/>
        </w:rPr>
      </w:r>
      <w:r>
        <w:rPr/>
        <w:t>款项的组合系指公司及所控制的公司之间的往来，不计提坏账准备。</w:t>
      </w:r>
    </w:p>
    <w:p>
      <w:pPr>
        <w:spacing w:line="240" w:lineRule="auto" w:before="11"/>
        <w:rPr>
          <w:rFonts w:ascii="宋体" w:hAnsi="宋体" w:cs="宋体" w:eastAsia="宋体" w:hint="default"/>
          <w:sz w:val="26"/>
          <w:szCs w:val="26"/>
        </w:rPr>
      </w:pPr>
    </w:p>
    <w:p>
      <w:pPr>
        <w:spacing w:before="0"/>
        <w:ind w:left="5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before="115"/>
        <w:ind w:left="5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552"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before="0"/>
        <w:ind w:left="552" w:right="0"/>
        <w:jc w:val="left"/>
      </w:pPr>
      <w:r>
        <w:rPr/>
        <w:t>本期计提坏账准备金额</w:t>
      </w:r>
      <w:r>
        <w:rPr>
          <w:spacing w:val="-55"/>
        </w:rPr>
        <w:t> </w:t>
      </w:r>
      <w:r>
        <w:rPr>
          <w:rFonts w:ascii="Times New Roman" w:hAnsi="Times New Roman" w:cs="Times New Roman" w:eastAsia="Times New Roman" w:hint="default"/>
        </w:rPr>
        <w:t>108,521.16</w:t>
      </w:r>
      <w:r>
        <w:rPr>
          <w:rFonts w:ascii="Times New Roman" w:hAnsi="Times New Roman" w:cs="Times New Roman" w:eastAsia="Times New Roman" w:hint="default"/>
          <w:spacing w:val="-2"/>
        </w:rPr>
        <w:t> </w:t>
      </w:r>
      <w:r>
        <w:rPr/>
        <w:t>元；本期收回或转回坏账准备金额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3"/>
        </w:rPr>
        <w:t>元。</w:t>
      </w:r>
      <w:r>
        <w:rPr/>
      </w:r>
    </w:p>
    <w:p>
      <w:pPr>
        <w:spacing w:line="240" w:lineRule="auto" w:before="0"/>
        <w:rPr>
          <w:rFonts w:ascii="宋体" w:hAnsi="宋体" w:cs="宋体" w:eastAsia="宋体" w:hint="default"/>
          <w:sz w:val="22"/>
          <w:szCs w:val="22"/>
        </w:rPr>
      </w:pPr>
    </w:p>
    <w:p>
      <w:pPr>
        <w:spacing w:before="145"/>
        <w:ind w:left="5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line="240" w:lineRule="auto" w:before="3"/>
        <w:rPr>
          <w:rFonts w:ascii="宋体" w:hAnsi="宋体" w:cs="宋体" w:eastAsia="宋体" w:hint="default"/>
          <w:sz w:val="13"/>
          <w:szCs w:val="13"/>
        </w:rPr>
      </w:pPr>
    </w:p>
    <w:p>
      <w:pPr>
        <w:pStyle w:val="BodyText"/>
        <w:spacing w:line="408" w:lineRule="auto" w:before="0"/>
        <w:ind w:left="552" w:right="0" w:firstLine="427"/>
        <w:jc w:val="left"/>
      </w:pPr>
      <w:r>
        <w:rPr>
          <w:spacing w:val="-5"/>
        </w:rPr>
        <w:t>报告期本公司无前期已全额计提坏账准备，或计提减值准备的比例较大，但在本期又全额收回或转回，</w:t>
      </w:r>
      <w:r>
        <w:rPr>
          <w:w w:val="100"/>
        </w:rPr>
        <w:t> </w:t>
      </w:r>
      <w:r>
        <w:rPr/>
        <w:t>或在本期收回或转回比例较大的应收账款。</w:t>
      </w:r>
    </w:p>
    <w:p>
      <w:pPr>
        <w:spacing w:after="0" w:line="408" w:lineRule="auto"/>
        <w:jc w:val="left"/>
        <w:sectPr>
          <w:type w:val="continuous"/>
          <w:pgSz w:w="11910" w:h="16840"/>
          <w:pgMar w:top="1580" w:bottom="280" w:left="580" w:right="5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3040" coordorigin="1104,44" coordsize="9698,2">
            <v:shape style="position:absolute;left:1104;top:44;width:9698;height:2" coordorigin="1104,44" coordsize="9698,0" path="m1104,44l10802,44e" filled="false" stroked="true" strokeweight=".72pt" strokecolor="#000000">
              <v:path arrowok="t"/>
            </v:shape>
            <w10:wrap type="none"/>
          </v:group>
        </w:pict>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33" w:type="dxa"/>
        <w:tblLayout w:type="fixed"/>
        <w:tblCellMar>
          <w:top w:w="0" w:type="dxa"/>
          <w:left w:w="0" w:type="dxa"/>
          <w:bottom w:w="0" w:type="dxa"/>
          <w:right w:w="0" w:type="dxa"/>
        </w:tblCellMar>
        <w:tblLook w:val="01E0"/>
      </w:tblPr>
      <w:tblGrid>
        <w:gridCol w:w="2799"/>
        <w:gridCol w:w="1901"/>
        <w:gridCol w:w="1320"/>
        <w:gridCol w:w="1601"/>
        <w:gridCol w:w="1081"/>
      </w:tblGrid>
      <w:tr>
        <w:trPr>
          <w:trHeight w:val="754" w:hRule="exact"/>
        </w:trPr>
        <w:tc>
          <w:tcPr>
            <w:tcW w:w="279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大额债务人名称</w:t>
            </w:r>
          </w:p>
        </w:tc>
        <w:tc>
          <w:tcPr>
            <w:tcW w:w="19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2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60" w:lineRule="auto" w:before="49"/>
              <w:ind w:left="251" w:right="202" w:hanging="46"/>
              <w:jc w:val="left"/>
              <w:rPr>
                <w:rFonts w:ascii="宋体" w:hAnsi="宋体" w:cs="宋体" w:eastAsia="宋体" w:hint="default"/>
                <w:sz w:val="18"/>
                <w:szCs w:val="18"/>
              </w:rPr>
            </w:pPr>
            <w:r>
              <w:rPr>
                <w:rFonts w:ascii="宋体" w:hAnsi="宋体" w:cs="宋体" w:eastAsia="宋体" w:hint="default"/>
                <w:sz w:val="18"/>
                <w:szCs w:val="18"/>
              </w:rPr>
              <w:t>占应收帐款 总额比例</w:t>
            </w:r>
            <w:r>
              <w:rPr>
                <w:rFonts w:ascii="宋体" w:hAnsi="宋体" w:cs="宋体" w:eastAsia="宋体" w:hint="default"/>
                <w:sz w:val="18"/>
                <w:szCs w:val="18"/>
              </w:rPr>
              <w:t>%</w:t>
            </w:r>
          </w:p>
        </w:tc>
        <w:tc>
          <w:tcPr>
            <w:tcW w:w="16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08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60" w:lineRule="auto" w:before="49"/>
              <w:ind w:left="355" w:right="17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r>
      <w:tr>
        <w:trPr>
          <w:trHeight w:val="403"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17,620,429.74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16.28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r>
      <w:tr>
        <w:trPr>
          <w:trHeight w:val="401"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11,412,358.54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10.55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w:t>
            </w:r>
          </w:p>
        </w:tc>
      </w:tr>
      <w:tr>
        <w:trPr>
          <w:trHeight w:val="40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7,870,252.99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z w:val="18"/>
              </w:rPr>
              <w:t>7.27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w:t>
            </w:r>
          </w:p>
        </w:tc>
      </w:tr>
      <w:tr>
        <w:trPr>
          <w:trHeight w:val="401"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4,539,553.87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z w:val="18"/>
              </w:rPr>
              <w:t>4.19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w:t>
            </w:r>
          </w:p>
        </w:tc>
      </w:tr>
      <w:tr>
        <w:trPr>
          <w:trHeight w:val="403"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3,421,729.03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宋体" w:hAnsi="宋体" w:cs="宋体" w:eastAsia="宋体" w:hint="default"/>
                <w:sz w:val="18"/>
                <w:szCs w:val="18"/>
              </w:rPr>
            </w:pPr>
            <w:r>
              <w:rPr>
                <w:rFonts w:ascii="宋体"/>
                <w:sz w:val="18"/>
              </w:rPr>
              <w:t>3.16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w:t>
            </w:r>
          </w:p>
        </w:tc>
      </w:tr>
      <w:tr>
        <w:trPr>
          <w:trHeight w:val="504"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44,864,324.17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z w:val="18"/>
              </w:rPr>
              <w:t>41.45</w:t>
            </w:r>
          </w:p>
        </w:tc>
        <w:tc>
          <w:tcPr>
            <w:tcW w:w="1601"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2"/>
          <w:szCs w:val="12"/>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478"/>
        <w:gridCol w:w="1012"/>
        <w:gridCol w:w="704"/>
        <w:gridCol w:w="775"/>
        <w:gridCol w:w="521"/>
        <w:gridCol w:w="1001"/>
        <w:gridCol w:w="1092"/>
        <w:gridCol w:w="701"/>
        <w:gridCol w:w="776"/>
        <w:gridCol w:w="547"/>
        <w:gridCol w:w="1092"/>
      </w:tblGrid>
      <w:tr>
        <w:trPr>
          <w:trHeight w:val="398" w:hRule="exact"/>
        </w:trPr>
        <w:tc>
          <w:tcPr>
            <w:tcW w:w="1478" w:type="dxa"/>
            <w:vMerge w:val="restart"/>
            <w:tcBorders>
              <w:top w:val="single" w:sz="4" w:space="0" w:color="000000"/>
              <w:left w:val="single" w:sz="4" w:space="0" w:color="000000"/>
              <w:right w:val="single" w:sz="4" w:space="0" w:color="000000"/>
            </w:tcBorders>
            <w:shd w:val="clear" w:color="auto" w:fill="D2D2D2"/>
          </w:tcPr>
          <w:p>
            <w:pPr/>
          </w:p>
        </w:tc>
        <w:tc>
          <w:tcPr>
            <w:tcW w:w="401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0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478" w:type="dxa"/>
            <w:vMerge/>
            <w:tcBorders>
              <w:left w:val="single" w:sz="4" w:space="0" w:color="000000"/>
              <w:bottom w:val="nil" w:sz="6" w:space="0" w:color="auto"/>
              <w:right w:val="single" w:sz="4" w:space="0" w:color="000000"/>
            </w:tcBorders>
            <w:shd w:val="clear" w:color="auto" w:fill="D2D2D2"/>
          </w:tcPr>
          <w:p>
            <w:pPr/>
          </w:p>
        </w:tc>
        <w:tc>
          <w:tcPr>
            <w:tcW w:w="17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7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4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715" w:type="dxa"/>
            <w:gridSpan w:val="2"/>
            <w:vMerge/>
            <w:tcBorders>
              <w:left w:val="single" w:sz="4" w:space="0" w:color="000000"/>
              <w:bottom w:val="single" w:sz="4" w:space="0" w:color="000000"/>
              <w:right w:val="single" w:sz="4" w:space="0" w:color="000000"/>
            </w:tcBorders>
            <w:shd w:val="clear" w:color="auto" w:fill="D2D2D2"/>
          </w:tcPr>
          <w:p>
            <w:pPr/>
          </w:p>
        </w:tc>
        <w:tc>
          <w:tcPr>
            <w:tcW w:w="1296" w:type="dxa"/>
            <w:gridSpan w:val="2"/>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793" w:type="dxa"/>
            <w:gridSpan w:val="2"/>
            <w:vMerge/>
            <w:tcBorders>
              <w:left w:val="single" w:sz="4" w:space="0" w:color="000000"/>
              <w:bottom w:val="single" w:sz="4" w:space="0" w:color="000000"/>
              <w:right w:val="single" w:sz="4" w:space="0" w:color="000000"/>
            </w:tcBorders>
            <w:shd w:val="clear" w:color="auto" w:fill="D2D2D2"/>
          </w:tcPr>
          <w:p>
            <w:pPr/>
          </w:p>
        </w:tc>
        <w:tc>
          <w:tcPr>
            <w:tcW w:w="1323" w:type="dxa"/>
            <w:gridSpan w:val="2"/>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478" w:type="dxa"/>
            <w:vMerge/>
            <w:tcBorders>
              <w:left w:val="single" w:sz="4" w:space="0" w:color="000000"/>
              <w:bottom w:val="nil" w:sz="6" w:space="0" w:color="auto"/>
              <w:right w:val="single" w:sz="4" w:space="0" w:color="000000"/>
            </w:tcBorders>
            <w:shd w:val="clear" w:color="auto" w:fill="D2D2D2"/>
          </w:tcPr>
          <w:p>
            <w:pPr/>
          </w:p>
        </w:tc>
        <w:tc>
          <w:tcPr>
            <w:tcW w:w="10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4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8" w:right="8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478" w:type="dxa"/>
            <w:vMerge w:val="restart"/>
            <w:tcBorders>
              <w:top w:val="nil" w:sz="6" w:space="0" w:color="auto"/>
              <w:left w:val="single" w:sz="4" w:space="0" w:color="000000"/>
              <w:right w:val="single" w:sz="4" w:space="0" w:color="000000"/>
            </w:tcBorders>
            <w:shd w:val="clear" w:color="auto" w:fill="D2D2D2"/>
          </w:tcPr>
          <w:p>
            <w:pPr/>
          </w:p>
        </w:tc>
        <w:tc>
          <w:tcPr>
            <w:tcW w:w="10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47"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478" w:type="dxa"/>
            <w:vMerge/>
            <w:tcBorders>
              <w:left w:val="single" w:sz="4" w:space="0" w:color="000000"/>
              <w:right w:val="single" w:sz="4" w:space="0" w:color="000000"/>
            </w:tcBorders>
            <w:shd w:val="clear" w:color="auto" w:fill="D2D2D2"/>
          </w:tcPr>
          <w:p>
            <w:pPr/>
          </w:p>
        </w:tc>
        <w:tc>
          <w:tcPr>
            <w:tcW w:w="1012" w:type="dxa"/>
            <w:vMerge/>
            <w:tcBorders>
              <w:left w:val="single" w:sz="4" w:space="0" w:color="000000"/>
              <w:bottom w:val="nil" w:sz="6" w:space="0" w:color="auto"/>
              <w:right w:val="single" w:sz="4" w:space="0" w:color="000000"/>
            </w:tcBorders>
            <w:shd w:val="clear" w:color="auto" w:fill="D2D2D2"/>
          </w:tcPr>
          <w:p>
            <w:pPr/>
          </w:p>
        </w:tc>
        <w:tc>
          <w:tcPr>
            <w:tcW w:w="704"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
        </w:tc>
        <w:tc>
          <w:tcPr>
            <w:tcW w:w="1092" w:type="dxa"/>
            <w:vMerge/>
            <w:tcBorders>
              <w:left w:val="single" w:sz="4" w:space="0" w:color="000000"/>
              <w:bottom w:val="nil" w:sz="6" w:space="0" w:color="auto"/>
              <w:right w:val="single" w:sz="4" w:space="0" w:color="000000"/>
            </w:tcBorders>
            <w:shd w:val="clear" w:color="auto" w:fill="D2D2D2"/>
          </w:tcPr>
          <w:p>
            <w:pPr/>
          </w:p>
        </w:tc>
        <w:tc>
          <w:tcPr>
            <w:tcW w:w="701" w:type="dxa"/>
            <w:vMerge/>
            <w:tcBorders>
              <w:left w:val="single" w:sz="4" w:space="0" w:color="000000"/>
              <w:bottom w:val="nil" w:sz="6" w:space="0" w:color="auto"/>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10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78" w:type="dxa"/>
            <w:vMerge/>
            <w:tcBorders>
              <w:left w:val="single" w:sz="4" w:space="0" w:color="000000"/>
              <w:bottom w:val="single" w:sz="4" w:space="0" w:color="000000"/>
              <w:right w:val="single" w:sz="4" w:space="0" w:color="000000"/>
            </w:tcBorders>
            <w:shd w:val="clear" w:color="auto" w:fill="D2D2D2"/>
          </w:tcPr>
          <w:p>
            <w:pPr/>
          </w:p>
        </w:tc>
        <w:tc>
          <w:tcPr>
            <w:tcW w:w="10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47"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0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8,795,257.38</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82,972.47</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8,712,284.91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15,827,730.62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41,321.13</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0.26%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15,786,409.49</w:t>
            </w:r>
          </w:p>
        </w:tc>
      </w:tr>
      <w:tr>
        <w:trPr>
          <w:trHeight w:val="403"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8,795,257.38</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82,972.47</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8,712,284.91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15,827,730.62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41,321.13</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0.26%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15,786,409.49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4"/>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组合中，按账龄分析法计提坏账准备的其他应收款：</w:t>
      </w:r>
    </w:p>
    <w:p>
      <w:pPr>
        <w:spacing w:after="0" w:line="340" w:lineRule="auto"/>
        <w:jc w:val="left"/>
        <w:rPr>
          <w:rFonts w:ascii="宋体" w:hAnsi="宋体" w:cs="宋体" w:eastAsia="宋体" w:hint="default"/>
          <w:sz w:val="18"/>
          <w:szCs w:val="18"/>
        </w:rPr>
        <w:sectPr>
          <w:pgSz w:w="11910" w:h="16840"/>
          <w:pgMar w:header="852" w:footer="980" w:top="150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before="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5"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1,359,449.40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67,972.47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1,409,449.40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82,972.47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line="240" w:lineRule="auto" w:before="1"/>
        <w:rPr>
          <w:rFonts w:ascii="宋体" w:hAnsi="宋体" w:cs="宋体" w:eastAsia="宋体" w:hint="default"/>
          <w:sz w:val="13"/>
          <w:szCs w:val="13"/>
        </w:rPr>
      </w:pPr>
    </w:p>
    <w:p>
      <w:pPr>
        <w:pStyle w:val="BodyText"/>
        <w:spacing w:line="240" w:lineRule="auto" w:before="0"/>
        <w:ind w:left="573" w:right="0"/>
        <w:jc w:val="left"/>
      </w:pPr>
      <w:r>
        <w:rPr/>
        <w:t>（</w:t>
      </w:r>
      <w:r>
        <w:rPr>
          <w:rFonts w:ascii="Times New Roman" w:hAnsi="Times New Roman" w:cs="Times New Roman" w:eastAsia="Times New Roman" w:hint="default"/>
        </w:rPr>
        <w:t>1</w:t>
      </w:r>
      <w:r>
        <w:rPr/>
        <w:t>）单项金额重大并单项计提坏账准备的其他应收款：单项金额在</w:t>
      </w:r>
      <w:r>
        <w:rPr>
          <w:rFonts w:ascii="Times New Roman" w:hAnsi="Times New Roman" w:cs="Times New Roman" w:eastAsia="Times New Roman" w:hint="default"/>
        </w:rPr>
        <w:t>50</w:t>
      </w:r>
      <w:r>
        <w:rPr/>
        <w:t>万元以上的往来单位。</w:t>
      </w:r>
    </w:p>
    <w:p>
      <w:pPr>
        <w:pStyle w:val="BodyText"/>
        <w:spacing w:line="386" w:lineRule="auto" w:before="177"/>
        <w:ind w:right="0" w:firstLine="420"/>
        <w:jc w:val="left"/>
      </w:pPr>
      <w:r>
        <w:rPr>
          <w:spacing w:val="-2"/>
        </w:rPr>
        <w:t>（</w:t>
      </w:r>
      <w:r>
        <w:rPr>
          <w:rFonts w:ascii="Times New Roman" w:hAnsi="Times New Roman" w:cs="Times New Roman" w:eastAsia="Times New Roman" w:hint="default"/>
          <w:spacing w:val="-2"/>
        </w:rPr>
        <w:t>2</w:t>
      </w:r>
      <w:r>
        <w:rPr>
          <w:spacing w:val="-2"/>
        </w:rPr>
        <w:t>）单项金额虽不重大但单项计提坏账准备的其他应收款：账龄超过</w:t>
      </w:r>
      <w:r>
        <w:rPr>
          <w:rFonts w:ascii="Times New Roman" w:hAnsi="Times New Roman" w:cs="Times New Roman" w:eastAsia="Times New Roman" w:hint="default"/>
          <w:spacing w:val="-2"/>
        </w:rPr>
        <w:t>3</w:t>
      </w:r>
      <w:r>
        <w:rPr>
          <w:spacing w:val="-2"/>
        </w:rPr>
        <w:t>年以上的应收款项以及与对方</w:t>
      </w:r>
      <w:r>
        <w:rPr>
          <w:w w:val="100"/>
        </w:rPr>
        <w:t> </w:t>
      </w:r>
      <w:r>
        <w:rPr>
          <w:spacing w:val="-2"/>
        </w:rPr>
        <w:t>存在争议或涉及诉讼、仲裁的应收款项；已有明显迹象表明债务人很可能无法履行还款义务的应收款项。</w:t>
      </w:r>
    </w:p>
    <w:p>
      <w:pPr>
        <w:pStyle w:val="BodyText"/>
        <w:spacing w:line="396" w:lineRule="auto" w:before="65"/>
        <w:ind w:right="0" w:firstLine="420"/>
        <w:jc w:val="left"/>
        <w:rPr>
          <w:sz w:val="18"/>
          <w:szCs w:val="18"/>
        </w:rPr>
      </w:pPr>
      <w:r>
        <w:rPr/>
        <w:t>（</w:t>
      </w:r>
      <w:r>
        <w:rPr>
          <w:rFonts w:ascii="Times New Roman" w:hAnsi="Times New Roman" w:cs="Times New Roman" w:eastAsia="Times New Roman" w:hint="default"/>
        </w:rPr>
        <w:t>3</w:t>
      </w:r>
      <w:r>
        <w:rPr/>
        <w:t>）按组合计提坏账准备的其他应收款：除上述（</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）以外的其他应收款项。本公司对其他</w:t>
      </w:r>
      <w:r>
        <w:rPr>
          <w:w w:val="100"/>
        </w:rPr>
        <w:t> </w:t>
      </w:r>
      <w:r>
        <w:rPr>
          <w:spacing w:val="-2"/>
        </w:rPr>
        <w:t>不重大其他应收款分为二个组合：按账龄分析组合，按账龄分析计提坏账准备；公司及所属子公司往来款</w:t>
      </w:r>
      <w:r>
        <w:rPr>
          <w:spacing w:val="-43"/>
        </w:rPr>
        <w:t> </w:t>
      </w:r>
      <w:r>
        <w:rPr>
          <w:spacing w:val="-43"/>
        </w:rPr>
      </w:r>
      <w:r>
        <w:rPr/>
        <w:t>项的组合系指公司及所控制的公司之间的往来，不计提坏账准备。</w:t>
      </w:r>
      <w:r>
        <w:rPr>
          <w:w w:val="100"/>
        </w:rPr>
        <w:t> </w:t>
      </w:r>
      <w:r>
        <w:rPr>
          <w:sz w:val="18"/>
          <w:szCs w:val="18"/>
        </w:rPr>
        <w:t>组合中，采用余额百分比法计提坏账准备的其他应收款：</w:t>
      </w:r>
    </w:p>
    <w:p>
      <w:pPr>
        <w:spacing w:line="340" w:lineRule="auto" w:before="0"/>
        <w:ind w:left="152" w:right="5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Microsoft JhengHei" w:hAnsi="Microsoft JhengHei" w:cs="Microsoft JhengHei" w:eastAsia="Microsoft JhengHei" w:hint="default"/>
          <w:b/>
          <w:bCs/>
          <w:sz w:val="18"/>
          <w:szCs w:val="18"/>
        </w:rPr>
      </w:pPr>
    </w:p>
    <w:p>
      <w:pPr>
        <w:pStyle w:val="BodyText"/>
        <w:spacing w:line="240" w:lineRule="auto" w:before="0"/>
        <w:ind w:right="0"/>
        <w:jc w:val="left"/>
      </w:pPr>
      <w:r>
        <w:rPr/>
        <w:t>本期计提坏账准备金额</w:t>
      </w:r>
      <w:r>
        <w:rPr>
          <w:spacing w:val="-54"/>
        </w:rPr>
        <w:t> </w:t>
      </w:r>
      <w:r>
        <w:rPr>
          <w:rFonts w:ascii="Times New Roman" w:hAnsi="Times New Roman" w:cs="Times New Roman" w:eastAsia="Times New Roman" w:hint="default"/>
        </w:rPr>
        <w:t>41,651.34</w:t>
      </w:r>
      <w:r>
        <w:rPr>
          <w:rFonts w:ascii="Times New Roman" w:hAnsi="Times New Roman" w:cs="Times New Roman" w:eastAsia="Times New Roman" w:hint="default"/>
          <w:spacing w:val="-3"/>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7,385,807.98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15,385,807.98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391,922.64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201,922.64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1,052,526.76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980" w:right="98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1"/>
      </w:tblGrid>
      <w:tr>
        <w:trPr>
          <w:trHeight w:val="416" w:hRule="exact"/>
        </w:trPr>
        <w:tc>
          <w:tcPr>
            <w:tcW w:w="33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8,795,257.38</w:t>
            </w:r>
          </w:p>
        </w:tc>
        <w:tc>
          <w:tcPr>
            <w:tcW w:w="31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033" w:right="0"/>
              <w:jc w:val="left"/>
              <w:rPr>
                <w:rFonts w:ascii="Times New Roman" w:hAnsi="Times New Roman" w:cs="Times New Roman" w:eastAsia="Times New Roman" w:hint="default"/>
                <w:sz w:val="18"/>
                <w:szCs w:val="18"/>
              </w:rPr>
            </w:pPr>
            <w:r>
              <w:rPr>
                <w:rFonts w:ascii="Times New Roman"/>
                <w:sz w:val="18"/>
              </w:rPr>
              <w:t>15,827,730.62</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西安永旭创新服务有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7,385,807.98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深圳市盛龙印刷器材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固定资产处置款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796,116.50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39,805.83</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北京大恒图像视觉有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固定资产处置款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256,410.26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12,820.51</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长春生物制品研究所 有限责任公司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2,750.00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马应龙药业集团股份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郎致集团有限公司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8,593,334.74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97.71%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60,376.34</w:t>
            </w:r>
          </w:p>
        </w:tc>
      </w:tr>
    </w:tbl>
    <w:p>
      <w:pPr>
        <w:spacing w:line="240" w:lineRule="auto" w:before="3"/>
        <w:rPr>
          <w:rFonts w:ascii="宋体" w:hAnsi="宋体" w:cs="宋体" w:eastAsia="宋体" w:hint="default"/>
          <w:sz w:val="19"/>
          <w:szCs w:val="19"/>
        </w:rPr>
      </w:pPr>
    </w:p>
    <w:p>
      <w:pPr>
        <w:pStyle w:val="Heading3"/>
        <w:spacing w:line="335" w:lineRule="exact"/>
        <w:ind w:left="112" w:right="385"/>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left="112" w:right="385"/>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12" w:right="38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0"/>
          <w:szCs w:val="20"/>
        </w:rPr>
      </w:pPr>
    </w:p>
    <w:p>
      <w:pPr>
        <w:pStyle w:val="Heading3"/>
        <w:spacing w:line="240" w:lineRule="auto"/>
        <w:ind w:left="112" w:right="385"/>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198,968,826.38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198,968,826.38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190,888,826.38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190,888,826.38</w:t>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66,133,080.25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66,133,080.25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40,698,958.40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40,698,958.40</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980" w:top="1500" w:bottom="1160" w:left="1020" w:right="1020"/>
        </w:sectPr>
      </w:pP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16" w:hRule="exact"/>
        </w:trPr>
        <w:tc>
          <w:tcPr>
            <w:tcW w:w="13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11" w:right="0"/>
              <w:jc w:val="left"/>
              <w:rPr>
                <w:rFonts w:ascii="Times New Roman" w:hAnsi="Times New Roman" w:cs="Times New Roman" w:eastAsia="Times New Roman" w:hint="default"/>
                <w:sz w:val="18"/>
                <w:szCs w:val="18"/>
              </w:rPr>
            </w:pPr>
            <w:r>
              <w:rPr>
                <w:rFonts w:ascii="Times New Roman"/>
                <w:sz w:val="18"/>
              </w:rPr>
              <w:t>265,101,906.63</w:t>
            </w:r>
          </w:p>
        </w:tc>
        <w:tc>
          <w:tcPr>
            <w:tcW w:w="1368" w:type="dxa"/>
            <w:tcBorders>
              <w:top w:val="single" w:sz="10" w:space="0" w:color="000000"/>
              <w:left w:val="single" w:sz="4" w:space="0" w:color="000000"/>
              <w:bottom w:val="single" w:sz="4" w:space="0" w:color="000000"/>
              <w:right w:val="single" w:sz="4" w:space="0" w:color="000000"/>
            </w:tcBorders>
          </w:tcPr>
          <w:p>
            <w:pPr/>
          </w:p>
        </w:tc>
        <w:tc>
          <w:tcPr>
            <w:tcW w:w="13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08" w:right="0"/>
              <w:jc w:val="left"/>
              <w:rPr>
                <w:rFonts w:ascii="Times New Roman" w:hAnsi="Times New Roman" w:cs="Times New Roman" w:eastAsia="Times New Roman" w:hint="default"/>
                <w:sz w:val="18"/>
                <w:szCs w:val="18"/>
              </w:rPr>
            </w:pPr>
            <w:r>
              <w:rPr>
                <w:rFonts w:ascii="Times New Roman"/>
                <w:sz w:val="18"/>
              </w:rPr>
              <w:t>265,101,906.63</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08" w:right="0"/>
              <w:jc w:val="left"/>
              <w:rPr>
                <w:rFonts w:ascii="Times New Roman" w:hAnsi="Times New Roman" w:cs="Times New Roman" w:eastAsia="Times New Roman" w:hint="default"/>
                <w:sz w:val="18"/>
                <w:szCs w:val="18"/>
              </w:rPr>
            </w:pPr>
            <w:r>
              <w:rPr>
                <w:rFonts w:ascii="Times New Roman"/>
                <w:sz w:val="18"/>
              </w:rPr>
              <w:t>231,587,784.78</w:t>
            </w:r>
          </w:p>
        </w:tc>
        <w:tc>
          <w:tcPr>
            <w:tcW w:w="1366" w:type="dxa"/>
            <w:tcBorders>
              <w:top w:val="single" w:sz="10" w:space="0" w:color="000000"/>
              <w:left w:val="single" w:sz="4" w:space="0" w:color="000000"/>
              <w:bottom w:val="single" w:sz="4" w:space="0" w:color="000000"/>
              <w:right w:val="single" w:sz="4" w:space="0" w:color="000000"/>
            </w:tcBorders>
          </w:tcPr>
          <w:p>
            <w:pP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6"/>
              <w:ind w:left="208" w:right="0"/>
              <w:jc w:val="left"/>
              <w:rPr>
                <w:rFonts w:ascii="Times New Roman" w:hAnsi="Times New Roman" w:cs="Times New Roman" w:eastAsia="Times New Roman" w:hint="default"/>
                <w:sz w:val="18"/>
                <w:szCs w:val="18"/>
              </w:rPr>
            </w:pPr>
            <w:r>
              <w:rPr>
                <w:rFonts w:ascii="Times New Roman"/>
                <w:sz w:val="18"/>
              </w:rPr>
              <w:t>231,587,784.78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陕西永鑫纸业包 装有限公司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8,789,533.93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16,869,533.93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西安永旭创新服 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22,148,192.45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22,148,192.45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天津滨海环球印 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159,951,100.00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159,951,100.00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190,888,826.38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198,968,826.38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632"/>
        <w:gridCol w:w="1090"/>
        <w:gridCol w:w="1093"/>
        <w:gridCol w:w="631"/>
        <w:gridCol w:w="1001"/>
        <w:gridCol w:w="631"/>
        <w:gridCol w:w="632"/>
        <w:gridCol w:w="1001"/>
        <w:gridCol w:w="634"/>
        <w:gridCol w:w="632"/>
        <w:gridCol w:w="1092"/>
        <w:gridCol w:w="631"/>
      </w:tblGrid>
      <w:tr>
        <w:trPr>
          <w:trHeight w:val="401" w:hRule="exact"/>
        </w:trPr>
        <w:tc>
          <w:tcPr>
            <w:tcW w:w="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21" w:right="39" w:hanging="181"/>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5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0" w:right="38"/>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8" w:hRule="exact"/>
        </w:trPr>
        <w:tc>
          <w:tcPr>
            <w:tcW w:w="632"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3"/>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0" w:right="3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9"/>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3"/>
              <w:jc w:val="center"/>
              <w:rPr>
                <w:rFonts w:ascii="宋体" w:hAnsi="宋体" w:cs="宋体" w:eastAsia="宋体" w:hint="default"/>
                <w:sz w:val="18"/>
                <w:szCs w:val="18"/>
              </w:rPr>
            </w:pPr>
            <w:r>
              <w:rPr>
                <w:rFonts w:ascii="宋体" w:hAnsi="宋体" w:cs="宋体" w:eastAsia="宋体" w:hint="default"/>
                <w:sz w:val="18"/>
                <w:szCs w:val="18"/>
              </w:rPr>
              <w:t>宣告发放现 金股利或利 润</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69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5"/>
              <w:jc w:val="both"/>
              <w:rPr>
                <w:rFonts w:ascii="宋体" w:hAnsi="宋体" w:cs="宋体" w:eastAsia="宋体" w:hint="default"/>
                <w:sz w:val="18"/>
                <w:szCs w:val="18"/>
              </w:rPr>
            </w:pPr>
            <w:r>
              <w:rPr>
                <w:rFonts w:ascii="宋体" w:hAnsi="宋体" w:cs="宋体" w:eastAsia="宋体" w:hint="default"/>
                <w:sz w:val="18"/>
                <w:szCs w:val="18"/>
              </w:rPr>
              <w:t>西安德 宝药用 包装有 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40,698,958.40</w:t>
            </w:r>
          </w:p>
        </w:tc>
        <w:tc>
          <w:tcPr>
            <w:tcW w:w="1093"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5,470,850.21</w:t>
            </w:r>
          </w:p>
        </w:tc>
        <w:tc>
          <w:tcPr>
            <w:tcW w:w="631"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5,037,075.66</w:t>
            </w:r>
          </w:p>
        </w:tc>
        <w:tc>
          <w:tcPr>
            <w:tcW w:w="634"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41,132,732.95</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6"/>
              <w:jc w:val="both"/>
              <w:rPr>
                <w:rFonts w:ascii="宋体" w:hAnsi="宋体" w:cs="宋体" w:eastAsia="宋体" w:hint="default"/>
                <w:sz w:val="18"/>
                <w:szCs w:val="18"/>
              </w:rPr>
            </w:pPr>
            <w:r>
              <w:rPr>
                <w:rFonts w:ascii="宋体" w:hAnsi="宋体" w:cs="宋体" w:eastAsia="宋体" w:hint="default"/>
                <w:sz w:val="18"/>
                <w:szCs w:val="18"/>
              </w:rPr>
              <w:t>上海久 旭环保 科技股 份有限 公司</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25,000,000.00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347.30</w:t>
            </w:r>
          </w:p>
        </w:tc>
        <w:tc>
          <w:tcPr>
            <w:tcW w:w="631"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25,000,347.30</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40,698,958.40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25,000,000.00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5,471,197.51</w:t>
            </w:r>
          </w:p>
        </w:tc>
        <w:tc>
          <w:tcPr>
            <w:tcW w:w="631"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5,037,075.66</w:t>
            </w:r>
          </w:p>
        </w:tc>
        <w:tc>
          <w:tcPr>
            <w:tcW w:w="634"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66,133,080.25</w:t>
            </w:r>
          </w:p>
        </w:tc>
        <w:tc>
          <w:tcPr>
            <w:tcW w:w="6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40,698,958.40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25,000,000.00</w:t>
            </w:r>
          </w:p>
        </w:tc>
        <w:tc>
          <w:tcPr>
            <w:tcW w:w="63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5,471,197.51</w:t>
            </w:r>
          </w:p>
        </w:tc>
        <w:tc>
          <w:tcPr>
            <w:tcW w:w="631"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5,037,075.66</w:t>
            </w:r>
          </w:p>
        </w:tc>
        <w:tc>
          <w:tcPr>
            <w:tcW w:w="634"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66,133,080.25</w:t>
            </w:r>
          </w:p>
        </w:tc>
        <w:tc>
          <w:tcPr>
            <w:tcW w:w="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2992"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350,997,186.55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287,759,997.22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315,417,781.48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255,535,382.37</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4,395,085.42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3,084,384.59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3,594,754.13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2,476,221.47</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355,392,271.97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290,844,381.81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319,012,535.61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258,011,603.84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Microsoft JhengHei" w:hAnsi="Microsoft JhengHei" w:cs="Microsoft JhengHei" w:eastAsia="Microsoft JhengHei" w:hint="default"/>
          <w:b/>
          <w:bCs/>
          <w:sz w:val="16"/>
          <w:szCs w:val="1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5,232,540.18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4,698,673.82</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5,232,540.18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4,698,673.82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十八、补充资料</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-1,114,287.69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2,849,756.00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收到政府补助</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13,933.46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328,602.03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-98,558.40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1,519,358.14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80"/>
        </w:sectPr>
      </w:pPr>
    </w:p>
    <w:p>
      <w:pPr>
        <w:pStyle w:val="Heading3"/>
        <w:spacing w:line="338" w:lineRule="exact"/>
        <w:ind w:right="0"/>
        <w:jc w:val="left"/>
        <w:rPr>
          <w:b w:val="0"/>
          <w:bCs w:val="0"/>
        </w:rPr>
      </w:pPr>
      <w:r>
        <w:rPr/>
        <w:pict>
          <v:group style="position:absolute;margin-left:55.200001pt;margin-top:2.202064pt;width:484.9pt;height:.1pt;mso-position-horizontal-relative:page;mso-position-vertical-relative:paragraph;z-index:-752968"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0.14</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31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6"/>
        </w:rPr>
        <w:t> </w:t>
      </w:r>
      <w:r>
        <w:rPr>
          <w:spacing w:val="26"/>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2" w:footer="980" w:top="150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44"/>
        <w:ind w:left="3285" w:right="0"/>
        <w:jc w:val="left"/>
        <w:rPr>
          <w:b w:val="0"/>
          <w:bCs w:val="0"/>
        </w:rPr>
      </w:pPr>
      <w:bookmarkStart w:name="_bookmark12" w:id="13"/>
      <w:bookmarkEnd w:id="13"/>
      <w:r>
        <w:rPr>
          <w:b w:val="0"/>
          <w:bCs w:val="0"/>
        </w:rPr>
      </w:r>
      <w:r>
        <w:rPr/>
        <w:t>第十二节 </w:t>
      </w:r>
      <w:r>
        <w:rPr>
          <w:spacing w:val="8"/>
        </w:rPr>
        <w:t> </w:t>
      </w:r>
      <w:r>
        <w:rPr/>
        <w:t>备查文件目录</w:t>
      </w:r>
      <w:r>
        <w:rPr>
          <w:b w:val="0"/>
          <w:bCs w:val="0"/>
        </w:rPr>
      </w:r>
    </w:p>
    <w:p>
      <w:pPr>
        <w:spacing w:line="240" w:lineRule="auto" w:before="4"/>
        <w:rPr>
          <w:rFonts w:ascii="Microsoft JhengHei" w:hAnsi="Microsoft JhengHei" w:cs="Microsoft JhengHei" w:eastAsia="Microsoft JhengHei" w:hint="default"/>
          <w:b/>
          <w:bCs/>
          <w:sz w:val="33"/>
          <w:szCs w:val="33"/>
        </w:rPr>
      </w:pPr>
    </w:p>
    <w:p>
      <w:pPr>
        <w:pStyle w:val="BodyText"/>
        <w:spacing w:line="408" w:lineRule="auto" w:before="0"/>
        <w:ind w:right="0"/>
        <w:jc w:val="left"/>
      </w:pPr>
      <w:r>
        <w:rPr/>
        <w:t>一、载有公司法定代表人签名的 </w:t>
      </w:r>
      <w:r>
        <w:rPr>
          <w:rFonts w:ascii="宋体" w:hAnsi="宋体" w:cs="宋体" w:eastAsia="宋体" w:hint="default"/>
        </w:rPr>
        <w:t>2017</w:t>
      </w:r>
      <w:r>
        <w:rPr>
          <w:rFonts w:ascii="宋体" w:hAnsi="宋体" w:cs="宋体" w:eastAsia="宋体" w:hint="default"/>
          <w:spacing w:val="-2"/>
        </w:rPr>
        <w:t> </w:t>
      </w:r>
      <w:r>
        <w:rPr/>
        <w:t>年年度报告文本。</w:t>
      </w:r>
      <w:r>
        <w:rPr>
          <w:w w:val="100"/>
        </w:rPr>
        <w:t> </w:t>
      </w:r>
      <w:r>
        <w:rPr/>
        <w:t>二、载有公司法定代表人、主管会计工作负责人、会计机构负责人签名并盖章的财务报表。</w:t>
      </w:r>
      <w:r>
        <w:rPr>
          <w:w w:val="100"/>
        </w:rPr>
        <w:t> </w:t>
      </w:r>
      <w:r>
        <w:rPr/>
        <w:t>三、载有会计师事务所盖章、注册会计师签字并盖章的公司 </w:t>
      </w:r>
      <w:r>
        <w:rPr>
          <w:rFonts w:ascii="宋体" w:hAnsi="宋体" w:cs="宋体" w:eastAsia="宋体" w:hint="default"/>
        </w:rPr>
        <w:t>2017</w:t>
      </w:r>
      <w:r>
        <w:rPr>
          <w:rFonts w:ascii="宋体" w:hAnsi="宋体" w:cs="宋体" w:eastAsia="宋体" w:hint="default"/>
          <w:spacing w:val="-2"/>
        </w:rPr>
        <w:t> </w:t>
      </w:r>
      <w:r>
        <w:rPr/>
        <w:t>年度审计报告原件。</w:t>
      </w:r>
      <w:r>
        <w:rPr>
          <w:w w:val="100"/>
        </w:rPr>
        <w:t> </w:t>
      </w:r>
      <w:r>
        <w:rPr>
          <w:spacing w:val="-2"/>
        </w:rPr>
        <w:t>四、报告期内公司在中国证监会指定报纸上公开披露过的所有公司文件的正本及公告的原稿。</w:t>
      </w:r>
      <w:r>
        <w:rPr>
          <w:spacing w:val="-28"/>
        </w:rPr>
        <w:t> </w:t>
      </w:r>
      <w:r>
        <w:rPr>
          <w:spacing w:val="-28"/>
        </w:rPr>
      </w:r>
      <w:r>
        <w:rPr/>
        <w:t>五、其他有关资料。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tabs>
          <w:tab w:pos="7798" w:val="left" w:leader="none"/>
        </w:tabs>
        <w:spacing w:line="393" w:lineRule="auto" w:before="0"/>
        <w:ind w:left="6747" w:right="1051" w:hanging="377"/>
        <w:jc w:val="left"/>
      </w:pPr>
      <w:r>
        <w:rPr>
          <w:spacing w:val="-2"/>
        </w:rPr>
        <w:t>西安环球印务股份有限公司</w:t>
      </w:r>
      <w:r>
        <w:rPr>
          <w:spacing w:val="-82"/>
        </w:rPr>
        <w:t> </w:t>
      </w:r>
      <w:r>
        <w:rPr>
          <w:spacing w:val="-82"/>
        </w:rPr>
      </w:r>
      <w:r>
        <w:rPr>
          <w:spacing w:val="-1"/>
        </w:rPr>
        <w:t>董事长：</w:t>
        <w:tab/>
        <w:t>李移岭</w:t>
      </w:r>
      <w:r>
        <w:rPr>
          <w:w w:val="100"/>
        </w:rPr>
        <w:t> </w:t>
      </w:r>
      <w:r>
        <w:rPr/>
        <w:t>二零一八年三月三十日</w:t>
      </w:r>
    </w:p>
    <w:p>
      <w:pPr>
        <w:spacing w:after="0" w:line="393" w:lineRule="auto"/>
        <w:jc w:val="left"/>
        <w:sectPr>
          <w:pgSz w:w="11910" w:h="16840"/>
          <w:pgMar w:header="852" w:footer="980" w:top="1500" w:bottom="1160" w:left="980" w:right="980"/>
        </w:sectPr>
      </w:pPr>
    </w:p>
    <w:p>
      <w:pPr>
        <w:spacing w:line="240" w:lineRule="auto" w:before="5"/>
        <w:rPr>
          <w:rFonts w:ascii="Times New Roman" w:hAnsi="Times New Roman" w:cs="Times New Roman" w:eastAsia="Times New Roman" w:hint="default"/>
          <w:sz w:val="17"/>
          <w:szCs w:val="17"/>
        </w:rPr>
      </w:pPr>
    </w:p>
    <w:sectPr>
      <w:pgSz w:w="11910" w:h="16840"/>
      <w:pgMar w:header="852" w:footer="980" w:top="15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55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5.521606pt;width:71.05pt;height:11.5pt;mso-position-horizontal-relative:page;mso-position-vertical-relative:page;z-index:-755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txbxContent>
          </v:textbox>
          <w10:wrap type="none"/>
        </v:shape>
      </w:pict>
    </w:r>
    <w:r>
      <w:rPr/>
      <w:pict>
        <v:shape style="position:absolute;margin-left:523.099976pt;margin-top:781.933899pt;width:17.7pt;height:11pt;mso-position-horizontal-relative:page;mso-position-vertical-relative:page;z-index:-755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163</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55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165</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55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2002pt;margin-top:535.333923pt;width:13.15pt;height:11pt;mso-position-horizontal-relative:page;mso-position-vertical-relative:page;z-index:-755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755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7554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55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755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755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700001pt;margin-top:42.599983pt;width:115.2pt;height:30.7pt;mso-position-horizontal-relative:page;mso-position-vertical-relative:page;z-index:-755752" type="#_x0000_t75" stroked="false">
          <v:imagedata r:id="rId1" o:title=""/>
        </v:shape>
      </w:pict>
    </w:r>
    <w:r>
      <w:rPr/>
      <w:pict>
        <v:group style="position:absolute;margin-left:55.200001pt;margin-top:77.279984pt;width:484.9pt;height:.1pt;mso-position-horizontal-relative:page;mso-position-vertical-relative:page;z-index:-755728" coordorigin="1104,1546" coordsize="9698,2">
          <v:shape style="position:absolute;left:1104;top:1546;width:9698;height:2" coordorigin="1104,1546" coordsize="9698,0" path="m1104,1546l10802,154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190002pt;margin-top:64.585609pt;width:177.6pt;height:11.5pt;mso-position-horizontal-relative:page;mso-position-vertical-relative:page;z-index:-755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西安环球印务股份有限公司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49988pt;margin-top:42.600006pt;width:115.2pt;height:30.7pt;mso-position-horizontal-relative:page;mso-position-vertical-relative:page;z-index:-755632" type="#_x0000_t75" stroked="false">
          <v:imagedata r:id="rId1" o:title=""/>
        </v:shape>
      </w:pict>
    </w:r>
    <w:r>
      <w:rPr/>
      <w:pict>
        <v:shape style="position:absolute;margin-left:593.549988pt;margin-top:64.605629pt;width:177.6pt;height:11.5pt;mso-position-horizontal-relative:page;mso-position-vertical-relative:page;z-index:-755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西安环球印务股份有限公司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700001pt;margin-top:42.599983pt;width:115.2pt;height:30.7pt;mso-position-horizontal-relative:page;mso-position-vertical-relative:page;z-index:-755560" type="#_x0000_t75" stroked="false">
          <v:imagedata r:id="rId1" o:title=""/>
        </v:shape>
      </w:pict>
    </w:r>
    <w:r>
      <w:rPr/>
      <w:pict>
        <v:shape style="position:absolute;margin-left:362.190002pt;margin-top:64.585609pt;width:177.6pt;height:11.5pt;mso-position-horizontal-relative:page;mso-position-vertical-relative:page;z-index:-7555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西安环球印务股份有限公司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91"/>
      <w:ind w:left="152"/>
    </w:pPr>
    <w:rPr>
      <w:rFonts w:ascii="Microsoft JhengHei" w:hAnsi="Microsoft JhengHei" w:eastAsia="Microsoft JhengHei"/>
      <w:b/>
      <w:bCs/>
      <w:sz w:val="24"/>
      <w:szCs w:val="24"/>
    </w:rPr>
  </w:style>
  <w:style w:styleId="BodyText" w:type="paragraph">
    <w:name w:val="Body Text"/>
    <w:basedOn w:val="Normal"/>
    <w:uiPriority w:val="1"/>
    <w:qFormat/>
    <w:pPr>
      <w:spacing w:before="46"/>
      <w:ind w:left="152"/>
    </w:pPr>
    <w:rPr>
      <w:rFonts w:ascii="宋体" w:hAnsi="宋体" w:eastAsia="宋体"/>
      <w:sz w:val="21"/>
      <w:szCs w:val="21"/>
    </w:rPr>
  </w:style>
  <w:style w:styleId="Heading1" w:type="paragraph">
    <w:name w:val="Heading 1"/>
    <w:basedOn w:val="Normal"/>
    <w:uiPriority w:val="1"/>
    <w:qFormat/>
    <w:pPr>
      <w:ind w:left="657"/>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2"/>
      <w:outlineLvl w:val="3"/>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globalprinting.cn/" TargetMode="External"/><Relationship Id="rId9" Type="http://schemas.openxmlformats.org/officeDocument/2006/relationships/hyperlink" Target="mailto:security@globalprinting.cn" TargetMode="External"/><Relationship Id="rId10" Type="http://schemas.openxmlformats.org/officeDocument/2006/relationships/hyperlink" Target="http://www.cninfo.com.cn/" TargetMode="External"/><Relationship Id="rId11" Type="http://schemas.openxmlformats.org/officeDocument/2006/relationships/image" Target="media/image2.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footer" Target="footer3.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西安环球印务股份有限公司</dc:creator>
  <dc:title>西安环球印务股份有限公司2017年年度报告</dc:title>
  <dcterms:created xsi:type="dcterms:W3CDTF">2020-05-02T23:17:51Z</dcterms:created>
  <dcterms:modified xsi:type="dcterms:W3CDTF">2020-05-02T23:17:51Z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Microsoft® Word 2013</vt:lpwstr>
  </property>
  <property fmtid="{D5CDD505-2E9C-101B-9397-08002B2CF9AE}" pid="4" name="LastSaved">
    <vt:filetime>2020-05-02T00:00:00Z</vt:filetime>
  </property>
</Properties>
</file>