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spacing w:line="460" w:lineRule="exact" w:before="0"/>
        <w:ind w:left="2086" w:right="3763" w:firstLine="0"/>
        <w:jc w:val="center"/>
        <w:rPr>
          <w:rFonts w:ascii="宋体" w:hAnsi="宋体" w:cs="宋体" w:eastAsia="宋体" w:hint="default"/>
          <w:sz w:val="36"/>
          <w:szCs w:val="36"/>
        </w:rPr>
      </w:pPr>
      <w:r>
        <w:rPr>
          <w:rFonts w:ascii="宋体" w:hAnsi="宋体" w:cs="宋体" w:eastAsia="宋体" w:hint="default"/>
          <w:b/>
          <w:bCs/>
          <w:sz w:val="36"/>
          <w:szCs w:val="36"/>
        </w:rPr>
        <w:t>西安环球印务股份有限公司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084"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spacing w:line="612" w:lineRule="exact"/>
        <w:ind w:left="3118" w:right="0" w:firstLine="0"/>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1459694" cy="38862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1459694" cy="388620"/>
                    </a:xfrm>
                    <a:prstGeom prst="rect">
                      <a:avLst/>
                    </a:prstGeom>
                  </pic:spPr>
                </pic:pic>
              </a:graphicData>
            </a:graphic>
          </wp:inline>
        </w:drawing>
      </w:r>
      <w:r>
        <w:rPr>
          <w:rFonts w:ascii="宋体" w:hAnsi="宋体" w:cs="宋体" w:eastAsia="宋体" w:hint="default"/>
          <w:position w:val="-11"/>
          <w:sz w:val="20"/>
          <w:szCs w:val="2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2"/>
        <w:rPr>
          <w:rFonts w:ascii="宋体" w:hAnsi="宋体" w:cs="宋体" w:eastAsia="宋体" w:hint="default"/>
          <w:b/>
          <w:bCs/>
          <w:sz w:val="40"/>
          <w:szCs w:val="40"/>
        </w:rPr>
      </w:pPr>
    </w:p>
    <w:p>
      <w:pPr>
        <w:spacing w:before="0"/>
        <w:ind w:left="2086"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footerReference w:type="default" r:id="rId5"/>
          <w:type w:val="continuous"/>
          <w:pgSz w:w="11910" w:h="16840"/>
          <w:pgMar w:footer="504" w:top="1580" w:bottom="700" w:left="1680" w:right="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Heading1"/>
        <w:spacing w:line="240" w:lineRule="auto"/>
        <w:ind w:left="2805" w:right="94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公司负责人李移岭、主管会计工作负责人林蔚及会计机构负责人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夏美莹声明：保证年度报告中财务报告的真实、准确、完整。</w:t>
      </w:r>
      <w:r>
        <w:rPr>
          <w:rFonts w:ascii="宋体" w:hAnsi="宋体" w:cs="宋体" w:eastAsia="宋体" w:hint="default"/>
          <w:sz w:val="28"/>
          <w:szCs w:val="28"/>
        </w:rPr>
      </w:r>
    </w:p>
    <w:p>
      <w:pPr>
        <w:spacing w:line="410" w:lineRule="auto" w:before="145"/>
        <w:ind w:left="154" w:right="1132"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本报告已经公司第四届董事会第十四次会议审议通过，所有董事均出席了</w:t>
      </w:r>
      <w:r>
        <w:rPr>
          <w:rFonts w:ascii="宋体" w:hAnsi="宋体" w:cs="宋体" w:eastAsia="宋体" w:hint="default"/>
          <w:b/>
          <w:bCs/>
          <w:w w:val="99"/>
          <w:sz w:val="28"/>
          <w:szCs w:val="28"/>
        </w:rPr>
        <w:t> </w:t>
      </w:r>
      <w:r>
        <w:rPr>
          <w:rFonts w:ascii="宋体" w:hAnsi="宋体" w:cs="宋体" w:eastAsia="宋体" w:hint="default"/>
          <w:b/>
          <w:bCs/>
          <w:sz w:val="28"/>
          <w:szCs w:val="28"/>
        </w:rPr>
        <w:t>本次董事会会议。</w:t>
      </w:r>
      <w:r>
        <w:rPr>
          <w:rFonts w:ascii="宋体" w:hAnsi="宋体" w:cs="宋体" w:eastAsia="宋体" w:hint="default"/>
          <w:sz w:val="28"/>
          <w:szCs w:val="28"/>
        </w:rPr>
      </w:r>
    </w:p>
    <w:p>
      <w:pPr>
        <w:spacing w:line="410" w:lineRule="auto" w:before="157"/>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本报告所涉及未来计划等前瞻性陈述，不构成公司对投资者的实质承诺，</w:t>
      </w:r>
      <w:r>
        <w:rPr>
          <w:rFonts w:ascii="宋体" w:hAnsi="宋体" w:cs="宋体" w:eastAsia="宋体" w:hint="default"/>
          <w:b/>
          <w:bCs/>
          <w:w w:val="99"/>
          <w:sz w:val="28"/>
          <w:szCs w:val="28"/>
        </w:rPr>
        <w:t> </w:t>
      </w:r>
      <w:r>
        <w:rPr>
          <w:rFonts w:ascii="宋体" w:hAnsi="宋体" w:cs="宋体" w:eastAsia="宋体" w:hint="default"/>
          <w:b/>
          <w:bCs/>
          <w:sz w:val="28"/>
          <w:szCs w:val="28"/>
        </w:rPr>
        <w:t>请投资者注意投资风险。</w:t>
      </w:r>
      <w:r>
        <w:rPr>
          <w:rFonts w:ascii="宋体" w:hAnsi="宋体" w:cs="宋体" w:eastAsia="宋体" w:hint="default"/>
          <w:sz w:val="28"/>
          <w:szCs w:val="28"/>
        </w:rPr>
      </w:r>
    </w:p>
    <w:p>
      <w:pPr>
        <w:spacing w:line="386" w:lineRule="auto" w:before="157"/>
        <w:ind w:left="154" w:right="1132"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公司在本报告第四节</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经营情况讨论与分析</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中</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九、公司未来发展的展望</w:t>
      </w:r>
      <w:r>
        <w:rPr>
          <w:rFonts w:ascii="Times New Roman" w:hAnsi="Times New Roman" w:cs="Times New Roman" w:eastAsia="Times New Roman" w:hint="default"/>
          <w:b/>
          <w:bCs/>
          <w:spacing w:val="3"/>
          <w:w w:val="95"/>
          <w:sz w:val="28"/>
          <w:szCs w:val="28"/>
        </w:rPr>
        <w:t>”</w:t>
      </w:r>
      <w:r>
        <w:rPr>
          <w:rFonts w:ascii="Times New Roman" w:hAnsi="Times New Roman" w:cs="Times New Roman" w:eastAsia="Times New Roman" w:hint="default"/>
          <w:b/>
          <w:bCs/>
          <w:w w:val="99"/>
          <w:sz w:val="28"/>
          <w:szCs w:val="28"/>
        </w:rPr>
        <w:t> </w:t>
      </w:r>
      <w:r>
        <w:rPr>
          <w:rFonts w:ascii="宋体" w:hAnsi="宋体" w:cs="宋体" w:eastAsia="宋体" w:hint="default"/>
          <w:b/>
          <w:bCs/>
          <w:sz w:val="28"/>
          <w:szCs w:val="28"/>
        </w:rPr>
        <w:t>部分，详细描述了公司经营中可能存在的风险，敬请投资者关注相关内容。</w:t>
      </w:r>
      <w:r>
        <w:rPr>
          <w:rFonts w:ascii="宋体" w:hAnsi="宋体" w:cs="宋体" w:eastAsia="宋体" w:hint="default"/>
          <w:sz w:val="28"/>
          <w:szCs w:val="28"/>
        </w:rPr>
      </w:r>
    </w:p>
    <w:p>
      <w:pPr>
        <w:spacing w:before="186"/>
        <w:ind w:left="716" w:right="94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150,000,000</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line="386" w:lineRule="auto" w:before="236"/>
        <w:ind w:left="154" w:right="940" w:firstLine="0"/>
        <w:jc w:val="left"/>
        <w:rPr>
          <w:rFonts w:ascii="宋体" w:hAnsi="宋体" w:cs="宋体" w:eastAsia="宋体" w:hint="default"/>
          <w:sz w:val="28"/>
          <w:szCs w:val="28"/>
        </w:rPr>
      </w:pPr>
      <w:r>
        <w:rPr>
          <w:rFonts w:ascii="宋体" w:hAnsi="宋体" w:cs="宋体" w:eastAsia="宋体" w:hint="default"/>
          <w:b/>
          <w:bCs/>
          <w:w w:val="99"/>
          <w:sz w:val="28"/>
          <w:szCs w:val="28"/>
        </w:rPr>
        <w:t>向全体股东每</w:t>
      </w:r>
      <w:r>
        <w:rPr>
          <w:rFonts w:ascii="宋体" w:hAnsi="宋体" w:cs="宋体" w:eastAsia="宋体" w:hint="default"/>
          <w:b/>
          <w:bCs/>
          <w:spacing w:val="-60"/>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9"/>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0"/>
          <w:w w:val="99"/>
          <w:sz w:val="28"/>
          <w:szCs w:val="28"/>
        </w:rPr>
        <w:t> </w:t>
      </w:r>
      <w:r>
        <w:rPr>
          <w:rFonts w:ascii="Times New Roman" w:hAnsi="Times New Roman" w:cs="Times New Roman" w:eastAsia="Times New Roman" w:hint="default"/>
          <w:b/>
          <w:bCs/>
          <w:w w:val="99"/>
          <w:sz w:val="28"/>
          <w:szCs w:val="28"/>
        </w:rPr>
        <w:t>0.35</w:t>
      </w:r>
      <w:r>
        <w:rPr>
          <w:rFonts w:ascii="Times New Roman" w:hAnsi="Times New Roman" w:cs="Times New Roman" w:eastAsia="Times New Roman" w:hint="default"/>
          <w:b/>
          <w:bCs/>
          <w:spacing w:val="8"/>
          <w:w w:val="99"/>
          <w:sz w:val="28"/>
          <w:szCs w:val="28"/>
        </w:rPr>
        <w:t> </w:t>
      </w:r>
      <w:r>
        <w:rPr>
          <w:rFonts w:ascii="宋体" w:hAnsi="宋体" w:cs="宋体" w:eastAsia="宋体" w:hint="default"/>
          <w:b/>
          <w:bCs/>
          <w:spacing w:val="-8"/>
          <w:w w:val="99"/>
          <w:sz w:val="28"/>
          <w:szCs w:val="28"/>
        </w:rPr>
        <w:t>元（含税），不送红股，不以公积金转增</w:t>
      </w:r>
      <w:r>
        <w:rPr>
          <w:rFonts w:ascii="宋体" w:hAnsi="宋体" w:cs="宋体" w:eastAsia="宋体" w:hint="default"/>
          <w:b/>
          <w:bCs/>
          <w:w w:val="99"/>
          <w:sz w:val="28"/>
          <w:szCs w:val="28"/>
        </w:rPr>
        <w:t> </w:t>
      </w:r>
      <w:r>
        <w:rPr>
          <w:rFonts w:ascii="宋体" w:hAnsi="宋体" w:cs="宋体" w:eastAsia="宋体" w:hint="default"/>
          <w:b/>
          <w:bCs/>
          <w:sz w:val="28"/>
          <w:szCs w:val="28"/>
        </w:rPr>
        <w:t>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headerReference w:type="default" r:id="rId7"/>
          <w:footerReference w:type="default" r:id="rId8"/>
          <w:pgSz w:w="11910" w:h="16840"/>
          <w:pgMar w:header="851" w:footer="979" w:top="1500" w:bottom="1160" w:left="98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p>
      <w:pPr>
        <w:spacing w:line="460" w:lineRule="exact" w:before="0"/>
        <w:ind w:left="42" w:right="101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宋体" w:hAnsi="宋体" w:cs="宋体" w:eastAsia="宋体" w:hint="default"/>
            </w:rPr>
          </w:pPr>
          <w:r>
            <w:fldChar w:fldCharType="begin"/>
          </w:r>
          <w:r>
            <w:instrText>TOC \o "1-1" \h \z \u </w:instrText>
          </w:r>
          <w:r>
            <w:fldChar w:fldCharType="separate"/>
          </w:r>
          <w:hyperlink w:history="true" w:anchor="_bookmark0">
            <w:r>
              <w:rPr/>
              <w:t>第一节 重要提示、目录和释义</w:t>
            </w:r>
            <w:r>
              <w:rPr>
                <w:rFonts w:ascii="宋体" w:hAnsi="宋体" w:cs="宋体" w:eastAsia="宋体" w:hint="default"/>
              </w:rPr>
              <w:tab/>
              <w:t>2</w:t>
            </w:r>
          </w:hyperlink>
        </w:p>
        <w:p>
          <w:pPr>
            <w:pStyle w:val="TOC1"/>
            <w:tabs>
              <w:tab w:pos="9782" w:val="right" w:leader="dot"/>
            </w:tabs>
            <w:spacing w:line="240" w:lineRule="auto"/>
            <w:ind w:right="0"/>
            <w:jc w:val="left"/>
            <w:rPr>
              <w:rFonts w:ascii="宋体" w:hAnsi="宋体" w:cs="宋体" w:eastAsia="宋体" w:hint="default"/>
            </w:rPr>
          </w:pPr>
          <w:hyperlink w:history="true" w:anchor="_bookmark1">
            <w:r>
              <w:rPr/>
              <w:t>第二节 公司简介和主要财务指标</w:t>
            </w:r>
            <w:r>
              <w:rPr>
                <w:rFonts w:ascii="宋体" w:hAnsi="宋体" w:cs="宋体" w:eastAsia="宋体" w:hint="default"/>
              </w:rPr>
              <w:tab/>
              <w:t>5</w:t>
            </w:r>
          </w:hyperlink>
        </w:p>
        <w:p>
          <w:pPr>
            <w:pStyle w:val="TOC1"/>
            <w:tabs>
              <w:tab w:pos="9782" w:val="right" w:leader="dot"/>
            </w:tabs>
            <w:spacing w:line="240" w:lineRule="auto"/>
            <w:ind w:right="0"/>
            <w:jc w:val="left"/>
            <w:rPr>
              <w:rFonts w:ascii="宋体" w:hAnsi="宋体" w:cs="宋体" w:eastAsia="宋体" w:hint="default"/>
            </w:rPr>
          </w:pPr>
          <w:hyperlink w:history="true" w:anchor="_bookmark2">
            <w:r>
              <w:rPr/>
              <w:t>第三节 公司业务概要</w:t>
            </w:r>
            <w:r>
              <w:rPr>
                <w:rFonts w:ascii="宋体" w:hAnsi="宋体" w:cs="宋体" w:eastAsia="宋体" w:hint="default"/>
              </w:rPr>
              <w:tab/>
              <w:t>9</w:t>
            </w:r>
          </w:hyperlink>
        </w:p>
        <w:p>
          <w:pPr>
            <w:pStyle w:val="TOC1"/>
            <w:tabs>
              <w:tab w:pos="9782" w:val="right" w:leader="dot"/>
            </w:tabs>
            <w:spacing w:line="240" w:lineRule="auto" w:before="194"/>
            <w:ind w:right="0"/>
            <w:jc w:val="left"/>
            <w:rPr>
              <w:rFonts w:ascii="宋体" w:hAnsi="宋体" w:cs="宋体" w:eastAsia="宋体" w:hint="default"/>
            </w:rPr>
          </w:pPr>
          <w:hyperlink w:history="true" w:anchor="_bookmark3">
            <w:r>
              <w:rPr/>
              <w:t>第四节 经营情况讨论与分析</w:t>
            </w:r>
            <w:r>
              <w:rPr>
                <w:rFonts w:ascii="宋体" w:hAnsi="宋体" w:cs="宋体" w:eastAsia="宋体" w:hint="default"/>
              </w:rPr>
              <w:tab/>
              <w:t>13</w:t>
            </w:r>
          </w:hyperlink>
        </w:p>
        <w:p>
          <w:pPr>
            <w:pStyle w:val="TOC1"/>
            <w:tabs>
              <w:tab w:pos="9782" w:val="right" w:leader="dot"/>
            </w:tabs>
            <w:spacing w:line="240" w:lineRule="auto"/>
            <w:ind w:right="0"/>
            <w:jc w:val="left"/>
            <w:rPr>
              <w:rFonts w:ascii="宋体" w:hAnsi="宋体" w:cs="宋体" w:eastAsia="宋体" w:hint="default"/>
            </w:rPr>
          </w:pPr>
          <w:hyperlink w:history="true" w:anchor="_bookmark4">
            <w:r>
              <w:rPr/>
              <w:t>第五节 重要事项</w:t>
            </w:r>
            <w:r>
              <w:rPr>
                <w:rFonts w:ascii="宋体" w:hAnsi="宋体" w:cs="宋体" w:eastAsia="宋体" w:hint="default"/>
              </w:rPr>
              <w:tab/>
              <w:t>30</w:t>
            </w:r>
          </w:hyperlink>
        </w:p>
        <w:p>
          <w:pPr>
            <w:pStyle w:val="TOC1"/>
            <w:tabs>
              <w:tab w:pos="9782" w:val="right" w:leader="dot"/>
            </w:tabs>
            <w:spacing w:line="240" w:lineRule="auto"/>
            <w:ind w:right="0"/>
            <w:jc w:val="left"/>
            <w:rPr>
              <w:rFonts w:ascii="宋体" w:hAnsi="宋体" w:cs="宋体" w:eastAsia="宋体" w:hint="default"/>
            </w:rPr>
          </w:pPr>
          <w:hyperlink w:history="true" w:anchor="_bookmark5">
            <w:r>
              <w:rPr/>
              <w:t>第六节 股份变动及股东情况</w:t>
            </w:r>
            <w:r>
              <w:rPr>
                <w:rFonts w:ascii="宋体" w:hAnsi="宋体" w:cs="宋体" w:eastAsia="宋体" w:hint="default"/>
              </w:rPr>
              <w:tab/>
              <w:t>49</w:t>
            </w:r>
          </w:hyperlink>
        </w:p>
        <w:p>
          <w:pPr>
            <w:pStyle w:val="TOC1"/>
            <w:tabs>
              <w:tab w:pos="9782" w:val="right" w:leader="dot"/>
            </w:tabs>
            <w:spacing w:line="240" w:lineRule="auto" w:before="194"/>
            <w:ind w:right="0"/>
            <w:jc w:val="left"/>
            <w:rPr>
              <w:rFonts w:ascii="宋体" w:hAnsi="宋体" w:cs="宋体" w:eastAsia="宋体" w:hint="default"/>
            </w:rPr>
          </w:pPr>
          <w:hyperlink w:history="true" w:anchor="_bookmark6">
            <w:r>
              <w:rPr/>
              <w:t>第七节 优先股相关情况</w:t>
            </w:r>
            <w:r>
              <w:rPr>
                <w:rFonts w:ascii="宋体" w:hAnsi="宋体" w:cs="宋体" w:eastAsia="宋体" w:hint="default"/>
              </w:rPr>
              <w:tab/>
              <w:t>54</w:t>
            </w:r>
          </w:hyperlink>
        </w:p>
        <w:p>
          <w:pPr>
            <w:pStyle w:val="TOC1"/>
            <w:tabs>
              <w:tab w:pos="9782" w:val="right" w:leader="dot"/>
            </w:tabs>
            <w:spacing w:line="240" w:lineRule="auto" w:before="194"/>
            <w:ind w:right="0"/>
            <w:jc w:val="left"/>
            <w:rPr>
              <w:rFonts w:ascii="宋体" w:hAnsi="宋体" w:cs="宋体" w:eastAsia="宋体" w:hint="default"/>
            </w:rPr>
          </w:pPr>
          <w:hyperlink w:history="true" w:anchor="_bookmark7">
            <w:r>
              <w:rPr/>
              <w:t>第八节 董事、监事、高级管理人员和员工情况</w:t>
            </w:r>
            <w:r>
              <w:rPr>
                <w:rFonts w:ascii="宋体" w:hAnsi="宋体" w:cs="宋体" w:eastAsia="宋体" w:hint="default"/>
              </w:rPr>
              <w:tab/>
              <w:t>55</w:t>
            </w:r>
          </w:hyperlink>
        </w:p>
        <w:p>
          <w:pPr>
            <w:pStyle w:val="TOC1"/>
            <w:tabs>
              <w:tab w:pos="9782" w:val="right" w:leader="dot"/>
            </w:tabs>
            <w:spacing w:line="240" w:lineRule="auto"/>
            <w:ind w:right="0"/>
            <w:jc w:val="left"/>
            <w:rPr>
              <w:rFonts w:ascii="宋体" w:hAnsi="宋体" w:cs="宋体" w:eastAsia="宋体" w:hint="default"/>
            </w:rPr>
          </w:pPr>
          <w:hyperlink w:history="true" w:anchor="_bookmark8">
            <w:r>
              <w:rPr/>
              <w:t>第九节 公司治理</w:t>
            </w:r>
            <w:r>
              <w:rPr>
                <w:rFonts w:ascii="宋体" w:hAnsi="宋体" w:cs="宋体" w:eastAsia="宋体" w:hint="default"/>
              </w:rPr>
              <w:tab/>
              <w:t>60</w:t>
            </w:r>
          </w:hyperlink>
        </w:p>
        <w:p>
          <w:pPr>
            <w:pStyle w:val="TOC1"/>
            <w:tabs>
              <w:tab w:pos="9782" w:val="right" w:leader="dot"/>
            </w:tabs>
            <w:spacing w:line="240" w:lineRule="auto" w:before="194"/>
            <w:ind w:right="0"/>
            <w:jc w:val="left"/>
            <w:rPr>
              <w:rFonts w:ascii="宋体" w:hAnsi="宋体" w:cs="宋体" w:eastAsia="宋体" w:hint="default"/>
            </w:rPr>
          </w:pPr>
          <w:hyperlink w:history="true" w:anchor="_bookmark9">
            <w:r>
              <w:rPr/>
              <w:t>第十节 公司债券相关情况</w:t>
            </w:r>
            <w:r>
              <w:rPr>
                <w:rFonts w:ascii="宋体" w:hAnsi="宋体" w:cs="宋体" w:eastAsia="宋体" w:hint="default"/>
              </w:rPr>
              <w:tab/>
              <w:t>66</w:t>
            </w:r>
          </w:hyperlink>
        </w:p>
        <w:p>
          <w:pPr>
            <w:pStyle w:val="TOC1"/>
            <w:tabs>
              <w:tab w:pos="9782" w:val="right" w:leader="dot"/>
            </w:tabs>
            <w:spacing w:line="240" w:lineRule="auto"/>
            <w:ind w:right="0"/>
            <w:jc w:val="left"/>
            <w:rPr>
              <w:rFonts w:ascii="宋体" w:hAnsi="宋体" w:cs="宋体" w:eastAsia="宋体" w:hint="default"/>
            </w:rPr>
          </w:pPr>
          <w:hyperlink w:history="true" w:anchor="_bookmark10">
            <w:r>
              <w:rPr/>
              <w:t>第十一节 财务报告</w:t>
            </w:r>
            <w:r>
              <w:rPr>
                <w:rFonts w:ascii="宋体" w:hAnsi="宋体" w:cs="宋体" w:eastAsia="宋体" w:hint="default"/>
              </w:rPr>
              <w:tab/>
              <w:t>67</w:t>
            </w:r>
          </w:hyperlink>
        </w:p>
        <w:p>
          <w:pPr>
            <w:pStyle w:val="TOC1"/>
            <w:tabs>
              <w:tab w:pos="9782" w:val="right" w:leader="dot"/>
            </w:tabs>
            <w:spacing w:line="240" w:lineRule="auto"/>
            <w:ind w:right="0"/>
            <w:jc w:val="left"/>
            <w:rPr>
              <w:rFonts w:ascii="宋体" w:hAnsi="宋体" w:cs="宋体" w:eastAsia="宋体" w:hint="default"/>
            </w:rPr>
          </w:pPr>
          <w:hyperlink w:history="true" w:anchor="_bookmark11">
            <w:r>
              <w:rPr/>
              <w:t>第十二节 备查文件目录</w:t>
            </w:r>
            <w:r>
              <w:rPr>
                <w:rFonts w:ascii="宋体" w:hAnsi="宋体" w:cs="宋体" w:eastAsia="宋体" w:hint="default"/>
              </w:rPr>
              <w:tab/>
              <w:t>171</w:t>
            </w:r>
          </w:hyperlink>
        </w:p>
        <w:p>
          <w:pPr/>
          <w:r>
            <w:fldChar w:fldCharType="end"/>
          </w:r>
        </w:p>
      </w:sdtContent>
    </w:sdt>
    <w:p>
      <w:pPr>
        <w:spacing w:after="0"/>
        <w:sectPr>
          <w:pgSz w:w="11910" w:h="16840"/>
          <w:pgMar w:header="851" w:footer="979" w:top="1560" w:bottom="1160" w:left="980" w:right="0"/>
        </w:sectPr>
      </w:pPr>
    </w:p>
    <w:p>
      <w:pPr>
        <w:spacing w:before="573"/>
        <w:ind w:left="42" w:right="101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环球印务、公司、本公司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西安环球印务股份有限公司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陕药集团、实际控制人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陕西医药控股集团有限责任公司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永旭创新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西安永旭创新服务有限公司，本公司子公司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永鑫包装</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陕西永鑫纸业包装有限公司，本公司子公司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天津环球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天津滨海环球印务有限公司，本公司子公司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领凯网络科技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霍尔果斯领凯网络科技有限公司，本公司子公司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西安德宝</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西安德宝药用包装有限公司，本公司参股公司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51" w:footer="979" w:top="15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9.139984pt;width:361.5pt;height:19.650pt;mso-position-horizontal-relative:page;mso-position-vertical-relative:page;z-index:-801568" coordorigin="3447,5583" coordsize="7230,393">
            <v:shape style="position:absolute;left:3447;top:5583;width:7230;height:393" coordorigin="3447,5583" coordsize="7230,393" path="m3447,5975l10676,5975,10676,5583,3447,5583,3447,5975xe" filled="true" fillcolor="#ffffff" stroked="false">
              <v:path arrowok="t"/>
              <v:fill type="solid"/>
            </v:shape>
            <w10:wrap type="none"/>
          </v:group>
        </w:pict>
      </w:r>
    </w:p>
    <w:p>
      <w:pPr>
        <w:pStyle w:val="Heading1"/>
        <w:spacing w:line="240" w:lineRule="auto" w:before="155"/>
        <w:ind w:left="2644" w:right="94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4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环球印务</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002799</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西安环球印务股份有限公司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环球印务</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XI'AN GLOBAL PRINTING</w:t>
            </w:r>
            <w:r>
              <w:rPr>
                <w:rFonts w:ascii="Times New Roman"/>
                <w:spacing w:val="-8"/>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XI'AN</w:t>
            </w:r>
            <w:r>
              <w:rPr>
                <w:rFonts w:ascii="Times New Roman"/>
                <w:spacing w:val="-3"/>
                <w:sz w:val="18"/>
              </w:rPr>
              <w:t> </w:t>
            </w:r>
            <w:r>
              <w:rPr>
                <w:rFonts w:ascii="Times New Roman"/>
                <w:sz w:val="18"/>
              </w:rPr>
              <w:t>GLOBAL</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李移岭</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西安市高新区科技一路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710075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西安市高新区科技一路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710075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www.globalprinting.cn</w:t>
              </w:r>
            </w:hyperlink>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security@globalprinting.cn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94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屈颖君</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西安市高新区科技一路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西安市高新区科技一路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029-68712188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029-68712188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029-88310756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029-88310756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0">
              <w:r>
                <w:rPr>
                  <w:rFonts w:ascii="Times New Roman"/>
                  <w:sz w:val="18"/>
                </w:rPr>
                <w:t>security@globalprinting.cn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0">
              <w:r>
                <w:rPr>
                  <w:rFonts w:ascii="Times New Roman"/>
                  <w:sz w:val="18"/>
                </w:rPr>
                <w:t>security@globalprinting.cn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94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公司证券投资部</w:t>
            </w:r>
          </w:p>
        </w:tc>
      </w:tr>
    </w:tbl>
    <w:p>
      <w:pPr>
        <w:spacing w:after="0" w:line="240" w:lineRule="auto"/>
        <w:jc w:val="left"/>
        <w:rPr>
          <w:rFonts w:ascii="宋体" w:hAnsi="宋体" w:cs="宋体" w:eastAsia="宋体" w:hint="default"/>
          <w:sz w:val="18"/>
          <w:szCs w:val="18"/>
        </w:rPr>
        <w:sectPr>
          <w:pgSz w:w="11910" w:h="16840"/>
          <w:pgMar w:header="851" w:footer="979" w:top="1560" w:bottom="1160" w:left="980" w:right="0"/>
        </w:sectPr>
      </w:pPr>
    </w:p>
    <w:p>
      <w:pPr>
        <w:pStyle w:val="Heading2"/>
        <w:spacing w:line="240" w:lineRule="auto" w:before="15"/>
        <w:ind w:right="940"/>
        <w:jc w:val="left"/>
        <w:rPr>
          <w:b w:val="0"/>
          <w:bCs w:val="0"/>
        </w:rPr>
      </w:pPr>
      <w:r>
        <w:rPr/>
        <w:pict>
          <v:group style="position:absolute;margin-left:55.200001pt;margin-top:2.225632pt;width:485pt;height:.1pt;mso-position-horizontal-relative:page;mso-position-vertical-relative:paragraph;z-index:-801544" coordorigin="1104,45" coordsize="9700,2">
            <v:shape style="position:absolute;left:1104;top:45;width:9700;height:2" coordorigin="1104,45" coordsize="9700,0" path="m1104,45l10804,45e" filled="false" stroked="true" strokeweight=".72pt" strokecolor="#000000">
              <v:path arrowok="t"/>
            </v:shape>
            <w10:wrap type="none"/>
          </v:group>
        </w:pict>
      </w: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165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公司在原经营范围中增加</w:t>
            </w:r>
            <w:r>
              <w:rPr>
                <w:rFonts w:ascii="Times New Roman" w:hAnsi="Times New Roman" w:cs="Times New Roman" w:eastAsia="Times New Roman" w:hint="default"/>
                <w:sz w:val="18"/>
                <w:szCs w:val="18"/>
              </w:rPr>
              <w:t>“</w:t>
            </w:r>
            <w:r>
              <w:rPr>
                <w:rFonts w:ascii="宋体" w:hAnsi="宋体" w:cs="宋体" w:eastAsia="宋体" w:hint="default"/>
                <w:sz w:val="18"/>
                <w:szCs w:val="18"/>
              </w:rPr>
              <w:t>广告</w:t>
            </w:r>
            <w:r>
              <w:rPr>
                <w:rFonts w:ascii="Times New Roman" w:hAnsi="Times New Roman" w:cs="Times New Roman" w:eastAsia="Times New Roman" w:hint="default"/>
                <w:sz w:val="18"/>
                <w:szCs w:val="18"/>
              </w:rPr>
              <w:t>(</w:t>
            </w:r>
            <w:r>
              <w:rPr>
                <w:rFonts w:ascii="宋体" w:hAnsi="宋体" w:cs="宋体" w:eastAsia="宋体" w:hint="default"/>
                <w:sz w:val="18"/>
                <w:szCs w:val="18"/>
              </w:rPr>
              <w:t>含互联网广告</w:t>
            </w:r>
            <w:r>
              <w:rPr>
                <w:rFonts w:ascii="Times New Roman" w:hAnsi="Times New Roman" w:cs="Times New Roman" w:eastAsia="Times New Roman" w:hint="default"/>
                <w:sz w:val="18"/>
                <w:szCs w:val="18"/>
              </w:rPr>
              <w:t>)</w:t>
            </w:r>
            <w:r>
              <w:rPr>
                <w:rFonts w:ascii="宋体" w:hAnsi="宋体" w:cs="宋体" w:eastAsia="宋体" w:hint="default"/>
                <w:sz w:val="18"/>
                <w:szCs w:val="18"/>
              </w:rPr>
              <w:t>策划、设计、制作、代理、发布； 互联网信息技术服务；供应链管理；经营电子商务；电子商务营销策划、网页制 作与网络工程施工；网络营销与策划；技术开发、技术咨询、技术转让；软件开 发；计算机系统服务；仓储服务；道路货物运输；货物与技术的进出口经营。</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的内容</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94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希格玛会计师事务所（特殊普通合伙）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西安市浐灞生态区浐灞大道一号外事大厦六层</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王侠、杨树杰</w:t>
            </w:r>
          </w:p>
        </w:tc>
      </w:tr>
    </w:tbl>
    <w:p>
      <w:pPr>
        <w:pStyle w:val="BodyText"/>
        <w:spacing w:line="240" w:lineRule="auto" w:before="51"/>
        <w:ind w:right="940"/>
        <w:jc w:val="left"/>
      </w:pPr>
      <w:r>
        <w:rPr/>
        <w:t>公司聘请的报告期内履行持续督导职责的保荐机构</w:t>
      </w:r>
    </w:p>
    <w:p>
      <w:pPr>
        <w:pStyle w:val="BodyText"/>
        <w:spacing w:line="240" w:lineRule="auto" w:before="116"/>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招商证券股份有限公司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深圳市福田区福田街道福华 一路</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王炳全、盛培锋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940"/>
        <w:jc w:val="left"/>
      </w:pPr>
      <w:r>
        <w:rPr/>
        <w:t>公司聘请的报告期内履行持续督导职责的财务顾问</w:t>
      </w:r>
    </w:p>
    <w:p>
      <w:pPr>
        <w:pStyle w:val="BodyText"/>
        <w:spacing w:line="240" w:lineRule="auto" w:before="117"/>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4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t>公司是否需追溯调整或重述以前年度会计数据</w:t>
      </w:r>
    </w:p>
    <w:p>
      <w:pPr>
        <w:pStyle w:val="BodyText"/>
        <w:spacing w:line="240" w:lineRule="auto" w:before="116"/>
        <w:ind w:right="94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555,124,332.86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438,211,497.30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387,502,466.93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28,112,269.71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22,608,687.67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26,795,985.32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27,443,766.13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21,089,329.53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22,658,445.14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85,553,434.72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51,911,950.44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41,266,281.93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500" w:bottom="1160" w:left="980" w:right="0"/>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14" w:hRule="exact"/>
        </w:trPr>
        <w:tc>
          <w:tcPr>
            <w:tcW w:w="259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10" w:space="0" w:color="000000"/>
              <w:left w:val="single" w:sz="13"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5.28%</w:t>
            </w:r>
          </w:p>
        </w:tc>
        <w:tc>
          <w:tcPr>
            <w:tcW w:w="173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4.37%</w:t>
            </w:r>
          </w:p>
        </w:tc>
        <w:tc>
          <w:tcPr>
            <w:tcW w:w="173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0.91%</w:t>
            </w:r>
          </w:p>
        </w:tc>
        <w:tc>
          <w:tcPr>
            <w:tcW w:w="173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6.42%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988,516,197.59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765,141,149.28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692,618,350.12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543,698,499.20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518,725,135.60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516,097,846.94</w:t>
            </w:r>
          </w:p>
        </w:tc>
      </w:tr>
    </w:tbl>
    <w:p>
      <w:pPr>
        <w:spacing w:line="240" w:lineRule="auto" w:before="2"/>
        <w:rPr>
          <w:rFonts w:ascii="宋体" w:hAnsi="宋体" w:cs="宋体" w:eastAsia="宋体" w:hint="default"/>
          <w:sz w:val="18"/>
          <w:szCs w:val="18"/>
        </w:rPr>
      </w:pPr>
    </w:p>
    <w:p>
      <w:pPr>
        <w:pStyle w:val="Heading2"/>
        <w:spacing w:line="240" w:lineRule="auto" w:before="26"/>
        <w:ind w:left="114" w:right="136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4" w:right="136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4"/>
        <w:spacing w:line="240" w:lineRule="auto"/>
        <w:ind w:left="114" w:right="136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14"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left="114" w:right="136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120,351,719.51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128,099,583.20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117,079,163.38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189,593,866.77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7,050,587.09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6,429,397.60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2,624,033.41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12,008,251.60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7,110,086.92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5,363,201.00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2,661,730.53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12,308,747.68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31,720,488.00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18,291,561.10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30,213,015.71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5,328,369.90</w:t>
            </w:r>
          </w:p>
        </w:tc>
      </w:tr>
    </w:tbl>
    <w:p>
      <w:pPr>
        <w:pStyle w:val="BodyText"/>
        <w:spacing w:line="240" w:lineRule="auto" w:before="51"/>
        <w:ind w:left="114" w:right="1360"/>
        <w:jc w:val="left"/>
      </w:pPr>
      <w:r>
        <w:rPr/>
        <w:t>上述财务指标或其加总数是否与公司已披露季度报告、半年度报告相关财务指标存在重大差异</w:t>
      </w:r>
    </w:p>
    <w:p>
      <w:pPr>
        <w:pStyle w:val="BodyText"/>
        <w:spacing w:line="240" w:lineRule="auto" w:before="116"/>
        <w:ind w:left="114" w:right="136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left="114" w:right="136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-648,732.03</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-1,114,287.69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-198,762.38</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处置固定资产损失</w:t>
            </w: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1,934,200.00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2,849,756.00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5,025,971.00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收到政府补助</w:t>
            </w:r>
          </w:p>
        </w:tc>
      </w:tr>
    </w:tbl>
    <w:p>
      <w:pPr>
        <w:spacing w:after="0" w:line="240" w:lineRule="auto"/>
        <w:jc w:val="left"/>
        <w:rPr>
          <w:rFonts w:ascii="宋体" w:hAnsi="宋体" w:cs="宋体" w:eastAsia="宋体" w:hint="default"/>
          <w:sz w:val="18"/>
          <w:szCs w:val="18"/>
        </w:rPr>
        <w:sectPr>
          <w:pgSz w:w="11910" w:h="16840"/>
          <w:pgMar w:header="851" w:footer="979" w:top="1500" w:bottom="1160" w:left="1020" w:right="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14" w:hRule="exact"/>
        </w:trPr>
        <w:tc>
          <w:tcPr>
            <w:tcW w:w="329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w w:val="95"/>
                <w:sz w:val="18"/>
              </w:rPr>
              <w:t>-179,326.50</w:t>
            </w:r>
            <w:r>
              <w:rPr>
                <w:rFonts w:ascii="Times New Roman"/>
                <w:sz w:val="18"/>
              </w:rPr>
            </w:r>
          </w:p>
        </w:tc>
        <w:tc>
          <w:tcPr>
            <w:tcW w:w="15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13,933.46</w:t>
            </w:r>
          </w:p>
        </w:tc>
        <w:tc>
          <w:tcPr>
            <w:tcW w:w="152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36,866.81</w:t>
            </w:r>
          </w:p>
        </w:tc>
        <w:tc>
          <w:tcPr>
            <w:tcW w:w="1710"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190,101.26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328,602.03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726,535.25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247,536.63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-98,558.40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668,503.58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1,519,358.14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4,137,540.18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4" w:right="1038"/>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left="114"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851" w:footer="979" w:top="1500" w:bottom="1160" w:left="102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49"/>
        <w:ind w:left="3447" w:right="940"/>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4"/>
        <w:rPr>
          <w:rFonts w:ascii="宋体" w:hAnsi="宋体" w:cs="宋体" w:eastAsia="宋体" w:hint="default"/>
          <w:b/>
          <w:bCs/>
          <w:sz w:val="28"/>
          <w:szCs w:val="28"/>
        </w:rPr>
      </w:pPr>
    </w:p>
    <w:p>
      <w:pPr>
        <w:pStyle w:val="BodyText"/>
        <w:spacing w:line="405" w:lineRule="auto"/>
        <w:ind w:right="7692"/>
        <w:jc w:val="left"/>
      </w:pPr>
      <w:r>
        <w:rPr/>
        <w:t>公司是否需要遵守特殊行业的披露要求 否</w:t>
      </w:r>
    </w:p>
    <w:p>
      <w:pPr>
        <w:pStyle w:val="Heading6"/>
        <w:spacing w:line="240" w:lineRule="auto" w:before="38"/>
        <w:ind w:right="0"/>
        <w:jc w:val="both"/>
        <w:rPr>
          <w:b w:val="0"/>
          <w:bCs w:val="0"/>
        </w:rPr>
      </w:pPr>
      <w:r>
        <w:rPr/>
        <w:t>（一）</w:t>
      </w:r>
      <w:r>
        <w:rPr>
          <w:spacing w:val="-50"/>
        </w:rPr>
        <w:t> </w:t>
      </w:r>
      <w:r>
        <w:rPr/>
        <w:t>环球印务的主要业务发展</w:t>
      </w:r>
      <w:r>
        <w:rPr>
          <w:b w:val="0"/>
          <w:bCs w:val="0"/>
        </w:rPr>
      </w:r>
    </w:p>
    <w:p>
      <w:pPr>
        <w:pStyle w:val="BodyText"/>
        <w:spacing w:line="345" w:lineRule="auto" w:before="123"/>
        <w:ind w:left="514" w:right="940" w:firstLine="74"/>
        <w:jc w:val="left"/>
      </w:pPr>
      <w:r>
        <w:rPr>
          <w:rFonts w:ascii="Times New Roman" w:hAnsi="Times New Roman" w:cs="Times New Roman" w:eastAsia="Times New Roman" w:hint="default"/>
          <w:b/>
          <w:bCs/>
        </w:rPr>
        <w:t>1</w:t>
      </w:r>
      <w:r>
        <w:rPr>
          <w:rFonts w:ascii="宋体" w:hAnsi="宋体" w:cs="宋体" w:eastAsia="宋体" w:hint="default"/>
          <w:b/>
          <w:bCs/>
        </w:rPr>
        <w:t>、夯实医药包装业务</w:t>
      </w:r>
      <w:r>
        <w:rPr>
          <w:rFonts w:ascii="宋体" w:hAnsi="宋体" w:cs="宋体" w:eastAsia="宋体" w:hint="default"/>
          <w:b/>
          <w:bCs/>
          <w:w w:val="99"/>
        </w:rPr>
        <w:t> </w:t>
      </w:r>
      <w:r>
        <w:rPr>
          <w:spacing w:val="-2"/>
        </w:rPr>
        <w:t>公司作为专业的医药包装方案解决供应商，主要从事医药包装产品的研发、生产、销售，并为客户提供平面设计、结构</w:t>
      </w:r>
    </w:p>
    <w:p>
      <w:pPr>
        <w:pStyle w:val="BodyText"/>
        <w:spacing w:line="364" w:lineRule="auto" w:before="44"/>
        <w:ind w:right="1131"/>
        <w:jc w:val="both"/>
      </w:pPr>
      <w:r>
        <w:rPr>
          <w:spacing w:val="-2"/>
        </w:rPr>
        <w:t>设计、仓储管理、物流配送等一体化的包装解决方案。自成立以来环球印务始终致力于医药包装领域深耕细作，不断完善医</w:t>
      </w:r>
      <w:r>
        <w:rPr>
          <w:spacing w:val="-65"/>
        </w:rPr>
        <w:t> </w:t>
      </w:r>
      <w:r>
        <w:rPr>
          <w:spacing w:val="-65"/>
        </w:rPr>
      </w:r>
      <w:r>
        <w:rPr>
          <w:spacing w:val="-2"/>
        </w:rPr>
        <w:t>药包装产业链，在医药内、外包装等领域均大力拓展，形成整体包装营销模式，使医药企业在环球印务享受一站式服务，帮</w:t>
      </w:r>
      <w:r>
        <w:rPr>
          <w:spacing w:val="-65"/>
        </w:rPr>
        <w:t> </w:t>
      </w:r>
      <w:r>
        <w:rPr>
          <w:spacing w:val="-65"/>
        </w:rPr>
      </w:r>
      <w:r>
        <w:rPr/>
        <w:t>助客户优化供应链管理，同时有利于公司产业链的延伸。</w:t>
      </w:r>
    </w:p>
    <w:p>
      <w:pPr>
        <w:pStyle w:val="BodyText"/>
        <w:spacing w:line="364" w:lineRule="auto" w:before="29"/>
        <w:ind w:right="1129" w:firstLine="360"/>
        <w:jc w:val="both"/>
      </w:pPr>
      <w:r>
        <w:rPr>
          <w:spacing w:val="-2"/>
        </w:rPr>
        <w:t>公司秉承“为顾客创造价值，为员工创造福利，为股东创造回报”的企业宗旨，坚持以提供绿色的、友善的包装产品及</w:t>
      </w:r>
      <w:r>
        <w:rPr/>
        <w:t> </w:t>
      </w:r>
      <w:r>
        <w:rPr>
          <w:spacing w:val="-2"/>
        </w:rPr>
        <w:t>服务为己任，突破以往印刷企业的传统纯加工以及技术运用模式，在药品内、外包装技术领域不断探索，不断推出应用于自</w:t>
      </w:r>
      <w:r>
        <w:rPr>
          <w:spacing w:val="-66"/>
        </w:rPr>
        <w:t> </w:t>
      </w:r>
      <w:r>
        <w:rPr>
          <w:spacing w:val="-66"/>
        </w:rPr>
      </w:r>
      <w:r>
        <w:rPr>
          <w:spacing w:val="-2"/>
        </w:rPr>
        <w:t>动高速生产线的各种内、外包装产品，以及应用于防伪、防混淆等功能的多项技术，尤其在药品包装的溯源保证上具有强大</w:t>
      </w:r>
      <w:r>
        <w:rPr>
          <w:spacing w:val="-66"/>
        </w:rPr>
        <w:t> </w:t>
      </w:r>
      <w:r>
        <w:rPr>
          <w:spacing w:val="-66"/>
        </w:rPr>
      </w:r>
      <w:r>
        <w:rPr/>
        <w:t>的技术支持。</w:t>
      </w:r>
    </w:p>
    <w:p>
      <w:pPr>
        <w:pStyle w:val="BodyText"/>
        <w:spacing w:line="364" w:lineRule="auto" w:before="29"/>
        <w:ind w:right="1130" w:firstLine="360"/>
        <w:jc w:val="both"/>
      </w:pPr>
      <w:r>
        <w:rPr>
          <w:spacing w:val="-2"/>
        </w:rPr>
        <w:t>公司通过在医药包装领域的不懈努力，始终占据着国内医药折叠纸盒包装领域及药用铝管包装领域的领先地位</w:t>
      </w:r>
      <w:r>
        <w:rPr>
          <w:rFonts w:ascii="宋体" w:hAnsi="宋体" w:cs="宋体" w:eastAsia="宋体" w:hint="default"/>
          <w:spacing w:val="-2"/>
        </w:rPr>
        <w:t>,</w:t>
      </w:r>
      <w:r>
        <w:rPr>
          <w:rFonts w:ascii="宋体" w:hAnsi="宋体" w:cs="宋体" w:eastAsia="宋体" w:hint="default"/>
          <w:spacing w:val="14"/>
        </w:rPr>
        <w:t> </w:t>
      </w:r>
      <w:r>
        <w:rPr/>
        <w:t>并持续 向其他医药包装领域拓展。</w:t>
      </w:r>
    </w:p>
    <w:p>
      <w:pPr>
        <w:spacing w:line="240" w:lineRule="auto" w:before="0"/>
        <w:rPr>
          <w:rFonts w:ascii="宋体" w:hAnsi="宋体" w:cs="宋体" w:eastAsia="宋体" w:hint="default"/>
          <w:sz w:val="18"/>
          <w:szCs w:val="18"/>
        </w:rPr>
      </w:pPr>
    </w:p>
    <w:p>
      <w:pPr>
        <w:spacing w:line="345" w:lineRule="auto" w:before="153"/>
        <w:ind w:left="516" w:right="940" w:firstLine="99"/>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、拓展消费品等其它包装领域</w:t>
      </w:r>
      <w:r>
        <w:rPr>
          <w:rFonts w:ascii="宋体" w:hAnsi="宋体" w:cs="宋体" w:eastAsia="宋体" w:hint="default"/>
          <w:b/>
          <w:bCs/>
          <w:w w:val="99"/>
          <w:sz w:val="18"/>
          <w:szCs w:val="18"/>
        </w:rPr>
        <w:t> </w:t>
      </w:r>
      <w:r>
        <w:rPr>
          <w:rFonts w:ascii="宋体" w:hAnsi="宋体" w:cs="宋体" w:eastAsia="宋体" w:hint="default"/>
          <w:spacing w:val="-2"/>
          <w:sz w:val="18"/>
          <w:szCs w:val="18"/>
        </w:rPr>
        <w:t>公司依靠医药包装所形成的规模优势、品牌优势、技术优势、管理优势、资源设备优势等，开始逐步向消费品包装领域</w:t>
      </w:r>
    </w:p>
    <w:p>
      <w:pPr>
        <w:pStyle w:val="BodyText"/>
        <w:spacing w:line="240" w:lineRule="auto" w:before="44"/>
        <w:ind w:right="0"/>
        <w:jc w:val="both"/>
      </w:pPr>
      <w:r>
        <w:rPr/>
        <w:t>辐射，目前业务已涵盖乳制品、医疗器械、保健食品、精细化工、药妆及电子产品等领域的包装服务。</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8"/>
          <w:szCs w:val="18"/>
        </w:rPr>
      </w:pPr>
    </w:p>
    <w:p>
      <w:pPr>
        <w:spacing w:line="345" w:lineRule="auto" w:before="0"/>
        <w:ind w:left="514" w:right="940" w:firstLine="9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、践行</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互联网</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业务模式</w:t>
      </w:r>
      <w:r>
        <w:rPr>
          <w:rFonts w:ascii="宋体" w:hAnsi="宋体" w:cs="宋体" w:eastAsia="宋体" w:hint="default"/>
          <w:b/>
          <w:bCs/>
          <w:w w:val="99"/>
          <w:sz w:val="18"/>
          <w:szCs w:val="18"/>
        </w:rPr>
        <w:t> </w:t>
      </w:r>
      <w:r>
        <w:rPr>
          <w:rFonts w:ascii="宋体" w:hAnsi="宋体" w:cs="宋体" w:eastAsia="宋体" w:hint="default"/>
          <w:spacing w:val="-2"/>
          <w:sz w:val="18"/>
          <w:szCs w:val="18"/>
        </w:rPr>
        <w:t>移动互联网是当前互联网行业发展的重要力量，已成为创新发展新领域、公共服务新平台、信息分享新渠道。公司结合</w:t>
      </w:r>
    </w:p>
    <w:p>
      <w:pPr>
        <w:pStyle w:val="BodyText"/>
        <w:spacing w:line="355" w:lineRule="auto" w:before="44"/>
        <w:ind w:right="1133"/>
        <w:jc w:val="both"/>
      </w:pPr>
      <w:r>
        <w:rPr/>
        <w:t>自身优势，积极践行</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的战略布局，通过并购霍尔果斯领凯网络科技有限公司，迈入了</w:t>
      </w:r>
      <w:r>
        <w:rPr>
          <w:rFonts w:ascii="Times New Roman" w:hAnsi="Times New Roman" w:cs="Times New Roman" w:eastAsia="Times New Roman" w:hint="default"/>
        </w:rPr>
        <w:t>“</w:t>
      </w:r>
      <w:r>
        <w:rPr/>
        <w:t>互联网新经济</w:t>
      </w:r>
      <w:r>
        <w:rPr>
          <w:rFonts w:ascii="Times New Roman" w:hAnsi="Times New Roman" w:cs="Times New Roman" w:eastAsia="Times New Roman" w:hint="default"/>
        </w:rPr>
        <w:t>”</w:t>
      </w:r>
      <w:r>
        <w:rPr/>
        <w:t>业态。此举 </w:t>
      </w:r>
      <w:r>
        <w:rPr>
          <w:spacing w:val="-2"/>
        </w:rPr>
        <w:t>除开展和促进该公司原有的移动互联网业务外，还可更好地为公司客户提供增值服务，增加客户粘性；实现了公司主业的优</w:t>
      </w:r>
      <w:r>
        <w:rPr>
          <w:spacing w:val="-66"/>
        </w:rPr>
        <w:t> </w:t>
      </w:r>
      <w:r>
        <w:rPr>
          <w:spacing w:val="-66"/>
        </w:rPr>
      </w:r>
      <w:r>
        <w:rPr/>
        <w:t>势互补、互利共赢，提高公司的盈利水平，进一步促进公司整合行业资源，提升公司价值。</w:t>
      </w:r>
    </w:p>
    <w:p>
      <w:pPr>
        <w:spacing w:line="240" w:lineRule="auto" w:before="0"/>
        <w:rPr>
          <w:rFonts w:ascii="宋体" w:hAnsi="宋体" w:cs="宋体" w:eastAsia="宋体" w:hint="default"/>
          <w:sz w:val="18"/>
          <w:szCs w:val="18"/>
        </w:rPr>
      </w:pPr>
    </w:p>
    <w:p>
      <w:pPr>
        <w:pStyle w:val="Heading6"/>
        <w:spacing w:line="240" w:lineRule="auto" w:before="160"/>
        <w:ind w:right="0"/>
        <w:jc w:val="both"/>
        <w:rPr>
          <w:b w:val="0"/>
          <w:bCs w:val="0"/>
        </w:rPr>
      </w:pPr>
      <w:r>
        <w:rPr/>
        <w:t>（二）</w:t>
      </w:r>
      <w:r>
        <w:rPr>
          <w:spacing w:val="-51"/>
        </w:rPr>
        <w:t> </w:t>
      </w:r>
      <w:r>
        <w:rPr/>
        <w:t>行业发展与市场占有率</w:t>
      </w:r>
      <w:r>
        <w:rPr>
          <w:b w:val="0"/>
          <w:bCs w:val="0"/>
        </w:rPr>
      </w:r>
    </w:p>
    <w:p>
      <w:pPr>
        <w:pStyle w:val="BodyText"/>
        <w:spacing w:line="345" w:lineRule="auto" w:before="123"/>
        <w:ind w:left="514" w:right="1118" w:firstLine="92"/>
        <w:jc w:val="left"/>
      </w:pPr>
      <w:r>
        <w:rPr>
          <w:rFonts w:ascii="Times New Roman" w:hAnsi="Times New Roman" w:cs="Times New Roman" w:eastAsia="Times New Roman" w:hint="default"/>
          <w:b/>
          <w:bCs/>
        </w:rPr>
        <w:t>1</w:t>
      </w:r>
      <w:r>
        <w:rPr>
          <w:rFonts w:ascii="宋体" w:hAnsi="宋体" w:cs="宋体" w:eastAsia="宋体" w:hint="default"/>
          <w:b/>
          <w:bCs/>
        </w:rPr>
        <w:t>、医药包装行业发展情况</w:t>
      </w:r>
      <w:r>
        <w:rPr>
          <w:rFonts w:ascii="宋体" w:hAnsi="宋体" w:cs="宋体" w:eastAsia="宋体" w:hint="default"/>
          <w:b/>
          <w:bCs/>
          <w:w w:val="99"/>
        </w:rPr>
        <w:t> </w:t>
      </w:r>
      <w:r>
        <w:rPr/>
        <w:t>近年来，全球包装印刷行业已经进入了稳定发展的成熟期，增速与世界经济平均增速基本持平。根据</w:t>
      </w:r>
      <w:r>
        <w:rPr>
          <w:spacing w:val="-47"/>
        </w:rPr>
        <w:t> </w:t>
      </w:r>
      <w:r>
        <w:rPr>
          <w:rFonts w:ascii="Times New Roman" w:hAnsi="Times New Roman" w:cs="Times New Roman" w:eastAsia="Times New Roman" w:hint="default"/>
        </w:rPr>
        <w:t>Smithers</w:t>
      </w:r>
      <w:r>
        <w:rPr>
          <w:rFonts w:ascii="Times New Roman" w:hAnsi="Times New Roman" w:cs="Times New Roman" w:eastAsia="Times New Roman" w:hint="default"/>
          <w:spacing w:val="-24"/>
        </w:rPr>
        <w:t> </w:t>
      </w:r>
      <w:r>
        <w:rPr>
          <w:rFonts w:ascii="Times New Roman" w:hAnsi="Times New Roman" w:cs="Times New Roman" w:eastAsia="Times New Roman" w:hint="default"/>
        </w:rPr>
        <w:t>Pira</w:t>
      </w:r>
      <w:r>
        <w:rPr/>
        <w:t>的统</w:t>
      </w:r>
    </w:p>
    <w:p>
      <w:pPr>
        <w:pStyle w:val="BodyText"/>
        <w:spacing w:line="352" w:lineRule="auto" w:before="22"/>
        <w:ind w:right="940"/>
        <w:jc w:val="left"/>
      </w:pPr>
      <w:r>
        <w:rPr>
          <w:spacing w:val="-1"/>
        </w:rPr>
        <w:t>计，</w:t>
      </w:r>
      <w:r>
        <w:rPr>
          <w:rFonts w:ascii="Times New Roman" w:hAnsi="Times New Roman" w:cs="Times New Roman" w:eastAsia="Times New Roman" w:hint="default"/>
          <w:spacing w:val="-1"/>
        </w:rPr>
        <w:t>2017</w:t>
      </w:r>
      <w:r>
        <w:rPr>
          <w:spacing w:val="-1"/>
        </w:rPr>
        <w:t>年全球包装印刷行业市场规模为</w:t>
      </w:r>
      <w:r>
        <w:rPr>
          <w:rFonts w:ascii="Times New Roman" w:hAnsi="Times New Roman" w:cs="Times New Roman" w:eastAsia="Times New Roman" w:hint="default"/>
          <w:spacing w:val="-1"/>
        </w:rPr>
        <w:t>8,510</w:t>
      </w:r>
      <w:r>
        <w:rPr>
          <w:spacing w:val="-1"/>
        </w:rPr>
        <w:t>亿美元，同比增长</w:t>
      </w:r>
      <w:r>
        <w:rPr>
          <w:rFonts w:ascii="Times New Roman" w:hAnsi="Times New Roman" w:cs="Times New Roman" w:eastAsia="Times New Roman" w:hint="default"/>
          <w:spacing w:val="-1"/>
        </w:rPr>
        <w:t>1.4%</w:t>
      </w:r>
      <w:r>
        <w:rPr>
          <w:spacing w:val="-1"/>
        </w:rPr>
        <w:t>，近几年增速基本围绕</w:t>
      </w:r>
      <w:r>
        <w:rPr>
          <w:rFonts w:ascii="Times New Roman" w:hAnsi="Times New Roman" w:cs="Times New Roman" w:eastAsia="Times New Roman" w:hint="default"/>
          <w:spacing w:val="-1"/>
        </w:rPr>
        <w:t>2%</w:t>
      </w:r>
      <w:r>
        <w:rPr>
          <w:spacing w:val="-1"/>
        </w:rPr>
        <w:t>的中枢小幅波动，接近发达</w:t>
      </w:r>
      <w:r>
        <w:rPr>
          <w:spacing w:val="-54"/>
        </w:rPr>
        <w:t> </w:t>
      </w:r>
      <w:r>
        <w:rPr>
          <w:spacing w:val="-54"/>
        </w:rPr>
      </w:r>
      <w:r>
        <w:rPr>
          <w:spacing w:val="-2"/>
        </w:rPr>
        <w:t>经济体的经济自然增长率，但在中国，经济的持续较快增长和不断扩容的下游需求，驱动中国包装印刷行业市场规模的增速</w:t>
      </w:r>
      <w:r>
        <w:rPr>
          <w:spacing w:val="-66"/>
        </w:rPr>
        <w:t> </w:t>
      </w:r>
      <w:r>
        <w:rPr>
          <w:spacing w:val="-66"/>
        </w:rPr>
      </w:r>
      <w:r>
        <w:rPr/>
        <w:t>远高于全球行业平均水平。</w:t>
      </w:r>
      <w:r>
        <w:rPr>
          <w:rFonts w:ascii="Times New Roman" w:hAnsi="Times New Roman" w:cs="Times New Roman" w:eastAsia="Times New Roman" w:hint="default"/>
        </w:rPr>
        <w:t>2017</w:t>
      </w:r>
      <w:r>
        <w:rPr/>
        <w:t>年中国包装印刷行业</w:t>
      </w:r>
      <w:r>
        <w:rPr>
          <w:rFonts w:ascii="Times New Roman" w:hAnsi="Times New Roman" w:cs="Times New Roman" w:eastAsia="Times New Roman" w:hint="default"/>
        </w:rPr>
        <w:t>(</w:t>
      </w:r>
      <w:r>
        <w:rPr/>
        <w:t>剔除包装机械子行业</w:t>
      </w:r>
      <w:r>
        <w:rPr>
          <w:rFonts w:ascii="Times New Roman" w:hAnsi="Times New Roman" w:cs="Times New Roman" w:eastAsia="Times New Roman" w:hint="default"/>
        </w:rPr>
        <w:t>)</w:t>
      </w:r>
      <w:r>
        <w:rPr/>
        <w:t>企业主营业务收入为</w:t>
      </w:r>
      <w:r>
        <w:rPr>
          <w:rFonts w:ascii="Times New Roman" w:hAnsi="Times New Roman" w:cs="Times New Roman" w:eastAsia="Times New Roman" w:hint="default"/>
        </w:rPr>
        <w:t>1,1048.37</w:t>
      </w:r>
      <w:r>
        <w:rPr/>
        <w:t>亿元，</w:t>
      </w:r>
      <w:r>
        <w:rPr>
          <w:rFonts w:ascii="Times New Roman" w:hAnsi="Times New Roman" w:cs="Times New Roman" w:eastAsia="Times New Roman" w:hint="default"/>
        </w:rPr>
        <w:t>2013</w:t>
      </w:r>
      <w:r>
        <w:rPr/>
        <w:t>年至 </w:t>
      </w:r>
      <w:r>
        <w:rPr>
          <w:rFonts w:ascii="Times New Roman" w:hAnsi="Times New Roman" w:cs="Times New Roman" w:eastAsia="Times New Roman" w:hint="default"/>
        </w:rPr>
        <w:t>2017</w:t>
      </w:r>
      <w:r>
        <w:rPr/>
        <w:t>年复合年均增长率为</w:t>
      </w:r>
      <w:r>
        <w:rPr>
          <w:rFonts w:ascii="Times New Roman" w:hAnsi="Times New Roman" w:cs="Times New Roman" w:eastAsia="Times New Roman" w:hint="default"/>
        </w:rPr>
        <w:t>6.3%</w:t>
      </w:r>
      <w:r>
        <w:rPr/>
        <w:t>，其中</w:t>
      </w:r>
      <w:r>
        <w:rPr>
          <w:rFonts w:ascii="Times New Roman" w:hAnsi="Times New Roman" w:cs="Times New Roman" w:eastAsia="Times New Roman" w:hint="default"/>
        </w:rPr>
        <w:t>2017</w:t>
      </w:r>
      <w:r>
        <w:rPr/>
        <w:t>年同比</w:t>
      </w:r>
      <w:r>
        <w:rPr>
          <w:rFonts w:ascii="Times New Roman" w:hAnsi="Times New Roman" w:cs="Times New Roman" w:eastAsia="Times New Roman" w:hint="default"/>
        </w:rPr>
        <w:t>2016</w:t>
      </w:r>
      <w:r>
        <w:rPr/>
        <w:t>年增长</w:t>
      </w:r>
      <w:r>
        <w:rPr>
          <w:rFonts w:ascii="Times New Roman" w:hAnsi="Times New Roman" w:cs="Times New Roman" w:eastAsia="Times New Roman" w:hint="default"/>
        </w:rPr>
        <w:t>9.2%</w:t>
      </w:r>
      <w:r>
        <w:rPr/>
        <w:t>。环球印务主营业务所属的纸质包装行业是包装印刷行业</w:t>
      </w:r>
    </w:p>
    <w:p>
      <w:pPr>
        <w:spacing w:after="0" w:line="352" w:lineRule="auto"/>
        <w:jc w:val="left"/>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7"/>
        <w:ind w:right="0"/>
        <w:jc w:val="both"/>
      </w:pPr>
      <w:r>
        <w:rPr/>
        <w:t>的重要组成部分，是国内包装业产值贡献率中一大子行业，且产值呈逐年稳定增长的态势。</w:t>
      </w:r>
    </w:p>
    <w:p>
      <w:pPr>
        <w:spacing w:line="240" w:lineRule="auto" w:before="2"/>
        <w:rPr>
          <w:rFonts w:ascii="宋体" w:hAnsi="宋体" w:cs="宋体" w:eastAsia="宋体" w:hint="default"/>
          <w:sz w:val="14"/>
          <w:szCs w:val="14"/>
        </w:rPr>
      </w:pPr>
    </w:p>
    <w:p>
      <w:pPr>
        <w:spacing w:line="3225" w:lineRule="exact"/>
        <w:ind w:left="154"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6000750" cy="20478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6000750" cy="2047875"/>
                    </a:xfrm>
                    <a:prstGeom prst="rect">
                      <a:avLst/>
                    </a:prstGeom>
                  </pic:spPr>
                </pic:pic>
              </a:graphicData>
            </a:graphic>
          </wp:inline>
        </w:drawing>
      </w:r>
      <w:r>
        <w:rPr>
          <w:rFonts w:ascii="宋体" w:hAnsi="宋体" w:cs="宋体" w:eastAsia="宋体" w:hint="default"/>
          <w:position w:val="-64"/>
          <w:sz w:val="20"/>
          <w:szCs w:val="20"/>
        </w:rPr>
      </w:r>
    </w:p>
    <w:p>
      <w:pPr>
        <w:pStyle w:val="BodyText"/>
        <w:spacing w:line="364" w:lineRule="auto" w:before="145"/>
        <w:ind w:right="1043" w:firstLine="360"/>
        <w:jc w:val="both"/>
      </w:pPr>
      <w:r>
        <w:rPr>
          <w:spacing w:val="-2"/>
        </w:rPr>
        <w:t>医药产业的发展受到国民经济发展情况的影响，与人民生活质量存在较强的相关性。药品的使用与人类的生命和健康息</w:t>
      </w:r>
      <w:r>
        <w:rPr/>
        <w:t> 息相关，医药的需求相对刚性和稳定，使得医药行业成为弱周期性行业。医药产业是国家着力培育的战略性新兴产业之一，</w:t>
      </w:r>
    </w:p>
    <w:p>
      <w:pPr>
        <w:pStyle w:val="BodyText"/>
        <w:spacing w:line="364" w:lineRule="auto" w:before="29"/>
        <w:ind w:left="514" w:right="1122" w:hanging="360"/>
        <w:jc w:val="left"/>
        <w:rPr>
          <w:rFonts w:ascii="宋体" w:hAnsi="宋体" w:cs="宋体" w:eastAsia="宋体" w:hint="default"/>
        </w:rPr>
      </w:pPr>
      <w:r>
        <w:rPr/>
        <w:t>《中华人民共和国国民经济和社会发展第十三个五年规划纲要》将发展生物医药列为建设制造强国的十大重点领域之一。 公司作为医药包装企业，在医药包装领域始终占据领先地位。与国内知名的制药企业均保持良好的合作关系，国内</w:t>
      </w:r>
      <w:r>
        <w:rPr>
          <w:rFonts w:ascii="宋体" w:hAnsi="宋体" w:cs="宋体" w:eastAsia="宋体" w:hint="default"/>
        </w:rPr>
        <w:t>500</w:t>
      </w:r>
    </w:p>
    <w:p>
      <w:pPr>
        <w:pStyle w:val="BodyText"/>
        <w:spacing w:line="364" w:lineRule="auto" w:before="29"/>
        <w:ind w:right="1132"/>
        <w:jc w:val="both"/>
      </w:pPr>
      <w:r>
        <w:rPr>
          <w:spacing w:val="-3"/>
        </w:rPr>
        <w:t>强企业中的制药企业与公司合作的占比达</w:t>
      </w:r>
      <w:r>
        <w:rPr>
          <w:rFonts w:ascii="宋体" w:hAnsi="宋体" w:cs="宋体" w:eastAsia="宋体" w:hint="default"/>
          <w:spacing w:val="-3"/>
        </w:rPr>
        <w:t>50%</w:t>
      </w:r>
      <w:r>
        <w:rPr>
          <w:spacing w:val="-3"/>
        </w:rPr>
        <w:t>以上，进入世界</w:t>
      </w:r>
      <w:r>
        <w:rPr>
          <w:rFonts w:ascii="宋体" w:hAnsi="宋体" w:cs="宋体" w:eastAsia="宋体" w:hint="default"/>
          <w:spacing w:val="-3"/>
        </w:rPr>
        <w:t>500</w:t>
      </w:r>
      <w:r>
        <w:rPr>
          <w:spacing w:val="-3"/>
        </w:rPr>
        <w:t>强中的</w:t>
      </w:r>
      <w:r>
        <w:rPr>
          <w:rFonts w:ascii="宋体" w:hAnsi="宋体" w:cs="宋体" w:eastAsia="宋体" w:hint="default"/>
          <w:spacing w:val="-3"/>
        </w:rPr>
        <w:t>13</w:t>
      </w:r>
      <w:r>
        <w:rPr>
          <w:spacing w:val="-3"/>
        </w:rPr>
        <w:t>家制药企业中，有</w:t>
      </w:r>
      <w:r>
        <w:rPr>
          <w:rFonts w:ascii="宋体" w:hAnsi="宋体" w:cs="宋体" w:eastAsia="宋体" w:hint="default"/>
          <w:spacing w:val="-3"/>
        </w:rPr>
        <w:t>9</w:t>
      </w:r>
      <w:r>
        <w:rPr>
          <w:spacing w:val="-3"/>
        </w:rPr>
        <w:t>家均与公司有战略合作。因此，</w:t>
      </w:r>
      <w:r>
        <w:rPr>
          <w:spacing w:val="-87"/>
        </w:rPr>
        <w:t> </w:t>
      </w:r>
      <w:r>
        <w:rPr>
          <w:spacing w:val="-87"/>
        </w:rPr>
      </w:r>
      <w:r>
        <w:rPr/>
        <w:t>作为公司主要业务的医药包装仍将保持稳定的增长。</w:t>
      </w:r>
    </w:p>
    <w:p>
      <w:pPr>
        <w:spacing w:line="240" w:lineRule="auto" w:before="0"/>
        <w:rPr>
          <w:rFonts w:ascii="宋体" w:hAnsi="宋体" w:cs="宋体" w:eastAsia="宋体" w:hint="default"/>
          <w:sz w:val="18"/>
          <w:szCs w:val="18"/>
        </w:rPr>
      </w:pPr>
    </w:p>
    <w:p>
      <w:pPr>
        <w:pStyle w:val="BodyText"/>
        <w:spacing w:line="345" w:lineRule="auto" w:before="153"/>
        <w:ind w:left="514" w:right="1115" w:firstLine="79"/>
        <w:jc w:val="left"/>
      </w:pPr>
      <w:r>
        <w:rPr>
          <w:rFonts w:ascii="Times New Roman" w:hAnsi="Times New Roman" w:cs="Times New Roman" w:eastAsia="Times New Roman" w:hint="default"/>
          <w:b/>
          <w:bCs/>
        </w:rPr>
        <w:t>2</w:t>
      </w:r>
      <w:r>
        <w:rPr>
          <w:rFonts w:ascii="宋体" w:hAnsi="宋体" w:cs="宋体" w:eastAsia="宋体" w:hint="default"/>
          <w:b/>
          <w:bCs/>
        </w:rPr>
        <w:t>、消费品及其它包装业务</w:t>
      </w:r>
      <w:r>
        <w:rPr>
          <w:rFonts w:ascii="宋体" w:hAnsi="宋体" w:cs="宋体" w:eastAsia="宋体" w:hint="default"/>
          <w:b/>
          <w:bCs/>
          <w:w w:val="99"/>
        </w:rPr>
        <w:t> </w:t>
      </w:r>
      <w:r>
        <w:rPr>
          <w:spacing w:val="-2"/>
        </w:rPr>
        <w:t>消费品包装是公司将持续开拓的新业务领域。</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29</w:t>
      </w:r>
      <w:r>
        <w:rPr>
          <w:spacing w:val="-2"/>
        </w:rPr>
        <w:t>日，国家发改委就《进一步优化供给推动消费平稳增长</w:t>
      </w:r>
      <w:r>
        <w:rPr>
          <w:spacing w:val="23"/>
        </w:rPr>
        <w:t> </w:t>
      </w:r>
      <w:r>
        <w:rPr/>
        <w:t>促进</w:t>
      </w:r>
    </w:p>
    <w:p>
      <w:pPr>
        <w:pStyle w:val="BodyText"/>
        <w:spacing w:line="364" w:lineRule="auto" w:before="44"/>
        <w:ind w:right="1132"/>
        <w:jc w:val="both"/>
      </w:pPr>
      <w:r>
        <w:rPr>
          <w:spacing w:val="-2"/>
        </w:rPr>
        <w:t>形成强大国内市场的实施方案（</w:t>
      </w:r>
      <w:r>
        <w:rPr>
          <w:rFonts w:ascii="宋体" w:hAnsi="宋体" w:cs="宋体" w:eastAsia="宋体" w:hint="default"/>
          <w:spacing w:val="-2"/>
        </w:rPr>
        <w:t>2019</w:t>
      </w:r>
      <w:r>
        <w:rPr>
          <w:spacing w:val="-2"/>
        </w:rPr>
        <w:t>年）》有关情况举行发布会，对当前消费形势概括为“总体平稳，有所波动，但消费升</w:t>
      </w:r>
      <w:r>
        <w:rPr>
          <w:spacing w:val="-66"/>
        </w:rPr>
        <w:t> </w:t>
      </w:r>
      <w:r>
        <w:rPr>
          <w:spacing w:val="-66"/>
        </w:rPr>
      </w:r>
      <w:r>
        <w:rPr>
          <w:spacing w:val="-2"/>
        </w:rPr>
        <w:t>级趋势依然强劲”，</w:t>
      </w:r>
      <w:r>
        <w:rPr>
          <w:rFonts w:ascii="宋体" w:hAnsi="宋体" w:cs="宋体" w:eastAsia="宋体" w:hint="default"/>
          <w:spacing w:val="-2"/>
        </w:rPr>
        <w:t>2018</w:t>
      </w:r>
      <w:r>
        <w:rPr>
          <w:spacing w:val="-2"/>
        </w:rPr>
        <w:t>年社会消费品零售总额超过</w:t>
      </w:r>
      <w:r>
        <w:rPr>
          <w:rFonts w:ascii="宋体" w:hAnsi="宋体" w:cs="宋体" w:eastAsia="宋体" w:hint="default"/>
          <w:spacing w:val="-2"/>
        </w:rPr>
        <w:t>38</w:t>
      </w:r>
      <w:r>
        <w:rPr>
          <w:spacing w:val="-2"/>
        </w:rPr>
        <w:t>万亿元，同比增长</w:t>
      </w:r>
      <w:r>
        <w:rPr>
          <w:rFonts w:ascii="宋体" w:hAnsi="宋体" w:cs="宋体" w:eastAsia="宋体" w:hint="default"/>
          <w:spacing w:val="-2"/>
        </w:rPr>
        <w:t>9%</w:t>
      </w:r>
      <w:r>
        <w:rPr>
          <w:spacing w:val="-2"/>
        </w:rPr>
        <w:t>，消费贡献率进一步增强，最终消费对经济增长</w:t>
      </w:r>
      <w:r>
        <w:rPr>
          <w:spacing w:val="-59"/>
        </w:rPr>
        <w:t> </w:t>
      </w:r>
      <w:r>
        <w:rPr>
          <w:spacing w:val="-59"/>
        </w:rPr>
      </w:r>
      <w:r>
        <w:rPr/>
        <w:t>的贡献率达到</w:t>
      </w:r>
      <w:r>
        <w:rPr>
          <w:rFonts w:ascii="宋体" w:hAnsi="宋体" w:cs="宋体" w:eastAsia="宋体" w:hint="default"/>
        </w:rPr>
        <w:t>76.2%</w:t>
      </w:r>
      <w:r>
        <w:rPr/>
        <w:t>，比</w:t>
      </w:r>
      <w:r>
        <w:rPr>
          <w:rFonts w:ascii="宋体" w:hAnsi="宋体" w:cs="宋体" w:eastAsia="宋体" w:hint="default"/>
        </w:rPr>
        <w:t>2017</w:t>
      </w:r>
      <w:r>
        <w:rPr/>
        <w:t>年提高</w:t>
      </w:r>
      <w:r>
        <w:rPr>
          <w:rFonts w:ascii="宋体" w:hAnsi="宋体" w:cs="宋体" w:eastAsia="宋体" w:hint="default"/>
        </w:rPr>
        <w:t>18.6%</w:t>
      </w:r>
      <w:r>
        <w:rPr/>
        <w:t>，消费已连续五年成为拉动经济增长的主引擎。</w:t>
      </w:r>
    </w:p>
    <w:p>
      <w:pPr>
        <w:pStyle w:val="BodyText"/>
        <w:spacing w:line="364" w:lineRule="auto" w:before="29"/>
        <w:ind w:right="1129" w:firstLine="360"/>
        <w:jc w:val="both"/>
      </w:pPr>
      <w:r>
        <w:rPr/>
        <w:t>结合消费品的总量来看，尽管目前中国包装市场规模增长较快，但人均包装消费量仅为</w:t>
      </w:r>
      <w:r>
        <w:rPr>
          <w:rFonts w:ascii="宋体" w:hAnsi="宋体" w:cs="宋体" w:eastAsia="宋体" w:hint="default"/>
        </w:rPr>
        <w:t>12</w:t>
      </w:r>
      <w:r>
        <w:rPr/>
        <w:t>美元</w:t>
      </w:r>
      <w:r>
        <w:rPr>
          <w:rFonts w:ascii="宋体" w:hAnsi="宋体" w:cs="宋体" w:eastAsia="宋体" w:hint="default"/>
        </w:rPr>
        <w:t>/</w:t>
      </w:r>
      <w:r>
        <w:rPr/>
        <w:t>年，与全球发达国家及 </w:t>
      </w:r>
      <w:r>
        <w:rPr>
          <w:spacing w:val="-2"/>
        </w:rPr>
        <w:t>地区相比仍然存在较大差距。即便考虑到价格、人口密度等客观因素，中国包装行业的“天花板”远远没有达到。随着人民</w:t>
      </w:r>
      <w:r>
        <w:rPr>
          <w:spacing w:val="-67"/>
        </w:rPr>
        <w:t> </w:t>
      </w:r>
      <w:r>
        <w:rPr>
          <w:spacing w:val="-67"/>
        </w:rPr>
      </w:r>
      <w:r>
        <w:rPr>
          <w:spacing w:val="-2"/>
        </w:rPr>
        <w:t>生活水平的提高，消费品包装呈现出小型化、环保性能提升的特点，储运包装随电商渗透率的提升而需求增大。中国包装行</w:t>
      </w:r>
      <w:r>
        <w:rPr>
          <w:spacing w:val="-66"/>
        </w:rPr>
        <w:t> </w:t>
      </w:r>
      <w:r>
        <w:rPr>
          <w:spacing w:val="-66"/>
        </w:rPr>
      </w:r>
      <w:r>
        <w:rPr/>
        <w:t>业的市场规模有望进一步扩大，供求结构也有望持续升级，公司将持续开拓消费品包装领域。</w:t>
      </w:r>
    </w:p>
    <w:p>
      <w:pPr>
        <w:spacing w:line="240" w:lineRule="auto" w:before="0"/>
        <w:rPr>
          <w:rFonts w:ascii="宋体" w:hAnsi="宋体" w:cs="宋体" w:eastAsia="宋体" w:hint="default"/>
          <w:sz w:val="18"/>
          <w:szCs w:val="18"/>
        </w:rPr>
      </w:pPr>
    </w:p>
    <w:p>
      <w:pPr>
        <w:pStyle w:val="BodyText"/>
        <w:spacing w:line="345" w:lineRule="auto" w:before="153"/>
        <w:ind w:left="514" w:right="940" w:firstLine="92"/>
        <w:jc w:val="left"/>
      </w:pPr>
      <w:r>
        <w:rPr>
          <w:rFonts w:ascii="Times New Roman" w:hAnsi="Times New Roman" w:cs="Times New Roman" w:eastAsia="Times New Roman" w:hint="default"/>
          <w:b/>
          <w:bCs/>
        </w:rPr>
        <w:t>3</w:t>
      </w:r>
      <w:r>
        <w:rPr>
          <w:rFonts w:ascii="宋体" w:hAnsi="宋体" w:cs="宋体" w:eastAsia="宋体" w:hint="default"/>
          <w:b/>
          <w:bCs/>
        </w:rPr>
        <w:t>、互联网精准营销业务</w:t>
      </w:r>
      <w:r>
        <w:rPr>
          <w:rFonts w:ascii="宋体" w:hAnsi="宋体" w:cs="宋体" w:eastAsia="宋体" w:hint="default"/>
          <w:b/>
          <w:bCs/>
          <w:w w:val="99"/>
        </w:rPr>
        <w:t> </w:t>
      </w:r>
      <w:r>
        <w:rPr>
          <w:spacing w:val="-2"/>
        </w:rPr>
        <w:t>目前，我国互联网营销行业尚处于发展的起步阶段，行业市场规模较大，但是行业内企业众多、规模较小，市场格局较</w:t>
      </w:r>
    </w:p>
    <w:p>
      <w:pPr>
        <w:pStyle w:val="BodyText"/>
        <w:spacing w:line="364" w:lineRule="auto" w:before="44"/>
        <w:ind w:right="1133"/>
        <w:jc w:val="both"/>
      </w:pPr>
      <w:r>
        <w:rPr>
          <w:spacing w:val="-2"/>
        </w:rPr>
        <w:t>为分散。在互联网营销模式下，媒体资源不再稀缺，营销服务提供商需要更多关注客户的需求，通过技术分析、商业模式创</w:t>
      </w:r>
      <w:r>
        <w:rPr>
          <w:spacing w:val="-66"/>
        </w:rPr>
        <w:t> </w:t>
      </w:r>
      <w:r>
        <w:rPr>
          <w:spacing w:val="-66"/>
        </w:rPr>
      </w:r>
      <w:r>
        <w:rPr/>
        <w:t>新等手段实现客户营销的需求，从而为客户创造更大的价值。</w:t>
      </w:r>
    </w:p>
    <w:p>
      <w:pPr>
        <w:pStyle w:val="BodyText"/>
        <w:spacing w:line="364" w:lineRule="auto" w:before="29"/>
        <w:ind w:right="1131" w:firstLine="360"/>
        <w:jc w:val="both"/>
      </w:pPr>
      <w:r>
        <w:rPr>
          <w:spacing w:val="-2"/>
        </w:rPr>
        <w:t>公司是该产业链中游的营销服务提供商，为客户提供互联网精准营销服务，是连结广告主、互联网媒体及终端用户的平</w:t>
      </w:r>
      <w:r>
        <w:rPr/>
        <w:t> </w:t>
      </w:r>
      <w:r>
        <w:rPr>
          <w:spacing w:val="-2"/>
        </w:rPr>
        <w:t>台。基于对市场的深刻理解以及相关技术手段，公司能够为广告主提供涵盖营销策略制定、媒体投放、营销效果监测和优化</w:t>
      </w:r>
      <w:r>
        <w:rPr>
          <w:spacing w:val="-66"/>
        </w:rPr>
        <w:t> </w:t>
      </w:r>
      <w:r>
        <w:rPr>
          <w:spacing w:val="-66"/>
        </w:rPr>
      </w:r>
      <w:r>
        <w:rPr>
          <w:spacing w:val="-2"/>
        </w:rPr>
        <w:t>提升等内容的精准营销服务链条。不仅能够提供一般意义上的互联网广告投放服务，还能依托其大数据技术和手段进行跟踪</w:t>
      </w:r>
      <w:r>
        <w:rPr>
          <w:spacing w:val="-64"/>
        </w:rPr>
        <w:t> </w:t>
      </w:r>
      <w:r>
        <w:rPr>
          <w:spacing w:val="-64"/>
        </w:rPr>
      </w:r>
      <w:r>
        <w:rPr>
          <w:spacing w:val="-2"/>
        </w:rPr>
        <w:t>分析，并对发现的特定客户实施针对性的精准营销。公司通过对广告平台大数据工具持续的研发投入，目前已完成行业领先</w:t>
      </w:r>
      <w:r>
        <w:rPr>
          <w:spacing w:val="-66"/>
        </w:rPr>
        <w:t> </w:t>
      </w:r>
      <w:r>
        <w:rPr>
          <w:spacing w:val="-66"/>
        </w:rPr>
      </w:r>
      <w:r>
        <w:rPr/>
        <w:t>的基础软件布局，并将持续推动大数据融合升级战略。</w:t>
      </w:r>
    </w:p>
    <w:p>
      <w:pPr>
        <w:pStyle w:val="BodyText"/>
        <w:spacing w:line="240" w:lineRule="auto" w:before="29"/>
        <w:ind w:left="514" w:right="940"/>
        <w:jc w:val="left"/>
      </w:pPr>
      <w:r>
        <w:rPr/>
        <w:t>综上，公司的医药包装业务、消费品及其它包装业务稳步发展，互联网精准营销业务处于快速成长、创新发展阶段。</w:t>
      </w:r>
    </w:p>
    <w:p>
      <w:pPr>
        <w:spacing w:after="0" w:line="240" w:lineRule="auto"/>
        <w:jc w:val="left"/>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2"/>
        <w:spacing w:line="240" w:lineRule="auto" w:before="26"/>
        <w:ind w:right="94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76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27453.86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3.89%</w:t>
            </w:r>
            <w:r>
              <w:rPr>
                <w:rFonts w:ascii="宋体" w:hAnsi="宋体" w:cs="宋体" w:eastAsia="宋体" w:hint="default"/>
                <w:sz w:val="18"/>
                <w:szCs w:val="18"/>
              </w:rPr>
              <w:t>，报告期无显著变动。</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2959.50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8.85%</w:t>
            </w:r>
            <w:r>
              <w:rPr>
                <w:rFonts w:ascii="宋体" w:hAnsi="宋体" w:cs="宋体" w:eastAsia="宋体" w:hint="default"/>
                <w:sz w:val="18"/>
                <w:szCs w:val="18"/>
              </w:rPr>
              <w:t>，主要系购买子公司识别的软件著作权、专有 技术、域名作为无形资产核算</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1680.75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万元，降幅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26.65%</w:t>
            </w:r>
            <w:r>
              <w:rPr>
                <w:rFonts w:ascii="宋体" w:hAnsi="宋体" w:cs="宋体" w:eastAsia="宋体" w:hint="default"/>
                <w:sz w:val="18"/>
                <w:szCs w:val="18"/>
              </w:rPr>
              <w:t>，主要系关键生产设备转固。</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15483.35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万元，增幅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16.11%</w:t>
            </w:r>
            <w:r>
              <w:rPr>
                <w:rFonts w:ascii="宋体" w:hAnsi="宋体" w:cs="宋体" w:eastAsia="宋体" w:hint="default"/>
                <w:sz w:val="18"/>
                <w:szCs w:val="18"/>
              </w:rPr>
              <w:t>，增幅属正常范围内。</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21159.61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万元，增幅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36.36%</w:t>
            </w:r>
            <w:r>
              <w:rPr>
                <w:rFonts w:ascii="宋体" w:hAnsi="宋体" w:cs="宋体" w:eastAsia="宋体" w:hint="default"/>
                <w:sz w:val="18"/>
                <w:szCs w:val="18"/>
              </w:rPr>
              <w:t>，主要系销售增加，以及报告期新增纳入合 并范围的子公司。</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7477.41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万元，降幅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14.01%</w:t>
            </w:r>
            <w:r>
              <w:rPr>
                <w:rFonts w:ascii="宋体" w:hAnsi="宋体" w:cs="宋体" w:eastAsia="宋体" w:hint="default"/>
                <w:sz w:val="18"/>
                <w:szCs w:val="18"/>
              </w:rPr>
              <w:t>，降幅属正常范围内。</w:t>
            </w:r>
          </w:p>
        </w:tc>
      </w:tr>
      <w:tr>
        <w:trPr>
          <w:trHeight w:val="401"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7190.76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8.73%</w:t>
            </w:r>
            <w:r>
              <w:rPr>
                <w:rFonts w:ascii="宋体" w:hAnsi="宋体" w:cs="宋体" w:eastAsia="宋体" w:hint="default"/>
                <w:sz w:val="18"/>
                <w:szCs w:val="18"/>
              </w:rPr>
              <w:t>，主要为报告期按权益法计算的投资收益。</w:t>
            </w:r>
          </w:p>
        </w:tc>
      </w:tr>
      <w:tr>
        <w:trPr>
          <w:trHeight w:val="715"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10827.94</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万元，增幅</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59223.94%</w:t>
            </w:r>
            <w:r>
              <w:rPr>
                <w:rFonts w:ascii="宋体" w:hAnsi="宋体" w:cs="宋体" w:eastAsia="宋体" w:hint="default"/>
                <w:sz w:val="18"/>
                <w:szCs w:val="18"/>
              </w:rPr>
              <w:t>，主要系报告期收购价格与霍尔果斯领凯 账面净资产公允价值的差额确认商誉。</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both"/>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三、核心竞争力分析" w:id="22"/>
      <w:bookmarkEnd w:id="22"/>
      <w:r>
        <w:rPr>
          <w:b w:val="0"/>
          <w:bCs w:val="0"/>
        </w:rPr>
      </w:r>
      <w:r>
        <w:rPr/>
        <w:t>三、核心竞争力分析</w:t>
      </w:r>
      <w:r>
        <w:rPr>
          <w:b w:val="0"/>
          <w:bCs w:val="0"/>
        </w:rPr>
      </w:r>
    </w:p>
    <w:p>
      <w:pPr>
        <w:spacing w:line="240" w:lineRule="auto" w:before="5"/>
        <w:rPr>
          <w:rFonts w:ascii="宋体" w:hAnsi="宋体" w:cs="宋体" w:eastAsia="宋体" w:hint="default"/>
          <w:b/>
          <w:bCs/>
          <w:sz w:val="28"/>
          <w:szCs w:val="28"/>
        </w:rPr>
      </w:pPr>
    </w:p>
    <w:p>
      <w:pPr>
        <w:pStyle w:val="BodyText"/>
        <w:spacing w:line="405" w:lineRule="auto"/>
        <w:ind w:right="7692"/>
        <w:jc w:val="left"/>
      </w:pPr>
      <w:r>
        <w:rPr/>
        <w:t>公司是否需要遵守特殊行业的披露要求 否</w:t>
      </w:r>
    </w:p>
    <w:p>
      <w:pPr>
        <w:pStyle w:val="BodyText"/>
        <w:spacing w:line="364" w:lineRule="auto" w:before="38"/>
        <w:ind w:right="940" w:firstLine="360"/>
        <w:jc w:val="left"/>
      </w:pPr>
      <w:r>
        <w:rPr>
          <w:spacing w:val="-2"/>
        </w:rPr>
        <w:t>报告期内，公司紧密围绕主营业务，通过技术升级、管理改进等措施提质增效，以降低企业内部运营成本。并积极调整</w:t>
      </w:r>
      <w:r>
        <w:rPr/>
        <w:t> 产业结构，促进各项改革措施有效落实，不断提高公司核心竞争力。公司竞争优势主要体现在以下几个方面：</w:t>
      </w:r>
    </w:p>
    <w:p>
      <w:pPr>
        <w:spacing w:line="364" w:lineRule="auto" w:before="29"/>
        <w:ind w:left="514" w:right="940" w:firstLine="92"/>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、品牌优势及高端客户资源优势</w:t>
      </w:r>
      <w:r>
        <w:rPr>
          <w:rFonts w:ascii="宋体" w:hAnsi="宋体" w:cs="宋体" w:eastAsia="宋体" w:hint="default"/>
          <w:b/>
          <w:bCs/>
          <w:w w:val="99"/>
          <w:sz w:val="18"/>
          <w:szCs w:val="18"/>
        </w:rPr>
        <w:t> </w:t>
      </w:r>
      <w:r>
        <w:rPr>
          <w:rFonts w:ascii="宋体" w:hAnsi="宋体" w:cs="宋体" w:eastAsia="宋体" w:hint="default"/>
          <w:spacing w:val="-2"/>
          <w:sz w:val="18"/>
          <w:szCs w:val="18"/>
        </w:rPr>
        <w:t>自成立以来环球印务始终致力于医药包装领域深耕细作，不断完善医药包装产业链，在医药内、外包装等领域均大力拓</w:t>
      </w:r>
    </w:p>
    <w:p>
      <w:pPr>
        <w:pStyle w:val="BodyText"/>
        <w:spacing w:line="364" w:lineRule="auto" w:before="29"/>
        <w:ind w:right="1130"/>
        <w:jc w:val="both"/>
      </w:pPr>
      <w:r>
        <w:rPr>
          <w:spacing w:val="-2"/>
        </w:rPr>
        <w:t>展，形成整体包装营销模式。经过多年的品牌经营与维护，树立了行业认知度高、专业突出的品牌形象。“环球印务”商标</w:t>
      </w:r>
      <w:r>
        <w:rPr>
          <w:spacing w:val="-67"/>
        </w:rPr>
        <w:t> </w:t>
      </w:r>
      <w:r>
        <w:rPr>
          <w:spacing w:val="-67"/>
        </w:rPr>
      </w:r>
      <w:r>
        <w:rPr>
          <w:spacing w:val="-2"/>
        </w:rPr>
        <w:t>先后被授予“陕西省著名商标”、“西安市著名商标”。公司与国内许多知名制药企业均保持良好的合作关系，经公司统计</w:t>
      </w:r>
      <w:r>
        <w:rPr>
          <w:spacing w:val="-67"/>
        </w:rPr>
        <w:t> </w:t>
      </w:r>
      <w:r>
        <w:rPr>
          <w:spacing w:val="-67"/>
        </w:rPr>
      </w:r>
      <w:r>
        <w:rPr>
          <w:spacing w:val="-2"/>
        </w:rPr>
        <w:t>国内</w:t>
      </w:r>
      <w:r>
        <w:rPr>
          <w:rFonts w:ascii="宋体" w:hAnsi="宋体" w:cs="宋体" w:eastAsia="宋体" w:hint="default"/>
          <w:spacing w:val="-2"/>
        </w:rPr>
        <w:t>500</w:t>
      </w:r>
      <w:r>
        <w:rPr>
          <w:spacing w:val="-2"/>
        </w:rPr>
        <w:t>强企业中的制药企业与公司合作的占比达</w:t>
      </w:r>
      <w:r>
        <w:rPr>
          <w:rFonts w:ascii="宋体" w:hAnsi="宋体" w:cs="宋体" w:eastAsia="宋体" w:hint="default"/>
          <w:spacing w:val="-2"/>
        </w:rPr>
        <w:t>50%</w:t>
      </w:r>
      <w:r>
        <w:rPr>
          <w:spacing w:val="-2"/>
        </w:rPr>
        <w:t>以上，进入世界</w:t>
      </w:r>
      <w:r>
        <w:rPr>
          <w:rFonts w:ascii="宋体" w:hAnsi="宋体" w:cs="宋体" w:eastAsia="宋体" w:hint="default"/>
          <w:spacing w:val="-2"/>
        </w:rPr>
        <w:t>500</w:t>
      </w:r>
      <w:r>
        <w:rPr>
          <w:spacing w:val="-2"/>
        </w:rPr>
        <w:t>强中的</w:t>
      </w:r>
      <w:r>
        <w:rPr>
          <w:rFonts w:ascii="宋体" w:hAnsi="宋体" w:cs="宋体" w:eastAsia="宋体" w:hint="default"/>
          <w:spacing w:val="-2"/>
        </w:rPr>
        <w:t>13</w:t>
      </w:r>
      <w:r>
        <w:rPr>
          <w:spacing w:val="-2"/>
        </w:rPr>
        <w:t>家制药企业中，有</w:t>
      </w:r>
      <w:r>
        <w:rPr>
          <w:rFonts w:ascii="宋体" w:hAnsi="宋体" w:cs="宋体" w:eastAsia="宋体" w:hint="default"/>
          <w:spacing w:val="-2"/>
        </w:rPr>
        <w:t>9</w:t>
      </w:r>
      <w:r>
        <w:rPr>
          <w:spacing w:val="-2"/>
        </w:rPr>
        <w:t>家均与公司有战略合作</w:t>
      </w:r>
      <w:r>
        <w:rPr>
          <w:spacing w:val="-52"/>
        </w:rPr>
        <w:t> </w:t>
      </w:r>
      <w:r>
        <w:rPr/>
        <w:t>关系。</w:t>
      </w:r>
    </w:p>
    <w:p>
      <w:pPr>
        <w:pStyle w:val="BodyText"/>
        <w:spacing w:line="364" w:lineRule="auto" w:before="29"/>
        <w:ind w:left="604" w:right="1122" w:firstLine="92"/>
        <w:jc w:val="left"/>
      </w:pPr>
      <w:r>
        <w:rPr>
          <w:rFonts w:ascii="宋体" w:hAnsi="宋体" w:cs="宋体" w:eastAsia="宋体" w:hint="default"/>
          <w:b/>
          <w:bCs/>
        </w:rPr>
        <w:t>2</w:t>
      </w:r>
      <w:r>
        <w:rPr>
          <w:rFonts w:ascii="宋体" w:hAnsi="宋体" w:cs="宋体" w:eastAsia="宋体" w:hint="default"/>
          <w:b/>
          <w:bCs/>
        </w:rPr>
        <w:t>、智能制造优势</w:t>
      </w:r>
      <w:r>
        <w:rPr>
          <w:rFonts w:ascii="宋体" w:hAnsi="宋体" w:cs="宋体" w:eastAsia="宋体" w:hint="default"/>
          <w:b/>
          <w:bCs/>
          <w:w w:val="99"/>
        </w:rPr>
        <w:t> </w:t>
      </w:r>
      <w:r>
        <w:rPr/>
        <w:t>公司通过区域化布局，形成以西安为中心的四个生产基地，并布局天津生产基地，使得公司具备快速响应市场，为客</w:t>
      </w:r>
    </w:p>
    <w:p>
      <w:pPr>
        <w:pStyle w:val="BodyText"/>
        <w:spacing w:line="240" w:lineRule="auto" w:before="29"/>
        <w:ind w:right="940"/>
        <w:jc w:val="left"/>
      </w:pPr>
      <w:r>
        <w:rPr/>
        <w:t>户提供灾备计划的管理竞争优势。为了应对日益庞大的生产规模，公司积极实施“两化融合”项目，通过信息化项目构建，</w:t>
      </w:r>
    </w:p>
    <w:p>
      <w:pPr>
        <w:spacing w:after="0" w:line="240" w:lineRule="auto"/>
        <w:jc w:val="left"/>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64" w:lineRule="auto" w:before="27"/>
        <w:ind w:right="1132"/>
        <w:jc w:val="both"/>
      </w:pPr>
      <w:r>
        <w:rPr>
          <w:spacing w:val="-2"/>
        </w:rPr>
        <w:t>打造公司数字化、网络化、智能化转型的信息平台，实现公司内部及产业上下游、跨领域生产设备与信息系统互联互通，实</w:t>
      </w:r>
      <w:r>
        <w:rPr>
          <w:spacing w:val="-66"/>
        </w:rPr>
        <w:t> </w:t>
      </w:r>
      <w:r>
        <w:rPr>
          <w:spacing w:val="-66"/>
        </w:rPr>
      </w:r>
      <w:r>
        <w:rPr>
          <w:spacing w:val="-2"/>
        </w:rPr>
        <w:t>现公司在产品核价预算管理、产品工艺技术信息管理、生产计划智能排程、生产信息实时呈现、仓储条码化管理、质量管理</w:t>
      </w:r>
      <w:r>
        <w:rPr>
          <w:spacing w:val="-66"/>
        </w:rPr>
        <w:t> </w:t>
      </w:r>
      <w:r>
        <w:rPr>
          <w:spacing w:val="-66"/>
        </w:rPr>
      </w:r>
      <w:r>
        <w:rPr>
          <w:spacing w:val="-4"/>
        </w:rPr>
        <w:t>等业务流程操作的智能化。公司是行业内首家使用物联网采集终端，实时采集、上传公司各生产基地的数据，并率先通过</w:t>
      </w:r>
      <w:r>
        <w:rPr>
          <w:rFonts w:ascii="宋体" w:hAnsi="宋体" w:cs="宋体" w:eastAsia="宋体" w:hint="default"/>
          <w:spacing w:val="-4"/>
        </w:rPr>
        <w:t>MES</w:t>
      </w:r>
      <w:r>
        <w:rPr>
          <w:rFonts w:ascii="宋体" w:hAnsi="宋体" w:cs="宋体" w:eastAsia="宋体" w:hint="default"/>
          <w:spacing w:val="-41"/>
        </w:rPr>
        <w:t> </w:t>
      </w:r>
      <w:r>
        <w:rPr/>
        <w:t>系统自动计算分析各生产设备的设备全局效率（简称“</w:t>
      </w:r>
      <w:r>
        <w:rPr>
          <w:rFonts w:ascii="宋体" w:hAnsi="宋体" w:cs="宋体" w:eastAsia="宋体" w:hint="default"/>
        </w:rPr>
        <w:t>OEE</w:t>
      </w:r>
      <w:r>
        <w:rPr/>
        <w:t>”）数据的企业。</w:t>
      </w:r>
    </w:p>
    <w:p>
      <w:pPr>
        <w:pStyle w:val="BodyText"/>
        <w:spacing w:line="364" w:lineRule="auto" w:before="29"/>
        <w:ind w:left="514" w:right="940" w:firstLine="92"/>
        <w:jc w:val="left"/>
      </w:pPr>
      <w:r>
        <w:rPr>
          <w:rFonts w:ascii="宋体" w:hAnsi="宋体" w:cs="宋体" w:eastAsia="宋体" w:hint="default"/>
          <w:b/>
          <w:bCs/>
        </w:rPr>
        <w:t>3</w:t>
      </w:r>
      <w:r>
        <w:rPr>
          <w:rFonts w:ascii="宋体" w:hAnsi="宋体" w:cs="宋体" w:eastAsia="宋体" w:hint="default"/>
          <w:b/>
          <w:bCs/>
        </w:rPr>
        <w:t>、技术创新优势</w:t>
      </w:r>
      <w:r>
        <w:rPr>
          <w:rFonts w:ascii="宋体" w:hAnsi="宋体" w:cs="宋体" w:eastAsia="宋体" w:hint="default"/>
          <w:b/>
          <w:bCs/>
          <w:w w:val="99"/>
        </w:rPr>
        <w:t> </w:t>
      </w:r>
      <w:r>
        <w:rPr>
          <w:spacing w:val="-2"/>
        </w:rPr>
        <w:t>公司作为医药包装折叠纸盒行业的标准制定者，以及防伪行业“十强”企业，在行业内具有技术研发和品牌效应的竞争</w:t>
      </w:r>
    </w:p>
    <w:p>
      <w:pPr>
        <w:pStyle w:val="BodyText"/>
        <w:spacing w:line="364" w:lineRule="auto" w:before="29"/>
        <w:ind w:right="940"/>
        <w:jc w:val="left"/>
      </w:pPr>
      <w:r>
        <w:rPr>
          <w:spacing w:val="-2"/>
        </w:rPr>
        <w:t>优势。报告期内，公司新获得专利</w:t>
      </w:r>
      <w:r>
        <w:rPr>
          <w:rFonts w:ascii="宋体" w:hAnsi="宋体" w:cs="宋体" w:eastAsia="宋体" w:hint="default"/>
          <w:spacing w:val="-2"/>
        </w:rPr>
        <w:t>11</w:t>
      </w:r>
      <w:r>
        <w:rPr>
          <w:spacing w:val="-2"/>
        </w:rPr>
        <w:t>项，累计获得专利授权</w:t>
      </w:r>
      <w:r>
        <w:rPr>
          <w:rFonts w:ascii="宋体" w:hAnsi="宋体" w:cs="宋体" w:eastAsia="宋体" w:hint="default"/>
          <w:spacing w:val="-2"/>
        </w:rPr>
        <w:t>67</w:t>
      </w:r>
      <w:r>
        <w:rPr>
          <w:spacing w:val="-2"/>
        </w:rPr>
        <w:t>项，其中发明专利</w:t>
      </w:r>
      <w:r>
        <w:rPr>
          <w:rFonts w:ascii="宋体" w:hAnsi="宋体" w:cs="宋体" w:eastAsia="宋体" w:hint="default"/>
          <w:spacing w:val="-2"/>
        </w:rPr>
        <w:t>3</w:t>
      </w:r>
      <w:r>
        <w:rPr>
          <w:spacing w:val="-2"/>
        </w:rPr>
        <w:t>项，外观设计</w:t>
      </w:r>
      <w:r>
        <w:rPr>
          <w:rFonts w:ascii="宋体" w:hAnsi="宋体" w:cs="宋体" w:eastAsia="宋体" w:hint="default"/>
          <w:spacing w:val="-2"/>
        </w:rPr>
        <w:t>2</w:t>
      </w:r>
      <w:r>
        <w:rPr>
          <w:spacing w:val="-2"/>
        </w:rPr>
        <w:t>项；已获得计算机软件著作</w:t>
      </w:r>
      <w:r>
        <w:rPr>
          <w:spacing w:val="-63"/>
        </w:rPr>
        <w:t> </w:t>
      </w:r>
      <w:r>
        <w:rPr>
          <w:spacing w:val="-63"/>
        </w:rPr>
      </w:r>
      <w:r>
        <w:rPr/>
        <w:t>权</w:t>
      </w:r>
      <w:r>
        <w:rPr>
          <w:rFonts w:ascii="宋体" w:hAnsi="宋体" w:cs="宋体" w:eastAsia="宋体" w:hint="default"/>
        </w:rPr>
        <w:t>4</w:t>
      </w:r>
      <w:r>
        <w:rPr/>
        <w:t>项，继续保持了行业中的领先地位。公司积极与当地科研单位、院校合作，以提高科研成果的转化率。</w:t>
      </w:r>
    </w:p>
    <w:p>
      <w:pPr>
        <w:pStyle w:val="BodyText"/>
        <w:spacing w:line="364" w:lineRule="auto" w:before="29"/>
        <w:ind w:right="1042" w:firstLine="360"/>
        <w:jc w:val="both"/>
      </w:pPr>
      <w:r>
        <w:rPr/>
        <w:t>公司通过印刷标准化项目的实施，使得新产品在研发试制阶段就能按照印刷国际标准</w:t>
      </w:r>
      <w:r>
        <w:rPr>
          <w:rFonts w:ascii="宋体" w:hAnsi="宋体" w:cs="宋体" w:eastAsia="宋体" w:hint="default"/>
        </w:rPr>
        <w:t>ISO12647</w:t>
      </w:r>
      <w:r>
        <w:rPr/>
        <w:t>建立印刷数据标准规范， </w:t>
      </w:r>
      <w:r>
        <w:rPr>
          <w:spacing w:val="-2"/>
        </w:rPr>
        <w:t>为批量生产的产品提供可测量化的数据和质量管控的依据。公司</w:t>
      </w:r>
      <w:r>
        <w:rPr>
          <w:rFonts w:ascii="宋体" w:hAnsi="宋体" w:cs="宋体" w:eastAsia="宋体" w:hint="default"/>
          <w:spacing w:val="-2"/>
        </w:rPr>
        <w:t>2018</w:t>
      </w:r>
      <w:r>
        <w:rPr>
          <w:spacing w:val="-2"/>
        </w:rPr>
        <w:t>年取得了印刷包装行业内最具权威的国际图形测量公司</w:t>
      </w:r>
    </w:p>
    <w:p>
      <w:pPr>
        <w:pStyle w:val="BodyText"/>
        <w:spacing w:line="364" w:lineRule="auto" w:before="29"/>
        <w:ind w:right="1122"/>
        <w:jc w:val="left"/>
      </w:pPr>
      <w:r>
        <w:rPr/>
        <w:t>（简称“</w:t>
      </w:r>
      <w:r>
        <w:rPr>
          <w:rFonts w:ascii="宋体" w:hAnsi="宋体" w:cs="宋体" w:eastAsia="宋体" w:hint="default"/>
        </w:rPr>
        <w:t>GMI</w:t>
      </w:r>
      <w:r>
        <w:rPr/>
        <w:t>”）的“</w:t>
      </w:r>
      <w:r>
        <w:rPr>
          <w:rFonts w:ascii="宋体" w:hAnsi="宋体" w:cs="宋体" w:eastAsia="宋体" w:hint="default"/>
        </w:rPr>
        <w:t>GMI</w:t>
      </w:r>
      <w:r>
        <w:rPr/>
        <w:t>认证”，标志着公司具备承接国际医药大型连锁买家</w:t>
      </w:r>
      <w:r>
        <w:rPr>
          <w:rFonts w:ascii="宋体" w:hAnsi="宋体" w:cs="宋体" w:eastAsia="宋体" w:hint="default"/>
        </w:rPr>
        <w:t>Walgreen</w:t>
      </w:r>
      <w:r>
        <w:rPr/>
        <w:t>、</w:t>
      </w:r>
      <w:r>
        <w:rPr>
          <w:rFonts w:ascii="宋体" w:hAnsi="宋体" w:cs="宋体" w:eastAsia="宋体" w:hint="default"/>
        </w:rPr>
        <w:t>CVS</w:t>
      </w:r>
      <w:r>
        <w:rPr/>
        <w:t>等客户业务的能力，能够能够 满足高端客户对产品严格的色彩管理要求。</w:t>
      </w:r>
    </w:p>
    <w:p>
      <w:pPr>
        <w:pStyle w:val="BodyText"/>
        <w:spacing w:line="364" w:lineRule="auto" w:before="29"/>
        <w:ind w:left="514" w:right="1032" w:firstLine="92"/>
        <w:jc w:val="left"/>
      </w:pPr>
      <w:r>
        <w:rPr>
          <w:rFonts w:ascii="宋体" w:hAnsi="宋体" w:cs="宋体" w:eastAsia="宋体" w:hint="default"/>
          <w:b/>
          <w:bCs/>
        </w:rPr>
        <w:t>4</w:t>
      </w:r>
      <w:r>
        <w:rPr>
          <w:rFonts w:ascii="宋体" w:hAnsi="宋体" w:cs="宋体" w:eastAsia="宋体" w:hint="default"/>
          <w:b/>
          <w:bCs/>
        </w:rPr>
        <w:t>、管理优势</w:t>
      </w:r>
      <w:r>
        <w:rPr>
          <w:rFonts w:ascii="宋体" w:hAnsi="宋体" w:cs="宋体" w:eastAsia="宋体" w:hint="default"/>
          <w:b/>
          <w:bCs/>
          <w:w w:val="99"/>
        </w:rPr>
        <w:t> </w:t>
      </w:r>
      <w:r>
        <w:rPr/>
        <w:t>随着公司的发展，凝聚了一批具有较高忠诚度、专业性和开拓性的高层经营管理团队、核心技术人员和市场销售人员，</w:t>
      </w:r>
    </w:p>
    <w:p>
      <w:pPr>
        <w:pStyle w:val="BodyText"/>
        <w:spacing w:line="364" w:lineRule="auto" w:before="29"/>
        <w:ind w:right="1131"/>
        <w:jc w:val="left"/>
      </w:pPr>
      <w:r>
        <w:rPr>
          <w:spacing w:val="-2"/>
        </w:rPr>
        <w:t>人才优势明显。</w:t>
      </w:r>
      <w:r>
        <w:rPr>
          <w:rFonts w:ascii="宋体" w:hAnsi="宋体" w:cs="宋体" w:eastAsia="宋体" w:hint="default"/>
          <w:spacing w:val="-2"/>
        </w:rPr>
        <w:t>2018</w:t>
      </w:r>
      <w:r>
        <w:rPr>
          <w:spacing w:val="-2"/>
        </w:rPr>
        <w:t>年，公司对核心技术人员、业务骨干和优秀管理人员实施了员工持股计划，让人才优势更大程度的发挥</w:t>
      </w:r>
      <w:r>
        <w:rPr>
          <w:spacing w:val="-61"/>
        </w:rPr>
        <w:t> </w:t>
      </w:r>
      <w:r>
        <w:rPr>
          <w:spacing w:val="-61"/>
        </w:rPr>
      </w:r>
      <w:r>
        <w:rPr/>
        <w:t>作用。另外，公司新修订和完善了新版</w:t>
      </w:r>
      <w:r>
        <w:rPr>
          <w:rFonts w:ascii="宋体" w:hAnsi="宋体" w:cs="宋体" w:eastAsia="宋体" w:hint="default"/>
        </w:rPr>
        <w:t>ISO9001</w:t>
      </w:r>
      <w:r>
        <w:rPr/>
        <w:t>质量管理体系、</w:t>
      </w:r>
      <w:r>
        <w:rPr>
          <w:rFonts w:ascii="宋体" w:hAnsi="宋体" w:cs="宋体" w:eastAsia="宋体" w:hint="default"/>
        </w:rPr>
        <w:t>ISO14001</w:t>
      </w:r>
      <w:r>
        <w:rPr/>
        <w:t>环境保护、</w:t>
      </w:r>
      <w:r>
        <w:rPr>
          <w:rFonts w:ascii="宋体" w:hAnsi="宋体" w:cs="宋体" w:eastAsia="宋体" w:hint="default"/>
        </w:rPr>
        <w:t>OHSAS18001</w:t>
      </w:r>
      <w:r>
        <w:rPr/>
        <w:t>职业健康安全管理体系和 “</w:t>
      </w:r>
      <w:r>
        <w:rPr>
          <w:rFonts w:ascii="宋体" w:hAnsi="宋体" w:cs="宋体" w:eastAsia="宋体" w:hint="default"/>
        </w:rPr>
        <w:t>FSC-COC</w:t>
      </w:r>
      <w:r>
        <w:rPr/>
        <w:t>”森林认证管理体系，在企业可持续发展方面取得了相关方的高度认可。</w:t>
      </w:r>
    </w:p>
    <w:p>
      <w:pPr>
        <w:pStyle w:val="BodyText"/>
        <w:spacing w:line="364" w:lineRule="auto" w:before="29"/>
        <w:ind w:left="514" w:right="1122" w:firstLine="92"/>
        <w:jc w:val="left"/>
      </w:pPr>
      <w:r>
        <w:rPr>
          <w:rFonts w:ascii="宋体" w:hAnsi="宋体" w:cs="宋体" w:eastAsia="宋体" w:hint="default"/>
          <w:b/>
          <w:bCs/>
        </w:rPr>
        <w:t>5</w:t>
      </w:r>
      <w:r>
        <w:rPr>
          <w:rFonts w:ascii="宋体" w:hAnsi="宋体" w:cs="宋体" w:eastAsia="宋体" w:hint="default"/>
          <w:b/>
          <w:bCs/>
        </w:rPr>
        <w:t>、市场竞争优势</w:t>
      </w:r>
      <w:r>
        <w:rPr>
          <w:rFonts w:ascii="宋体" w:hAnsi="宋体" w:cs="宋体" w:eastAsia="宋体" w:hint="default"/>
          <w:b/>
          <w:bCs/>
          <w:w w:val="99"/>
        </w:rPr>
        <w:t> </w:t>
      </w:r>
      <w:r>
        <w:rPr>
          <w:rFonts w:ascii="宋体" w:hAnsi="宋体" w:cs="宋体" w:eastAsia="宋体" w:hint="default"/>
        </w:rPr>
        <w:t>(1)</w:t>
      </w:r>
      <w:r>
        <w:rPr/>
        <w:t>医药包装全产品线所带来的客户购买体验。公司拥有从药用铝管、说明书、包装盒以及外包装箱等全线产品，使客</w:t>
      </w:r>
    </w:p>
    <w:p>
      <w:pPr>
        <w:pStyle w:val="BodyText"/>
        <w:spacing w:line="364" w:lineRule="auto" w:before="30"/>
        <w:ind w:left="514" w:right="1122" w:hanging="360"/>
        <w:jc w:val="left"/>
      </w:pPr>
      <w:r>
        <w:rPr/>
        <w:t>户供应链管理更为高效、便捷，一站式服务可使客户获得不同以往的购买体验。 </w:t>
      </w:r>
      <w:r>
        <w:rPr>
          <w:rFonts w:ascii="宋体" w:hAnsi="宋体" w:cs="宋体" w:eastAsia="宋体" w:hint="default"/>
        </w:rPr>
        <w:t>(2)</w:t>
      </w:r>
      <w:r>
        <w:rPr/>
        <w:t>多生产基地的区位优势。公司目前的西安与天津两大生产基地，在地域上可实现对国内东北、华北、中原、西北和</w:t>
      </w:r>
    </w:p>
    <w:p>
      <w:pPr>
        <w:pStyle w:val="BodyText"/>
        <w:spacing w:line="364" w:lineRule="auto" w:before="29"/>
        <w:ind w:right="940"/>
        <w:jc w:val="left"/>
      </w:pPr>
      <w:r>
        <w:rPr>
          <w:spacing w:val="-2"/>
        </w:rPr>
        <w:t>西南地区的无缝覆盖，缩短服务半径，提高响应速度，解决客户的后顾之忧。西安作为一带一路的起点城市，更具有不可替</w:t>
      </w:r>
      <w:r>
        <w:rPr>
          <w:spacing w:val="-66"/>
        </w:rPr>
        <w:t> </w:t>
      </w:r>
      <w:r>
        <w:rPr>
          <w:spacing w:val="-66"/>
        </w:rPr>
      </w:r>
      <w:r>
        <w:rPr/>
        <w:t>代的优势，对于公司采购的欧洲原材料以及产品出口欧洲都会有深远影响。</w:t>
      </w:r>
    </w:p>
    <w:p>
      <w:pPr>
        <w:pStyle w:val="BodyText"/>
        <w:spacing w:line="364" w:lineRule="auto" w:before="29"/>
        <w:ind w:right="1141" w:firstLine="360"/>
        <w:jc w:val="both"/>
      </w:pPr>
      <w:r>
        <w:rPr>
          <w:rFonts w:ascii="宋体" w:hAnsi="宋体" w:cs="宋体" w:eastAsia="宋体" w:hint="default"/>
        </w:rPr>
        <w:t>(3)</w:t>
      </w:r>
      <w:r>
        <w:rPr/>
        <w:t>为客户提供包装产品与市场推广服务的协同效应将逐步显现。公司利用现有的市场网络，整合资源后，凭借控股子 公司领凯网络科技的互联网精准营销优势，为现有客户提供增值服务，增加客户粘性。</w:t>
      </w:r>
    </w:p>
    <w:p>
      <w:pPr>
        <w:pStyle w:val="Heading6"/>
        <w:spacing w:line="240" w:lineRule="auto" w:before="29"/>
        <w:ind w:left="606" w:right="940"/>
        <w:jc w:val="left"/>
        <w:rPr>
          <w:b w:val="0"/>
          <w:bCs w:val="0"/>
        </w:rPr>
      </w:pPr>
      <w:r>
        <w:rPr>
          <w:rFonts w:ascii="宋体" w:hAnsi="宋体" w:cs="宋体" w:eastAsia="宋体" w:hint="default"/>
        </w:rPr>
        <w:t>6</w:t>
      </w:r>
      <w:r>
        <w:rPr/>
        <w:t>、安全环保优势</w:t>
      </w:r>
      <w:r>
        <w:rPr>
          <w:b w:val="0"/>
          <w:bCs w:val="0"/>
        </w:rPr>
      </w:r>
    </w:p>
    <w:p>
      <w:pPr>
        <w:pStyle w:val="BodyText"/>
        <w:spacing w:line="364" w:lineRule="auto" w:before="123"/>
        <w:ind w:right="1131" w:firstLine="360"/>
        <w:jc w:val="both"/>
      </w:pPr>
      <w:r>
        <w:rPr>
          <w:rFonts w:ascii="宋体" w:hAnsi="宋体" w:cs="宋体" w:eastAsia="宋体" w:hint="default"/>
          <w:spacing w:val="-2"/>
        </w:rPr>
        <w:t>2018</w:t>
      </w:r>
      <w:r>
        <w:rPr>
          <w:spacing w:val="-2"/>
        </w:rPr>
        <w:t>年在国家产业政策的引导下，安全、环保合法合规已经成为企业参与市场竞争的必备条件。公司已树立起全方位的</w:t>
      </w:r>
      <w:r>
        <w:rPr/>
        <w:t> </w:t>
      </w:r>
      <w:r>
        <w:rPr>
          <w:spacing w:val="-2"/>
        </w:rPr>
        <w:t>生态、环境和职业健康安全理念，加大环保综合治理的投入，</w:t>
      </w:r>
      <w:r>
        <w:rPr>
          <w:rFonts w:ascii="宋体" w:hAnsi="宋体" w:cs="宋体" w:eastAsia="宋体" w:hint="default"/>
          <w:spacing w:val="-2"/>
        </w:rPr>
        <w:t>2018</w:t>
      </w:r>
      <w:r>
        <w:rPr>
          <w:spacing w:val="-2"/>
        </w:rPr>
        <w:t>年升级改造了</w:t>
      </w:r>
      <w:r>
        <w:rPr>
          <w:rFonts w:ascii="宋体" w:hAnsi="宋体" w:cs="宋体" w:eastAsia="宋体" w:hint="default"/>
          <w:spacing w:val="-2"/>
        </w:rPr>
        <w:t>VOCs</w:t>
      </w:r>
      <w:r>
        <w:rPr>
          <w:spacing w:val="-2"/>
        </w:rPr>
        <w:t>废气处理设备，并在西安市首批安装挥</w:t>
      </w:r>
      <w:r>
        <w:rPr>
          <w:spacing w:val="-57"/>
        </w:rPr>
        <w:t> </w:t>
      </w:r>
      <w:r>
        <w:rPr>
          <w:spacing w:val="-57"/>
        </w:rPr>
      </w:r>
      <w:r>
        <w:rPr/>
        <w:t>发性有机物在线监测设备。环境保护的不断投入和管理水平的提升，增强了企业的竞争优势。</w:t>
      </w:r>
    </w:p>
    <w:p>
      <w:pPr>
        <w:spacing w:after="0" w:line="364" w:lineRule="auto"/>
        <w:jc w:val="both"/>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1"/>
        <w:spacing w:line="240" w:lineRule="auto"/>
        <w:ind w:left="2966" w:right="940"/>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40"/>
        <w:jc w:val="left"/>
        <w:rPr>
          <w:b w:val="0"/>
          <w:bCs w:val="0"/>
        </w:rPr>
      </w:pPr>
      <w:bookmarkStart w:name="一、概述" w:id="25"/>
      <w:bookmarkEnd w:id="25"/>
      <w:r>
        <w:rPr>
          <w:b w:val="0"/>
          <w:bCs w:val="0"/>
        </w:rPr>
      </w:r>
      <w:r>
        <w:rPr/>
        <w:t>一、概述</w:t>
      </w:r>
      <w:r>
        <w:rPr>
          <w:b w:val="0"/>
          <w:bCs w:val="0"/>
        </w:rPr>
      </w:r>
    </w:p>
    <w:p>
      <w:pPr>
        <w:spacing w:line="240" w:lineRule="auto" w:before="3"/>
        <w:rPr>
          <w:rFonts w:ascii="宋体" w:hAnsi="宋体" w:cs="宋体" w:eastAsia="宋体" w:hint="default"/>
          <w:b/>
          <w:bCs/>
          <w:sz w:val="28"/>
          <w:szCs w:val="28"/>
        </w:rPr>
      </w:pPr>
    </w:p>
    <w:p>
      <w:pPr>
        <w:pStyle w:val="BodyText"/>
        <w:spacing w:line="364" w:lineRule="auto"/>
        <w:ind w:left="514" w:right="940" w:firstLine="1"/>
        <w:jc w:val="left"/>
      </w:pPr>
      <w:r>
        <w:rPr>
          <w:rFonts w:ascii="宋体" w:hAnsi="宋体" w:cs="宋体" w:eastAsia="宋体" w:hint="default"/>
          <w:b/>
          <w:bCs/>
        </w:rPr>
        <w:t>(</w:t>
      </w:r>
      <w:r>
        <w:rPr>
          <w:rFonts w:ascii="宋体" w:hAnsi="宋体" w:cs="宋体" w:eastAsia="宋体" w:hint="default"/>
          <w:b/>
          <w:bCs/>
        </w:rPr>
        <w:t>一</w:t>
      </w:r>
      <w:r>
        <w:rPr>
          <w:rFonts w:ascii="宋体" w:hAnsi="宋体" w:cs="宋体" w:eastAsia="宋体" w:hint="default"/>
          <w:b/>
          <w:bCs/>
        </w:rPr>
        <w:t>)</w:t>
      </w:r>
      <w:r>
        <w:rPr>
          <w:rFonts w:ascii="宋体" w:hAnsi="宋体" w:cs="宋体" w:eastAsia="宋体" w:hint="default"/>
          <w:b/>
          <w:bCs/>
        </w:rPr>
        <w:t>国内经济形势概况</w:t>
      </w:r>
      <w:r>
        <w:rPr>
          <w:rFonts w:ascii="宋体" w:hAnsi="宋体" w:cs="宋体" w:eastAsia="宋体" w:hint="default"/>
          <w:b/>
          <w:bCs/>
          <w:w w:val="99"/>
        </w:rPr>
        <w:t> </w:t>
      </w:r>
      <w:r>
        <w:rPr>
          <w:rFonts w:ascii="宋体" w:hAnsi="宋体" w:cs="宋体" w:eastAsia="宋体" w:hint="default"/>
          <w:spacing w:val="-2"/>
        </w:rPr>
        <w:t>2018</w:t>
      </w:r>
      <w:r>
        <w:rPr>
          <w:spacing w:val="-2"/>
        </w:rPr>
        <w:t>年是学习贯彻党的十九大精神的开局之年，也是实施“十三五”规划进程中不平凡的一年。面对经济下行压力持续</w:t>
      </w:r>
    </w:p>
    <w:p>
      <w:pPr>
        <w:spacing w:line="364" w:lineRule="auto" w:before="29"/>
        <w:ind w:left="515" w:right="4813" w:hanging="362"/>
        <w:jc w:val="left"/>
        <w:rPr>
          <w:rFonts w:ascii="宋体" w:hAnsi="宋体" w:cs="宋体" w:eastAsia="宋体" w:hint="default"/>
          <w:sz w:val="18"/>
          <w:szCs w:val="18"/>
        </w:rPr>
      </w:pPr>
      <w:r>
        <w:rPr>
          <w:rFonts w:ascii="宋体" w:hAnsi="宋体" w:cs="宋体" w:eastAsia="宋体" w:hint="default"/>
          <w:sz w:val="18"/>
          <w:szCs w:val="18"/>
        </w:rPr>
        <w:t>加大、医药新政不断出台、药品价格大幅下降的局面，行业竞争日趋激烈。 </w:t>
      </w:r>
      <w:r>
        <w:rPr>
          <w:rFonts w:ascii="宋体" w:hAnsi="宋体" w:cs="宋体" w:eastAsia="宋体" w:hint="default"/>
          <w:b/>
          <w:bCs/>
          <w:sz w:val="18"/>
          <w:szCs w:val="18"/>
        </w:rPr>
        <w:t>(</w:t>
      </w:r>
      <w:r>
        <w:rPr>
          <w:rFonts w:ascii="宋体" w:hAnsi="宋体" w:cs="宋体" w:eastAsia="宋体" w:hint="default"/>
          <w:b/>
          <w:bCs/>
          <w:sz w:val="18"/>
          <w:szCs w:val="18"/>
        </w:rPr>
        <w:t>二</w:t>
      </w:r>
      <w:r>
        <w:rPr>
          <w:rFonts w:ascii="宋体" w:hAnsi="宋体" w:cs="宋体" w:eastAsia="宋体" w:hint="default"/>
          <w:b/>
          <w:bCs/>
          <w:sz w:val="18"/>
          <w:szCs w:val="18"/>
        </w:rPr>
        <w:t>)</w:t>
      </w:r>
      <w:r>
        <w:rPr>
          <w:rFonts w:ascii="宋体" w:hAnsi="宋体" w:cs="宋体" w:eastAsia="宋体" w:hint="default"/>
          <w:b/>
          <w:bCs/>
          <w:spacing w:val="-6"/>
          <w:sz w:val="18"/>
          <w:szCs w:val="18"/>
        </w:rPr>
        <w:t> </w:t>
      </w:r>
      <w:r>
        <w:rPr>
          <w:rFonts w:ascii="宋体" w:hAnsi="宋体" w:cs="宋体" w:eastAsia="宋体" w:hint="default"/>
          <w:b/>
          <w:bCs/>
          <w:sz w:val="18"/>
          <w:szCs w:val="18"/>
        </w:rPr>
        <w:t>报告期内公司战略及经营计划实施情况</w:t>
      </w:r>
      <w:r>
        <w:rPr>
          <w:rFonts w:ascii="宋体" w:hAnsi="宋体" w:cs="宋体" w:eastAsia="宋体" w:hint="default"/>
          <w:sz w:val="18"/>
          <w:szCs w:val="18"/>
        </w:rPr>
      </w:r>
    </w:p>
    <w:p>
      <w:pPr>
        <w:pStyle w:val="BodyText"/>
        <w:spacing w:line="364" w:lineRule="auto" w:before="29"/>
        <w:ind w:right="1032" w:firstLine="360"/>
        <w:jc w:val="left"/>
      </w:pPr>
      <w:r>
        <w:rPr/>
        <w:t>面对</w:t>
      </w:r>
      <w:r>
        <w:rPr>
          <w:rFonts w:ascii="宋体" w:hAnsi="宋体" w:cs="宋体" w:eastAsia="宋体" w:hint="default"/>
        </w:rPr>
        <w:t>2018</w:t>
      </w:r>
      <w:r>
        <w:rPr/>
        <w:t>年经济下行的压力，市场环境复杂多变，公司紧跟行业发展和市场变化，将继续坚持“诚信为本，顾客至上” </w:t>
      </w:r>
      <w:r>
        <w:rPr>
          <w:spacing w:val="-5"/>
        </w:rPr>
        <w:t>的经营理念，持续巩固国内医药折叠纸盒和药用铝管领域的领先地位，积极拓展药品说明书市场，同时公司以先进行业技术、</w:t>
      </w:r>
      <w:r>
        <w:rPr>
          <w:spacing w:val="-79"/>
        </w:rPr>
        <w:t> </w:t>
      </w:r>
      <w:r>
        <w:rPr>
          <w:spacing w:val="-79"/>
        </w:rPr>
      </w:r>
      <w:r>
        <w:rPr/>
        <w:t>工艺、管理为依托，倡导绿色环保、 清洁生产，不断丰富公司产品线。开始逐步向消费品包装领域辐射，目前业务已涵盖 乳制品、医疗器械、保健食品、精细化工、药妆及电子产品等包装领域。</w:t>
      </w:r>
    </w:p>
    <w:p>
      <w:pPr>
        <w:pStyle w:val="BodyText"/>
        <w:spacing w:line="364" w:lineRule="auto" w:before="29"/>
        <w:ind w:right="1132" w:firstLine="360"/>
        <w:jc w:val="both"/>
      </w:pPr>
      <w:r>
        <w:rPr/>
        <w:t>公司以进入资本市场为契机，结合自身优势，积极践行“互联网</w:t>
      </w:r>
      <w:r>
        <w:rPr>
          <w:rFonts w:ascii="宋体" w:hAnsi="宋体" w:cs="宋体" w:eastAsia="宋体" w:hint="default"/>
        </w:rPr>
        <w:t>+</w:t>
      </w:r>
      <w:r>
        <w:rPr/>
        <w:t>”的战略布局，报告期内，公司收购了霍尔果斯领凯 </w:t>
      </w:r>
      <w:r>
        <w:rPr>
          <w:spacing w:val="-4"/>
        </w:rPr>
        <w:t>网络科技有限公司</w:t>
      </w:r>
      <w:r>
        <w:rPr>
          <w:rFonts w:ascii="宋体" w:hAnsi="宋体" w:cs="宋体" w:eastAsia="宋体" w:hint="default"/>
          <w:spacing w:val="-4"/>
        </w:rPr>
        <w:t>70%</w:t>
      </w:r>
      <w:r>
        <w:rPr>
          <w:spacing w:val="-4"/>
        </w:rPr>
        <w:t>股权，在现有传统制造产业的基础上成功迈入互联网领域，探索传统制造业与互联网经济的优势互补，</w:t>
      </w:r>
      <w:r>
        <w:rPr>
          <w:spacing w:val="-40"/>
        </w:rPr>
        <w:t> </w:t>
      </w:r>
      <w:r>
        <w:rPr>
          <w:spacing w:val="-40"/>
        </w:rPr>
      </w:r>
      <w:r>
        <w:rPr/>
        <w:t>尝试为公司现有客户提供互联网领域的增值服务，实现了公司主业的优势互补，同时为公司带来了新的业绩增长点。</w:t>
      </w:r>
    </w:p>
    <w:p>
      <w:pPr>
        <w:spacing w:line="364" w:lineRule="auto" w:before="29"/>
        <w:ind w:left="514" w:right="7872" w:firstLine="92"/>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三</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报告期内总体经营情况</w:t>
      </w:r>
      <w:r>
        <w:rPr>
          <w:rFonts w:ascii="宋体" w:hAnsi="宋体" w:cs="宋体" w:eastAsia="宋体" w:hint="default"/>
          <w:b/>
          <w:bCs/>
          <w:w w:val="99"/>
          <w:sz w:val="18"/>
          <w:szCs w:val="18"/>
        </w:rPr>
        <w:t> </w:t>
      </w:r>
      <w:r>
        <w:rPr>
          <w:rFonts w:ascii="宋体" w:hAnsi="宋体" w:cs="宋体" w:eastAsia="宋体" w:hint="default"/>
          <w:sz w:val="18"/>
          <w:szCs w:val="18"/>
        </w:rPr>
        <w:t>报告期内，公司主要管理举措：</w:t>
      </w:r>
    </w:p>
    <w:p>
      <w:pPr>
        <w:pStyle w:val="BodyText"/>
        <w:spacing w:line="364" w:lineRule="auto" w:before="30"/>
        <w:ind w:right="940" w:firstLine="361"/>
        <w:jc w:val="left"/>
      </w:pPr>
      <w:r>
        <w:rPr>
          <w:rFonts w:ascii="宋体" w:hAnsi="宋体" w:cs="宋体" w:eastAsia="宋体" w:hint="default"/>
          <w:b/>
          <w:bCs/>
        </w:rPr>
        <w:t>1</w:t>
      </w:r>
      <w:r>
        <w:rPr>
          <w:rFonts w:ascii="宋体" w:hAnsi="宋体" w:cs="宋体" w:eastAsia="宋体" w:hint="default"/>
          <w:b/>
          <w:bCs/>
        </w:rPr>
        <w:t>、坚定信念，真抓实干。</w:t>
      </w:r>
      <w:r>
        <w:rPr>
          <w:rFonts w:ascii="宋体" w:hAnsi="宋体" w:cs="宋体" w:eastAsia="宋体" w:hint="default"/>
        </w:rPr>
        <w:t>2018</w:t>
      </w:r>
      <w:r>
        <w:rPr/>
        <w:t>年，在长生疫苗、鸿茅药酒、中兴通讯等“黑天鹅”事件，医改政策实施“</w:t>
      </w:r>
      <w:r>
        <w:rPr>
          <w:rFonts w:ascii="宋体" w:hAnsi="宋体" w:cs="宋体" w:eastAsia="宋体" w:hint="default"/>
        </w:rPr>
        <w:t>4+7</w:t>
      </w:r>
      <w:r>
        <w:rPr/>
        <w:t>”城市 </w:t>
      </w:r>
      <w:r>
        <w:rPr>
          <w:spacing w:val="-2"/>
        </w:rPr>
        <w:t>集中带量采购等诸多不稳定的市场环境影响下，公司上下砥砺奋进、以干克难，陆续实施七大技改项目，通过资源整合、扩</w:t>
      </w:r>
      <w:r>
        <w:rPr>
          <w:spacing w:val="-66"/>
        </w:rPr>
        <w:t> </w:t>
      </w:r>
      <w:r>
        <w:rPr>
          <w:spacing w:val="-66"/>
        </w:rPr>
      </w:r>
      <w:r>
        <w:rPr/>
        <w:t>大规模，消除生产瓶颈，提高工效，全年主营业务收入和利润均实现两位数增长。</w:t>
      </w:r>
    </w:p>
    <w:p>
      <w:pPr>
        <w:pStyle w:val="BodyText"/>
        <w:spacing w:line="364" w:lineRule="auto" w:before="29"/>
        <w:ind w:right="1130" w:firstLine="361"/>
        <w:jc w:val="both"/>
      </w:pPr>
      <w:r>
        <w:rPr>
          <w:rFonts w:ascii="宋体" w:hAnsi="宋体" w:cs="宋体" w:eastAsia="宋体" w:hint="default"/>
          <w:b/>
          <w:bCs/>
        </w:rPr>
        <w:t>2</w:t>
      </w:r>
      <w:r>
        <w:rPr>
          <w:rFonts w:ascii="宋体" w:hAnsi="宋体" w:cs="宋体" w:eastAsia="宋体" w:hint="default"/>
          <w:b/>
          <w:bCs/>
        </w:rPr>
        <w:t>、两化融合项目持续优化。</w:t>
      </w:r>
      <w:r>
        <w:rPr/>
        <w:t>公司通过信息化项目构建，打造公司数字化、网络化、智能化转型的信息平台，实现公司 </w:t>
      </w:r>
      <w:r>
        <w:rPr>
          <w:spacing w:val="-2"/>
        </w:rPr>
        <w:t>内部及产业上下游、跨领域生产设备与信息系统互联互通。实现了各类数据资源和制造资源的汇聚共享能力，推动全产业链</w:t>
      </w:r>
      <w:r>
        <w:rPr>
          <w:spacing w:val="-66"/>
        </w:rPr>
        <w:t> </w:t>
      </w:r>
      <w:r>
        <w:rPr>
          <w:spacing w:val="-66"/>
        </w:rPr>
      </w:r>
      <w:r>
        <w:rPr/>
        <w:t>要素整合优化。公司被工业和信息化部核定为两化融合管理体系贯标试点企业，两化融合评估水平位于全国及行业前列。</w:t>
      </w:r>
    </w:p>
    <w:p>
      <w:pPr>
        <w:pStyle w:val="BodyText"/>
        <w:spacing w:line="364" w:lineRule="auto" w:before="29"/>
        <w:ind w:right="1122" w:firstLine="361"/>
        <w:jc w:val="left"/>
      </w:pPr>
      <w:r>
        <w:rPr>
          <w:rFonts w:ascii="宋体" w:hAnsi="宋体" w:cs="宋体" w:eastAsia="宋体" w:hint="default"/>
          <w:b/>
          <w:bCs/>
        </w:rPr>
        <w:t>3</w:t>
      </w:r>
      <w:r>
        <w:rPr>
          <w:rFonts w:ascii="宋体" w:hAnsi="宋体" w:cs="宋体" w:eastAsia="宋体" w:hint="default"/>
          <w:b/>
          <w:bCs/>
        </w:rPr>
        <w:t>、企业并购迈出实质性一步。</w:t>
      </w:r>
      <w:r>
        <w:rPr/>
        <w:t>公司成功收购霍尔果斯领凯科技</w:t>
      </w:r>
      <w:r>
        <w:rPr>
          <w:rFonts w:ascii="宋体" w:hAnsi="宋体" w:cs="宋体" w:eastAsia="宋体" w:hint="default"/>
        </w:rPr>
        <w:t>70%</w:t>
      </w:r>
      <w:r>
        <w:rPr/>
        <w:t>股权。在经过立项、评估、专家论证、董事会、股 东会审议程序后，于</w:t>
      </w:r>
      <w:r>
        <w:rPr>
          <w:rFonts w:ascii="宋体" w:hAnsi="宋体" w:cs="宋体" w:eastAsia="宋体" w:hint="default"/>
        </w:rPr>
        <w:t>2018</w:t>
      </w:r>
      <w:r>
        <w:rPr/>
        <w:t>年</w:t>
      </w:r>
      <w:r>
        <w:rPr>
          <w:rFonts w:ascii="宋体" w:hAnsi="宋体" w:cs="宋体" w:eastAsia="宋体" w:hint="default"/>
        </w:rPr>
        <w:t>10</w:t>
      </w:r>
      <w:r>
        <w:rPr/>
        <w:t>月完成股权交割。本次收购，是公司结合自身优势践行“互联网</w:t>
      </w:r>
      <w:r>
        <w:rPr>
          <w:rFonts w:ascii="宋体" w:hAnsi="宋体" w:cs="宋体" w:eastAsia="宋体" w:hint="default"/>
        </w:rPr>
        <w:t>+</w:t>
      </w:r>
      <w:r>
        <w:rPr/>
        <w:t>”的战略布局，更好的为公 司品牌客户提供增值服务，实现互利共赢，有利于进一步改善公司的盈利水平，提升公司价值。</w:t>
      </w:r>
    </w:p>
    <w:p>
      <w:pPr>
        <w:pStyle w:val="BodyText"/>
        <w:spacing w:line="364" w:lineRule="auto" w:before="29"/>
        <w:ind w:right="1131" w:firstLine="361"/>
        <w:jc w:val="both"/>
      </w:pPr>
      <w:r>
        <w:rPr>
          <w:rFonts w:ascii="宋体" w:hAnsi="宋体" w:cs="宋体" w:eastAsia="宋体" w:hint="default"/>
          <w:b/>
          <w:bCs/>
        </w:rPr>
        <w:t>4</w:t>
      </w:r>
      <w:r>
        <w:rPr>
          <w:rFonts w:ascii="宋体" w:hAnsi="宋体" w:cs="宋体" w:eastAsia="宋体" w:hint="default"/>
          <w:b/>
          <w:bCs/>
        </w:rPr>
        <w:t>、实施员工持股计划。</w:t>
      </w:r>
      <w:r>
        <w:rPr/>
        <w:t>为建立和完善劳动者与所有者的利益共享机制，改善公司治理水平，提高员工的凝聚力和公司 </w:t>
      </w:r>
      <w:r>
        <w:rPr>
          <w:spacing w:val="-2"/>
        </w:rPr>
        <w:t>竞争力，吸引和保留优秀人才，促进公司长期、持续、健康发展，促进公司、股东和员工三方的利益最大化。报告期内，公</w:t>
      </w:r>
      <w:r>
        <w:rPr>
          <w:spacing w:val="-67"/>
        </w:rPr>
        <w:t> </w:t>
      </w:r>
      <w:r>
        <w:rPr>
          <w:spacing w:val="-67"/>
        </w:rPr>
      </w:r>
      <w:r>
        <w:rPr/>
        <w:t>司实施了第一期员工持股计划，参与人数</w:t>
      </w:r>
      <w:r>
        <w:rPr>
          <w:rFonts w:ascii="宋体" w:hAnsi="宋体" w:cs="宋体" w:eastAsia="宋体" w:hint="default"/>
        </w:rPr>
        <w:t>91</w:t>
      </w:r>
      <w:r>
        <w:rPr/>
        <w:t>人，主要是公司中层以上管理人员及各岗位骨干员工，金额</w:t>
      </w:r>
      <w:r>
        <w:rPr>
          <w:rFonts w:ascii="宋体" w:hAnsi="宋体" w:cs="宋体" w:eastAsia="宋体" w:hint="default"/>
        </w:rPr>
        <w:t>1750</w:t>
      </w:r>
      <w:r>
        <w:rPr/>
        <w:t>万元。</w:t>
      </w:r>
    </w:p>
    <w:p>
      <w:pPr>
        <w:pStyle w:val="BodyText"/>
        <w:spacing w:line="364" w:lineRule="auto" w:before="29"/>
        <w:ind w:right="1130" w:firstLine="361"/>
        <w:jc w:val="both"/>
      </w:pPr>
      <w:r>
        <w:rPr>
          <w:rFonts w:ascii="宋体" w:hAnsi="宋体" w:cs="宋体" w:eastAsia="宋体" w:hint="default"/>
          <w:b/>
          <w:bCs/>
        </w:rPr>
        <w:t>5</w:t>
      </w:r>
      <w:r>
        <w:rPr>
          <w:rFonts w:ascii="宋体" w:hAnsi="宋体" w:cs="宋体" w:eastAsia="宋体" w:hint="default"/>
          <w:b/>
          <w:bCs/>
        </w:rPr>
        <w:t>、持续完善内部控制体系。</w:t>
      </w:r>
      <w:r>
        <w:rPr>
          <w:rFonts w:ascii="宋体" w:hAnsi="宋体" w:cs="宋体" w:eastAsia="宋体" w:hint="default"/>
        </w:rPr>
        <w:t>2018</w:t>
      </w:r>
      <w:r>
        <w:rPr/>
        <w:t>年结合公司组织架构的变化和公司信息化项目实施对工作流程的调整，审计中心根据 </w:t>
      </w:r>
      <w:r>
        <w:rPr>
          <w:spacing w:val="-2"/>
        </w:rPr>
        <w:t>企业内部控制基本规范以及应用指引要求，通过与公司各部门的深入沟通和紧密协作，全面梳理完善了内部控制流程及风险</w:t>
      </w:r>
      <w:r>
        <w:rPr>
          <w:spacing w:val="-63"/>
        </w:rPr>
        <w:t> </w:t>
      </w:r>
      <w:r>
        <w:rPr>
          <w:spacing w:val="-63"/>
        </w:rPr>
      </w:r>
      <w:r>
        <w:rPr/>
        <w:t>矩阵，并在此基础上对公司内部控制有效性做出全面评价。</w:t>
      </w:r>
    </w:p>
    <w:p>
      <w:pPr>
        <w:spacing w:before="29"/>
        <w:ind w:left="515" w:right="940" w:firstLine="0"/>
        <w:jc w:val="left"/>
        <w:rPr>
          <w:rFonts w:ascii="宋体" w:hAnsi="宋体" w:cs="宋体" w:eastAsia="宋体" w:hint="default"/>
          <w:sz w:val="18"/>
          <w:szCs w:val="18"/>
        </w:rPr>
      </w:pPr>
      <w:r>
        <w:rPr>
          <w:rFonts w:ascii="宋体" w:hAnsi="宋体" w:cs="宋体" w:eastAsia="宋体" w:hint="default"/>
          <w:b/>
          <w:bCs/>
          <w:sz w:val="18"/>
          <w:szCs w:val="18"/>
        </w:rPr>
        <w:t>6</w:t>
      </w:r>
      <w:r>
        <w:rPr>
          <w:rFonts w:ascii="宋体" w:hAnsi="宋体" w:cs="宋体" w:eastAsia="宋体" w:hint="default"/>
          <w:b/>
          <w:bCs/>
          <w:sz w:val="18"/>
          <w:szCs w:val="18"/>
        </w:rPr>
        <w:t>、加大环保力度，积极履行社会责任。</w:t>
      </w:r>
      <w:r>
        <w:rPr>
          <w:rFonts w:ascii="宋体" w:hAnsi="宋体" w:cs="宋体" w:eastAsia="宋体" w:hint="default"/>
          <w:sz w:val="18"/>
          <w:szCs w:val="18"/>
        </w:rPr>
        <w:t>2018</w:t>
      </w:r>
      <w:r>
        <w:rPr>
          <w:rFonts w:ascii="宋体" w:hAnsi="宋体" w:cs="宋体" w:eastAsia="宋体" w:hint="default"/>
          <w:sz w:val="18"/>
          <w:szCs w:val="18"/>
        </w:rPr>
        <w:t>年，公司高度重视生态环保和防霾减排工作的重要性、紧迫性和严峻性。</w:t>
      </w:r>
    </w:p>
    <w:p>
      <w:pPr>
        <w:pStyle w:val="BodyText"/>
        <w:spacing w:line="364" w:lineRule="auto" w:before="123"/>
        <w:ind w:right="940"/>
        <w:jc w:val="left"/>
      </w:pPr>
      <w:r>
        <w:rPr>
          <w:rFonts w:ascii="宋体" w:hAnsi="宋体" w:cs="宋体" w:eastAsia="宋体" w:hint="default"/>
          <w:spacing w:val="-2"/>
        </w:rPr>
        <w:t>2018</w:t>
      </w:r>
      <w:r>
        <w:rPr>
          <w:spacing w:val="-2"/>
        </w:rPr>
        <w:t>年升级改造了</w:t>
      </w:r>
      <w:r>
        <w:rPr>
          <w:rFonts w:ascii="宋体" w:hAnsi="宋体" w:cs="宋体" w:eastAsia="宋体" w:hint="default"/>
          <w:spacing w:val="-2"/>
        </w:rPr>
        <w:t>VOCs</w:t>
      </w:r>
      <w:r>
        <w:rPr>
          <w:spacing w:val="-2"/>
        </w:rPr>
        <w:t>废气处理设备，并在西安市首批安装挥发性有机物在线监测设备。加大了环保综合治理的投入，积极</w:t>
      </w:r>
      <w:r>
        <w:rPr>
          <w:spacing w:val="-58"/>
        </w:rPr>
        <w:t> </w:t>
      </w:r>
      <w:r>
        <w:rPr>
          <w:spacing w:val="-58"/>
        </w:rPr>
      </w:r>
      <w:r>
        <w:rPr/>
        <w:t>履行社会责任。</w:t>
      </w:r>
    </w:p>
    <w:p>
      <w:pPr>
        <w:pStyle w:val="BodyText"/>
        <w:spacing w:line="364" w:lineRule="auto" w:before="29"/>
        <w:ind w:right="1042" w:firstLine="361"/>
        <w:jc w:val="both"/>
      </w:pPr>
      <w:r>
        <w:rPr>
          <w:rFonts w:ascii="宋体" w:hAnsi="宋体" w:cs="宋体" w:eastAsia="宋体" w:hint="default"/>
          <w:b/>
          <w:bCs/>
        </w:rPr>
        <w:t>7</w:t>
      </w:r>
      <w:r>
        <w:rPr>
          <w:rFonts w:ascii="宋体" w:hAnsi="宋体" w:cs="宋体" w:eastAsia="宋体" w:hint="default"/>
          <w:b/>
          <w:bCs/>
        </w:rPr>
        <w:t>、加强党的建设，从严治党全面落实。</w:t>
      </w:r>
      <w:r>
        <w:rPr/>
        <w:t>坚持加强思想政治建设，将学习贯彻习近平新时代中国特色社会主义思想和党 的十九大精神作为环球印务党的思想建设的着力点，扎实推进“两学一做”学习教育常态化制度化，严格落实“三重一大”</w:t>
      </w:r>
    </w:p>
    <w:p>
      <w:pPr>
        <w:spacing w:after="0" w:line="364" w:lineRule="auto"/>
        <w:jc w:val="both"/>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7"/>
        <w:ind w:right="940"/>
        <w:jc w:val="left"/>
      </w:pPr>
      <w:r>
        <w:rPr/>
        <w:t>事项集体研究决策制度，不断引导党员干部增强“四个意识”，坚定“四个自信”，做到“两个坚决维护”。</w:t>
      </w:r>
    </w:p>
    <w:p>
      <w:pPr>
        <w:spacing w:line="240" w:lineRule="auto" w:before="13"/>
        <w:rPr>
          <w:rFonts w:ascii="宋体" w:hAnsi="宋体" w:cs="宋体" w:eastAsia="宋体" w:hint="default"/>
          <w:sz w:val="26"/>
          <w:szCs w:val="26"/>
        </w:rPr>
      </w:pPr>
    </w:p>
    <w:p>
      <w:pPr>
        <w:pStyle w:val="Heading2"/>
        <w:spacing w:line="240" w:lineRule="auto"/>
        <w:ind w:right="940"/>
        <w:jc w:val="left"/>
        <w:rPr>
          <w:b w:val="0"/>
          <w:bCs w:val="0"/>
        </w:rPr>
      </w:pPr>
      <w:bookmarkStart w:name="二、主营业务分析" w:id="26"/>
      <w:bookmarkEnd w:id="26"/>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94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555,124,332.86</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438,211,497.30</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26.68%</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造纸及纸制品业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492,896,179.93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435,377,478.53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99.35%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13.21%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移动互联网广告</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59,424,335.50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2,803,817.43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2,834,018.77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0.65%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医药及其他纸盒</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415,039,490.84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74.77%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384,237,260.60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87.68%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酒类食品彩盒</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16,875,876.09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15,784,117.04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3.60%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瓦楞纸箱</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60,980,813.00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35,356,100.89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8.07%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72.48%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移动互联网广告</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59,424,335.50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废纸销售及房屋租 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2,803,817.43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2,834,018.77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0.65%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169,484,527.71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30.53%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141,590,843.16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32.31%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19.70%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59,333,418.40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46,523,566.18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10.62%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27.53%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69,733,693.26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60,639,174.26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13.84%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76,422,368.95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13.77%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41,423,358.59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9.45%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84.49%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41,435,226.83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33,227,154.41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7.58%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24.70%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121,367,591.97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21.86%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102,182,404.46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23.32%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18.78%</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17,347,505.74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12,624,996.24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2.88%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37.41%</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51" w:footer="979" w:top="1500" w:bottom="1160" w:left="980" w:right="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580" w:bottom="700" w:left="980" w:right="0"/>
          <w:cols w:num="2" w:equalWidth="0">
            <w:col w:w="3215" w:space="570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造纸及纸制品业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492,896,179.93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391,148,845.49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移动互联网广告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59,424,335.50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48,765,508.65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医药及其他纸盒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415,039,490.84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310,060,162.19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瓦楞纸箱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60,980,813.00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56,988,967.65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移动互联网广告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59,424,335.50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48,765,508.65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169,484,527.71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135,172,814.92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59,333,418.40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48,651,577.37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69,733,693.26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54,997,604.18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76,422,368.95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60,397,305.22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121,367,591.97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94,123,797.47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r>
    </w:tbl>
    <w:p>
      <w:pPr>
        <w:pStyle w:val="BodyText"/>
        <w:spacing w:line="240" w:lineRule="auto" w:before="51"/>
        <w:ind w:right="94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医药及其他纸盒</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398,178.5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363,405.97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9.57%</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402,468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362,042.83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11.17%</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13,183.06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8,893.56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48.23%</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酒类食品彩盒</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227.64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-11.05%</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242.91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-17.94%</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-6.63%</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瓦楞纸箱</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47.62%</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52.07%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608"/>
        <w:gridCol w:w="1582"/>
        <w:gridCol w:w="1595"/>
        <w:gridCol w:w="1594"/>
        <w:gridCol w:w="1594"/>
        <w:gridCol w:w="1597"/>
      </w:tblGrid>
      <w:tr>
        <w:trPr>
          <w:trHeight w:val="414" w:hRule="exact"/>
        </w:trPr>
        <w:tc>
          <w:tcPr>
            <w:tcW w:w="1608" w:type="dxa"/>
            <w:tcBorders>
              <w:top w:val="single" w:sz="10" w:space="0" w:color="000000"/>
              <w:left w:val="single" w:sz="4" w:space="0" w:color="000000"/>
              <w:bottom w:val="single" w:sz="4" w:space="0" w:color="000000"/>
              <w:right w:val="single" w:sz="13" w:space="0" w:color="D2D2D2"/>
            </w:tcBorders>
          </w:tcPr>
          <w:p>
            <w:pPr/>
          </w:p>
        </w:tc>
        <w:tc>
          <w:tcPr>
            <w:tcW w:w="158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万平方米</w:t>
            </w:r>
          </w:p>
        </w:tc>
        <w:tc>
          <w:tcPr>
            <w:tcW w:w="15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277.89</w:t>
            </w:r>
          </w:p>
        </w:tc>
        <w:tc>
          <w:tcPr>
            <w:tcW w:w="15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178.89</w:t>
            </w:r>
          </w:p>
        </w:tc>
        <w:tc>
          <w:tcPr>
            <w:tcW w:w="159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1007" w:right="0"/>
              <w:jc w:val="left"/>
              <w:rPr>
                <w:rFonts w:ascii="Times New Roman" w:hAnsi="Times New Roman" w:cs="Times New Roman" w:eastAsia="Times New Roman" w:hint="default"/>
                <w:sz w:val="18"/>
                <w:szCs w:val="18"/>
              </w:rPr>
            </w:pPr>
            <w:r>
              <w:rPr>
                <w:rFonts w:ascii="Times New Roman"/>
                <w:sz w:val="18"/>
              </w:rPr>
              <w:t>55.34%</w:t>
            </w:r>
          </w:p>
        </w:tc>
      </w:tr>
    </w:tbl>
    <w:p>
      <w:pPr>
        <w:pStyle w:val="BodyText"/>
        <w:spacing w:line="240" w:lineRule="auto" w:before="51"/>
        <w:ind w:left="114" w:right="136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60" w:lineRule="auto" w:before="103"/>
        <w:ind w:left="474" w:right="103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3"/>
        </w:rPr>
        <w:t>医药及其他纸盒库存量增长</w:t>
      </w:r>
      <w:r>
        <w:rPr>
          <w:rFonts w:ascii="宋体" w:hAnsi="宋体" w:cs="宋体" w:eastAsia="宋体" w:hint="default"/>
          <w:spacing w:val="-3"/>
        </w:rPr>
        <w:t>48.23%</w:t>
      </w:r>
      <w:r>
        <w:rPr>
          <w:spacing w:val="-3"/>
        </w:rPr>
        <w:t>的主要原因为应客户要求备货。瓦楞纸箱业务销售量增长</w:t>
      </w:r>
      <w:r>
        <w:rPr>
          <w:rFonts w:ascii="宋体" w:hAnsi="宋体" w:cs="宋体" w:eastAsia="宋体" w:hint="default"/>
          <w:spacing w:val="-3"/>
        </w:rPr>
        <w:t>47.62%</w:t>
      </w:r>
      <w:r>
        <w:rPr>
          <w:spacing w:val="-3"/>
        </w:rPr>
        <w:t>、生产量增长</w:t>
      </w:r>
      <w:r>
        <w:rPr>
          <w:rFonts w:ascii="宋体" w:hAnsi="宋体" w:cs="宋体" w:eastAsia="宋体" w:hint="default"/>
          <w:spacing w:val="-3"/>
        </w:rPr>
        <w:t>52.07%</w:t>
      </w:r>
      <w:r>
        <w:rPr>
          <w:spacing w:val="-3"/>
        </w:rPr>
        <w:t>，</w:t>
      </w:r>
    </w:p>
    <w:p>
      <w:pPr>
        <w:pStyle w:val="BodyText"/>
        <w:spacing w:line="240" w:lineRule="auto" w:before="34"/>
        <w:ind w:left="114" w:right="1360"/>
        <w:jc w:val="left"/>
      </w:pPr>
      <w:r>
        <w:rPr/>
        <w:t>库存量增长</w:t>
      </w:r>
      <w:r>
        <w:rPr>
          <w:rFonts w:ascii="宋体" w:hAnsi="宋体" w:cs="宋体" w:eastAsia="宋体" w:hint="default"/>
        </w:rPr>
        <w:t>55.34%</w:t>
      </w:r>
      <w:r>
        <w:rPr/>
        <w:t>，主要原因为报告期内销售订单增加所致。</w:t>
      </w:r>
    </w:p>
    <w:p>
      <w:pPr>
        <w:spacing w:line="240" w:lineRule="auto" w:before="0"/>
        <w:rPr>
          <w:rFonts w:ascii="宋体" w:hAnsi="宋体" w:cs="宋体" w:eastAsia="宋体" w:hint="default"/>
          <w:sz w:val="18"/>
          <w:szCs w:val="18"/>
        </w:rPr>
      </w:pPr>
    </w:p>
    <w:p>
      <w:pPr>
        <w:pStyle w:val="Heading4"/>
        <w:spacing w:line="240" w:lineRule="auto" w:before="138"/>
        <w:ind w:left="114" w:right="136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4" w:right="136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4" w:right="1360"/>
        <w:jc w:val="left"/>
      </w:pPr>
      <w:r>
        <w:rPr/>
        <w:t>行业和产品分类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造纸及纸制品业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271,501,427.87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241,643,909.27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造纸及纸制品业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46,258,585.41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46,646,389.77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移动互联网广告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48,765,508.65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医药及其他纸盒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212,796,069.00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205,251,981.65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医药及其他纸盒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37,461,536.56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40,018,108.35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酒类食品彩盒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16,387,472.91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8,003,490.58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104.75%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酒类食品彩盒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4,332,215.00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3,468,904.03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瓦楞纸箱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42,317,885.96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23,575,490.04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瓦楞纸箱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4,464,833.85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3,159,377.39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移动互联网广告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48,765,508.65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4" w:right="136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64" w:lineRule="auto" w:before="125"/>
        <w:ind w:left="114" w:right="1212" w:firstLine="360"/>
        <w:jc w:val="left"/>
      </w:pPr>
      <w:r>
        <w:rPr/>
        <w:t>报告期收购了领凯网络科技</w:t>
      </w:r>
      <w:r>
        <w:rPr>
          <w:rFonts w:ascii="宋体" w:hAnsi="宋体" w:cs="宋体" w:eastAsia="宋体" w:hint="default"/>
        </w:rPr>
        <w:t>70%</w:t>
      </w:r>
      <w:r>
        <w:rPr/>
        <w:t>股权，并将其于</w:t>
      </w:r>
      <w:r>
        <w:rPr>
          <w:rFonts w:ascii="宋体" w:hAnsi="宋体" w:cs="宋体" w:eastAsia="宋体" w:hint="default"/>
        </w:rPr>
        <w:t>2018</w:t>
      </w:r>
      <w:r>
        <w:rPr/>
        <w:t>年</w:t>
      </w:r>
      <w:r>
        <w:rPr>
          <w:rFonts w:ascii="宋体" w:hAnsi="宋体" w:cs="宋体" w:eastAsia="宋体" w:hint="default"/>
        </w:rPr>
        <w:t>10</w:t>
      </w:r>
      <w:r>
        <w:rPr/>
        <w:t>月纳入合并范围。</w:t>
      </w:r>
      <w:r>
        <w:rPr>
          <w:rFonts w:ascii="宋体" w:hAnsi="宋体" w:cs="宋体" w:eastAsia="宋体" w:hint="default"/>
        </w:rPr>
        <w:t>2018</w:t>
      </w:r>
      <w:r>
        <w:rPr/>
        <w:t>年</w:t>
      </w:r>
      <w:r>
        <w:rPr>
          <w:rFonts w:ascii="宋体" w:hAnsi="宋体" w:cs="宋体" w:eastAsia="宋体" w:hint="default"/>
        </w:rPr>
        <w:t>10-12</w:t>
      </w:r>
      <w:r>
        <w:rPr/>
        <w:t>月，领凯网络科技实现净利润 </w:t>
      </w:r>
      <w:r>
        <w:rPr>
          <w:rFonts w:ascii="宋体" w:hAnsi="宋体" w:cs="宋体" w:eastAsia="宋体" w:hint="default"/>
        </w:rPr>
        <w:t>779.08</w:t>
      </w:r>
      <w:r>
        <w:rPr/>
        <w:t>万元，实现归属于上市公司股东的净利润</w:t>
      </w:r>
      <w:r>
        <w:rPr>
          <w:rFonts w:ascii="宋体" w:hAnsi="宋体" w:cs="宋体" w:eastAsia="宋体" w:hint="default"/>
        </w:rPr>
        <w:t>545.35</w:t>
      </w:r>
      <w:r>
        <w:rPr/>
        <w:t>万元，占公司合并归属于上市公司股东净利润的</w:t>
      </w:r>
      <w:r>
        <w:rPr>
          <w:rFonts w:ascii="宋体" w:hAnsi="宋体" w:cs="宋体" w:eastAsia="宋体" w:hint="default"/>
        </w:rPr>
        <w:t>19.40%</w:t>
      </w:r>
      <w:r>
        <w:rPr/>
        <w:t>。</w:t>
      </w:r>
    </w:p>
    <w:p>
      <w:pPr>
        <w:spacing w:after="0" w:line="364" w:lineRule="auto"/>
        <w:jc w:val="left"/>
        <w:sectPr>
          <w:pgSz w:w="11910" w:h="16840"/>
          <w:pgMar w:header="851" w:footer="979" w:top="1500" w:bottom="1160" w:left="102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both"/>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8"/>
          <w:szCs w:val="28"/>
        </w:rPr>
      </w:pPr>
    </w:p>
    <w:p>
      <w:pPr>
        <w:pStyle w:val="BodyText"/>
        <w:spacing w:line="384" w:lineRule="auto"/>
        <w:ind w:left="514" w:right="94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报告期，公司实现营业收入</w:t>
      </w:r>
      <w:r>
        <w:rPr>
          <w:rFonts w:ascii="Times New Roman" w:hAnsi="Times New Roman" w:cs="Times New Roman" w:eastAsia="Times New Roman" w:hint="default"/>
          <w:spacing w:val="-1"/>
        </w:rPr>
        <w:t>55,512.43</w:t>
      </w:r>
      <w:r>
        <w:rPr>
          <w:spacing w:val="-1"/>
        </w:rPr>
        <w:t>万元，同比增长</w:t>
      </w:r>
      <w:r>
        <w:rPr>
          <w:rFonts w:ascii="Times New Roman" w:hAnsi="Times New Roman" w:cs="Times New Roman" w:eastAsia="Times New Roman" w:hint="default"/>
          <w:spacing w:val="-1"/>
        </w:rPr>
        <w:t>26.68%</w:t>
      </w:r>
      <w:r>
        <w:rPr>
          <w:spacing w:val="-1"/>
        </w:rPr>
        <w:t>，实现归属于上市公司股东的净利润</w:t>
      </w:r>
      <w:r>
        <w:rPr>
          <w:rFonts w:ascii="Times New Roman" w:hAnsi="Times New Roman" w:cs="Times New Roman" w:eastAsia="Times New Roman" w:hint="default"/>
          <w:spacing w:val="-1"/>
        </w:rPr>
        <w:t>2,811.23</w:t>
      </w:r>
      <w:r>
        <w:rPr>
          <w:spacing w:val="-1"/>
        </w:rPr>
        <w:t>万元，同比增</w:t>
      </w:r>
    </w:p>
    <w:p>
      <w:pPr>
        <w:pStyle w:val="BodyText"/>
        <w:spacing w:line="345" w:lineRule="auto"/>
        <w:ind w:right="1132"/>
        <w:jc w:val="both"/>
      </w:pPr>
      <w:r>
        <w:rPr>
          <w:spacing w:val="-1"/>
        </w:rPr>
        <w:t>长</w:t>
      </w:r>
      <w:r>
        <w:rPr>
          <w:rFonts w:ascii="Times New Roman" w:hAnsi="Times New Roman" w:cs="Times New Roman" w:eastAsia="Times New Roman" w:hint="default"/>
          <w:spacing w:val="-1"/>
        </w:rPr>
        <w:t>24.34%</w:t>
      </w:r>
      <w:r>
        <w:rPr>
          <w:spacing w:val="-1"/>
        </w:rPr>
        <w:t>，实现归属于上市公司股东的扣除非经常性损益的净利润</w:t>
      </w:r>
      <w:r>
        <w:rPr>
          <w:rFonts w:ascii="Times New Roman" w:hAnsi="Times New Roman" w:cs="Times New Roman" w:eastAsia="Times New Roman" w:hint="default"/>
          <w:spacing w:val="-1"/>
        </w:rPr>
        <w:t>2,744.38</w:t>
      </w:r>
      <w:r>
        <w:rPr>
          <w:spacing w:val="-1"/>
        </w:rPr>
        <w:t>万元，同比增长</w:t>
      </w:r>
      <w:r>
        <w:rPr>
          <w:rFonts w:ascii="Times New Roman" w:hAnsi="Times New Roman" w:cs="Times New Roman" w:eastAsia="Times New Roman" w:hint="default"/>
          <w:spacing w:val="-1"/>
        </w:rPr>
        <w:t>30.13%</w:t>
      </w:r>
      <w:r>
        <w:rPr>
          <w:spacing w:val="-1"/>
        </w:rPr>
        <w:t>，主要系报告期公司收购</w:t>
      </w:r>
      <w:r>
        <w:rPr>
          <w:spacing w:val="-56"/>
        </w:rPr>
        <w:t> </w:t>
      </w:r>
      <w:r>
        <w:rPr>
          <w:spacing w:val="-56"/>
        </w:rPr>
      </w:r>
      <w:r>
        <w:rPr/>
        <w:t>了领凯网络科技</w:t>
      </w:r>
      <w:r>
        <w:rPr>
          <w:rFonts w:ascii="Times New Roman" w:hAnsi="Times New Roman" w:cs="Times New Roman" w:eastAsia="Times New Roman" w:hint="default"/>
        </w:rPr>
        <w:t>70%</w:t>
      </w:r>
      <w:r>
        <w:rPr/>
        <w:t>股权，并于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月起纳入合并报表范围，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10-12</w:t>
      </w:r>
      <w:r>
        <w:rPr/>
        <w:t>月，</w:t>
      </w:r>
      <w:r>
        <w:rPr>
          <w:spacing w:val="-2"/>
        </w:rPr>
        <w:t> </w:t>
      </w:r>
      <w:r>
        <w:rPr/>
        <w:t>领凯网络科技实现净利润</w:t>
      </w:r>
      <w:r>
        <w:rPr>
          <w:rFonts w:ascii="Times New Roman" w:hAnsi="Times New Roman" w:cs="Times New Roman" w:eastAsia="Times New Roman" w:hint="default"/>
        </w:rPr>
        <w:t>779.08</w:t>
      </w:r>
      <w:r>
        <w:rPr/>
        <w:t>万元， 实现归属于上市公司股东的净利润</w:t>
      </w:r>
      <w:r>
        <w:rPr>
          <w:rFonts w:ascii="Times New Roman" w:hAnsi="Times New Roman" w:cs="Times New Roman" w:eastAsia="Times New Roman" w:hint="default"/>
        </w:rPr>
        <w:t>545.35</w:t>
      </w:r>
      <w:r>
        <w:rPr/>
        <w:t>万元，占公司合并归属于上市公司股东净利润的</w:t>
      </w:r>
      <w:r>
        <w:rPr>
          <w:rFonts w:ascii="Times New Roman" w:hAnsi="Times New Roman" w:cs="Times New Roman" w:eastAsia="Times New Roman" w:hint="default"/>
        </w:rPr>
        <w:t>19.40%</w:t>
      </w:r>
      <w:r>
        <w:rPr/>
        <w:t>。</w:t>
      </w:r>
    </w:p>
    <w:p>
      <w:pPr>
        <w:spacing w:line="240" w:lineRule="auto" w:before="0"/>
        <w:rPr>
          <w:rFonts w:ascii="宋体" w:hAnsi="宋体" w:cs="宋体" w:eastAsia="宋体" w:hint="default"/>
          <w:sz w:val="21"/>
          <w:szCs w:val="21"/>
        </w:rPr>
      </w:pPr>
    </w:p>
    <w:p>
      <w:pPr>
        <w:pStyle w:val="Heading4"/>
        <w:spacing w:line="240" w:lineRule="auto"/>
        <w:ind w:right="0"/>
        <w:jc w:val="both"/>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189,750,682.58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34.18%</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4.28%</w:t>
            </w:r>
          </w:p>
        </w:tc>
      </w:tr>
    </w:tbl>
    <w:p>
      <w:pPr>
        <w:pStyle w:val="BodyText"/>
        <w:spacing w:line="240" w:lineRule="auto" w:before="51"/>
        <w:ind w:right="94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60,218,270.78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45,711,932.15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32,074,053.10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26,029,196.72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25,717,229.83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4.63%</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189,750,682.58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34.18%</w:t>
            </w:r>
          </w:p>
        </w:tc>
      </w:tr>
    </w:tbl>
    <w:p>
      <w:pPr>
        <w:pStyle w:val="BodyText"/>
        <w:spacing w:line="240" w:lineRule="auto" w:before="51"/>
        <w:ind w:right="940"/>
        <w:jc w:val="left"/>
      </w:pPr>
      <w:r>
        <w:rPr/>
        <w:t>主要客户其他情况说明</w:t>
      </w:r>
    </w:p>
    <w:p>
      <w:pPr>
        <w:pStyle w:val="BodyText"/>
        <w:spacing w:line="340" w:lineRule="auto" w:before="116"/>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169,699,765.05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42.02%</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94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61,378,740.93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50,787,610.59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23,052,020.46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500" w:bottom="1160" w:left="980" w:right="0"/>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912"/>
        <w:gridCol w:w="3180"/>
        <w:gridCol w:w="2322"/>
        <w:gridCol w:w="3143"/>
      </w:tblGrid>
      <w:tr>
        <w:trPr>
          <w:trHeight w:val="414" w:hRule="exact"/>
        </w:trPr>
        <w:tc>
          <w:tcPr>
            <w:tcW w:w="91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10"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16,101,393.07</w:t>
            </w:r>
          </w:p>
        </w:tc>
        <w:tc>
          <w:tcPr>
            <w:tcW w:w="314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3.99%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169,699,765.05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42.02%</w:t>
            </w:r>
          </w:p>
        </w:tc>
      </w:tr>
    </w:tbl>
    <w:p>
      <w:pPr>
        <w:pStyle w:val="BodyText"/>
        <w:spacing w:line="240" w:lineRule="auto" w:before="51"/>
        <w:ind w:left="114" w:right="1360"/>
        <w:jc w:val="left"/>
      </w:pPr>
      <w:r>
        <w:rPr/>
        <w:t>主要供应商其他情况说明</w:t>
      </w:r>
    </w:p>
    <w:p>
      <w:pPr>
        <w:pStyle w:val="BodyText"/>
        <w:spacing w:line="240" w:lineRule="auto" w:before="117"/>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4" w:right="136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30,806,363.88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29,137,507.28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23,329,108.21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20,765,985.96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8,415,655.88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2,700,887.60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211.59%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报告期公司借款增加</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16,112,860.63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7,399,093.46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9"/>
              <w:jc w:val="right"/>
              <w:rPr>
                <w:rFonts w:ascii="Times New Roman" w:hAnsi="Times New Roman" w:cs="Times New Roman" w:eastAsia="Times New Roman" w:hint="default"/>
                <w:sz w:val="18"/>
                <w:szCs w:val="18"/>
              </w:rPr>
            </w:pPr>
            <w:r>
              <w:rPr>
                <w:rFonts w:ascii="Times New Roman"/>
                <w:spacing w:val="-2"/>
                <w:sz w:val="18"/>
              </w:rPr>
              <w:t>117.77%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报告期研发项目增加，研发投入增长</w:t>
            </w:r>
          </w:p>
        </w:tc>
      </w:tr>
    </w:tbl>
    <w:p>
      <w:pPr>
        <w:spacing w:line="240" w:lineRule="auto" w:before="2"/>
        <w:rPr>
          <w:rFonts w:ascii="宋体" w:hAnsi="宋体" w:cs="宋体" w:eastAsia="宋体" w:hint="default"/>
          <w:sz w:val="19"/>
          <w:szCs w:val="19"/>
        </w:rPr>
      </w:pPr>
    </w:p>
    <w:p>
      <w:pPr>
        <w:pStyle w:val="Heading4"/>
        <w:spacing w:line="240" w:lineRule="auto" w:before="35"/>
        <w:ind w:left="114" w:right="136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64" w:lineRule="auto" w:before="125"/>
        <w:ind w:left="114" w:right="1132" w:firstLine="450"/>
        <w:jc w:val="both"/>
      </w:pPr>
      <w:r>
        <w:rPr/>
        <w:t>公司坚持以市场为导向，在绿色环保的基础上，积极推进产品研发和技术创新工作。报告期内，公司研发投入主要围 </w:t>
      </w:r>
      <w:r>
        <w:rPr>
          <w:spacing w:val="-2"/>
        </w:rPr>
        <w:t>绕主营业务医药包装产品、消费品及其它包装产品，尤其在患者用药安全保护的智能包装产品等领域的研发创新上处于行业</w:t>
      </w:r>
      <w:r>
        <w:rPr>
          <w:spacing w:val="-64"/>
        </w:rPr>
        <w:t> </w:t>
      </w:r>
      <w:r>
        <w:rPr>
          <w:spacing w:val="-64"/>
        </w:rPr>
      </w:r>
      <w:r>
        <w:rPr/>
        <w:t>领先地位。同时公司借助资本市场，积极布局移动互联网，研发创新“互联网</w:t>
      </w:r>
      <w:r>
        <w:rPr>
          <w:rFonts w:ascii="宋体" w:hAnsi="宋体" w:cs="宋体" w:eastAsia="宋体" w:hint="default"/>
        </w:rPr>
        <w:t>+</w:t>
      </w:r>
      <w:r>
        <w:rPr/>
        <w:t>”与公司主营业务融合的产品和服务。</w:t>
      </w:r>
    </w:p>
    <w:p>
      <w:pPr>
        <w:pStyle w:val="BodyText"/>
        <w:spacing w:line="364" w:lineRule="auto" w:before="29"/>
        <w:ind w:left="114" w:right="1131" w:firstLine="360"/>
        <w:jc w:val="both"/>
      </w:pPr>
      <w:r>
        <w:rPr/>
        <w:t>（</w:t>
      </w:r>
      <w:r>
        <w:rPr>
          <w:rFonts w:ascii="宋体" w:hAnsi="宋体" w:cs="宋体" w:eastAsia="宋体" w:hint="default"/>
        </w:rPr>
        <w:t>1</w:t>
      </w:r>
      <w:r>
        <w:rPr/>
        <w:t>）在医药外包装方面，公司在防伪和溯源技术领域保持着领先性和竞争力。公司实施了基于患者关怀的智能包装盒 </w:t>
      </w:r>
      <w:r>
        <w:rPr>
          <w:spacing w:val="-2"/>
        </w:rPr>
        <w:t>研发项目、替代塑料内托及提高药企效率的纸质盒托一体环保包装盒研发项目、药企品牌保护及患者用药安全保护等一系列</w:t>
      </w:r>
      <w:r>
        <w:rPr>
          <w:spacing w:val="-64"/>
        </w:rPr>
        <w:t> </w:t>
      </w:r>
      <w:r>
        <w:rPr>
          <w:spacing w:val="-64"/>
        </w:rPr>
      </w:r>
      <w:r>
        <w:rPr>
          <w:spacing w:val="-2"/>
        </w:rPr>
        <w:t>防伪纸盒研发项目；根据不同药品使用特点和功能需求进行结构设计创新，并积极应用环保经济的新材料新工艺，例如防窃</w:t>
      </w:r>
      <w:r>
        <w:rPr>
          <w:spacing w:val="-66"/>
        </w:rPr>
        <w:t> </w:t>
      </w:r>
      <w:r>
        <w:rPr>
          <w:spacing w:val="-66"/>
        </w:rPr>
      </w:r>
      <w:r>
        <w:rPr>
          <w:spacing w:val="-2"/>
        </w:rPr>
        <w:t>启药用包装盒、儿童安全用药保护包装盒、针剂类药品防震包装盒等多项新研发项目已被部分客户应用；利用自身技术和研</w:t>
      </w:r>
      <w:r>
        <w:rPr>
          <w:spacing w:val="-66"/>
        </w:rPr>
        <w:t> </w:t>
      </w:r>
      <w:r>
        <w:rPr>
          <w:spacing w:val="-66"/>
        </w:rPr>
      </w:r>
      <w:r>
        <w:rPr>
          <w:spacing w:val="-5"/>
        </w:rPr>
        <w:t>发优势，给药企的包装纸盒防伪方案中部分应用或组合应用了高聚物防伪、全息定位烫防伪、三维激光防伪、光化浮雕防伪、</w:t>
      </w:r>
      <w:r>
        <w:rPr>
          <w:spacing w:val="-82"/>
        </w:rPr>
        <w:t> </w:t>
      </w:r>
      <w:r>
        <w:rPr>
          <w:spacing w:val="-82"/>
        </w:rPr>
      </w:r>
      <w:r>
        <w:rPr>
          <w:spacing w:val="-2"/>
        </w:rPr>
        <w:t>重离子微孔防伪、核径迹防伪等防伪技术，同时又领先研发掌握了定向散点防伪技术、特效光油防伪技术、无色潜影防伪技</w:t>
      </w:r>
      <w:r>
        <w:rPr>
          <w:spacing w:val="-66"/>
        </w:rPr>
        <w:t> </w:t>
      </w:r>
      <w:r>
        <w:rPr>
          <w:spacing w:val="-66"/>
        </w:rPr>
      </w:r>
      <w:r>
        <w:rPr/>
        <w:t>术等新技术。</w:t>
      </w:r>
      <w:r>
        <w:rPr>
          <w:rFonts w:ascii="宋体" w:hAnsi="宋体" w:cs="宋体" w:eastAsia="宋体" w:hint="default"/>
        </w:rPr>
        <w:t>2018</w:t>
      </w:r>
      <w:r>
        <w:rPr/>
        <w:t>年，公司针对药品溯源要求，研发了符合</w:t>
      </w:r>
      <w:r>
        <w:rPr>
          <w:rFonts w:ascii="宋体" w:hAnsi="宋体" w:cs="宋体" w:eastAsia="宋体" w:hint="default"/>
        </w:rPr>
        <w:t>GS1</w:t>
      </w:r>
      <w:r>
        <w:rPr/>
        <w:t>标准的</w:t>
      </w:r>
      <w:r>
        <w:rPr>
          <w:rFonts w:ascii="宋体" w:hAnsi="宋体" w:cs="宋体" w:eastAsia="宋体" w:hint="default"/>
        </w:rPr>
        <w:t>DM</w:t>
      </w:r>
      <w:r>
        <w:rPr/>
        <w:t>可变码技术，并已投入使用。</w:t>
      </w:r>
    </w:p>
    <w:p>
      <w:pPr>
        <w:pStyle w:val="BodyText"/>
        <w:spacing w:line="364" w:lineRule="auto" w:before="29"/>
        <w:ind w:left="114" w:right="1132" w:firstLine="360"/>
        <w:jc w:val="both"/>
      </w:pPr>
      <w:r>
        <w:rPr>
          <w:spacing w:val="-2"/>
        </w:rPr>
        <w:t>在医药内包材研发方面，建立了一流的软质铝管测试实验室，紧紧围绕医药及精细化工市场需求，瞄准国际先进软管包</w:t>
      </w:r>
      <w:r>
        <w:rPr/>
        <w:t> </w:t>
      </w:r>
      <w:r>
        <w:rPr>
          <w:spacing w:val="-2"/>
        </w:rPr>
        <w:t>装材料发展的前沿，以材料应用和内保护层为主线，在材料的设计合成、实验制备、性能评估及稳定性试验等层面，通过多</w:t>
      </w:r>
      <w:r>
        <w:rPr>
          <w:spacing w:val="-66"/>
        </w:rPr>
        <w:t> </w:t>
      </w:r>
      <w:r>
        <w:rPr>
          <w:spacing w:val="-66"/>
        </w:rPr>
      </w:r>
      <w:r>
        <w:rPr>
          <w:spacing w:val="-2"/>
        </w:rPr>
        <w:t>学科多维度的高度交叉融合，将产品研究开发和大规模生产应用二者有机结合，使医药及精细化工软质铝管包装在新产品开</w:t>
      </w:r>
      <w:r>
        <w:rPr>
          <w:spacing w:val="-64"/>
        </w:rPr>
        <w:t> </w:t>
      </w:r>
      <w:r>
        <w:rPr>
          <w:spacing w:val="-64"/>
        </w:rPr>
      </w:r>
      <w:r>
        <w:rPr/>
        <w:t>发和推广方面紧追世界先进水平，并进入了以欧莱雅为代表的精细化工领域。</w:t>
      </w:r>
    </w:p>
    <w:p>
      <w:pPr>
        <w:pStyle w:val="BodyText"/>
        <w:spacing w:line="364" w:lineRule="auto" w:before="29"/>
        <w:ind w:left="114" w:right="1130" w:firstLine="360"/>
        <w:jc w:val="both"/>
      </w:pPr>
      <w:r>
        <w:rPr/>
        <w:t>（</w:t>
      </w:r>
      <w:r>
        <w:rPr>
          <w:rFonts w:ascii="宋体" w:hAnsi="宋体" w:cs="宋体" w:eastAsia="宋体" w:hint="default"/>
        </w:rPr>
        <w:t>2</w:t>
      </w:r>
      <w:r>
        <w:rPr/>
        <w:t>）在消费品及其它包装方面，针对该领域对包装要求外观新颖、结构个性、以包装吸引终端消费者眼球的特点，公 </w:t>
      </w:r>
      <w:r>
        <w:rPr>
          <w:spacing w:val="-2"/>
        </w:rPr>
        <w:t>司积极引进、试验和研发应用环保、轻量化、新颖独特的新材料新技术，并积极应用新工艺、新材料，使其达到特殊的视觉</w:t>
      </w:r>
      <w:r>
        <w:rPr>
          <w:spacing w:val="-68"/>
        </w:rPr>
        <w:t> </w:t>
      </w:r>
      <w:r>
        <w:rPr>
          <w:spacing w:val="-68"/>
        </w:rPr>
      </w:r>
      <w:r>
        <w:rPr>
          <w:spacing w:val="-2"/>
        </w:rPr>
        <w:t>效果，以起到美观、保护、防伪等功能。现已在消费品及其它包装领域赢得客户的信赖，为公司进一步扩大该领域市场积累</w:t>
      </w:r>
      <w:r>
        <w:rPr>
          <w:spacing w:val="-66"/>
        </w:rPr>
        <w:t> </w:t>
      </w:r>
      <w:r>
        <w:rPr>
          <w:spacing w:val="-66"/>
        </w:rPr>
      </w:r>
      <w:r>
        <w:rPr/>
        <w:t>了技术储备。</w:t>
      </w:r>
    </w:p>
    <w:p>
      <w:pPr>
        <w:pStyle w:val="BodyText"/>
        <w:spacing w:line="364" w:lineRule="auto" w:before="30"/>
        <w:ind w:left="114" w:right="1130" w:firstLine="360"/>
        <w:jc w:val="both"/>
      </w:pPr>
      <w:r>
        <w:rPr>
          <w:spacing w:val="-2"/>
        </w:rPr>
        <w:t>（</w:t>
      </w:r>
      <w:r>
        <w:rPr>
          <w:rFonts w:ascii="宋体" w:hAnsi="宋体" w:cs="宋体" w:eastAsia="宋体" w:hint="default"/>
          <w:spacing w:val="-2"/>
        </w:rPr>
        <w:t>3</w:t>
      </w:r>
      <w:r>
        <w:rPr>
          <w:spacing w:val="-2"/>
        </w:rPr>
        <w:t>）公司借助资本市场，积极践行“互联网</w:t>
      </w:r>
      <w:r>
        <w:rPr>
          <w:rFonts w:ascii="宋体" w:hAnsi="宋体" w:cs="宋体" w:eastAsia="宋体" w:hint="default"/>
          <w:spacing w:val="-2"/>
        </w:rPr>
        <w:t>+</w:t>
      </w:r>
      <w:r>
        <w:rPr>
          <w:spacing w:val="-2"/>
        </w:rPr>
        <w:t>”的战略布局，通过并购霍尔果斯领凯网络科技有限公司，迈入了“互联</w:t>
      </w:r>
      <w:r>
        <w:rPr>
          <w:spacing w:val="1"/>
        </w:rPr>
        <w:t> </w:t>
      </w:r>
      <w:r>
        <w:rPr>
          <w:spacing w:val="-2"/>
        </w:rPr>
        <w:t>网新经济”业态。通过该公司掌握的多套自主研发核心广告系统技术和服务集群平台，结合公司拥有的优质客户资源，为客</w:t>
      </w:r>
      <w:r>
        <w:rPr>
          <w:spacing w:val="-66"/>
        </w:rPr>
        <w:t> </w:t>
      </w:r>
      <w:r>
        <w:rPr>
          <w:spacing w:val="-66"/>
        </w:rPr>
      </w:r>
      <w:r>
        <w:rPr/>
        <w:t>户提供互联网营销服务。</w:t>
      </w:r>
    </w:p>
    <w:p>
      <w:pPr>
        <w:spacing w:after="0" w:line="364" w:lineRule="auto"/>
        <w:jc w:val="both"/>
        <w:sectPr>
          <w:pgSz w:w="11910" w:h="16840"/>
          <w:pgMar w:header="851" w:footer="979" w:top="1500" w:bottom="1160" w:left="1020" w:right="0"/>
        </w:sectPr>
      </w:pPr>
    </w:p>
    <w:p>
      <w:pPr>
        <w:spacing w:line="240" w:lineRule="auto" w:before="12"/>
        <w:rPr>
          <w:rFonts w:ascii="宋体" w:hAnsi="宋体" w:cs="宋体" w:eastAsia="宋体" w:hint="default"/>
          <w:sz w:val="2"/>
          <w:szCs w:val="2"/>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64" w:lineRule="auto" w:before="27"/>
        <w:ind w:left="254" w:right="1131" w:firstLine="360"/>
        <w:jc w:val="both"/>
      </w:pPr>
      <w:r>
        <w:rPr>
          <w:spacing w:val="-2"/>
        </w:rPr>
        <w:t>领凯网络科技持续推动大数据融合升级战略，在上海、北京等多地部署大数据中心，通过持续的研发投入，当年推出海</w:t>
      </w:r>
      <w:r>
        <w:rPr/>
        <w:t> </w:t>
      </w:r>
      <w:r>
        <w:rPr>
          <w:spacing w:val="-2"/>
        </w:rPr>
        <w:t>外高技术程序化广告平台、大数据广告爬虫平台等多个大数据营销产品，目前已实现行业领先的基础软件布局，为践行公司</w:t>
      </w:r>
      <w:r>
        <w:rPr>
          <w:spacing w:val="-66"/>
        </w:rPr>
        <w:t> </w:t>
      </w:r>
      <w:r>
        <w:rPr>
          <w:spacing w:val="-66"/>
        </w:rPr>
      </w:r>
      <w:r>
        <w:rPr/>
        <w:t>“互联网</w:t>
      </w:r>
      <w:r>
        <w:rPr>
          <w:rFonts w:ascii="宋体" w:hAnsi="宋体" w:cs="宋体" w:eastAsia="宋体" w:hint="default"/>
        </w:rPr>
        <w:t>+</w:t>
      </w:r>
      <w:r>
        <w:rPr/>
        <w:t>”战略提供有力支持。</w:t>
      </w:r>
    </w:p>
    <w:p>
      <w:pPr>
        <w:pStyle w:val="BodyText"/>
        <w:spacing w:line="240" w:lineRule="auto" w:before="48"/>
        <w:ind w:left="254" w:right="2817"/>
        <w:jc w:val="left"/>
      </w:pPr>
      <w:r>
        <w:rPr/>
        <w:t>公司研发投入情况</w:t>
      </w:r>
    </w:p>
    <w:p>
      <w:pPr>
        <w:spacing w:line="240" w:lineRule="auto" w:before="13"/>
        <w:rPr>
          <w:rFonts w:ascii="宋体" w:hAnsi="宋体" w:cs="宋体" w:eastAsia="宋体" w:hint="default"/>
          <w:sz w:val="7"/>
          <w:szCs w:val="7"/>
        </w:rPr>
      </w:pPr>
    </w:p>
    <w:tbl>
      <w:tblPr>
        <w:tblW w:w="0" w:type="auto"/>
        <w:jc w:val="left"/>
        <w:tblInd w:w="2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32.26%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24,505,589.41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20,451,271.39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19.82%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254" w:right="2817"/>
        <w:jc w:val="left"/>
      </w:pPr>
      <w:r>
        <w:rPr/>
        <w:t>研发投入总额占营业收入的比重较上年发生显著变化的原因</w:t>
      </w:r>
    </w:p>
    <w:p>
      <w:pPr>
        <w:pStyle w:val="BodyText"/>
        <w:spacing w:line="340" w:lineRule="auto" w:before="116"/>
        <w:ind w:left="254"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0"/>
        <w:ind w:left="254" w:right="28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254" w:right="2817"/>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511"/>
        <w:gridCol w:w="2405"/>
        <w:gridCol w:w="2392"/>
        <w:gridCol w:w="2392"/>
      </w:tblGrid>
      <w:tr>
        <w:trPr>
          <w:trHeight w:val="402" w:hRule="exact"/>
        </w:trPr>
        <w:tc>
          <w:tcPr>
            <w:tcW w:w="2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534,880,598.35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480,331,113.06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11.36%</w:t>
            </w:r>
          </w:p>
        </w:tc>
      </w:tr>
      <w:tr>
        <w:trPr>
          <w:trHeight w:val="402" w:hRule="exact"/>
        </w:trPr>
        <w:tc>
          <w:tcPr>
            <w:tcW w:w="2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449,327,163.63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428,419,162.62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4.88%</w:t>
            </w:r>
          </w:p>
        </w:tc>
      </w:tr>
      <w:tr>
        <w:trPr>
          <w:trHeight w:val="402" w:hRule="exact"/>
        </w:trPr>
        <w:tc>
          <w:tcPr>
            <w:tcW w:w="2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85,553,434.72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51,911,950.44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64.80%</w:t>
            </w:r>
          </w:p>
        </w:tc>
      </w:tr>
      <w:tr>
        <w:trPr>
          <w:trHeight w:val="402" w:hRule="exact"/>
        </w:trPr>
        <w:tc>
          <w:tcPr>
            <w:tcW w:w="2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3,530,639.05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5,281,817.61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-33.15%</w:t>
            </w:r>
          </w:p>
        </w:tc>
      </w:tr>
      <w:tr>
        <w:trPr>
          <w:trHeight w:val="402" w:hRule="exact"/>
        </w:trPr>
        <w:tc>
          <w:tcPr>
            <w:tcW w:w="2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97,261,658.17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63,103,982.82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54.13%</w:t>
            </w:r>
          </w:p>
        </w:tc>
      </w:tr>
      <w:tr>
        <w:trPr>
          <w:trHeight w:val="402" w:hRule="exact"/>
        </w:trPr>
        <w:tc>
          <w:tcPr>
            <w:tcW w:w="2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-93,731,019.12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-57,822,165.21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-62.10%</w:t>
            </w:r>
          </w:p>
        </w:tc>
      </w:tr>
      <w:tr>
        <w:trPr>
          <w:trHeight w:val="402" w:hRule="exact"/>
        </w:trPr>
        <w:tc>
          <w:tcPr>
            <w:tcW w:w="2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198,707,679.54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123,563,814.20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60.81%</w:t>
            </w:r>
          </w:p>
        </w:tc>
      </w:tr>
      <w:tr>
        <w:trPr>
          <w:trHeight w:val="402" w:hRule="exact"/>
        </w:trPr>
        <w:tc>
          <w:tcPr>
            <w:tcW w:w="2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175,042,196.57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92,457,142.84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89.32%</w:t>
            </w:r>
          </w:p>
        </w:tc>
      </w:tr>
      <w:tr>
        <w:trPr>
          <w:trHeight w:val="402" w:hRule="exact"/>
        </w:trPr>
        <w:tc>
          <w:tcPr>
            <w:tcW w:w="2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23,665,482.97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31,106,671.36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-23.92%</w:t>
            </w:r>
          </w:p>
        </w:tc>
      </w:tr>
      <w:tr>
        <w:trPr>
          <w:trHeight w:val="403" w:hRule="exact"/>
        </w:trPr>
        <w:tc>
          <w:tcPr>
            <w:tcW w:w="2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15,487,898.57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25,196,456.59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-38.53%</w:t>
            </w:r>
          </w:p>
        </w:tc>
      </w:tr>
    </w:tbl>
    <w:p>
      <w:pPr>
        <w:pStyle w:val="BodyText"/>
        <w:spacing w:line="240" w:lineRule="auto" w:before="51"/>
        <w:ind w:left="254" w:right="2817"/>
        <w:jc w:val="left"/>
      </w:pPr>
      <w:r>
        <w:rPr/>
        <w:t>相关数据同比发生重大变动的主要影响因素说明</w:t>
      </w:r>
    </w:p>
    <w:p>
      <w:pPr>
        <w:pStyle w:val="BodyText"/>
        <w:spacing w:line="352" w:lineRule="auto" w:before="116"/>
        <w:ind w:left="614" w:right="2817"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经营活动产生的现金流量净额同比增长</w:t>
      </w:r>
      <w:r>
        <w:rPr>
          <w:rFonts w:ascii="Times New Roman" w:hAnsi="Times New Roman" w:cs="Times New Roman" w:eastAsia="Times New Roman" w:hint="default"/>
        </w:rPr>
        <w:t>64.80%</w:t>
      </w:r>
      <w:r>
        <w:rPr/>
        <w:t>，主要系报告期公司回款增长较大所致。 投资活动现金流入同比下降</w:t>
      </w:r>
      <w:r>
        <w:rPr>
          <w:rFonts w:ascii="Times New Roman" w:hAnsi="Times New Roman" w:cs="Times New Roman" w:eastAsia="Times New Roman" w:hint="default"/>
        </w:rPr>
        <w:t>33.15%</w:t>
      </w:r>
      <w:r>
        <w:rPr/>
        <w:t>，主要系公司取得投资收益收到的现金较上年同期减少所致。</w:t>
      </w:r>
    </w:p>
    <w:p>
      <w:pPr>
        <w:pStyle w:val="BodyText"/>
        <w:spacing w:line="345" w:lineRule="auto" w:before="16"/>
        <w:ind w:left="254" w:right="0" w:firstLine="360"/>
        <w:jc w:val="left"/>
      </w:pPr>
      <w:r>
        <w:rPr>
          <w:spacing w:val="-2"/>
        </w:rPr>
        <w:t>投资活动现金流出同比增长</w:t>
      </w:r>
      <w:r>
        <w:rPr>
          <w:rFonts w:ascii="Times New Roman" w:hAnsi="Times New Roman" w:cs="Times New Roman" w:eastAsia="Times New Roman" w:hint="default"/>
          <w:spacing w:val="-2"/>
        </w:rPr>
        <w:t>54.13%</w:t>
      </w:r>
      <w:r>
        <w:rPr>
          <w:spacing w:val="-2"/>
        </w:rPr>
        <w:t>，主要系报告期公司收购霍尔果斯领凯网络科技有限公司</w:t>
      </w:r>
      <w:r>
        <w:rPr>
          <w:rFonts w:ascii="Times New Roman" w:hAnsi="Times New Roman" w:cs="Times New Roman" w:eastAsia="Times New Roman" w:hint="default"/>
          <w:spacing w:val="-2"/>
        </w:rPr>
        <w:t>70%</w:t>
      </w:r>
      <w:r>
        <w:rPr>
          <w:spacing w:val="-2"/>
        </w:rPr>
        <w:t>股权，根据协议支付了</w:t>
      </w:r>
      <w:r>
        <w:rPr/>
        <w:t> 部分股权收购款。</w:t>
      </w:r>
    </w:p>
    <w:p>
      <w:pPr>
        <w:spacing w:after="0" w:line="345" w:lineRule="auto"/>
        <w:jc w:val="left"/>
        <w:sectPr>
          <w:pgSz w:w="11910" w:h="16840"/>
          <w:pgMar w:header="851" w:footer="979" w:top="1500" w:bottom="1160" w:left="880" w:right="0"/>
        </w:sectPr>
      </w:pPr>
    </w:p>
    <w:p>
      <w:pPr>
        <w:spacing w:line="240" w:lineRule="auto" w:before="12"/>
        <w:rPr>
          <w:rFonts w:ascii="宋体" w:hAnsi="宋体" w:cs="宋体" w:eastAsia="宋体" w:hint="default"/>
          <w:sz w:val="2"/>
          <w:szCs w:val="2"/>
        </w:rPr>
      </w:pPr>
    </w:p>
    <w:p>
      <w:pPr>
        <w:spacing w:line="20" w:lineRule="exact"/>
        <w:ind w:left="5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64" w:lineRule="auto" w:before="27"/>
        <w:ind w:left="994" w:right="5352"/>
        <w:jc w:val="left"/>
      </w:pPr>
      <w:r>
        <w:rPr/>
        <w:t>投资活动现金现金流量净额同比下降</w:t>
      </w:r>
      <w:r>
        <w:rPr>
          <w:rFonts w:ascii="宋体" w:hAnsi="宋体" w:cs="宋体" w:eastAsia="宋体" w:hint="default"/>
        </w:rPr>
        <w:t>62.10%</w:t>
      </w:r>
      <w:r>
        <w:rPr/>
        <w:t>，原因同上。 筹资活动现金流入同比增长</w:t>
      </w:r>
      <w:r>
        <w:rPr>
          <w:rFonts w:ascii="宋体" w:hAnsi="宋体" w:cs="宋体" w:eastAsia="宋体" w:hint="default"/>
        </w:rPr>
        <w:t>60.81%</w:t>
      </w:r>
      <w:r>
        <w:rPr/>
        <w:t>，主要系公司借款增加。 筹资活动现金流出同比增长</w:t>
      </w:r>
      <w:r>
        <w:rPr>
          <w:rFonts w:ascii="宋体" w:hAnsi="宋体" w:cs="宋体" w:eastAsia="宋体" w:hint="default"/>
        </w:rPr>
        <w:t>89.32%</w:t>
      </w:r>
      <w:r>
        <w:rPr/>
        <w:t>，主要系公司偿还借款增加。</w:t>
      </w:r>
    </w:p>
    <w:p>
      <w:pPr>
        <w:spacing w:line="240" w:lineRule="auto" w:before="0"/>
        <w:rPr>
          <w:rFonts w:ascii="宋体" w:hAnsi="宋体" w:cs="宋体" w:eastAsia="宋体" w:hint="default"/>
          <w:sz w:val="18"/>
          <w:szCs w:val="18"/>
        </w:rPr>
      </w:pPr>
    </w:p>
    <w:p>
      <w:pPr>
        <w:pStyle w:val="BodyText"/>
        <w:spacing w:line="240" w:lineRule="auto" w:before="124"/>
        <w:ind w:left="634" w:right="0"/>
        <w:jc w:val="left"/>
      </w:pPr>
      <w:r>
        <w:rPr/>
        <w:t>报告期内公司经营活动产生的现金净流量与本年度净利润存在重大差异的原因说明</w:t>
      </w:r>
    </w:p>
    <w:p>
      <w:pPr>
        <w:pStyle w:val="BodyText"/>
        <w:spacing w:line="240" w:lineRule="auto" w:before="116"/>
        <w:ind w:left="634" w:right="53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634" w:right="5352"/>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634" w:right="53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629" w:type="dxa"/>
        <w:tblLayout w:type="fixed"/>
        <w:tblCellMar>
          <w:top w:w="0" w:type="dxa"/>
          <w:left w:w="0" w:type="dxa"/>
          <w:bottom w:w="0" w:type="dxa"/>
          <w:right w:w="0" w:type="dxa"/>
        </w:tblCellMar>
        <w:tblLook w:val="01E0"/>
      </w:tblPr>
      <w:tblGrid>
        <w:gridCol w:w="1560"/>
        <w:gridCol w:w="1879"/>
        <w:gridCol w:w="1623"/>
        <w:gridCol w:w="3018"/>
        <w:gridCol w:w="1560"/>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4"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5,774,558.30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16.63%</w:t>
            </w:r>
          </w:p>
        </w:tc>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系按权益法计算的参股公司投资收益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2,300,513.50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w:t>
            </w:r>
          </w:p>
        </w:tc>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系按会计政策计提的各项减值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w:t>
            </w:r>
          </w:p>
        </w:tc>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系子公司收到的违约金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979,326.50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w:t>
            </w:r>
          </w:p>
        </w:tc>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系子公司存货损失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1,934,200.00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w:t>
            </w:r>
          </w:p>
        </w:tc>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系收到的政府补贴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-648,732.03</w:t>
            </w:r>
            <w:r>
              <w:rPr>
                <w:rFonts w:ascii="Times New Roman"/>
                <w:sz w:val="18"/>
              </w:rPr>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w:t>
            </w:r>
          </w:p>
        </w:tc>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系固定资产处置损失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634" w:right="5352"/>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634" w:right="5352"/>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before="44"/>
        <w:ind w:left="0" w:right="555"/>
        <w:jc w:val="right"/>
      </w:pPr>
      <w:r>
        <w:rPr/>
        <w:pict>
          <v:shape style="position:absolute;margin-left:30.780001pt;margin-top:-92.408257pt;width:534.1pt;height:268.4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73"/>
                    <w:gridCol w:w="1184"/>
                    <w:gridCol w:w="1043"/>
                    <w:gridCol w:w="1196"/>
                    <w:gridCol w:w="1063"/>
                    <w:gridCol w:w="798"/>
                    <w:gridCol w:w="3910"/>
                  </w:tblGrid>
                  <w:tr>
                    <w:trPr>
                      <w:trHeight w:val="402" w:hRule="exact"/>
                    </w:trPr>
                    <w:tc>
                      <w:tcPr>
                        <w:tcW w:w="14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9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473"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25" w:right="6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391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154,833,478.74</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15.66%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133,348,582.02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17.43%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-1.77%</w:t>
                        </w:r>
                      </w:p>
                    </w:tc>
                    <w:tc>
                      <w:tcPr>
                        <w:tcW w:w="39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156,727,389.92</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15.85%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124,268,146.32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-0.39%</w:t>
                        </w:r>
                      </w:p>
                    </w:tc>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15672.74</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万元，增幅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26.12%</w:t>
                        </w:r>
                        <w:r>
                          <w:rPr>
                            <w:rFonts w:ascii="宋体" w:hAnsi="宋体" w:cs="宋体" w:eastAsia="宋体" w:hint="default"/>
                            <w:sz w:val="18"/>
                            <w:szCs w:val="18"/>
                          </w:rPr>
                          <w:t>，主要系销 售增加，以及报告期新增纳入合并范围的子公司</w:t>
                        </w:r>
                      </w:p>
                    </w:tc>
                  </w:tr>
                  <w:tr>
                    <w:trPr>
                      <w:trHeight w:val="402" w:hRule="exact"/>
                    </w:trPr>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74,774,130.50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4" w:right="0"/>
                          <w:jc w:val="left"/>
                          <w:rPr>
                            <w:rFonts w:ascii="Times New Roman" w:hAnsi="Times New Roman" w:cs="Times New Roman" w:eastAsia="Times New Roman" w:hint="default"/>
                            <w:sz w:val="18"/>
                            <w:szCs w:val="18"/>
                          </w:rPr>
                        </w:pPr>
                        <w:r>
                          <w:rPr>
                            <w:rFonts w:ascii="Times New Roman"/>
                            <w:sz w:val="18"/>
                          </w:rPr>
                          <w:t>7.56%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86,954,430.60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-3.80%</w:t>
                        </w:r>
                      </w:p>
                    </w:tc>
                    <w:tc>
                      <w:tcPr>
                        <w:tcW w:w="39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4"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0.00%</w:t>
                        </w:r>
                      </w:p>
                    </w:tc>
                    <w:tc>
                      <w:tcPr>
                        <w:tcW w:w="39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71,907,638.55</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4" w:right="0"/>
                          <w:jc w:val="left"/>
                          <w:rPr>
                            <w:rFonts w:ascii="Times New Roman" w:hAnsi="Times New Roman" w:cs="Times New Roman" w:eastAsia="Times New Roman" w:hint="default"/>
                            <w:sz w:val="18"/>
                            <w:szCs w:val="18"/>
                          </w:rPr>
                        </w:pPr>
                        <w:r>
                          <w:rPr>
                            <w:rFonts w:ascii="Times New Roman"/>
                            <w:sz w:val="18"/>
                          </w:rPr>
                          <w:t>7.27%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66,133,080.25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-1.37%</w:t>
                        </w:r>
                      </w:p>
                    </w:tc>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7190.76</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万元，增幅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8.73%</w:t>
                        </w:r>
                        <w:r>
                          <w:rPr>
                            <w:rFonts w:ascii="宋体" w:hAnsi="宋体" w:cs="宋体" w:eastAsia="宋体" w:hint="default"/>
                            <w:sz w:val="18"/>
                            <w:szCs w:val="18"/>
                          </w:rPr>
                          <w:t>，主要为报告 期按权益法计算的投资收益。</w:t>
                        </w:r>
                      </w:p>
                    </w:tc>
                  </w:tr>
                  <w:tr>
                    <w:trPr>
                      <w:trHeight w:val="402" w:hRule="exact"/>
                    </w:trPr>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274,538,573.54</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27.77%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264,271,572.23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34.54%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-6.77%</w:t>
                        </w:r>
                      </w:p>
                    </w:tc>
                    <w:tc>
                      <w:tcPr>
                        <w:tcW w:w="39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16,807,534.38</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4" w:right="0"/>
                          <w:jc w:val="left"/>
                          <w:rPr>
                            <w:rFonts w:ascii="Times New Roman" w:hAnsi="Times New Roman" w:cs="Times New Roman" w:eastAsia="Times New Roman" w:hint="default"/>
                            <w:sz w:val="18"/>
                            <w:szCs w:val="18"/>
                          </w:rPr>
                        </w:pPr>
                        <w:r>
                          <w:rPr>
                            <w:rFonts w:ascii="Times New Roman"/>
                            <w:sz w:val="18"/>
                          </w:rPr>
                          <w:t>1.70%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22,915,440.57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-1.29%</w:t>
                        </w:r>
                      </w:p>
                    </w:tc>
                    <w:tc>
                      <w:tcPr>
                        <w:tcW w:w="39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110,258,679.54</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2" w:right="0"/>
                          <w:jc w:val="left"/>
                          <w:rPr>
                            <w:rFonts w:ascii="Times New Roman" w:hAnsi="Times New Roman" w:cs="Times New Roman" w:eastAsia="Times New Roman" w:hint="default"/>
                            <w:sz w:val="18"/>
                            <w:szCs w:val="18"/>
                          </w:rPr>
                        </w:pPr>
                        <w:r>
                          <w:rPr>
                            <w:rFonts w:ascii="Times New Roman"/>
                            <w:sz w:val="18"/>
                          </w:rPr>
                          <w:t>11.15%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121,992,465.89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-4.79%</w:t>
                        </w:r>
                      </w:p>
                    </w:tc>
                    <w:tc>
                      <w:tcPr>
                        <w:tcW w:w="39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应付票据及应付</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168,815,427.64</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17.08%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96,803,862.41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4.43%</w:t>
                        </w:r>
                      </w:p>
                    </w:tc>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主要系报告期应付票据增加。</w:t>
                        </w:r>
                      </w:p>
                    </w:tc>
                  </w:tr>
                </w:tbl>
                <w:p>
                  <w:pPr/>
                </w:p>
              </w:txbxContent>
            </v:textbox>
            <w10:wrap type="none"/>
          </v:shape>
        </w:pict>
      </w:r>
      <w:r>
        <w:rPr/>
        <w:t>。</w:t>
      </w:r>
    </w:p>
    <w:p>
      <w:pPr>
        <w:spacing w:after="0" w:line="240" w:lineRule="auto"/>
        <w:jc w:val="right"/>
        <w:sectPr>
          <w:pgSz w:w="11910" w:h="16840"/>
          <w:pgMar w:header="851" w:footer="979" w:top="1500" w:bottom="1160" w:left="500" w:right="0"/>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473"/>
        <w:gridCol w:w="1184"/>
        <w:gridCol w:w="1043"/>
        <w:gridCol w:w="1196"/>
        <w:gridCol w:w="1063"/>
        <w:gridCol w:w="798"/>
        <w:gridCol w:w="3910"/>
      </w:tblGrid>
      <w:tr>
        <w:trPr>
          <w:trHeight w:val="373" w:hRule="exact"/>
        </w:trPr>
        <w:tc>
          <w:tcPr>
            <w:tcW w:w="147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账款</w:t>
            </w:r>
          </w:p>
        </w:tc>
        <w:tc>
          <w:tcPr>
            <w:tcW w:w="1184" w:type="dxa"/>
            <w:tcBorders>
              <w:top w:val="single" w:sz="10" w:space="0" w:color="000000"/>
              <w:left w:val="single" w:sz="4" w:space="0" w:color="000000"/>
              <w:bottom w:val="single" w:sz="4" w:space="0" w:color="000000"/>
              <w:right w:val="single" w:sz="4" w:space="0" w:color="000000"/>
            </w:tcBorders>
          </w:tcPr>
          <w:p>
            <w:pPr/>
          </w:p>
        </w:tc>
        <w:tc>
          <w:tcPr>
            <w:tcW w:w="1043" w:type="dxa"/>
            <w:tcBorders>
              <w:top w:val="single" w:sz="10" w:space="0" w:color="000000"/>
              <w:left w:val="single" w:sz="4" w:space="0" w:color="000000"/>
              <w:bottom w:val="single" w:sz="4" w:space="0" w:color="000000"/>
              <w:right w:val="single" w:sz="4" w:space="0" w:color="000000"/>
            </w:tcBorders>
          </w:tcPr>
          <w:p>
            <w:pPr/>
          </w:p>
        </w:tc>
        <w:tc>
          <w:tcPr>
            <w:tcW w:w="1196" w:type="dxa"/>
            <w:tcBorders>
              <w:top w:val="single" w:sz="10" w:space="0" w:color="000000"/>
              <w:left w:val="single" w:sz="4" w:space="0" w:color="000000"/>
              <w:bottom w:val="single" w:sz="4" w:space="0" w:color="000000"/>
              <w:right w:val="single" w:sz="4" w:space="0" w:color="000000"/>
            </w:tcBorders>
          </w:tcPr>
          <w:p>
            <w:pPr/>
          </w:p>
        </w:tc>
        <w:tc>
          <w:tcPr>
            <w:tcW w:w="1063"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3910" w:type="dxa"/>
            <w:tcBorders>
              <w:top w:val="single" w:sz="10" w:space="0" w:color="000000"/>
              <w:left w:val="single" w:sz="4" w:space="0" w:color="000000"/>
              <w:bottom w:val="single" w:sz="4" w:space="0" w:color="000000"/>
              <w:right w:val="single" w:sz="4" w:space="0" w:color="000000"/>
            </w:tcBorders>
          </w:tcPr>
          <w:p>
            <w:pPr/>
          </w:p>
        </w:tc>
      </w:tr>
      <w:tr>
        <w:trPr>
          <w:trHeight w:val="403" w:hRule="exact"/>
        </w:trPr>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121,504,333.00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8" w:right="0"/>
              <w:jc w:val="left"/>
              <w:rPr>
                <w:rFonts w:ascii="Times New Roman" w:hAnsi="Times New Roman" w:cs="Times New Roman" w:eastAsia="Times New Roman" w:hint="default"/>
                <w:sz w:val="18"/>
                <w:szCs w:val="18"/>
              </w:rPr>
            </w:pPr>
            <w:r>
              <w:rPr>
                <w:rFonts w:ascii="Times New Roman"/>
                <w:sz w:val="18"/>
              </w:rPr>
              <w:t>12.29%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7" w:right="0"/>
              <w:jc w:val="left"/>
              <w:rPr>
                <w:rFonts w:ascii="Times New Roman" w:hAnsi="Times New Roman" w:cs="Times New Roman" w:eastAsia="Times New Roman" w:hint="default"/>
                <w:sz w:val="18"/>
                <w:szCs w:val="18"/>
              </w:rPr>
            </w:pPr>
            <w:r>
              <w:rPr>
                <w:rFonts w:ascii="Times New Roman"/>
                <w:sz w:val="18"/>
              </w:rPr>
              <w:t>4,662,257.09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3" w:right="0"/>
              <w:jc w:val="left"/>
              <w:rPr>
                <w:rFonts w:ascii="Times New Roman" w:hAnsi="Times New Roman" w:cs="Times New Roman" w:eastAsia="Times New Roman" w:hint="default"/>
                <w:sz w:val="18"/>
                <w:szCs w:val="18"/>
              </w:rPr>
            </w:pPr>
            <w:r>
              <w:rPr>
                <w:rFonts w:ascii="Times New Roman"/>
                <w:sz w:val="18"/>
              </w:rPr>
              <w:t>0.61%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8" w:right="0"/>
              <w:jc w:val="left"/>
              <w:rPr>
                <w:rFonts w:ascii="Times New Roman" w:hAnsi="Times New Roman" w:cs="Times New Roman" w:eastAsia="Times New Roman" w:hint="default"/>
                <w:sz w:val="18"/>
                <w:szCs w:val="18"/>
              </w:rPr>
            </w:pPr>
            <w:r>
              <w:rPr>
                <w:rFonts w:ascii="Times New Roman"/>
                <w:sz w:val="18"/>
              </w:rPr>
              <w:t>11.68%</w:t>
            </w:r>
          </w:p>
        </w:tc>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主要系报告期向陕药集团拆借资金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Heading4"/>
        <w:spacing w:line="240" w:lineRule="auto" w:before="35"/>
        <w:ind w:left="634" w:right="5352"/>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634" w:right="53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634" w:right="5352"/>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5"/>
          <w:szCs w:val="25"/>
        </w:rPr>
      </w:pPr>
    </w:p>
    <w:tbl>
      <w:tblPr>
        <w:tblW w:w="0" w:type="auto"/>
        <w:jc w:val="left"/>
        <w:tblInd w:w="629" w:type="dxa"/>
        <w:tblLayout w:type="fixed"/>
        <w:tblCellMar>
          <w:top w:w="0" w:type="dxa"/>
          <w:left w:w="0" w:type="dxa"/>
          <w:bottom w:w="0" w:type="dxa"/>
          <w:right w:w="0" w:type="dxa"/>
        </w:tblCellMar>
        <w:tblLook w:val="01E0"/>
      </w:tblPr>
      <w:tblGrid>
        <w:gridCol w:w="4656"/>
        <w:gridCol w:w="1939"/>
        <w:gridCol w:w="1940"/>
      </w:tblGrid>
      <w:tr>
        <w:trPr>
          <w:trHeight w:val="342" w:hRule="exact"/>
        </w:trPr>
        <w:tc>
          <w:tcPr>
            <w:tcW w:w="46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19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60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603"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4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6,571,097.53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3"/>
              <w:jc w:val="right"/>
              <w:rPr>
                <w:rFonts w:ascii="Times New Roman" w:hAnsi="Times New Roman" w:cs="Times New Roman" w:eastAsia="Times New Roman" w:hint="default"/>
                <w:sz w:val="18"/>
                <w:szCs w:val="18"/>
              </w:rPr>
            </w:pPr>
            <w:r>
              <w:rPr>
                <w:rFonts w:ascii="Times New Roman"/>
                <w:sz w:val="18"/>
              </w:rPr>
              <w:t>574,099.38</w:t>
            </w:r>
          </w:p>
        </w:tc>
      </w:tr>
      <w:tr>
        <w:trPr>
          <w:trHeight w:val="342" w:hRule="exact"/>
        </w:trPr>
        <w:tc>
          <w:tcPr>
            <w:tcW w:w="4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16,034,521.86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3"/>
              <w:jc w:val="right"/>
              <w:rPr>
                <w:rFonts w:ascii="Times New Roman" w:hAnsi="Times New Roman" w:cs="Times New Roman" w:eastAsia="Times New Roman" w:hint="default"/>
                <w:sz w:val="18"/>
                <w:szCs w:val="18"/>
              </w:rPr>
            </w:pPr>
            <w:r>
              <w:rPr>
                <w:rFonts w:ascii="Times New Roman"/>
                <w:sz w:val="18"/>
              </w:rPr>
              <w:t>109,051.28</w:t>
            </w:r>
          </w:p>
        </w:tc>
      </w:tr>
      <w:tr>
        <w:trPr>
          <w:trHeight w:val="342" w:hRule="exact"/>
        </w:trPr>
        <w:tc>
          <w:tcPr>
            <w:tcW w:w="4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22,605,619.39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3"/>
              <w:jc w:val="right"/>
              <w:rPr>
                <w:rFonts w:ascii="Times New Roman" w:hAnsi="Times New Roman" w:cs="Times New Roman" w:eastAsia="Times New Roman" w:hint="default"/>
                <w:sz w:val="18"/>
                <w:szCs w:val="18"/>
              </w:rPr>
            </w:pPr>
            <w:r>
              <w:rPr>
                <w:rFonts w:ascii="Times New Roman"/>
                <w:sz w:val="18"/>
              </w:rPr>
              <w:t>683,150.66</w:t>
            </w:r>
          </w:p>
        </w:tc>
      </w:tr>
    </w:tbl>
    <w:p>
      <w:pPr>
        <w:spacing w:line="240" w:lineRule="auto" w:before="2"/>
        <w:rPr>
          <w:rFonts w:ascii="宋体" w:hAnsi="宋体" w:cs="宋体" w:eastAsia="宋体" w:hint="default"/>
          <w:b/>
          <w:bCs/>
          <w:sz w:val="18"/>
          <w:szCs w:val="18"/>
        </w:rPr>
      </w:pPr>
    </w:p>
    <w:p>
      <w:pPr>
        <w:pStyle w:val="Heading2"/>
        <w:spacing w:line="240" w:lineRule="auto" w:before="26"/>
        <w:ind w:left="634" w:right="5352"/>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634" w:right="5352"/>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634" w:right="53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6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30" w:right="0"/>
              <w:jc w:val="left"/>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131,860,000.00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33,080,000.00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8" w:right="0"/>
              <w:jc w:val="left"/>
              <w:rPr>
                <w:rFonts w:ascii="Times New Roman" w:hAnsi="Times New Roman" w:cs="Times New Roman" w:eastAsia="Times New Roman" w:hint="default"/>
                <w:sz w:val="18"/>
                <w:szCs w:val="18"/>
              </w:rPr>
            </w:pPr>
            <w:r>
              <w:rPr>
                <w:rFonts w:ascii="Times New Roman"/>
                <w:sz w:val="18"/>
              </w:rPr>
              <w:t>298.61%</w:t>
            </w:r>
          </w:p>
        </w:tc>
      </w:tr>
    </w:tbl>
    <w:p>
      <w:pPr>
        <w:spacing w:line="240" w:lineRule="auto" w:before="2"/>
        <w:rPr>
          <w:rFonts w:ascii="宋体" w:hAnsi="宋体" w:cs="宋体" w:eastAsia="宋体" w:hint="default"/>
          <w:sz w:val="19"/>
          <w:szCs w:val="19"/>
        </w:rPr>
      </w:pPr>
    </w:p>
    <w:p>
      <w:pPr>
        <w:pStyle w:val="Heading4"/>
        <w:spacing w:line="240" w:lineRule="auto" w:before="35"/>
        <w:ind w:left="634" w:right="5352"/>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634" w:right="53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51" w:footer="979" w:top="1500" w:bottom="1160" w:left="50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44"/>
        <w:ind w:left="0" w:right="476"/>
        <w:jc w:val="right"/>
      </w:pPr>
      <w:r>
        <w:rPr/>
        <w:pict>
          <v:shape style="position:absolute;margin-left:289.899994pt;margin-top:-18.778252pt;width:115.5pt;height:30.75pt;mso-position-horizontal-relative:page;mso-position-vertical-relative:paragraph;z-index:1360" type="#_x0000_t75" stroked="false">
            <v:imagedata r:id="rId6" o:title=""/>
          </v:shape>
        </w:pict>
      </w:r>
      <w:r>
        <w:rPr/>
        <w:t>西安环球印务股份有限公司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38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3"/>
          <w:szCs w:val="23"/>
        </w:rPr>
      </w:pPr>
    </w:p>
    <w:p>
      <w:pPr>
        <w:pStyle w:val="BodyText"/>
        <w:spacing w:line="240" w:lineRule="auto" w:before="44"/>
        <w:ind w:left="0" w:right="575"/>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before="44"/>
        <w:ind w:left="0" w:right="119"/>
        <w:jc w:val="right"/>
      </w:pPr>
      <w:r>
        <w:rPr/>
        <w:pict>
          <v:shape style="position:absolute;margin-left:56.880001pt;margin-top:-208.198288pt;width:728.4pt;height:310.4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80"/>
                    <w:gridCol w:w="908"/>
                    <w:gridCol w:w="509"/>
                    <w:gridCol w:w="1288"/>
                    <w:gridCol w:w="652"/>
                    <w:gridCol w:w="1092"/>
                    <w:gridCol w:w="955"/>
                    <w:gridCol w:w="516"/>
                    <w:gridCol w:w="402"/>
                    <w:gridCol w:w="955"/>
                    <w:gridCol w:w="984"/>
                    <w:gridCol w:w="1147"/>
                    <w:gridCol w:w="576"/>
                    <w:gridCol w:w="941"/>
                    <w:gridCol w:w="2349"/>
                  </w:tblGrid>
                  <w:tr>
                    <w:trPr>
                      <w:trHeight w:val="1337" w:hRule="exact"/>
                    </w:trPr>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545" w:right="92" w:hanging="450"/>
                          <w:jc w:val="left"/>
                          <w:rPr>
                            <w:rFonts w:ascii="宋体" w:hAnsi="宋体" w:cs="宋体" w:eastAsia="宋体" w:hint="default"/>
                            <w:sz w:val="18"/>
                            <w:szCs w:val="18"/>
                          </w:rPr>
                        </w:pPr>
                        <w:r>
                          <w:rPr>
                            <w:rFonts w:ascii="宋体" w:hAnsi="宋体" w:cs="宋体" w:eastAsia="宋体" w:hint="default"/>
                            <w:sz w:val="18"/>
                            <w:szCs w:val="18"/>
                          </w:rPr>
                          <w:t>被投资公司名 称</w:t>
                        </w:r>
                      </w:p>
                    </w:tc>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68" w:right="68"/>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0" w:right="4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79"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71" w:right="72"/>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6" w:right="104"/>
                          <w:jc w:val="both"/>
                          <w:rPr>
                            <w:rFonts w:ascii="宋体" w:hAnsi="宋体" w:cs="宋体" w:eastAsia="宋体" w:hint="default"/>
                            <w:sz w:val="18"/>
                            <w:szCs w:val="18"/>
                          </w:rPr>
                        </w:pPr>
                        <w:r>
                          <w:rPr>
                            <w:rFonts w:ascii="宋体" w:hAnsi="宋体" w:cs="宋体" w:eastAsia="宋体" w:hint="default"/>
                            <w:sz w:val="18"/>
                            <w:szCs w:val="18"/>
                          </w:rPr>
                          <w:t>产 品 类 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1" w:right="113"/>
                          <w:jc w:val="center"/>
                          <w:rPr>
                            <w:rFonts w:ascii="宋体" w:hAnsi="宋体" w:cs="宋体" w:eastAsia="宋体" w:hint="default"/>
                            <w:sz w:val="18"/>
                            <w:szCs w:val="18"/>
                          </w:rPr>
                        </w:pPr>
                        <w:r>
                          <w:rPr>
                            <w:rFonts w:ascii="宋体" w:hAnsi="宋体" w:cs="宋体" w:eastAsia="宋体" w:hint="default"/>
                            <w:sz w:val="18"/>
                            <w:szCs w:val="18"/>
                          </w:rPr>
                          <w:t>截至资产 负债表日 的进展情 况</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26"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9"/>
                          <w:jc w:val="right"/>
                          <w:rPr>
                            <w:rFonts w:ascii="宋体" w:hAnsi="宋体" w:cs="宋体" w:eastAsia="宋体" w:hint="default"/>
                            <w:sz w:val="18"/>
                            <w:szCs w:val="18"/>
                          </w:rPr>
                        </w:pPr>
                        <w:r>
                          <w:rPr>
                            <w:rFonts w:ascii="宋体" w:hAnsi="宋体" w:cs="宋体" w:eastAsia="宋体" w:hint="default"/>
                            <w:sz w:val="18"/>
                            <w:szCs w:val="18"/>
                          </w:rPr>
                          <w:t>本期投资盈亏</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103" w:right="101"/>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5"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4458"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4" w:right="164"/>
                          <w:jc w:val="both"/>
                          <w:rPr>
                            <w:rFonts w:ascii="宋体" w:hAnsi="宋体" w:cs="宋体" w:eastAsia="宋体" w:hint="default"/>
                            <w:sz w:val="18"/>
                            <w:szCs w:val="18"/>
                          </w:rPr>
                        </w:pPr>
                        <w:r>
                          <w:rPr>
                            <w:rFonts w:ascii="宋体" w:hAnsi="宋体" w:cs="宋体" w:eastAsia="宋体" w:hint="default"/>
                            <w:sz w:val="18"/>
                            <w:szCs w:val="18"/>
                          </w:rPr>
                          <w:t>霍尔果斯领凯 网络科技有限 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22" w:right="153"/>
                          <w:jc w:val="left"/>
                          <w:rPr>
                            <w:rFonts w:ascii="宋体" w:hAnsi="宋体" w:cs="宋体" w:eastAsia="宋体" w:hint="default"/>
                            <w:sz w:val="18"/>
                            <w:szCs w:val="18"/>
                          </w:rPr>
                        </w:pPr>
                        <w:r>
                          <w:rPr>
                            <w:rFonts w:ascii="宋体" w:hAnsi="宋体" w:cs="宋体" w:eastAsia="宋体" w:hint="default"/>
                            <w:sz w:val="18"/>
                            <w:szCs w:val="18"/>
                          </w:rPr>
                          <w:t>互联网精 准营销</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4"/>
                          <w:jc w:val="right"/>
                          <w:rPr>
                            <w:rFonts w:ascii="宋体" w:hAnsi="宋体" w:cs="宋体" w:eastAsia="宋体" w:hint="default"/>
                            <w:sz w:val="18"/>
                            <w:szCs w:val="18"/>
                          </w:rPr>
                        </w:pPr>
                        <w:r>
                          <w:rPr>
                            <w:rFonts w:ascii="宋体" w:hAnsi="宋体" w:cs="宋体" w:eastAsia="宋体" w:hint="default"/>
                            <w:sz w:val="18"/>
                            <w:szCs w:val="18"/>
                          </w:rPr>
                          <w:t>收购</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131,860,000.00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70.00%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2" w:right="23"/>
                          <w:jc w:val="left"/>
                          <w:rPr>
                            <w:rFonts w:ascii="宋体" w:hAnsi="宋体" w:cs="宋体" w:eastAsia="宋体" w:hint="default"/>
                            <w:sz w:val="18"/>
                            <w:szCs w:val="18"/>
                          </w:rPr>
                        </w:pPr>
                        <w:r>
                          <w:rPr>
                            <w:rFonts w:ascii="宋体" w:hAnsi="宋体" w:cs="宋体" w:eastAsia="宋体" w:hint="default"/>
                            <w:sz w:val="18"/>
                            <w:szCs w:val="18"/>
                          </w:rPr>
                          <w:t>金湖县行 千里网络 传媒服务 中心（有限 </w:t>
                        </w:r>
                        <w:r>
                          <w:rPr>
                            <w:rFonts w:ascii="宋体" w:hAnsi="宋体" w:cs="宋体" w:eastAsia="宋体" w:hint="default"/>
                            <w:spacing w:val="-18"/>
                            <w:sz w:val="18"/>
                            <w:szCs w:val="18"/>
                          </w:rPr>
                          <w:t>合伙）、李</w:t>
                        </w:r>
                        <w:r>
                          <w:rPr>
                            <w:rFonts w:ascii="宋体" w:hAnsi="宋体" w:cs="宋体" w:eastAsia="宋体" w:hint="default"/>
                            <w:sz w:val="18"/>
                            <w:szCs w:val="18"/>
                          </w:rPr>
                          <w:t> 仁东、连学 旺</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22" w:right="189"/>
                          <w:jc w:val="left"/>
                          <w:rPr>
                            <w:rFonts w:ascii="宋体" w:hAnsi="宋体" w:cs="宋体" w:eastAsia="宋体" w:hint="default"/>
                            <w:sz w:val="18"/>
                            <w:szCs w:val="18"/>
                          </w:rPr>
                        </w:pPr>
                        <w:r>
                          <w:rPr>
                            <w:rFonts w:ascii="宋体" w:hAnsi="宋体" w:cs="宋体" w:eastAsia="宋体" w:hint="default"/>
                            <w:sz w:val="18"/>
                            <w:szCs w:val="18"/>
                          </w:rPr>
                          <w:t>其 他</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22" w:right="200"/>
                          <w:jc w:val="left"/>
                          <w:rPr>
                            <w:rFonts w:ascii="宋体" w:hAnsi="宋体" w:cs="宋体" w:eastAsia="宋体" w:hint="default"/>
                            <w:sz w:val="18"/>
                            <w:szCs w:val="18"/>
                          </w:rPr>
                        </w:pPr>
                        <w:r>
                          <w:rPr>
                            <w:rFonts w:ascii="宋体" w:hAnsi="宋体" w:cs="宋体" w:eastAsia="宋体" w:hint="default"/>
                            <w:sz w:val="18"/>
                            <w:szCs w:val="18"/>
                          </w:rPr>
                          <w:t>已完成股 权交割</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22" w:right="5"/>
                          <w:jc w:val="left"/>
                          <w:rPr>
                            <w:rFonts w:ascii="宋体" w:hAnsi="宋体" w:cs="宋体" w:eastAsia="宋体" w:hint="default"/>
                            <w:sz w:val="18"/>
                            <w:szCs w:val="18"/>
                          </w:rPr>
                        </w:pPr>
                        <w:r>
                          <w:rPr>
                            <w:rFonts w:ascii="宋体" w:hAnsi="宋体" w:cs="宋体" w:eastAsia="宋体" w:hint="default"/>
                            <w:sz w:val="18"/>
                            <w:szCs w:val="18"/>
                          </w:rPr>
                          <w:t>领凯网络科 技</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 净利润不低 于人民币 </w:t>
                        </w:r>
                        <w:r>
                          <w:rPr>
                            <w:rFonts w:ascii="Times New Roman" w:hAnsi="Times New Roman" w:cs="Times New Roman" w:eastAsia="Times New Roman" w:hint="default"/>
                            <w:sz w:val="18"/>
                            <w:szCs w:val="18"/>
                          </w:rPr>
                          <w:t>4,500</w:t>
                        </w:r>
                        <w:r>
                          <w:rPr>
                            <w:rFonts w:ascii="宋体" w:hAnsi="宋体" w:cs="宋体" w:eastAsia="宋体" w:hint="default"/>
                            <w:sz w:val="18"/>
                            <w:szCs w:val="18"/>
                          </w:rPr>
                          <w:t>万元， 且</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年至 </w:t>
                        </w:r>
                        <w:r>
                          <w:rPr>
                            <w:rFonts w:ascii="Times New Roman" w:hAnsi="Times New Roman" w:cs="Times New Roman" w:eastAsia="Times New Roman" w:hint="default"/>
                            <w:sz w:val="18"/>
                            <w:szCs w:val="18"/>
                          </w:rPr>
                          <w:t>2020</w:t>
                        </w:r>
                        <w:r>
                          <w:rPr>
                            <w:rFonts w:ascii="宋体" w:hAnsi="宋体" w:cs="宋体" w:eastAsia="宋体" w:hint="default"/>
                            <w:sz w:val="18"/>
                            <w:szCs w:val="18"/>
                          </w:rPr>
                          <w:t>年底， 应累计实现 净利润不低 于人民币 </w:t>
                        </w:r>
                        <w:r>
                          <w:rPr>
                            <w:rFonts w:ascii="Times New Roman" w:hAnsi="Times New Roman" w:cs="Times New Roman" w:eastAsia="Times New Roman" w:hint="default"/>
                            <w:spacing w:val="-3"/>
                            <w:sz w:val="18"/>
                            <w:szCs w:val="18"/>
                          </w:rPr>
                          <w:t>1.4</w:t>
                        </w:r>
                        <w:r>
                          <w:rPr>
                            <w:rFonts w:ascii="宋体" w:hAnsi="宋体" w:cs="宋体" w:eastAsia="宋体" w:hint="default"/>
                            <w:spacing w:val="-3"/>
                            <w:sz w:val="18"/>
                            <w:szCs w:val="18"/>
                          </w:rPr>
                          <w:t>亿元，并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保持增长态 势。</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5,453,510.08</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2" w:right="0"/>
                          <w:jc w:val="both"/>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p>
                        <w:pPr>
                          <w:pStyle w:val="TableParagraph"/>
                          <w:spacing w:line="312" w:lineRule="auto" w:before="63"/>
                          <w:ind w:left="22"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《西安环球印务股份有限公 司关于收购霍尔果斯领凯网 络科技有限公司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股权的 </w:t>
                        </w:r>
                        <w:r>
                          <w:rPr>
                            <w:rFonts w:ascii="宋体" w:hAnsi="宋体" w:cs="宋体" w:eastAsia="宋体" w:hint="default"/>
                            <w:spacing w:val="-7"/>
                            <w:sz w:val="18"/>
                            <w:szCs w:val="18"/>
                          </w:rPr>
                          <w:t>公告》（公告编号：</w:t>
                        </w:r>
                        <w:r>
                          <w:rPr>
                            <w:rFonts w:ascii="Times New Roman" w:hAnsi="Times New Roman" w:cs="Times New Roman" w:eastAsia="Times New Roman" w:hint="default"/>
                            <w:spacing w:val="-7"/>
                            <w:sz w:val="18"/>
                            <w:szCs w:val="18"/>
                          </w:rPr>
                          <w:t>2018-051</w:t>
                        </w:r>
                      </w:p>
                    </w:tc>
                  </w:tr>
                  <w:tr>
                    <w:trPr>
                      <w:trHeight w:val="404" w:hRule="exact"/>
                    </w:trPr>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8"/>
                          <w:jc w:val="right"/>
                          <w:rPr>
                            <w:rFonts w:ascii="Times New Roman" w:hAnsi="Times New Roman" w:cs="Times New Roman" w:eastAsia="Times New Roman" w:hint="default"/>
                            <w:sz w:val="18"/>
                            <w:szCs w:val="18"/>
                          </w:rPr>
                        </w:pPr>
                        <w:r>
                          <w:rPr>
                            <w:rFonts w:ascii="Times New Roman"/>
                            <w:sz w:val="18"/>
                          </w:rPr>
                          <w:t>--</w:t>
                        </w:r>
                      </w:p>
                    </w:tc>
                    <w:tc>
                      <w:tcPr>
                        <w:tcW w:w="128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117" w:right="0"/>
                          <w:jc w:val="center"/>
                          <w:rPr>
                            <w:rFonts w:ascii="Times New Roman" w:hAnsi="Times New Roman" w:cs="Times New Roman" w:eastAsia="Times New Roman" w:hint="default"/>
                            <w:sz w:val="18"/>
                            <w:szCs w:val="18"/>
                          </w:rPr>
                        </w:pPr>
                        <w:r>
                          <w:rPr>
                            <w:rFonts w:ascii="Times New Roman"/>
                            <w:sz w:val="18"/>
                          </w:rPr>
                          <w:t>131,860,000.00</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8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5,453,510.08</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before="76"/>
        <w:ind w:left="0" w:right="476"/>
        <w:jc w:val="right"/>
        <w:rPr>
          <w:rFonts w:ascii="Times New Roman" w:hAnsi="Times New Roman" w:cs="Times New Roman" w:eastAsia="Times New Roman" w:hint="default"/>
        </w:rPr>
      </w:pPr>
      <w:r>
        <w:rPr>
          <w:rFonts w:ascii="Times New Roman"/>
        </w:rPr>
        <w:t>22</w: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spacing w:line="371" w:lineRule="exact"/>
        <w:ind w:left="1076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5" name="image1.jpeg" descr=""/>
            <wp:cNvGraphicFramePr>
              <a:graphicFrameLocks noChangeAspect="1"/>
            </wp:cNvGraphicFramePr>
            <a:graphic>
              <a:graphicData uri="http://schemas.openxmlformats.org/drawingml/2006/picture">
                <pic:pic>
                  <pic:nvPicPr>
                    <pic:cNvPr id="6" name="image1.jpeg"/>
                    <pic:cNvPicPr/>
                  </pic:nvPicPr>
                  <pic:blipFill>
                    <a:blip r:embed="rId15"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13"/>
          <w:footerReference w:type="default" r:id="rId14"/>
          <w:pgSz w:w="16840" w:h="11910" w:orient="landscape"/>
          <w:pgMar w:header="0" w:footer="0" w:top="760" w:bottom="0" w:left="1020" w:right="960"/>
        </w:sectPr>
      </w:pPr>
    </w:p>
    <w:p>
      <w:pPr>
        <w:spacing w:line="240" w:lineRule="auto" w:before="4"/>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right="94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44"/>
        <w:ind w:left="0" w:right="1145"/>
        <w:jc w:val="right"/>
      </w:pPr>
      <w:r>
        <w:rPr/>
        <w:pict>
          <v:shape style="position:absolute;margin-left:56.459999pt;margin-top:-252.808258pt;width:479pt;height:381.8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258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2016</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85"/>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16,880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702.63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13,631.54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3,248.46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公司尚未 使用的募 集资金存 放于募集 资金专户 和用于暂 时性补充 流动资金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3,248.46</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16,880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702.63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13,631.54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3,248.46</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3,248.46</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898"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firstLine="540"/>
                          <w:jc w:val="left"/>
                          <w:rPr>
                            <w:rFonts w:ascii="宋体" w:hAnsi="宋体" w:cs="宋体" w:eastAsia="宋体" w:hint="default"/>
                            <w:sz w:val="18"/>
                            <w:szCs w:val="18"/>
                          </w:rPr>
                        </w:pPr>
                        <w:r>
                          <w:rPr>
                            <w:rFonts w:ascii="宋体" w:hAnsi="宋体" w:cs="宋体" w:eastAsia="宋体" w:hint="default"/>
                            <w:spacing w:val="-2"/>
                            <w:sz w:val="18"/>
                            <w:szCs w:val="18"/>
                          </w:rPr>
                          <w:t>西安环球印务股份有限公司经中国证券监督管理委员会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证监许可［</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1012</w:t>
                        </w:r>
                        <w:r>
                          <w:rPr>
                            <w:rFonts w:ascii="Times New Roman" w:hAnsi="Times New Roman" w:cs="Times New Roman" w:eastAsia="Times New Roman" w:hint="default"/>
                            <w:spacing w:val="34"/>
                            <w:sz w:val="18"/>
                            <w:szCs w:val="18"/>
                          </w:rPr>
                          <w:t> </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文核准，首次向社会公众公开发</w:t>
                        </w:r>
                        <w:r>
                          <w:rPr>
                            <w:rFonts w:ascii="宋体" w:hAnsi="宋体" w:cs="宋体" w:eastAsia="宋体" w:hint="default"/>
                            <w:sz w:val="18"/>
                            <w:szCs w:val="18"/>
                          </w:rPr>
                          <w:t> </w:t>
                        </w:r>
                        <w:r>
                          <w:rPr>
                            <w:rFonts w:ascii="宋体" w:hAnsi="宋体" w:cs="宋体" w:eastAsia="宋体" w:hint="default"/>
                            <w:spacing w:val="-3"/>
                            <w:sz w:val="18"/>
                            <w:szCs w:val="18"/>
                          </w:rPr>
                          <w:t>行人民币普通股（</w:t>
                        </w:r>
                        <w:r>
                          <w:rPr>
                            <w:rFonts w:ascii="Times New Roman" w:hAnsi="Times New Roman" w:cs="Times New Roman" w:eastAsia="Times New Roman" w:hint="default"/>
                            <w:spacing w:val="-3"/>
                            <w:sz w:val="18"/>
                            <w:szCs w:val="18"/>
                          </w:rPr>
                          <w:t>A </w:t>
                        </w:r>
                        <w:r>
                          <w:rPr>
                            <w:rFonts w:ascii="宋体" w:hAnsi="宋体" w:cs="宋体" w:eastAsia="宋体" w:hint="default"/>
                            <w:spacing w:val="-6"/>
                            <w:sz w:val="18"/>
                            <w:szCs w:val="18"/>
                          </w:rPr>
                          <w:t>股）股票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万股并于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日在深圳证券交易所上市，发行价格为每股人民币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共计募集资金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19,950.00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万元，扣除发行费用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3,070.00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万元后，募集资金净额为人民币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16,880.00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万元。希格玛会计师事务</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所（特殊普通合伙）对公司本次公开发行股票的募集资金到位情况进行了审验，于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日出具了</w:t>
                        </w:r>
                        <w:r>
                          <w:rPr>
                            <w:rFonts w:ascii="Times New Roman" w:hAnsi="Times New Roman" w:cs="Times New Roman" w:eastAsia="Times New Roman" w:hint="default"/>
                            <w:sz w:val="18"/>
                            <w:szCs w:val="18"/>
                          </w:rPr>
                          <w:t>“</w:t>
                        </w:r>
                        <w:r>
                          <w:rPr>
                            <w:rFonts w:ascii="宋体" w:hAnsi="宋体" w:cs="宋体" w:eastAsia="宋体" w:hint="default"/>
                            <w:sz w:val="18"/>
                            <w:szCs w:val="18"/>
                          </w:rPr>
                          <w:t>希会验字</w:t>
                        </w:r>
                      </w:p>
                      <w:p>
                        <w:pPr>
                          <w:pStyle w:val="TableParagraph"/>
                          <w:spacing w:line="309" w:lineRule="auto" w:before="63"/>
                          <w:ind w:left="22" w:right="21"/>
                          <w:jc w:val="both"/>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[2016]0046</w:t>
                        </w:r>
                        <w:r>
                          <w:rPr>
                            <w:rFonts w:ascii="Times New Roman" w:hAnsi="Times New Roman" w:cs="Times New Roman" w:eastAsia="Times New Roman" w:hint="default"/>
                            <w:w w:val="99"/>
                            <w:sz w:val="18"/>
                            <w:szCs w:val="18"/>
                          </w:rPr>
                          <w:t> </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《验资报告》，确认募集资金到账。为规范公司募集资金管理和使用，保护投资者权益，公司设立了相关募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集资金专项账户。募集资金到账后，已全部存放于募集资金专项账户内，并与保荐机构、存放募集资金的商业银行签署了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募集资金三方监管协议。截止报告期末，募集资金累计投入总额为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13,631.54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万元（含使用募集资金置换前期已预先投入</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的自筹资金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8,062.61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，经公司第四届董事会第十二次会议审议通过同意公司使用人民币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万元闲置募集资金</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暂时补充流动资金，报告期末募集资金账户余额为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1,763</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万元（含利息收入及手续费支出</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Heading4"/>
        <w:spacing w:line="240" w:lineRule="auto" w:before="35"/>
        <w:ind w:right="940"/>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footerReference w:type="default" r:id="rId16"/>
          <w:pgSz w:w="11910" w:h="16840"/>
          <w:pgMar w:footer="979" w:header="0" w:top="1500" w:bottom="1160" w:left="980" w:right="0"/>
          <w:pgNumType w:start="23"/>
        </w:sectPr>
      </w:pPr>
    </w:p>
    <w:p>
      <w:pPr>
        <w:spacing w:line="240" w:lineRule="auto" w:before="12"/>
        <w:rPr>
          <w:rFonts w:ascii="宋体" w:hAnsi="宋体" w:cs="宋体" w:eastAsia="宋体" w:hint="default"/>
          <w:sz w:val="2"/>
          <w:szCs w:val="2"/>
        </w:rPr>
      </w:pPr>
      <w:r>
        <w:rPr/>
        <w:pict>
          <v:shape style="position:absolute;margin-left:56.459999pt;margin-top:95.999985pt;width:479.2pt;height:655.3pt;mso-position-horizontal-relative:page;mso-position-vertical-relative:page;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、增资天津环球用于 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亿只药品包装 折叠纸盒项目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7,882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6,641.83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84.27%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、西安环球药品电子 监管码赋码印刷配套 率提升及技改项目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4,438.41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4,438.41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4,438.41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、增资天津环球用于 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亿只药品包装 折叠纸盒电子监管码 配套项目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3,363.11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3,363.11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1,997.71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59.40%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、研发中心建设项目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1,196.48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1,196.48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553.59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center"/>
                          <w:rPr>
                            <w:rFonts w:ascii="Times New Roman" w:hAnsi="Times New Roman" w:cs="Times New Roman" w:eastAsia="Times New Roman" w:hint="default"/>
                            <w:sz w:val="18"/>
                            <w:szCs w:val="18"/>
                          </w:rPr>
                        </w:pPr>
                        <w:r>
                          <w:rPr>
                            <w:rFonts w:ascii="Times New Roman"/>
                            <w:sz w:val="18"/>
                          </w:rPr>
                          <w:t>46.27%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16,880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702.63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13,631.54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16,880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702.63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13,631.54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710"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74"/>
                          <w:ind w:left="16"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4"/>
                            <w:sz w:val="18"/>
                            <w:szCs w:val="18"/>
                          </w:rPr>
                          <w:t>日，增资天津环球用于年产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亿只药品包装折叠纸盒电子监管码配套项目</w:t>
                        </w:r>
                      </w:p>
                      <w:p>
                        <w:pPr>
                          <w:pStyle w:val="TableParagraph"/>
                          <w:spacing w:line="360" w:lineRule="auto" w:before="109"/>
                          <w:ind w:left="16" w:right="22"/>
                          <w:jc w:val="left"/>
                          <w:rPr>
                            <w:rFonts w:ascii="宋体" w:hAnsi="宋体" w:cs="宋体" w:eastAsia="宋体" w:hint="default"/>
                            <w:sz w:val="18"/>
                            <w:szCs w:val="18"/>
                          </w:rPr>
                        </w:pPr>
                        <w:r>
                          <w:rPr>
                            <w:rFonts w:ascii="宋体" w:hAnsi="宋体" w:cs="宋体" w:eastAsia="宋体" w:hint="default"/>
                            <w:sz w:val="18"/>
                            <w:szCs w:val="18"/>
                          </w:rPr>
                          <w:t>投资进度为为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59.40%</w:t>
                        </w:r>
                        <w:r>
                          <w:rPr>
                            <w:rFonts w:ascii="宋体" w:hAnsi="宋体" w:cs="宋体" w:eastAsia="宋体" w:hint="default"/>
                            <w:sz w:val="18"/>
                            <w:szCs w:val="18"/>
                          </w:rPr>
                          <w:t>，主要为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月国家食品药品监督管理局出台了《关于推动食品药品生 </w:t>
                        </w:r>
                        <w:r>
                          <w:rPr>
                            <w:rFonts w:ascii="宋体" w:hAnsi="宋体" w:cs="宋体" w:eastAsia="宋体" w:hint="default"/>
                            <w:spacing w:val="-5"/>
                            <w:sz w:val="18"/>
                            <w:szCs w:val="18"/>
                          </w:rPr>
                          <w:t>产经营者完善追溯体系的意见》，意见中明确：药品生产经营企业应承担起药品追溯体系建设的主体</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责任，企业可运用信息技术建立自己的食品药品追溯体系，但各级食品药品监管部门不得强制要求 食品药品生产经营者接受指定的专业信息技术企业的追溯服务。因此公司依据不同客户的药品追溯 的管理需求，对现有电子监管码生产设备进行了升级改造，引进了自动化程度更高的可变数据喷印 生产设备，以及部分配套的智能化生产设备，并对药品追溯数据、生产管理实施信息化项目，建立 </w:t>
                        </w:r>
                        <w:r>
                          <w:rPr>
                            <w:rFonts w:ascii="宋体" w:hAnsi="宋体" w:cs="宋体" w:eastAsia="宋体" w:hint="default"/>
                            <w:spacing w:val="-3"/>
                            <w:sz w:val="18"/>
                            <w:szCs w:val="18"/>
                          </w:rPr>
                          <w:t>全新的智能化生产设备和相配套的智能化生产管理系统，以适应客户采用一维条形码、二维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DM </w:t>
                        </w:r>
                        <w:r>
                          <w:rPr>
                            <w:rFonts w:ascii="宋体" w:hAnsi="宋体" w:cs="宋体" w:eastAsia="宋体" w:hint="default"/>
                            <w:sz w:val="18"/>
                            <w:szCs w:val="18"/>
                          </w:rPr>
                          <w:t>码</w:t>
                        </w:r>
                        <w:r>
                          <w:rPr>
                            <w:rFonts w:ascii="宋体" w:hAnsi="宋体" w:cs="宋体" w:eastAsia="宋体" w:hint="default"/>
                            <w:spacing w:val="-84"/>
                            <w:sz w:val="18"/>
                            <w:szCs w:val="18"/>
                          </w:rPr>
                          <w:t> </w:t>
                        </w:r>
                        <w:r>
                          <w:rPr>
                            <w:rFonts w:ascii="Times New Roman" w:hAnsi="Times New Roman" w:cs="Times New Roman" w:eastAsia="Times New Roman" w:hint="default"/>
                            <w:sz w:val="18"/>
                            <w:szCs w:val="18"/>
                          </w:rPr>
                          <w:t>GS1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码等多样化的溯源码管理要求</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45" w:lineRule="auto" w:before="48"/>
                          <w:ind w:left="16" w:right="68"/>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日，研发中心建设项目投资进度为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46.27%</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年完成研发中心项目各 </w:t>
                        </w:r>
                        <w:r>
                          <w:rPr>
                            <w:rFonts w:ascii="宋体" w:hAnsi="宋体" w:cs="宋体" w:eastAsia="宋体" w:hint="default"/>
                            <w:spacing w:val="-3"/>
                            <w:sz w:val="18"/>
                            <w:szCs w:val="18"/>
                          </w:rPr>
                          <w:t>项手续办理，并获得《施工许可证》。后因进入供暖季，根据陕政发【</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29</w:t>
                        </w:r>
                        <w:r>
                          <w:rPr>
                            <w:rFonts w:ascii="Times New Roman" w:hAnsi="Times New Roman" w:cs="Times New Roman" w:eastAsia="Times New Roman" w:hint="default"/>
                            <w:sz w:val="18"/>
                            <w:szCs w:val="18"/>
                          </w:rPr>
                          <w:t> </w:t>
                        </w:r>
                        <w:r>
                          <w:rPr>
                            <w:rFonts w:ascii="宋体" w:hAnsi="宋体" w:cs="宋体" w:eastAsia="宋体" w:hint="default"/>
                            <w:sz w:val="18"/>
                            <w:szCs w:val="18"/>
                          </w:rPr>
                          <w:t>号《关于落实冬防</w:t>
                        </w:r>
                        <w:r>
                          <w:rPr>
                            <w:rFonts w:ascii="宋体" w:hAnsi="宋体" w:cs="宋体" w:eastAsia="宋体" w:hint="default"/>
                            <w:spacing w:val="-67"/>
                            <w:sz w:val="18"/>
                            <w:szCs w:val="18"/>
                          </w:rPr>
                          <w:t> </w:t>
                        </w:r>
                        <w:r>
                          <w:rPr>
                            <w:rFonts w:ascii="宋体" w:hAnsi="宋体" w:cs="宋体" w:eastAsia="宋体" w:hint="default"/>
                            <w:sz w:val="18"/>
                            <w:szCs w:val="18"/>
                          </w:rPr>
                          <w:t>期</w:t>
                        </w:r>
                        <w:r>
                          <w:rPr>
                            <w:rFonts w:ascii="Times New Roman" w:hAnsi="Times New Roman" w:cs="Times New Roman" w:eastAsia="Times New Roman" w:hint="default"/>
                            <w:sz w:val="18"/>
                            <w:szCs w:val="18"/>
                          </w:rPr>
                          <w:t>“</w:t>
                        </w:r>
                        <w:r>
                          <w:rPr>
                            <w:rFonts w:ascii="宋体" w:hAnsi="宋体" w:cs="宋体" w:eastAsia="宋体" w:hint="default"/>
                            <w:sz w:val="18"/>
                            <w:szCs w:val="18"/>
                          </w:rPr>
                          <w:t>禁土令</w:t>
                        </w:r>
                        <w:r>
                          <w:rPr>
                            <w:rFonts w:ascii="Times New Roman" w:hAnsi="Times New Roman" w:cs="Times New Roman" w:eastAsia="Times New Roman" w:hint="default"/>
                            <w:sz w:val="18"/>
                            <w:szCs w:val="18"/>
                          </w:rPr>
                          <w:t>”</w:t>
                        </w:r>
                        <w:r>
                          <w:rPr>
                            <w:rFonts w:ascii="宋体" w:hAnsi="宋体" w:cs="宋体" w:eastAsia="宋体" w:hint="default"/>
                            <w:sz w:val="18"/>
                            <w:szCs w:val="18"/>
                          </w:rPr>
                          <w:t>的通知》暂停开工。</w:t>
                        </w:r>
                      </w:p>
                    </w:tc>
                  </w:tr>
                  <w:tr>
                    <w:trPr>
                      <w:trHeight w:val="1016"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tcPr>
                      <w:p>
                        <w:pPr/>
                      </w:p>
                    </w:tc>
                  </w:tr>
                  <w:tr>
                    <w:trPr>
                      <w:trHeight w:val="1709"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项目可行性未发生重大变化。</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bl>
                <w:p>
                  <w:pPr/>
                </w:p>
              </w:txbxContent>
            </v:textbox>
            <w10:wrap type="none"/>
          </v:shape>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6"/>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BodyText"/>
        <w:spacing w:line="240" w:lineRule="auto" w:before="44"/>
        <w:ind w:left="0" w:right="1140"/>
        <w:jc w:val="right"/>
      </w:pPr>
      <w:r>
        <w:rPr/>
        <w:t>、</w:t>
      </w:r>
    </w:p>
    <w:p>
      <w:pPr>
        <w:spacing w:after="0" w:line="240" w:lineRule="auto"/>
        <w:jc w:val="right"/>
        <w:sectPr>
          <w:pgSz w:w="11910" w:h="16840"/>
          <w:pgMar w:header="0" w:footer="979" w:top="1500" w:bottom="1160" w:left="980" w:right="0"/>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770"/>
        <w:gridCol w:w="7798"/>
      </w:tblGrid>
      <w:tr>
        <w:trPr>
          <w:trHeight w:val="409" w:hRule="exact"/>
        </w:trPr>
        <w:tc>
          <w:tcPr>
            <w:tcW w:w="1770"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报告期内公司未发生使用募集资金置换预先投入募投项目的情况；截止</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pacing w:val="-9"/>
                <w:sz w:val="18"/>
                <w:szCs w:val="18"/>
              </w:rPr>
              <w:t>日，公司累</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计使用募集资金置换预先投入募投项目的金额为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8,062.61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年度公司使用人民币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万元用于暂时性补充流动资金。截至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日，公司</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已将前述暂时补充流动资金的闲置募集资金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万元全部归还至募集资金专项账户。公司于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日召开第四届董事会第十二次会议，审议通过《关于使用部分募集资金暂时补充流动资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金的议案</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同意公司继续使用人民币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万元闲置募集资金暂时补充流动资金</w:t>
            </w:r>
            <w:r>
              <w:rPr>
                <w:rFonts w:ascii="宋体" w:hAnsi="宋体" w:cs="宋体" w:eastAsia="宋体" w:hint="default"/>
                <w:spacing w:val="-45"/>
                <w:sz w:val="18"/>
                <w:szCs w:val="18"/>
              </w:rPr>
              <w:t>，</w:t>
            </w:r>
            <w:r>
              <w:rPr>
                <w:rFonts w:ascii="宋体" w:hAnsi="宋体" w:cs="宋体" w:eastAsia="宋体" w:hint="default"/>
                <w:sz w:val="18"/>
                <w:szCs w:val="18"/>
              </w:rPr>
              <w:t>用于公司</w:t>
            </w:r>
            <w:r>
              <w:rPr>
                <w:rFonts w:ascii="宋体" w:hAnsi="宋体" w:cs="宋体" w:eastAsia="宋体" w:hint="default"/>
                <w:spacing w:val="1"/>
                <w:sz w:val="18"/>
                <w:szCs w:val="18"/>
              </w:rPr>
              <w:t>与</w:t>
            </w:r>
            <w:r>
              <w:rPr>
                <w:rFonts w:ascii="宋体" w:hAnsi="宋体" w:cs="宋体" w:eastAsia="宋体" w:hint="default"/>
                <w:sz w:val="18"/>
                <w:szCs w:val="18"/>
              </w:rPr>
              <w:t>主</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营业务相关的生产经营等，使用期限自董事会审议批准之日起不超过</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pacing w:val="-5"/>
                <w:sz w:val="18"/>
                <w:szCs w:val="18"/>
              </w:rPr>
              <w:t>个月。公司监事会、独立董</w:t>
            </w:r>
          </w:p>
          <w:p>
            <w:pPr>
              <w:pStyle w:val="TableParagraph"/>
              <w:spacing w:line="302" w:lineRule="auto" w:before="63"/>
              <w:ind w:left="22" w:right="25"/>
              <w:jc w:val="left"/>
              <w:rPr>
                <w:rFonts w:ascii="宋体" w:hAnsi="宋体" w:cs="宋体" w:eastAsia="宋体" w:hint="default"/>
                <w:sz w:val="18"/>
                <w:szCs w:val="18"/>
              </w:rPr>
            </w:pPr>
            <w:r>
              <w:rPr>
                <w:rFonts w:ascii="宋体" w:hAnsi="宋体" w:cs="宋体" w:eastAsia="宋体" w:hint="default"/>
                <w:sz w:val="18"/>
                <w:szCs w:val="18"/>
              </w:rPr>
              <w:t>事、保荐机构发表了同意意见。公司已于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月底将人民币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万元募集资金转入公司 一般银行账户，用于暂时性补充流动资金。</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5"/>
              <w:jc w:val="left"/>
              <w:rPr>
                <w:rFonts w:ascii="宋体" w:hAnsi="宋体" w:cs="宋体" w:eastAsia="宋体" w:hint="default"/>
                <w:sz w:val="18"/>
                <w:szCs w:val="18"/>
              </w:rPr>
            </w:pPr>
            <w:r>
              <w:rPr>
                <w:rFonts w:ascii="宋体" w:hAnsi="宋体" w:cs="宋体" w:eastAsia="宋体" w:hint="default"/>
                <w:sz w:val="18"/>
                <w:szCs w:val="18"/>
              </w:rPr>
              <w:t>公司不存在将募集资金投资项目结余资金用于其他募集资金投资项目或非募集资金投资项目的情 况。</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公司尚未使用的募集资金存放于募集资金专户和用于暂时性补充流动资金。</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64" w:lineRule="auto"/>
              <w:ind w:left="22" w:right="25"/>
              <w:jc w:val="left"/>
              <w:rPr>
                <w:rFonts w:ascii="宋体" w:hAnsi="宋体" w:cs="宋体" w:eastAsia="宋体" w:hint="default"/>
                <w:sz w:val="18"/>
                <w:szCs w:val="18"/>
              </w:rPr>
            </w:pPr>
            <w:r>
              <w:rPr>
                <w:rFonts w:ascii="宋体" w:hAnsi="宋体" w:cs="宋体" w:eastAsia="宋体" w:hint="default"/>
                <w:sz w:val="18"/>
                <w:szCs w:val="18"/>
              </w:rPr>
              <w:t>公司募集资金的使用严格按照有关法律法规及公司招股说明书中规定的用途进行使用，并履行相关 信息披露义务，募集资金的使用及其披露均不存在问题。</w:t>
            </w:r>
          </w:p>
        </w:tc>
      </w:tr>
    </w:tbl>
    <w:p>
      <w:pPr>
        <w:spacing w:line="240" w:lineRule="auto" w:before="2"/>
        <w:rPr>
          <w:rFonts w:ascii="宋体" w:hAnsi="宋体" w:cs="宋体" w:eastAsia="宋体" w:hint="default"/>
          <w:sz w:val="19"/>
          <w:szCs w:val="19"/>
        </w:rPr>
      </w:pPr>
    </w:p>
    <w:p>
      <w:pPr>
        <w:pStyle w:val="Heading4"/>
        <w:spacing w:line="240" w:lineRule="auto" w:before="35"/>
        <w:ind w:left="114" w:right="1360"/>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14"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left="114" w:right="1360"/>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4" w:right="1360"/>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14"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4"/>
        <w:spacing w:line="240" w:lineRule="auto"/>
        <w:ind w:left="114" w:right="1360"/>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0" w:footer="979" w:top="1500" w:bottom="1160" w:left="1020" w:right="0"/>
        </w:sectPr>
      </w:pPr>
    </w:p>
    <w:p>
      <w:pPr>
        <w:pStyle w:val="Heading2"/>
        <w:spacing w:line="240" w:lineRule="auto" w:before="14"/>
        <w:ind w:left="754" w:right="1118"/>
        <w:jc w:val="left"/>
        <w:rPr>
          <w:b w:val="0"/>
          <w:bCs w:val="0"/>
        </w:rPr>
      </w:pPr>
      <w:r>
        <w:rPr/>
        <w:pict>
          <v:group style="position:absolute;margin-left:55.200001pt;margin-top:2.23563pt;width:485pt;height:.1pt;mso-position-horizontal-relative:page;mso-position-vertical-relative:paragraph;z-index:-801088" coordorigin="1104,45" coordsize="9700,2">
            <v:shape style="position:absolute;left:1104;top:45;width:9700;height:2" coordorigin="1104,45" coordsize="9700,0" path="m1104,45l10804,45e" filled="false" stroked="true" strokeweight=".72pt" strokecolor="#000000">
              <v:path arrowok="t"/>
            </v:shape>
            <w10:wrap type="none"/>
          </v:group>
        </w:pict>
      </w:r>
      <w:bookmarkStart w:name="七、主要控股参股公司分析" w:id="57"/>
      <w:bookmarkEnd w:id="57"/>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979" w:top="1500" w:bottom="1160" w:left="380" w:right="0"/>
        </w:sectPr>
      </w:pPr>
    </w:p>
    <w:p>
      <w:pPr>
        <w:pStyle w:val="BodyText"/>
        <w:spacing w:line="240" w:lineRule="auto" w:before="44"/>
        <w:ind w:left="7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754"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753" w:right="0"/>
        <w:jc w:val="left"/>
      </w:pPr>
      <w:r>
        <w:rPr/>
        <w:t>单位：元</w:t>
      </w:r>
    </w:p>
    <w:p>
      <w:pPr>
        <w:spacing w:after="0" w:line="240" w:lineRule="auto"/>
        <w:jc w:val="left"/>
        <w:sectPr>
          <w:type w:val="continuous"/>
          <w:pgSz w:w="11910" w:h="16840"/>
          <w:pgMar w:top="1580" w:bottom="700" w:left="380" w:right="0"/>
          <w:cols w:num="2" w:equalWidth="0">
            <w:col w:w="5449" w:space="3470"/>
            <w:col w:w="261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40"/>
        <w:gridCol w:w="930"/>
        <w:gridCol w:w="1134"/>
        <w:gridCol w:w="1222"/>
        <w:gridCol w:w="1189"/>
        <w:gridCol w:w="1274"/>
        <w:gridCol w:w="1277"/>
        <w:gridCol w:w="1276"/>
        <w:gridCol w:w="1276"/>
      </w:tblGrid>
      <w:tr>
        <w:trPr>
          <w:trHeight w:val="402"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宋体" w:hAnsi="宋体" w:cs="宋体" w:eastAsia="宋体" w:hint="default"/>
                <w:sz w:val="18"/>
                <w:szCs w:val="18"/>
              </w:rPr>
              <w:t>主要业务</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5"/>
              <w:jc w:val="left"/>
              <w:rPr>
                <w:rFonts w:ascii="宋体" w:hAnsi="宋体" w:cs="宋体" w:eastAsia="宋体" w:hint="default"/>
                <w:sz w:val="18"/>
                <w:szCs w:val="18"/>
              </w:rPr>
            </w:pPr>
            <w:r>
              <w:rPr>
                <w:rFonts w:ascii="宋体" w:hAnsi="宋体" w:cs="宋体" w:eastAsia="宋体" w:hint="default"/>
                <w:sz w:val="18"/>
                <w:szCs w:val="18"/>
              </w:rPr>
              <w:t>陕西永鑫纸业包 装有限公司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8"/>
              <w:jc w:val="left"/>
              <w:rPr>
                <w:rFonts w:ascii="宋体" w:hAnsi="宋体" w:cs="宋体" w:eastAsia="宋体" w:hint="default"/>
                <w:sz w:val="18"/>
                <w:szCs w:val="18"/>
              </w:rPr>
            </w:pPr>
            <w:r>
              <w:rPr>
                <w:rFonts w:ascii="宋体" w:hAnsi="宋体" w:cs="宋体" w:eastAsia="宋体" w:hint="default"/>
                <w:sz w:val="18"/>
                <w:szCs w:val="18"/>
              </w:rPr>
              <w:t>包装装潢及 其他印刷</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70,146,909.00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36,779,787.79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71,137,044.92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847,833.38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1,761,604.48</w:t>
            </w:r>
          </w:p>
        </w:tc>
      </w:tr>
      <w:tr>
        <w:trPr>
          <w:trHeight w:val="714"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5"/>
              <w:jc w:val="left"/>
              <w:rPr>
                <w:rFonts w:ascii="宋体" w:hAnsi="宋体" w:cs="宋体" w:eastAsia="宋体" w:hint="default"/>
                <w:sz w:val="18"/>
                <w:szCs w:val="18"/>
              </w:rPr>
            </w:pPr>
            <w:r>
              <w:rPr>
                <w:rFonts w:ascii="宋体" w:hAnsi="宋体" w:cs="宋体" w:eastAsia="宋体" w:hint="default"/>
                <w:sz w:val="18"/>
                <w:szCs w:val="18"/>
              </w:rPr>
              <w:t>西安永旭创新服 务有限公司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8"/>
              <w:jc w:val="left"/>
              <w:rPr>
                <w:rFonts w:ascii="宋体" w:hAnsi="宋体" w:cs="宋体" w:eastAsia="宋体" w:hint="default"/>
                <w:sz w:val="18"/>
                <w:szCs w:val="18"/>
              </w:rPr>
            </w:pPr>
            <w:r>
              <w:rPr>
                <w:rFonts w:ascii="宋体" w:hAnsi="宋体" w:cs="宋体" w:eastAsia="宋体" w:hint="default"/>
                <w:sz w:val="18"/>
                <w:szCs w:val="18"/>
              </w:rPr>
              <w:t>设计加工硬 式礼盒</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33,903,836.67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2,962,034.77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10,138,883.52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-11,109,375.96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-11,530,209.08</w:t>
            </w:r>
          </w:p>
        </w:tc>
      </w:tr>
      <w:tr>
        <w:trPr>
          <w:trHeight w:val="714"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5"/>
              <w:jc w:val="left"/>
              <w:rPr>
                <w:rFonts w:ascii="宋体" w:hAnsi="宋体" w:cs="宋体" w:eastAsia="宋体" w:hint="default"/>
                <w:sz w:val="18"/>
                <w:szCs w:val="18"/>
              </w:rPr>
            </w:pPr>
            <w:r>
              <w:rPr>
                <w:rFonts w:ascii="宋体" w:hAnsi="宋体" w:cs="宋体" w:eastAsia="宋体" w:hint="default"/>
                <w:sz w:val="18"/>
                <w:szCs w:val="18"/>
              </w:rPr>
              <w:t>天津滨海环球印 务有限公司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8"/>
              <w:jc w:val="left"/>
              <w:rPr>
                <w:rFonts w:ascii="宋体" w:hAnsi="宋体" w:cs="宋体" w:eastAsia="宋体" w:hint="default"/>
                <w:sz w:val="18"/>
                <w:szCs w:val="18"/>
              </w:rPr>
            </w:pPr>
            <w:r>
              <w:rPr>
                <w:rFonts w:ascii="宋体" w:hAnsi="宋体" w:cs="宋体" w:eastAsia="宋体" w:hint="default"/>
                <w:sz w:val="18"/>
                <w:szCs w:val="18"/>
              </w:rPr>
              <w:t>包装装潢及 其他印刷</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228,211,838.30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192,762,495.99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132,043,888.77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11,018,590.95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9,739,067.65</w:t>
            </w:r>
          </w:p>
        </w:tc>
      </w:tr>
      <w:tr>
        <w:trPr>
          <w:trHeight w:val="714"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5"/>
              <w:jc w:val="left"/>
              <w:rPr>
                <w:rFonts w:ascii="宋体" w:hAnsi="宋体" w:cs="宋体" w:eastAsia="宋体" w:hint="default"/>
                <w:sz w:val="18"/>
                <w:szCs w:val="18"/>
              </w:rPr>
            </w:pPr>
            <w:r>
              <w:rPr>
                <w:rFonts w:ascii="宋体" w:hAnsi="宋体" w:cs="宋体" w:eastAsia="宋体" w:hint="default"/>
                <w:sz w:val="18"/>
                <w:szCs w:val="18"/>
              </w:rPr>
              <w:t>霍尔果斯领凯网 络科技有限公司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8"/>
              <w:jc w:val="left"/>
              <w:rPr>
                <w:rFonts w:ascii="宋体" w:hAnsi="宋体" w:cs="宋体" w:eastAsia="宋体" w:hint="default"/>
                <w:sz w:val="18"/>
                <w:szCs w:val="18"/>
              </w:rPr>
            </w:pPr>
            <w:r>
              <w:rPr>
                <w:rFonts w:ascii="宋体" w:hAnsi="宋体" w:cs="宋体" w:eastAsia="宋体" w:hint="default"/>
                <w:sz w:val="18"/>
                <w:szCs w:val="18"/>
              </w:rPr>
              <w:t>信息技术服 务</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65,209,495.28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37,252,136.24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59,424,335.50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9,180,511.81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7,790,728.68</w:t>
            </w:r>
          </w:p>
        </w:tc>
      </w:tr>
      <w:tr>
        <w:trPr>
          <w:trHeight w:val="714"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5"/>
              <w:jc w:val="left"/>
              <w:rPr>
                <w:rFonts w:ascii="宋体" w:hAnsi="宋体" w:cs="宋体" w:eastAsia="宋体" w:hint="default"/>
                <w:sz w:val="18"/>
                <w:szCs w:val="18"/>
              </w:rPr>
            </w:pPr>
            <w:r>
              <w:rPr>
                <w:rFonts w:ascii="宋体" w:hAnsi="宋体" w:cs="宋体" w:eastAsia="宋体" w:hint="default"/>
                <w:sz w:val="18"/>
                <w:szCs w:val="18"/>
              </w:rPr>
              <w:t>西安德宝药用包 装有限公司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金属制品业</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119,415,214.29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101,980,532.81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70,913,680.40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14,840,888.82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12,561,609.65</w:t>
            </w:r>
          </w:p>
        </w:tc>
      </w:tr>
    </w:tbl>
    <w:p>
      <w:pPr>
        <w:pStyle w:val="BodyText"/>
        <w:spacing w:line="240" w:lineRule="auto" w:before="51"/>
        <w:ind w:left="754" w:right="1118"/>
        <w:jc w:val="left"/>
      </w:pPr>
      <w:r>
        <w:rPr/>
        <w:t>报告期内取得和处置子公司的情况</w:t>
      </w:r>
    </w:p>
    <w:p>
      <w:pPr>
        <w:pStyle w:val="BodyText"/>
        <w:spacing w:line="240" w:lineRule="auto" w:before="117"/>
        <w:ind w:left="7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749" w:type="dxa"/>
        <w:tblLayout w:type="fixed"/>
        <w:tblCellMar>
          <w:top w:w="0" w:type="dxa"/>
          <w:left w:w="0" w:type="dxa"/>
          <w:bottom w:w="0" w:type="dxa"/>
          <w:right w:w="0" w:type="dxa"/>
        </w:tblCellMar>
        <w:tblLook w:val="01E0"/>
      </w:tblPr>
      <w:tblGrid>
        <w:gridCol w:w="3189"/>
        <w:gridCol w:w="1348"/>
        <w:gridCol w:w="5246"/>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8" w:right="39"/>
              <w:jc w:val="left"/>
              <w:rPr>
                <w:rFonts w:ascii="宋体" w:hAnsi="宋体" w:cs="宋体" w:eastAsia="宋体" w:hint="default"/>
                <w:sz w:val="18"/>
                <w:szCs w:val="18"/>
              </w:rPr>
            </w:pPr>
            <w:r>
              <w:rPr>
                <w:rFonts w:ascii="宋体" w:hAnsi="宋体" w:cs="宋体" w:eastAsia="宋体" w:hint="default"/>
                <w:sz w:val="18"/>
                <w:szCs w:val="18"/>
              </w:rPr>
              <w:t>报告期内取得和 处置子公司方式</w:t>
            </w:r>
          </w:p>
        </w:tc>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47"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087"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霍尔果斯领凯网络科技有限公司</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股权收购取得</w:t>
            </w:r>
          </w:p>
        </w:tc>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33"/>
              <w:ind w:left="22" w:right="80"/>
              <w:jc w:val="both"/>
              <w:rPr>
                <w:rFonts w:ascii="宋体" w:hAnsi="宋体" w:cs="宋体" w:eastAsia="宋体" w:hint="default"/>
                <w:sz w:val="18"/>
                <w:szCs w:val="18"/>
              </w:rPr>
            </w:pPr>
            <w:r>
              <w:rPr>
                <w:rFonts w:ascii="宋体" w:hAnsi="宋体" w:cs="宋体" w:eastAsia="宋体" w:hint="default"/>
                <w:sz w:val="18"/>
                <w:szCs w:val="18"/>
              </w:rPr>
              <w:t>报告期收购了领凯网络科技</w:t>
            </w:r>
            <w:r>
              <w:rPr>
                <w:rFonts w:ascii="宋体" w:hAnsi="宋体" w:cs="宋体" w:eastAsia="宋体" w:hint="default"/>
                <w:sz w:val="18"/>
                <w:szCs w:val="18"/>
              </w:rPr>
              <w:t>70%</w:t>
            </w:r>
            <w:r>
              <w:rPr>
                <w:rFonts w:ascii="宋体" w:hAnsi="宋体" w:cs="宋体" w:eastAsia="宋体" w:hint="default"/>
                <w:sz w:val="18"/>
                <w:szCs w:val="18"/>
              </w:rPr>
              <w:t>股权，并将其于</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月纳入合 并范围。</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10-12</w:t>
            </w:r>
            <w:r>
              <w:rPr>
                <w:rFonts w:ascii="宋体" w:hAnsi="宋体" w:cs="宋体" w:eastAsia="宋体" w:hint="default"/>
                <w:sz w:val="18"/>
                <w:szCs w:val="18"/>
              </w:rPr>
              <w:t>月，领凯网络科技实现净利润</w:t>
            </w:r>
            <w:r>
              <w:rPr>
                <w:rFonts w:ascii="宋体" w:hAnsi="宋体" w:cs="宋体" w:eastAsia="宋体" w:hint="default"/>
                <w:sz w:val="18"/>
                <w:szCs w:val="18"/>
              </w:rPr>
              <w:t>779.08</w:t>
            </w:r>
            <w:r>
              <w:rPr>
                <w:rFonts w:ascii="宋体" w:hAnsi="宋体" w:cs="宋体" w:eastAsia="宋体" w:hint="default"/>
                <w:sz w:val="18"/>
                <w:szCs w:val="18"/>
              </w:rPr>
              <w:t>万元， 实现归属于母公司的净利润</w:t>
            </w:r>
            <w:r>
              <w:rPr>
                <w:rFonts w:ascii="宋体" w:hAnsi="宋体" w:cs="宋体" w:eastAsia="宋体" w:hint="default"/>
                <w:sz w:val="18"/>
                <w:szCs w:val="18"/>
              </w:rPr>
              <w:t>545.35</w:t>
            </w:r>
            <w:r>
              <w:rPr>
                <w:rFonts w:ascii="宋体" w:hAnsi="宋体" w:cs="宋体" w:eastAsia="宋体" w:hint="default"/>
                <w:sz w:val="18"/>
                <w:szCs w:val="18"/>
              </w:rPr>
              <w:t>万元。</w:t>
            </w:r>
          </w:p>
        </w:tc>
      </w:tr>
    </w:tbl>
    <w:p>
      <w:pPr>
        <w:pStyle w:val="BodyText"/>
        <w:spacing w:line="379" w:lineRule="auto" w:before="51"/>
        <w:ind w:left="1114" w:right="1118" w:hanging="360"/>
        <w:jc w:val="left"/>
      </w:pPr>
      <w:r>
        <w:rPr/>
        <w:t>主要控股参股公司情况说明 </w:t>
      </w:r>
      <w:r>
        <w:rPr>
          <w:spacing w:val="-1"/>
        </w:rPr>
        <w:t>报告期，公司收购了领凯网络科技</w:t>
      </w:r>
      <w:r>
        <w:rPr>
          <w:rFonts w:ascii="Times New Roman" w:hAnsi="Times New Roman" w:cs="Times New Roman" w:eastAsia="Times New Roman" w:hint="default"/>
          <w:spacing w:val="-1"/>
        </w:rPr>
        <w:t>70%</w:t>
      </w:r>
      <w:r>
        <w:rPr>
          <w:spacing w:val="-1"/>
        </w:rPr>
        <w:t>股权，并于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月起将领凯网络科技纳入合并报表范围。领凯网络科技的主</w:t>
      </w:r>
    </w:p>
    <w:p>
      <w:pPr>
        <w:pStyle w:val="BodyText"/>
        <w:spacing w:line="364" w:lineRule="auto"/>
        <w:ind w:left="754" w:right="1118"/>
        <w:jc w:val="left"/>
      </w:pPr>
      <w:r>
        <w:rPr>
          <w:spacing w:val="-2"/>
        </w:rPr>
        <w:t>要业务是移动互联网精准广告投放，旗下拥有技术驱动的整合数字广告平台，能够针对不同客户要求，帮助广告主客户实现</w:t>
      </w:r>
      <w:r>
        <w:rPr>
          <w:spacing w:val="-66"/>
        </w:rPr>
        <w:t> </w:t>
      </w:r>
      <w:r>
        <w:rPr>
          <w:spacing w:val="-66"/>
        </w:rPr>
      </w:r>
      <w:r>
        <w:rPr/>
        <w:t>成本可控、效果透明、安全稳定的精准营销，有效降低推广成本。主要为国内知名</w:t>
      </w:r>
      <w:r>
        <w:rPr>
          <w:rFonts w:ascii="Times New Roman" w:hAnsi="Times New Roman" w:cs="Times New Roman" w:eastAsia="Times New Roman" w:hint="default"/>
        </w:rPr>
        <w:t>APP</w:t>
      </w:r>
      <w:r>
        <w:rPr/>
        <w:t>提供移动端效果营销。</w:t>
      </w:r>
    </w:p>
    <w:p>
      <w:pPr>
        <w:spacing w:line="240" w:lineRule="auto" w:before="0"/>
        <w:rPr>
          <w:rFonts w:ascii="宋体" w:hAnsi="宋体" w:cs="宋体" w:eastAsia="宋体" w:hint="default"/>
          <w:sz w:val="18"/>
          <w:szCs w:val="18"/>
        </w:rPr>
      </w:pPr>
    </w:p>
    <w:p>
      <w:pPr>
        <w:pStyle w:val="Heading2"/>
        <w:spacing w:line="240" w:lineRule="auto"/>
        <w:ind w:left="754" w:right="1118"/>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7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754" w:right="1118"/>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4"/>
        <w:rPr>
          <w:rFonts w:ascii="宋体" w:hAnsi="宋体" w:cs="宋体" w:eastAsia="宋体" w:hint="default"/>
          <w:b/>
          <w:bCs/>
          <w:sz w:val="28"/>
          <w:szCs w:val="28"/>
        </w:rPr>
      </w:pPr>
    </w:p>
    <w:p>
      <w:pPr>
        <w:pStyle w:val="Heading6"/>
        <w:spacing w:line="240" w:lineRule="auto"/>
        <w:ind w:left="754" w:right="1118"/>
        <w:jc w:val="left"/>
        <w:rPr>
          <w:b w:val="0"/>
          <w:bCs w:val="0"/>
        </w:rPr>
      </w:pPr>
      <w:r>
        <w:rPr/>
        <w:t>（一）行业格局和发展趋势</w:t>
      </w:r>
      <w:r>
        <w:rPr>
          <w:b w:val="0"/>
          <w:bCs w:val="0"/>
        </w:rPr>
      </w: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18"/>
          <w:szCs w:val="18"/>
        </w:rPr>
      </w:pPr>
    </w:p>
    <w:p>
      <w:pPr>
        <w:spacing w:line="364" w:lineRule="auto" w:before="0"/>
        <w:ind w:left="1159" w:right="1167" w:hanging="45"/>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、印刷包装行业发展趋势</w:t>
      </w:r>
      <w:r>
        <w:rPr>
          <w:rFonts w:ascii="宋体" w:hAnsi="宋体" w:cs="宋体" w:eastAsia="宋体" w:hint="default"/>
          <w:b/>
          <w:bCs/>
          <w:w w:val="99"/>
          <w:sz w:val="18"/>
          <w:szCs w:val="18"/>
        </w:rPr>
        <w:t> </w:t>
      </w:r>
      <w:r>
        <w:rPr>
          <w:rFonts w:ascii="宋体" w:hAnsi="宋体" w:cs="宋体" w:eastAsia="宋体" w:hint="default"/>
          <w:sz w:val="18"/>
          <w:szCs w:val="18"/>
        </w:rPr>
        <w:t>随着我国国民经济的快速发展和城镇建设的加快，城乡人民的生活品质不断提高，也间接的带动消费市场的增长，通</w:t>
      </w:r>
    </w:p>
    <w:p>
      <w:pPr>
        <w:pStyle w:val="BodyText"/>
        <w:spacing w:line="240" w:lineRule="auto" w:before="29"/>
        <w:ind w:left="754" w:right="1118"/>
        <w:jc w:val="left"/>
      </w:pPr>
      <w:r>
        <w:rPr/>
        <w:t>过产业链传导进一步带动我国包装印刷产业的快速发展。</w:t>
      </w:r>
    </w:p>
    <w:p>
      <w:pPr>
        <w:spacing w:after="0" w:line="240" w:lineRule="auto"/>
        <w:jc w:val="left"/>
        <w:sectPr>
          <w:type w:val="continuous"/>
          <w:pgSz w:w="11910" w:h="16840"/>
          <w:pgMar w:top="1580" w:bottom="700" w:left="3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64" w:lineRule="auto" w:before="27"/>
        <w:ind w:right="1032" w:firstLine="360"/>
        <w:jc w:val="left"/>
      </w:pPr>
      <w:r>
        <w:rPr/>
        <w:t>作为印刷行业的第一大分支，包装印刷广泛服务于国民经济和居民生活中的各个行业，如食品饮料、日化、电子通讯、 </w:t>
      </w:r>
      <w:r>
        <w:rPr>
          <w:spacing w:val="-2"/>
        </w:rPr>
        <w:t>烟草、医药、服装等领域，服务领域广泛，其发展与其下游服务领域的发展状况息息相关。随着我国食品工业、医药、电子</w:t>
      </w:r>
      <w:r>
        <w:rPr>
          <w:spacing w:val="-72"/>
        </w:rPr>
        <w:t> </w:t>
      </w:r>
      <w:r>
        <w:rPr>
          <w:spacing w:val="-72"/>
        </w:rPr>
      </w:r>
      <w:r>
        <w:rPr>
          <w:spacing w:val="-2"/>
        </w:rPr>
        <w:t>信息、电子商务、物流等行业的快速发展，包装印刷行业得到了迅速发展，随着人们消费水平的提高和相关行业新法规标准</w:t>
      </w:r>
      <w:r>
        <w:rPr>
          <w:spacing w:val="-66"/>
        </w:rPr>
        <w:t> </w:t>
      </w:r>
      <w:r>
        <w:rPr>
          <w:spacing w:val="-66"/>
        </w:rPr>
      </w:r>
      <w:r>
        <w:rPr/>
        <w:t>的出台，包装行业将进入快速发展的关键时期。</w:t>
      </w:r>
    </w:p>
    <w:p>
      <w:pPr>
        <w:pStyle w:val="BodyText"/>
        <w:spacing w:line="364" w:lineRule="auto" w:before="29"/>
        <w:ind w:left="514" w:right="1122" w:firstLine="1"/>
        <w:jc w:val="left"/>
      </w:pPr>
      <w:r>
        <w:rPr>
          <w:rFonts w:ascii="宋体" w:hAnsi="宋体" w:cs="宋体" w:eastAsia="宋体" w:hint="default"/>
          <w:b/>
          <w:bCs/>
        </w:rPr>
        <w:t>2</w:t>
      </w:r>
      <w:r>
        <w:rPr>
          <w:rFonts w:ascii="宋体" w:hAnsi="宋体" w:cs="宋体" w:eastAsia="宋体" w:hint="default"/>
          <w:b/>
          <w:bCs/>
        </w:rPr>
        <w:t>、互联网广告行业</w:t>
      </w:r>
      <w:r>
        <w:rPr>
          <w:rFonts w:ascii="宋体" w:hAnsi="宋体" w:cs="宋体" w:eastAsia="宋体" w:hint="default"/>
          <w:b/>
          <w:bCs/>
          <w:w w:val="99"/>
        </w:rPr>
        <w:t> </w:t>
      </w:r>
      <w:r>
        <w:rPr/>
        <w:t>根据艾瑞咨询</w:t>
      </w:r>
      <w:r>
        <w:rPr>
          <w:rFonts w:ascii="宋体" w:hAnsi="宋体" w:cs="宋体" w:eastAsia="宋体" w:hint="default"/>
        </w:rPr>
        <w:t>2016</w:t>
      </w:r>
      <w:r>
        <w:rPr/>
        <w:t>年度中国网络广告核心数据显示，中国网络广告市场规模达到</w:t>
      </w:r>
      <w:r>
        <w:rPr>
          <w:rFonts w:ascii="宋体" w:hAnsi="宋体" w:cs="宋体" w:eastAsia="宋体" w:hint="default"/>
        </w:rPr>
        <w:t>2902.7</w:t>
      </w:r>
      <w:r>
        <w:rPr/>
        <w:t>亿元，同比增长</w:t>
      </w:r>
      <w:r>
        <w:rPr>
          <w:rFonts w:ascii="宋体" w:hAnsi="宋体" w:cs="宋体" w:eastAsia="宋体" w:hint="default"/>
        </w:rPr>
        <w:t>32.9%</w:t>
      </w:r>
      <w:r>
        <w:rPr/>
        <w:t>，较去年</w:t>
      </w:r>
    </w:p>
    <w:p>
      <w:pPr>
        <w:pStyle w:val="BodyText"/>
        <w:spacing w:line="364" w:lineRule="auto" w:before="29"/>
        <w:ind w:right="940"/>
        <w:jc w:val="left"/>
      </w:pPr>
      <w:r>
        <w:rPr>
          <w:spacing w:val="-2"/>
        </w:rPr>
        <w:t>增速有所放缓，但仍保持高位。随着网络广告市场发展不断成熟，预计至</w:t>
      </w:r>
      <w:r>
        <w:rPr>
          <w:rFonts w:ascii="宋体" w:hAnsi="宋体" w:cs="宋体" w:eastAsia="宋体" w:hint="default"/>
          <w:spacing w:val="-2"/>
        </w:rPr>
        <w:t>2019</w:t>
      </w:r>
      <w:r>
        <w:rPr>
          <w:spacing w:val="-2"/>
        </w:rPr>
        <w:t>年整体规模有望突破</w:t>
      </w:r>
      <w:r>
        <w:rPr>
          <w:rFonts w:ascii="宋体" w:hAnsi="宋体" w:cs="宋体" w:eastAsia="宋体" w:hint="default"/>
          <w:spacing w:val="-2"/>
        </w:rPr>
        <w:t>6000</w:t>
      </w:r>
      <w:r>
        <w:rPr>
          <w:spacing w:val="-2"/>
        </w:rPr>
        <w:t>亿元，移动广告市场</w:t>
      </w:r>
      <w:r>
        <w:rPr>
          <w:spacing w:val="-58"/>
        </w:rPr>
        <w:t> </w:t>
      </w:r>
      <w:r>
        <w:rPr>
          <w:spacing w:val="-58"/>
        </w:rPr>
      </w:r>
      <w:r>
        <w:rPr/>
        <w:t>规模将接近</w:t>
      </w:r>
      <w:r>
        <w:rPr>
          <w:rFonts w:ascii="宋体" w:hAnsi="宋体" w:cs="宋体" w:eastAsia="宋体" w:hint="default"/>
        </w:rPr>
        <w:t>5000</w:t>
      </w:r>
      <w:r>
        <w:rPr/>
        <w:t>亿。随着用户使用习惯的转移，未来几年移动广告在整体网络广告中的占比将持续增大。</w:t>
      </w:r>
    </w:p>
    <w:p>
      <w:pPr>
        <w:pStyle w:val="Heading6"/>
        <w:spacing w:line="364" w:lineRule="auto" w:before="29"/>
        <w:ind w:left="606" w:right="5330" w:hanging="182"/>
        <w:jc w:val="left"/>
        <w:rPr>
          <w:b w:val="0"/>
          <w:bCs w:val="0"/>
        </w:rPr>
      </w:pPr>
      <w:r>
        <w:rPr/>
        <w:t>（二）战略定位</w:t>
      </w:r>
      <w:r>
        <w:rPr>
          <w:w w:val="99"/>
        </w:rPr>
        <w:t> </w:t>
      </w:r>
      <w:r>
        <w:rPr>
          <w:rFonts w:ascii="宋体" w:hAnsi="宋体" w:cs="宋体" w:eastAsia="宋体" w:hint="default"/>
        </w:rPr>
        <w:t>1</w:t>
      </w:r>
      <w:r>
        <w:rPr/>
        <w:t>、继续以医药包装为核心，并积极拓展消费品及其它包装领域</w:t>
      </w:r>
      <w:r>
        <w:rPr>
          <w:b w:val="0"/>
          <w:bCs w:val="0"/>
        </w:rPr>
      </w:r>
    </w:p>
    <w:p>
      <w:pPr>
        <w:pStyle w:val="BodyText"/>
        <w:spacing w:line="364" w:lineRule="auto" w:before="29"/>
        <w:ind w:right="1130" w:firstLine="360"/>
        <w:jc w:val="both"/>
      </w:pPr>
      <w:r>
        <w:rPr>
          <w:spacing w:val="-2"/>
        </w:rPr>
        <w:t>公司作为专业的医药包装方案解决供应商，受到医药产业发展情况的影响，与人民生活质量存在较强的相关性，药品的</w:t>
      </w:r>
      <w:r>
        <w:rPr/>
        <w:t> </w:t>
      </w:r>
      <w:r>
        <w:rPr>
          <w:spacing w:val="-2"/>
        </w:rPr>
        <w:t>使用与人类的生命和健康息息相关，医药的需求相对刚性和稳定，使得医药行业成为弱周期性行业。医药产业是国家着力培</w:t>
      </w:r>
      <w:r>
        <w:rPr>
          <w:spacing w:val="-66"/>
        </w:rPr>
        <w:t> </w:t>
      </w:r>
      <w:r>
        <w:rPr>
          <w:spacing w:val="-66"/>
        </w:rPr>
      </w:r>
      <w:r>
        <w:rPr>
          <w:spacing w:val="-2"/>
        </w:rPr>
        <w:t>育的战略性新兴产业之一。从中长期来看，伴随着经济的持续增长、医疗保险体系的逐渐完善、社会老龄化程度的提高以及</w:t>
      </w:r>
      <w:r>
        <w:rPr>
          <w:spacing w:val="-66"/>
        </w:rPr>
        <w:t> </w:t>
      </w:r>
      <w:r>
        <w:rPr>
          <w:spacing w:val="-66"/>
        </w:rPr>
      </w:r>
      <w:r>
        <w:rPr>
          <w:spacing w:val="-2"/>
        </w:rPr>
        <w:t>人们保健意识的不断增强，我国医疗资源、医药行业都会保持着稳健增长。从</w:t>
      </w:r>
      <w:r>
        <w:rPr>
          <w:rFonts w:ascii="宋体" w:hAnsi="宋体" w:cs="宋体" w:eastAsia="宋体" w:hint="default"/>
          <w:spacing w:val="-2"/>
        </w:rPr>
        <w:t>2018</w:t>
      </w:r>
      <w:r>
        <w:rPr>
          <w:spacing w:val="-2"/>
        </w:rPr>
        <w:t>年政策调整、市场环境变化来判断，未来</w:t>
      </w:r>
      <w:r>
        <w:rPr>
          <w:spacing w:val="-62"/>
        </w:rPr>
        <w:t> </w:t>
      </w:r>
      <w:r>
        <w:rPr>
          <w:spacing w:val="-62"/>
        </w:rPr>
      </w:r>
      <w:r>
        <w:rPr>
          <w:spacing w:val="-2"/>
        </w:rPr>
        <w:t>医药行业的集中度、产品集中度都将会大幅度提高，围绕行业的供应链竞争将会愈发激烈。同时，公司也将积极拓展消费品</w:t>
      </w:r>
      <w:r>
        <w:rPr>
          <w:spacing w:val="-65"/>
        </w:rPr>
        <w:t> </w:t>
      </w:r>
      <w:r>
        <w:rPr>
          <w:spacing w:val="-65"/>
        </w:rPr>
      </w:r>
      <w:r>
        <w:rPr/>
        <w:t>及其它包装领域，寻找更高价值的新市场，谋求更高速的发展。</w:t>
      </w:r>
    </w:p>
    <w:p>
      <w:pPr>
        <w:spacing w:line="364" w:lineRule="auto" w:before="29"/>
        <w:ind w:left="514" w:right="940" w:firstLine="92"/>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、以供应链管理为切入点，整合行业资源，打造“互联网</w:t>
      </w:r>
      <w:r>
        <w:rPr>
          <w:rFonts w:ascii="宋体" w:hAnsi="宋体" w:cs="宋体" w:eastAsia="宋体" w:hint="default"/>
          <w:b/>
          <w:bCs/>
          <w:sz w:val="18"/>
          <w:szCs w:val="18"/>
        </w:rPr>
        <w:t>+</w:t>
      </w:r>
      <w:r>
        <w:rPr>
          <w:rFonts w:ascii="宋体" w:hAnsi="宋体" w:cs="宋体" w:eastAsia="宋体" w:hint="default"/>
          <w:b/>
          <w:bCs/>
          <w:sz w:val="18"/>
          <w:szCs w:val="18"/>
        </w:rPr>
        <w:t>”前沿企业</w:t>
      </w:r>
      <w:r>
        <w:rPr>
          <w:rFonts w:ascii="宋体" w:hAnsi="宋体" w:cs="宋体" w:eastAsia="宋体" w:hint="default"/>
          <w:b/>
          <w:bCs/>
          <w:w w:val="99"/>
          <w:sz w:val="18"/>
          <w:szCs w:val="18"/>
        </w:rPr>
        <w:t> </w:t>
      </w:r>
      <w:r>
        <w:rPr>
          <w:rFonts w:ascii="宋体" w:hAnsi="宋体" w:cs="宋体" w:eastAsia="宋体" w:hint="default"/>
          <w:spacing w:val="-2"/>
          <w:sz w:val="18"/>
          <w:szCs w:val="18"/>
        </w:rPr>
        <w:t>面对印刷包装行业集中度不高、需求分散的特点，公司将围绕印刷包装行业全供应链管理方面积极寻求突破，打造服务</w:t>
      </w:r>
    </w:p>
    <w:p>
      <w:pPr>
        <w:spacing w:line="364" w:lineRule="auto" w:before="29"/>
        <w:ind w:left="514" w:right="940" w:hanging="360"/>
        <w:jc w:val="left"/>
        <w:rPr>
          <w:rFonts w:ascii="宋体" w:hAnsi="宋体" w:cs="宋体" w:eastAsia="宋体" w:hint="default"/>
          <w:sz w:val="18"/>
          <w:szCs w:val="18"/>
        </w:rPr>
      </w:pPr>
      <w:r>
        <w:rPr>
          <w:rFonts w:ascii="宋体" w:hAnsi="宋体" w:cs="宋体" w:eastAsia="宋体" w:hint="default"/>
          <w:sz w:val="18"/>
          <w:szCs w:val="18"/>
        </w:rPr>
        <w:t>于印刷包装行业涵盖信息流、物流、资金流的智能化印刷包装“电商交易</w:t>
      </w:r>
      <w:r>
        <w:rPr>
          <w:rFonts w:ascii="宋体" w:hAnsi="宋体" w:cs="宋体" w:eastAsia="宋体" w:hint="default"/>
          <w:sz w:val="18"/>
          <w:szCs w:val="18"/>
        </w:rPr>
        <w:t>+</w:t>
      </w:r>
      <w:r>
        <w:rPr>
          <w:rFonts w:ascii="宋体" w:hAnsi="宋体" w:cs="宋体" w:eastAsia="宋体" w:hint="default"/>
          <w:sz w:val="18"/>
          <w:szCs w:val="18"/>
        </w:rPr>
        <w:t>物流</w:t>
      </w:r>
      <w:r>
        <w:rPr>
          <w:rFonts w:ascii="宋体" w:hAnsi="宋体" w:cs="宋体" w:eastAsia="宋体" w:hint="default"/>
          <w:sz w:val="18"/>
          <w:szCs w:val="18"/>
        </w:rPr>
        <w:t>+</w:t>
      </w:r>
      <w:r>
        <w:rPr>
          <w:rFonts w:ascii="宋体" w:hAnsi="宋体" w:cs="宋体" w:eastAsia="宋体" w:hint="default"/>
          <w:sz w:val="18"/>
          <w:szCs w:val="18"/>
        </w:rPr>
        <w:t>供应链金融”平台。 </w:t>
      </w:r>
      <w:r>
        <w:rPr>
          <w:rFonts w:ascii="宋体" w:hAnsi="宋体" w:cs="宋体" w:eastAsia="宋体" w:hint="default"/>
          <w:b/>
          <w:bCs/>
          <w:sz w:val="18"/>
          <w:szCs w:val="18"/>
        </w:rPr>
        <w:t>3</w:t>
      </w:r>
      <w:r>
        <w:rPr>
          <w:rFonts w:ascii="宋体" w:hAnsi="宋体" w:cs="宋体" w:eastAsia="宋体" w:hint="default"/>
          <w:b/>
          <w:bCs/>
          <w:sz w:val="18"/>
          <w:szCs w:val="18"/>
        </w:rPr>
        <w:t>、以领凯网络科技为平台，为客户提供增值服务</w:t>
      </w:r>
      <w:r>
        <w:rPr>
          <w:rFonts w:ascii="宋体" w:hAnsi="宋体" w:cs="宋体" w:eastAsia="宋体" w:hint="default"/>
          <w:b/>
          <w:bCs/>
          <w:w w:val="99"/>
          <w:sz w:val="18"/>
          <w:szCs w:val="18"/>
        </w:rPr>
        <w:t> </w:t>
      </w:r>
      <w:r>
        <w:rPr>
          <w:rFonts w:ascii="宋体" w:hAnsi="宋体" w:cs="宋体" w:eastAsia="宋体" w:hint="default"/>
          <w:sz w:val="18"/>
          <w:szCs w:val="18"/>
        </w:rPr>
        <w:t>借助领凯网络科技的互联网精准营销优势，利用现有的市场网络，整合资源，为客户提供增值服务，增加客户粘性。 </w:t>
      </w:r>
      <w:r>
        <w:rPr>
          <w:rFonts w:ascii="宋体" w:hAnsi="宋体" w:cs="宋体" w:eastAsia="宋体" w:hint="default"/>
          <w:b/>
          <w:bCs/>
          <w:sz w:val="18"/>
          <w:szCs w:val="18"/>
        </w:rPr>
        <w:t>4</w:t>
      </w:r>
      <w:r>
        <w:rPr>
          <w:rFonts w:ascii="宋体" w:hAnsi="宋体" w:cs="宋体" w:eastAsia="宋体" w:hint="default"/>
          <w:b/>
          <w:bCs/>
          <w:sz w:val="18"/>
          <w:szCs w:val="18"/>
        </w:rPr>
        <w:t>、践行“互联网</w:t>
      </w:r>
      <w:r>
        <w:rPr>
          <w:rFonts w:ascii="宋体" w:hAnsi="宋体" w:cs="宋体" w:eastAsia="宋体" w:hint="default"/>
          <w:b/>
          <w:bCs/>
          <w:sz w:val="18"/>
          <w:szCs w:val="18"/>
        </w:rPr>
        <w:t>+</w:t>
      </w:r>
      <w:r>
        <w:rPr>
          <w:rFonts w:ascii="宋体" w:hAnsi="宋体" w:cs="宋体" w:eastAsia="宋体" w:hint="default"/>
          <w:b/>
          <w:bCs/>
          <w:sz w:val="18"/>
          <w:szCs w:val="18"/>
        </w:rPr>
        <w:t>”战略，打造智能制造基地</w:t>
      </w:r>
      <w:r>
        <w:rPr>
          <w:rFonts w:ascii="宋体" w:hAnsi="宋体" w:cs="宋体" w:eastAsia="宋体" w:hint="default"/>
          <w:b/>
          <w:bCs/>
          <w:w w:val="99"/>
          <w:sz w:val="18"/>
          <w:szCs w:val="18"/>
        </w:rPr>
        <w:t> </w:t>
      </w:r>
      <w:r>
        <w:rPr>
          <w:rFonts w:ascii="宋体" w:hAnsi="宋体" w:cs="宋体" w:eastAsia="宋体" w:hint="default"/>
          <w:spacing w:val="-2"/>
          <w:sz w:val="18"/>
          <w:szCs w:val="18"/>
        </w:rPr>
        <w:t>公司未来几年内，进一步整合不同业态的生产基地、研发中心、供应链管理中心，进行产业升级，实现工业互联，打造</w:t>
      </w:r>
    </w:p>
    <w:p>
      <w:pPr>
        <w:pStyle w:val="BodyText"/>
        <w:spacing w:line="240" w:lineRule="auto" w:before="29"/>
        <w:ind w:right="940"/>
        <w:jc w:val="left"/>
      </w:pPr>
      <w:r>
        <w:rPr/>
        <w:t>领先于行业的“智能制造基地”。</w:t>
      </w:r>
    </w:p>
    <w:p>
      <w:pPr>
        <w:spacing w:line="364" w:lineRule="auto" w:before="123"/>
        <w:ind w:left="606" w:right="1025" w:hanging="182"/>
        <w:jc w:val="left"/>
        <w:rPr>
          <w:rFonts w:ascii="宋体" w:hAnsi="宋体" w:cs="宋体" w:eastAsia="宋体" w:hint="default"/>
          <w:sz w:val="18"/>
          <w:szCs w:val="18"/>
        </w:rPr>
      </w:pPr>
      <w:r>
        <w:rPr>
          <w:rFonts w:ascii="宋体" w:hAnsi="宋体" w:cs="宋体" w:eastAsia="宋体" w:hint="default"/>
          <w:b/>
          <w:bCs/>
          <w:sz w:val="18"/>
          <w:szCs w:val="18"/>
        </w:rPr>
        <w:t>（三）</w:t>
      </w:r>
      <w:r>
        <w:rPr>
          <w:rFonts w:ascii="宋体" w:hAnsi="宋体" w:cs="宋体" w:eastAsia="宋体" w:hint="default"/>
          <w:b/>
          <w:bCs/>
          <w:sz w:val="18"/>
          <w:szCs w:val="18"/>
        </w:rPr>
        <w:t>2019</w:t>
      </w:r>
      <w:r>
        <w:rPr>
          <w:rFonts w:ascii="宋体" w:hAnsi="宋体" w:cs="宋体" w:eastAsia="宋体" w:hint="default"/>
          <w:b/>
          <w:bCs/>
          <w:sz w:val="18"/>
          <w:szCs w:val="18"/>
        </w:rPr>
        <w:t>年公司发展方向及举措</w:t>
      </w:r>
      <w:r>
        <w:rPr>
          <w:rFonts w:ascii="宋体" w:hAnsi="宋体" w:cs="宋体" w:eastAsia="宋体" w:hint="default"/>
          <w:b/>
          <w:bCs/>
          <w:w w:val="99"/>
          <w:sz w:val="18"/>
          <w:szCs w:val="18"/>
        </w:rPr>
        <w:t> </w:t>
      </w:r>
      <w:r>
        <w:rPr>
          <w:rFonts w:ascii="宋体" w:hAnsi="宋体" w:cs="宋体" w:eastAsia="宋体" w:hint="default"/>
          <w:b/>
          <w:bCs/>
          <w:sz w:val="18"/>
          <w:szCs w:val="18"/>
        </w:rPr>
        <w:t>1</w:t>
      </w:r>
      <w:r>
        <w:rPr>
          <w:rFonts w:ascii="宋体" w:hAnsi="宋体" w:cs="宋体" w:eastAsia="宋体" w:hint="default"/>
          <w:b/>
          <w:bCs/>
          <w:sz w:val="18"/>
          <w:szCs w:val="18"/>
        </w:rPr>
        <w:t>、发展方向。</w:t>
      </w:r>
      <w:r>
        <w:rPr>
          <w:rFonts w:ascii="宋体" w:hAnsi="宋体" w:cs="宋体" w:eastAsia="宋体" w:hint="default"/>
          <w:sz w:val="18"/>
          <w:szCs w:val="18"/>
        </w:rPr>
        <w:t>2019</w:t>
      </w:r>
      <w:r>
        <w:rPr>
          <w:rFonts w:ascii="宋体" w:hAnsi="宋体" w:cs="宋体" w:eastAsia="宋体" w:hint="default"/>
          <w:sz w:val="18"/>
          <w:szCs w:val="18"/>
        </w:rPr>
        <w:t>年，公司紧紧围绕“质量、效益、管理”三大主题，细分不同业务板块的成本、费用及利润目标，</w:t>
      </w:r>
    </w:p>
    <w:p>
      <w:pPr>
        <w:pStyle w:val="BodyText"/>
        <w:spacing w:line="364" w:lineRule="auto" w:before="29"/>
        <w:ind w:right="940"/>
        <w:jc w:val="left"/>
      </w:pPr>
      <w:r>
        <w:rPr>
          <w:spacing w:val="-2"/>
        </w:rPr>
        <w:t>细化考核单元；加强各业务板块管理，优化结构，提高质量，向管理要效益；进一步积极拓展互联网精准营销业务，针对新</w:t>
      </w:r>
      <w:r>
        <w:rPr>
          <w:spacing w:val="-68"/>
        </w:rPr>
        <w:t> </w:t>
      </w:r>
      <w:r>
        <w:rPr>
          <w:spacing w:val="-68"/>
        </w:rPr>
      </w:r>
      <w:r>
        <w:rPr/>
        <w:t>的互联网营销形式，实现业务增长，业绩提升；持续发挥资本市场融资功能，围绕主业拓展项目并购。</w:t>
      </w:r>
    </w:p>
    <w:p>
      <w:pPr>
        <w:pStyle w:val="BodyText"/>
        <w:spacing w:line="364" w:lineRule="auto" w:before="29"/>
        <w:ind w:right="1197" w:firstLine="452"/>
        <w:jc w:val="left"/>
      </w:pPr>
      <w:r>
        <w:rPr>
          <w:rFonts w:ascii="宋体" w:hAnsi="宋体" w:cs="宋体" w:eastAsia="宋体" w:hint="default"/>
          <w:b/>
          <w:bCs/>
        </w:rPr>
        <w:t>2</w:t>
      </w:r>
      <w:r>
        <w:rPr>
          <w:rFonts w:ascii="宋体" w:hAnsi="宋体" w:cs="宋体" w:eastAsia="宋体" w:hint="default"/>
          <w:b/>
          <w:bCs/>
        </w:rPr>
        <w:t>、加大推动投融资及相关项目前期工作。</w:t>
      </w:r>
      <w:r>
        <w:rPr/>
        <w:t>（</w:t>
      </w:r>
      <w:r>
        <w:rPr>
          <w:rFonts w:ascii="宋体" w:hAnsi="宋体" w:cs="宋体" w:eastAsia="宋体" w:hint="default"/>
        </w:rPr>
        <w:t>1</w:t>
      </w:r>
      <w:r>
        <w:rPr/>
        <w:t>）完成研发中心建设项目，为研发创新工作打造前沿基地；（</w:t>
      </w:r>
      <w:r>
        <w:rPr>
          <w:rFonts w:ascii="宋体" w:hAnsi="宋体" w:cs="宋体" w:eastAsia="宋体" w:hint="default"/>
        </w:rPr>
        <w:t>2</w:t>
      </w:r>
      <w:r>
        <w:rPr/>
        <w:t>）加大 设备技术改造，引进天津环球第三条生产线；（</w:t>
      </w:r>
      <w:r>
        <w:rPr>
          <w:rFonts w:ascii="宋体" w:hAnsi="宋体" w:cs="宋体" w:eastAsia="宋体" w:hint="default"/>
        </w:rPr>
        <w:t>3</w:t>
      </w:r>
      <w:r>
        <w:rPr/>
        <w:t>）继续作好“华东项目”调研工作；（</w:t>
      </w:r>
      <w:r>
        <w:rPr>
          <w:rFonts w:ascii="宋体" w:hAnsi="宋体" w:cs="宋体" w:eastAsia="宋体" w:hint="default"/>
        </w:rPr>
        <w:t>4</w:t>
      </w:r>
      <w:r>
        <w:rPr/>
        <w:t>）筹备智能制造基地项目。</w:t>
      </w:r>
    </w:p>
    <w:p>
      <w:pPr>
        <w:pStyle w:val="BodyText"/>
        <w:spacing w:line="364" w:lineRule="auto" w:before="29"/>
        <w:ind w:right="1032" w:firstLine="452"/>
        <w:jc w:val="left"/>
      </w:pPr>
      <w:r>
        <w:rPr>
          <w:rFonts w:ascii="宋体" w:hAnsi="宋体" w:cs="宋体" w:eastAsia="宋体" w:hint="default"/>
          <w:b/>
          <w:bCs/>
        </w:rPr>
        <w:t>3</w:t>
      </w:r>
      <w:r>
        <w:rPr>
          <w:rFonts w:ascii="宋体" w:hAnsi="宋体" w:cs="宋体" w:eastAsia="宋体" w:hint="default"/>
          <w:b/>
          <w:bCs/>
        </w:rPr>
        <w:t>、以质量效益为中心，提升经济运行水平。</w:t>
      </w:r>
      <w:r>
        <w:rPr/>
        <w:t>进一步提高运行质量，真正向管理要效益；充分发挥主业带动作用，能 够更好的为公司品牌客户提供增值服务；优化客户结构，应对行业变化；建立科学有效的数据模型，对客户结构进行优化，</w:t>
      </w:r>
      <w:r>
        <w:rPr>
          <w:spacing w:val="-85"/>
        </w:rPr>
        <w:t> </w:t>
      </w:r>
      <w:r>
        <w:rPr>
          <w:spacing w:val="-85"/>
        </w:rPr>
      </w:r>
      <w:r>
        <w:rPr/>
        <w:t>提高客户群体质量，增加公司效益。</w:t>
      </w:r>
    </w:p>
    <w:p>
      <w:pPr>
        <w:spacing w:line="364" w:lineRule="auto" w:before="29"/>
        <w:ind w:left="154" w:right="940" w:firstLine="452"/>
        <w:jc w:val="left"/>
        <w:rPr>
          <w:rFonts w:ascii="宋体" w:hAnsi="宋体" w:cs="宋体" w:eastAsia="宋体" w:hint="default"/>
          <w:sz w:val="18"/>
          <w:szCs w:val="18"/>
        </w:rPr>
      </w:pPr>
      <w:r>
        <w:rPr>
          <w:rFonts w:ascii="宋体" w:hAnsi="宋体" w:cs="宋体" w:eastAsia="宋体" w:hint="default"/>
          <w:b/>
          <w:bCs/>
          <w:w w:val="95"/>
          <w:sz w:val="18"/>
          <w:szCs w:val="18"/>
        </w:rPr>
        <w:t>4</w:t>
      </w:r>
      <w:r>
        <w:rPr>
          <w:rFonts w:ascii="宋体" w:hAnsi="宋体" w:cs="宋体" w:eastAsia="宋体" w:hint="default"/>
          <w:b/>
          <w:bCs/>
          <w:w w:val="95"/>
          <w:sz w:val="18"/>
          <w:szCs w:val="18"/>
        </w:rPr>
        <w:t>、严抓生产管理，提质增效促效益。</w:t>
      </w:r>
      <w:r>
        <w:rPr>
          <w:rFonts w:ascii="宋体" w:hAnsi="宋体" w:cs="宋体" w:eastAsia="宋体" w:hint="default"/>
          <w:w w:val="95"/>
          <w:sz w:val="18"/>
          <w:szCs w:val="18"/>
        </w:rPr>
        <w:t>借助印刷标准化的深入开展，建立生产全工序改进项目，推进</w:t>
      </w:r>
      <w:r>
        <w:rPr>
          <w:rFonts w:ascii="宋体" w:hAnsi="宋体" w:cs="宋体" w:eastAsia="宋体" w:hint="default"/>
          <w:w w:val="95"/>
          <w:sz w:val="18"/>
          <w:szCs w:val="18"/>
        </w:rPr>
        <w:t>QEO</w:t>
      </w:r>
      <w:r>
        <w:rPr>
          <w:rFonts w:ascii="宋体" w:hAnsi="宋体" w:cs="宋体" w:eastAsia="宋体" w:hint="default"/>
          <w:w w:val="95"/>
          <w:sz w:val="18"/>
          <w:szCs w:val="18"/>
        </w:rPr>
        <w:t>管理体系的全</w:t>
      </w:r>
      <w:r>
        <w:rPr>
          <w:rFonts w:ascii="宋体" w:hAnsi="宋体" w:cs="宋体" w:eastAsia="宋体" w:hint="default"/>
          <w:sz w:val="18"/>
          <w:szCs w:val="18"/>
        </w:rPr>
        <w:t> 面升级，最终实现产品质量水平的全面提高。</w:t>
      </w:r>
    </w:p>
    <w:p>
      <w:pPr>
        <w:spacing w:before="30"/>
        <w:ind w:left="606" w:right="940" w:firstLine="0"/>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、加强内部控制体系建设，发挥内部审计监督职能。</w:t>
      </w:r>
      <w:r>
        <w:rPr>
          <w:rFonts w:ascii="宋体" w:hAnsi="宋体" w:cs="宋体" w:eastAsia="宋体" w:hint="default"/>
          <w:sz w:val="18"/>
          <w:szCs w:val="18"/>
        </w:rPr>
        <w:t>内部控制体系的建设与完善是伴随公司发展的一项长效工作，</w:t>
      </w:r>
    </w:p>
    <w:p>
      <w:pPr>
        <w:pStyle w:val="BodyText"/>
        <w:spacing w:line="364" w:lineRule="auto" w:before="123"/>
        <w:ind w:right="1032"/>
        <w:jc w:val="left"/>
      </w:pPr>
      <w:r>
        <w:rPr>
          <w:rFonts w:ascii="宋体" w:hAnsi="宋体" w:cs="宋体" w:eastAsia="宋体" w:hint="default"/>
        </w:rPr>
        <w:t>2019</w:t>
      </w:r>
      <w:r>
        <w:rPr/>
        <w:t>年度公司将完成内部控制体系的升级并更新形成第二版管理文件。结合内部审计的监督职能，公司审计中心将在独立、</w:t>
      </w:r>
      <w:r>
        <w:rPr>
          <w:spacing w:val="-85"/>
        </w:rPr>
        <w:t> </w:t>
      </w:r>
      <w:r>
        <w:rPr>
          <w:spacing w:val="-85"/>
        </w:rPr>
      </w:r>
      <w:r>
        <w:rPr/>
        <w:t>客观的基础上对公司运行的合规性以及风险防控的有效性做出评价。</w:t>
      </w:r>
    </w:p>
    <w:p>
      <w:pPr>
        <w:spacing w:after="0" w:line="364" w:lineRule="auto"/>
        <w:jc w:val="left"/>
        <w:sectPr>
          <w:pgSz w:w="11910" w:h="16840"/>
          <w:pgMar w:header="0"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64" w:lineRule="auto" w:before="27"/>
        <w:ind w:right="940" w:firstLine="452"/>
        <w:jc w:val="left"/>
      </w:pPr>
      <w:r>
        <w:rPr>
          <w:rFonts w:ascii="宋体" w:hAnsi="宋体" w:cs="宋体" w:eastAsia="宋体" w:hint="default"/>
          <w:b/>
          <w:bCs/>
        </w:rPr>
        <w:t>6</w:t>
      </w:r>
      <w:r>
        <w:rPr>
          <w:rFonts w:ascii="宋体" w:hAnsi="宋体" w:cs="宋体" w:eastAsia="宋体" w:hint="default"/>
          <w:b/>
          <w:bCs/>
        </w:rPr>
        <w:t>、以党的领导为核心，不断加强党的建设。</w:t>
      </w:r>
      <w:r>
        <w:rPr/>
        <w:t>坚持加强思想政治建设，将学习贯彻党的十九大精神、习近平新时代中 </w:t>
      </w:r>
      <w:r>
        <w:rPr>
          <w:spacing w:val="-2"/>
        </w:rPr>
        <w:t>国特色社会主义思想作为环球印务党的思想建设的着力点，扎实推进“两学一做”学习教育常态化制度化，深入贯彻《中国</w:t>
      </w:r>
      <w:r>
        <w:rPr>
          <w:spacing w:val="-66"/>
        </w:rPr>
        <w:t> </w:t>
      </w:r>
      <w:r>
        <w:rPr>
          <w:spacing w:val="-66"/>
        </w:rPr>
      </w:r>
      <w:r>
        <w:rPr/>
        <w:t>共产党支部工作条例（试行）》，引导党员干部增强“四个意识”，坚定“四个自信”，做到“两个坚决维护”。</w:t>
      </w:r>
    </w:p>
    <w:p>
      <w:pPr>
        <w:pStyle w:val="Heading6"/>
        <w:spacing w:line="364" w:lineRule="auto" w:before="30"/>
        <w:ind w:left="606" w:right="7860" w:hanging="182"/>
        <w:jc w:val="left"/>
        <w:rPr>
          <w:b w:val="0"/>
          <w:bCs w:val="0"/>
        </w:rPr>
      </w:pPr>
      <w:r>
        <w:rPr/>
        <w:t>（四）可能面对的风险</w:t>
      </w:r>
      <w:r>
        <w:rPr>
          <w:w w:val="99"/>
        </w:rPr>
        <w:t> </w:t>
      </w:r>
      <w:r>
        <w:rPr>
          <w:rFonts w:ascii="宋体" w:hAnsi="宋体" w:cs="宋体" w:eastAsia="宋体" w:hint="default"/>
        </w:rPr>
        <w:t>1</w:t>
      </w:r>
      <w:r>
        <w:rPr/>
        <w:t>、受国家政策调整带来的风险</w:t>
      </w:r>
      <w:r>
        <w:rPr>
          <w:b w:val="0"/>
          <w:bCs w:val="0"/>
        </w:rPr>
      </w:r>
    </w:p>
    <w:p>
      <w:pPr>
        <w:pStyle w:val="BodyText"/>
        <w:spacing w:line="364" w:lineRule="auto" w:before="29"/>
        <w:ind w:right="1133" w:firstLine="360"/>
        <w:jc w:val="both"/>
      </w:pPr>
      <w:r>
        <w:rPr>
          <w:spacing w:val="-2"/>
        </w:rPr>
        <w:t>公司主要为医药行业提供一站式包装解决方案，并逐步向消费品及其它包装辐射，其经营状况受医药行业、消费品及其</w:t>
      </w:r>
      <w:r>
        <w:rPr/>
        <w:t> 他行业政策环境、发展状况变化影响较大。近年来，随着新医改的实施，“</w:t>
      </w:r>
      <w:r>
        <w:rPr>
          <w:rFonts w:ascii="宋体" w:hAnsi="宋体" w:cs="宋体" w:eastAsia="宋体" w:hint="default"/>
        </w:rPr>
        <w:t>4+7</w:t>
      </w:r>
      <w:r>
        <w:rPr/>
        <w:t>”带量采购，乳制品、食品、电子产品监管 </w:t>
      </w:r>
      <w:r>
        <w:rPr>
          <w:spacing w:val="-2"/>
        </w:rPr>
        <w:t>的加强，环保政策进一步趋严，虽然公司存在一定的规模优势、品牌优势、技术优势等，但仍有可能因国家政策层面发生变</w:t>
      </w:r>
      <w:r>
        <w:rPr>
          <w:spacing w:val="-66"/>
        </w:rPr>
        <w:t> </w:t>
      </w:r>
      <w:r>
        <w:rPr>
          <w:spacing w:val="-66"/>
        </w:rPr>
      </w:r>
      <w:r>
        <w:rPr/>
        <w:t>化存在一定的经营风险。</w:t>
      </w:r>
    </w:p>
    <w:p>
      <w:pPr>
        <w:pStyle w:val="BodyText"/>
        <w:spacing w:line="364" w:lineRule="auto" w:before="29"/>
        <w:ind w:left="514" w:right="940" w:firstLine="92"/>
        <w:jc w:val="left"/>
      </w:pPr>
      <w:r>
        <w:rPr>
          <w:rFonts w:ascii="宋体" w:hAnsi="宋体" w:cs="宋体" w:eastAsia="宋体" w:hint="default"/>
          <w:b/>
          <w:bCs/>
        </w:rPr>
        <w:t>2</w:t>
      </w:r>
      <w:r>
        <w:rPr>
          <w:rFonts w:ascii="宋体" w:hAnsi="宋体" w:cs="宋体" w:eastAsia="宋体" w:hint="default"/>
          <w:b/>
          <w:bCs/>
        </w:rPr>
        <w:t>、行业整合加剧的风险</w:t>
      </w:r>
      <w:r>
        <w:rPr>
          <w:rFonts w:ascii="宋体" w:hAnsi="宋体" w:cs="宋体" w:eastAsia="宋体" w:hint="default"/>
          <w:b/>
          <w:bCs/>
          <w:w w:val="99"/>
        </w:rPr>
        <w:t> </w:t>
      </w:r>
      <w:r>
        <w:rPr>
          <w:spacing w:val="-2"/>
        </w:rPr>
        <w:t>我国印刷包装行业的市场集中度较低，不能形成规范化、标准化、信息化的行业资源整合，导致经营成本较大，利润空</w:t>
      </w:r>
    </w:p>
    <w:p>
      <w:pPr>
        <w:pStyle w:val="BodyText"/>
        <w:spacing w:line="364" w:lineRule="auto" w:before="29"/>
        <w:ind w:right="940"/>
        <w:jc w:val="left"/>
      </w:pPr>
      <w:r>
        <w:rPr>
          <w:spacing w:val="-2"/>
        </w:rPr>
        <w:t>间较低，市场竞争程度较为激烈。公司上市后行业领域已发生变化，从印刷包装细分领域向全行业领域发展，如果公司在行</w:t>
      </w:r>
      <w:r>
        <w:rPr>
          <w:spacing w:val="-66"/>
        </w:rPr>
        <w:t> </w:t>
      </w:r>
      <w:r>
        <w:rPr>
          <w:spacing w:val="-66"/>
        </w:rPr>
      </w:r>
      <w:r>
        <w:rPr/>
        <w:t>业扩张和丰富产品方面的步伐放缓，将会对公司的未来战略发展产生影响。</w:t>
      </w:r>
    </w:p>
    <w:p>
      <w:pPr>
        <w:pStyle w:val="BodyText"/>
        <w:spacing w:line="364" w:lineRule="auto" w:before="29"/>
        <w:ind w:right="1133" w:firstLine="360"/>
        <w:jc w:val="both"/>
      </w:pPr>
      <w:r>
        <w:rPr>
          <w:spacing w:val="-5"/>
        </w:rPr>
        <w:t>现阶段，我国互联网营销行业告别爆发式增长进入平稳增长阶段，而市场并未出现明显的龙头效应，竞争格局比较分散，</w:t>
      </w:r>
      <w:r>
        <w:rPr/>
        <w:t> </w:t>
      </w:r>
      <w:r>
        <w:rPr>
          <w:spacing w:val="-2"/>
        </w:rPr>
        <w:t>公司互联网营销业务在扩展业务范围的同时，不断提高自身技术和数据能力，增强创新能力。但互联网营销行业面对大量竞</w:t>
      </w:r>
      <w:r>
        <w:rPr>
          <w:spacing w:val="-66"/>
        </w:rPr>
        <w:t> </w:t>
      </w:r>
      <w:r>
        <w:rPr>
          <w:spacing w:val="-66"/>
        </w:rPr>
      </w:r>
      <w:r>
        <w:rPr/>
        <w:t>争对手，不排除公司互联网板块子公司面临行业洗牌，导致其业务创新能力、财务状况及经营业绩等面临一定的风险。</w:t>
      </w:r>
    </w:p>
    <w:p>
      <w:pPr>
        <w:spacing w:line="364" w:lineRule="auto" w:before="29"/>
        <w:ind w:left="514" w:right="1122" w:firstLine="92"/>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、公司经营规模迅速扩大带来的风险</w:t>
      </w:r>
      <w:r>
        <w:rPr>
          <w:rFonts w:ascii="宋体" w:hAnsi="宋体" w:cs="宋体" w:eastAsia="宋体" w:hint="default"/>
          <w:b/>
          <w:bCs/>
          <w:w w:val="99"/>
          <w:sz w:val="18"/>
          <w:szCs w:val="18"/>
        </w:rPr>
        <w:t> </w:t>
      </w:r>
      <w:r>
        <w:rPr>
          <w:rFonts w:ascii="宋体" w:hAnsi="宋体" w:cs="宋体" w:eastAsia="宋体" w:hint="default"/>
          <w:sz w:val="18"/>
          <w:szCs w:val="18"/>
        </w:rPr>
        <w:t>公司未来发展战略规划已向其他包装领域、“互联网</w:t>
      </w:r>
      <w:r>
        <w:rPr>
          <w:rFonts w:ascii="宋体" w:hAnsi="宋体" w:cs="宋体" w:eastAsia="宋体" w:hint="default"/>
          <w:sz w:val="18"/>
          <w:szCs w:val="18"/>
        </w:rPr>
        <w:t>+</w:t>
      </w:r>
      <w:r>
        <w:rPr>
          <w:rFonts w:ascii="宋体" w:hAnsi="宋体" w:cs="宋体" w:eastAsia="宋体" w:hint="default"/>
          <w:sz w:val="18"/>
          <w:szCs w:val="18"/>
        </w:rPr>
        <w:t>”等方向发展，经营规模将快速变化、扩大，给公司的经营管理</w:t>
      </w:r>
    </w:p>
    <w:p>
      <w:pPr>
        <w:pStyle w:val="BodyText"/>
        <w:spacing w:line="364" w:lineRule="auto" w:before="29"/>
        <w:ind w:right="940"/>
        <w:jc w:val="left"/>
      </w:pPr>
      <w:r>
        <w:rPr>
          <w:spacing w:val="-2"/>
        </w:rPr>
        <w:t>提出了新的挑战，如果公司不能够很好适应经营规模扩大后新的经营管理要求，特别是在新市场开拓、新技术开发、集团化</w:t>
      </w:r>
      <w:r>
        <w:rPr>
          <w:spacing w:val="-66"/>
        </w:rPr>
        <w:t> </w:t>
      </w:r>
      <w:r>
        <w:rPr>
          <w:spacing w:val="-66"/>
        </w:rPr>
      </w:r>
      <w:r>
        <w:rPr/>
        <w:t>管控等诸多方面滞后，将给公司的未来经营和盈利带来挑战。</w:t>
      </w:r>
    </w:p>
    <w:p>
      <w:pPr>
        <w:pStyle w:val="BodyText"/>
        <w:spacing w:line="364" w:lineRule="auto" w:before="29"/>
        <w:ind w:left="514" w:right="940" w:firstLine="92"/>
        <w:jc w:val="left"/>
      </w:pPr>
      <w:r>
        <w:rPr>
          <w:rFonts w:ascii="宋体" w:hAnsi="宋体" w:cs="宋体" w:eastAsia="宋体" w:hint="default"/>
          <w:b/>
          <w:bCs/>
        </w:rPr>
        <w:t>4</w:t>
      </w:r>
      <w:r>
        <w:rPr>
          <w:rFonts w:ascii="宋体" w:hAnsi="宋体" w:cs="宋体" w:eastAsia="宋体" w:hint="default"/>
          <w:b/>
          <w:bCs/>
        </w:rPr>
        <w:t>、技术革新周期加速风险</w:t>
      </w:r>
      <w:r>
        <w:rPr>
          <w:rFonts w:ascii="宋体" w:hAnsi="宋体" w:cs="宋体" w:eastAsia="宋体" w:hint="default"/>
          <w:b/>
          <w:bCs/>
          <w:w w:val="99"/>
        </w:rPr>
        <w:t> </w:t>
      </w:r>
      <w:r>
        <w:rPr>
          <w:spacing w:val="-6"/>
        </w:rPr>
        <w:t>随着世界科技的突飞猛进的发展，人工智能等技术的不断创新，制造行业不断在向自动化、智能化发展，生产效率较低，</w:t>
      </w:r>
    </w:p>
    <w:p>
      <w:pPr>
        <w:pStyle w:val="BodyText"/>
        <w:spacing w:line="364" w:lineRule="auto" w:before="29"/>
        <w:ind w:right="940"/>
        <w:jc w:val="left"/>
      </w:pPr>
      <w:r>
        <w:rPr>
          <w:spacing w:val="-2"/>
        </w:rPr>
        <w:t>人工成本过高的经营模式，已经不符合现今社会的发展趋势。尤其印刷包装行业属于传统工业，如何更好的使用人工智能等</w:t>
      </w:r>
      <w:r>
        <w:rPr>
          <w:spacing w:val="-66"/>
        </w:rPr>
        <w:t> </w:t>
      </w:r>
      <w:r>
        <w:rPr>
          <w:spacing w:val="-66"/>
        </w:rPr>
      </w:r>
      <w:r>
        <w:rPr/>
        <w:t>科技工具，从传统工业向智能化、智慧化的新工业转变是当前印刷包装行业的重大课题。</w:t>
      </w:r>
    </w:p>
    <w:p>
      <w:pPr>
        <w:spacing w:line="364" w:lineRule="auto" w:before="29"/>
        <w:ind w:left="514" w:right="940" w:firstLine="92"/>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、所得税税收优惠不能持续的风险</w:t>
      </w:r>
      <w:r>
        <w:rPr>
          <w:rFonts w:ascii="宋体" w:hAnsi="宋体" w:cs="宋体" w:eastAsia="宋体" w:hint="default"/>
          <w:b/>
          <w:bCs/>
          <w:w w:val="99"/>
          <w:sz w:val="18"/>
          <w:szCs w:val="18"/>
        </w:rPr>
        <w:t> </w:t>
      </w:r>
      <w:r>
        <w:rPr>
          <w:rFonts w:ascii="宋体" w:hAnsi="宋体" w:cs="宋体" w:eastAsia="宋体" w:hint="default"/>
          <w:spacing w:val="-2"/>
          <w:sz w:val="18"/>
          <w:szCs w:val="18"/>
        </w:rPr>
        <w:t>公司与子公司天津环球、领凯网络科技目前所享受的所得税收优惠政策符合相关法律法规的规定，但如果前述税收优惠</w:t>
      </w:r>
    </w:p>
    <w:p>
      <w:pPr>
        <w:spacing w:line="364" w:lineRule="auto" w:before="29"/>
        <w:ind w:left="606" w:right="6613" w:hanging="453"/>
        <w:jc w:val="left"/>
        <w:rPr>
          <w:rFonts w:ascii="宋体" w:hAnsi="宋体" w:cs="宋体" w:eastAsia="宋体" w:hint="default"/>
          <w:sz w:val="18"/>
          <w:szCs w:val="18"/>
        </w:rPr>
      </w:pPr>
      <w:r>
        <w:rPr>
          <w:rFonts w:ascii="宋体" w:hAnsi="宋体" w:cs="宋体" w:eastAsia="宋体" w:hint="default"/>
          <w:sz w:val="18"/>
          <w:szCs w:val="18"/>
        </w:rPr>
        <w:t>政策发生变化，将会对公司的净利润产生一定影响。 </w:t>
      </w:r>
      <w:r>
        <w:rPr>
          <w:rFonts w:ascii="宋体" w:hAnsi="宋体" w:cs="宋体" w:eastAsia="宋体" w:hint="default"/>
          <w:b/>
          <w:bCs/>
          <w:sz w:val="18"/>
          <w:szCs w:val="18"/>
        </w:rPr>
        <w:t>6</w:t>
      </w:r>
      <w:r>
        <w:rPr>
          <w:rFonts w:ascii="宋体" w:hAnsi="宋体" w:cs="宋体" w:eastAsia="宋体" w:hint="default"/>
          <w:b/>
          <w:bCs/>
          <w:sz w:val="18"/>
          <w:szCs w:val="18"/>
        </w:rPr>
        <w:t>、原材料价格波动的风险</w:t>
      </w:r>
      <w:r>
        <w:rPr>
          <w:rFonts w:ascii="宋体" w:hAnsi="宋体" w:cs="宋体" w:eastAsia="宋体" w:hint="default"/>
          <w:sz w:val="18"/>
          <w:szCs w:val="18"/>
        </w:rPr>
      </w:r>
    </w:p>
    <w:p>
      <w:pPr>
        <w:pStyle w:val="BodyText"/>
        <w:spacing w:line="364" w:lineRule="auto" w:before="29"/>
        <w:ind w:right="1132" w:firstLine="360"/>
        <w:jc w:val="both"/>
      </w:pPr>
      <w:r>
        <w:rPr>
          <w:spacing w:val="-2"/>
        </w:rPr>
        <w:t>公司主要原材料为白卡纸和白板纸，属于消费包装纸，其需求与药品、食品、化妆品等消费品行业具有高度相关性，其</w:t>
      </w:r>
      <w:r>
        <w:rPr/>
        <w:t> </w:t>
      </w:r>
      <w:r>
        <w:rPr>
          <w:spacing w:val="-2"/>
        </w:rPr>
        <w:t>价格对公司产品成本的影响较大。近年来，随着汇率、国际国内纸浆价格波动、国家环保政策趋严等方面的影响，国内白卡</w:t>
      </w:r>
      <w:r>
        <w:rPr>
          <w:spacing w:val="-66"/>
        </w:rPr>
        <w:t> </w:t>
      </w:r>
      <w:r>
        <w:rPr>
          <w:spacing w:val="-66"/>
        </w:rPr>
      </w:r>
      <w:r>
        <w:rPr>
          <w:spacing w:val="-2"/>
        </w:rPr>
        <w:t>纸和白板纸市场价格亦不断波动，进而给公司生产经营带来一定影响。若发生公司主要原材料成本大幅上升而公司又未能及</w:t>
      </w:r>
      <w:r>
        <w:rPr>
          <w:spacing w:val="-64"/>
        </w:rPr>
        <w:t> </w:t>
      </w:r>
      <w:r>
        <w:rPr>
          <w:spacing w:val="-64"/>
        </w:rPr>
      </w:r>
      <w:r>
        <w:rPr/>
        <w:t>时通过提高销售价格，或者因此或其他原因显著影响了公司的销售收入，公司可能存在营业利润下降或者亏损的风险。</w:t>
      </w:r>
    </w:p>
    <w:p>
      <w:pPr>
        <w:pStyle w:val="Heading6"/>
        <w:spacing w:line="240" w:lineRule="auto" w:before="29"/>
        <w:ind w:left="606" w:right="940"/>
        <w:jc w:val="left"/>
        <w:rPr>
          <w:b w:val="0"/>
          <w:bCs w:val="0"/>
        </w:rPr>
      </w:pPr>
      <w:r>
        <w:rPr>
          <w:rFonts w:ascii="宋体" w:hAnsi="宋体" w:cs="宋体" w:eastAsia="宋体" w:hint="default"/>
        </w:rPr>
        <w:t>7</w:t>
      </w:r>
      <w:r>
        <w:rPr/>
        <w:t>、应收账款发生坏账的风险</w:t>
      </w:r>
      <w:r>
        <w:rPr>
          <w:b w:val="0"/>
          <w:bCs w:val="0"/>
        </w:rPr>
      </w:r>
    </w:p>
    <w:p>
      <w:pPr>
        <w:pStyle w:val="BodyText"/>
        <w:spacing w:line="364" w:lineRule="auto" w:before="123"/>
        <w:ind w:right="1133" w:firstLine="360"/>
        <w:jc w:val="both"/>
      </w:pPr>
      <w:r>
        <w:rPr>
          <w:rFonts w:ascii="宋体" w:hAnsi="宋体" w:cs="宋体" w:eastAsia="宋体" w:hint="default"/>
        </w:rPr>
        <w:t>2018</w:t>
      </w:r>
      <w:r>
        <w:rPr/>
        <w:t>年末公司应收账款余额为</w:t>
      </w:r>
      <w:r>
        <w:rPr>
          <w:rFonts w:ascii="宋体" w:hAnsi="宋体" w:cs="宋体" w:eastAsia="宋体" w:hint="default"/>
        </w:rPr>
        <w:t>17,065.33</w:t>
      </w:r>
      <w:r>
        <w:rPr/>
        <w:t>万元，应收账款余额较大。虽然公司目前应收账款质量和回收情况良好，但由 </w:t>
      </w:r>
      <w:r>
        <w:rPr>
          <w:spacing w:val="-2"/>
        </w:rPr>
        <w:t>于应收账款余额较大，如果出现客户经营状况发生重大不利变化，可能存在发生坏账的风险，进而影响公司未来年度的利润</w:t>
      </w:r>
      <w:r>
        <w:rPr>
          <w:spacing w:val="-66"/>
        </w:rPr>
        <w:t> </w:t>
      </w:r>
      <w:r>
        <w:rPr>
          <w:spacing w:val="-66"/>
        </w:rPr>
      </w:r>
      <w:r>
        <w:rPr/>
        <w:t>水平。</w:t>
      </w:r>
    </w:p>
    <w:p>
      <w:pPr>
        <w:pStyle w:val="BodyText"/>
        <w:spacing w:line="364" w:lineRule="auto" w:before="29"/>
        <w:ind w:left="514" w:right="1122" w:firstLine="92"/>
        <w:jc w:val="left"/>
      </w:pPr>
      <w:r>
        <w:rPr>
          <w:rFonts w:ascii="宋体" w:hAnsi="宋体" w:cs="宋体" w:eastAsia="宋体" w:hint="default"/>
          <w:b/>
          <w:bCs/>
        </w:rPr>
        <w:t>8</w:t>
      </w:r>
      <w:r>
        <w:rPr>
          <w:rFonts w:ascii="宋体" w:hAnsi="宋体" w:cs="宋体" w:eastAsia="宋体" w:hint="default"/>
          <w:b/>
          <w:bCs/>
        </w:rPr>
        <w:t>、商誉减值风险</w:t>
      </w:r>
      <w:r>
        <w:rPr>
          <w:rFonts w:ascii="宋体" w:hAnsi="宋体" w:cs="宋体" w:eastAsia="宋体" w:hint="default"/>
          <w:b/>
          <w:bCs/>
          <w:w w:val="99"/>
        </w:rPr>
        <w:t> </w:t>
      </w:r>
      <w:r>
        <w:rPr/>
        <w:t>报告期，公司收购了霍尔果斯领凯网络科技有限公司</w:t>
      </w:r>
      <w:r>
        <w:rPr>
          <w:rFonts w:ascii="宋体" w:hAnsi="宋体" w:cs="宋体" w:eastAsia="宋体" w:hint="default"/>
        </w:rPr>
        <w:t>70%</w:t>
      </w:r>
      <w:r>
        <w:rPr/>
        <w:t>股权，形成非同一控制下企业合并，在公司合并资产负债表形</w:t>
      </w:r>
    </w:p>
    <w:p>
      <w:pPr>
        <w:spacing w:after="0" w:line="364" w:lineRule="auto"/>
        <w:jc w:val="left"/>
        <w:sectPr>
          <w:pgSz w:w="11910" w:h="16840"/>
          <w:pgMar w:header="0"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64" w:lineRule="auto" w:before="27"/>
        <w:ind w:right="1132"/>
        <w:jc w:val="both"/>
      </w:pPr>
      <w:r>
        <w:rPr>
          <w:spacing w:val="-2"/>
        </w:rPr>
        <w:t>成</w:t>
      </w:r>
      <w:r>
        <w:rPr>
          <w:rFonts w:ascii="宋体" w:hAnsi="宋体" w:cs="宋体" w:eastAsia="宋体" w:hint="default"/>
          <w:spacing w:val="-2"/>
        </w:rPr>
        <w:t>1.08</w:t>
      </w:r>
      <w:r>
        <w:rPr>
          <w:spacing w:val="-2"/>
        </w:rPr>
        <w:t>亿元的商誉。根据《企业会计准则》规定，本次交易形成的商誉不作摊销处理，但需在未来每年年度终了时做减值测</w:t>
      </w:r>
      <w:r>
        <w:rPr>
          <w:spacing w:val="-62"/>
        </w:rPr>
        <w:t> </w:t>
      </w:r>
      <w:r>
        <w:rPr>
          <w:spacing w:val="-62"/>
        </w:rPr>
      </w:r>
      <w:r>
        <w:rPr>
          <w:spacing w:val="-2"/>
        </w:rPr>
        <w:t>试。未来包括但不限于宏观经济形势及市场行情的变化，广告主需求变化、行业竞争加剧以及国家法律法规及产业政策的变</w:t>
      </w:r>
      <w:r>
        <w:rPr>
          <w:spacing w:val="-65"/>
        </w:rPr>
        <w:t> </w:t>
      </w:r>
      <w:r>
        <w:rPr>
          <w:spacing w:val="-65"/>
        </w:rPr>
      </w:r>
      <w:r>
        <w:rPr/>
        <w:t>化等均可能对公司的经营业绩造成影响，进而公司存在商誉减值的风险。</w:t>
      </w: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0"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49"/>
        <w:ind w:right="1018"/>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940"/>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0"/>
        <w:jc w:val="left"/>
      </w:pPr>
      <w:r>
        <w:rPr/>
        <w:t>报告期内普通股利润分配政策，特别是现金分红政策的制定、执行或调整情况</w:t>
      </w:r>
    </w:p>
    <w:p>
      <w:pPr>
        <w:pStyle w:val="BodyText"/>
        <w:spacing w:line="360" w:lineRule="auto" w:before="116"/>
        <w:ind w:left="514" w:right="112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w:t>
      </w:r>
      <w:r>
        <w:rPr>
          <w:rFonts w:ascii="宋体" w:hAnsi="宋体" w:cs="宋体" w:eastAsia="宋体" w:hint="default"/>
        </w:rPr>
        <w:t>2018</w:t>
      </w:r>
      <w:r>
        <w:rPr/>
        <w:t>年度利润分配预案为：以</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150,000,000</w:t>
      </w:r>
      <w:r>
        <w:rPr/>
        <w:t>股为基数，向全体股东每</w:t>
      </w:r>
      <w:r>
        <w:rPr>
          <w:rFonts w:ascii="宋体" w:hAnsi="宋体" w:cs="宋体" w:eastAsia="宋体" w:hint="default"/>
        </w:rPr>
        <w:t>10</w:t>
      </w:r>
      <w:r>
        <w:rPr/>
        <w:t>股派发现金红利人民</w:t>
      </w:r>
    </w:p>
    <w:p>
      <w:pPr>
        <w:pStyle w:val="BodyText"/>
        <w:spacing w:line="240" w:lineRule="auto" w:before="33"/>
        <w:ind w:right="940"/>
        <w:jc w:val="left"/>
      </w:pPr>
      <w:r>
        <w:rPr/>
        <w:t>币</w:t>
      </w:r>
      <w:r>
        <w:rPr>
          <w:rFonts w:ascii="宋体" w:hAnsi="宋体" w:cs="宋体" w:eastAsia="宋体" w:hint="default"/>
        </w:rPr>
        <w:t>0.35</w:t>
      </w:r>
      <w:r>
        <w:rPr/>
        <w:t>元（含税），共计派发现金</w:t>
      </w:r>
      <w:r>
        <w:rPr>
          <w:rFonts w:ascii="宋体" w:hAnsi="宋体" w:cs="宋体" w:eastAsia="宋体" w:hint="default"/>
        </w:rPr>
        <w:t>5,250,000.00</w:t>
      </w:r>
      <w:r>
        <w:rPr/>
        <w:t>元</w:t>
      </w:r>
      <w:r>
        <w:rPr>
          <w:rFonts w:ascii="宋体" w:hAnsi="宋体" w:cs="宋体" w:eastAsia="宋体" w:hint="default"/>
        </w:rPr>
        <w:t>,</w:t>
      </w:r>
      <w:r>
        <w:rPr/>
        <w:t>不送红股，也不进行资本公积金转增股本。</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5081"/>
        <w:gridCol w:w="447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9"/>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 到了充分保护：</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6"/>
        <w:rPr>
          <w:rFonts w:ascii="宋体" w:hAnsi="宋体" w:cs="宋体" w:eastAsia="宋体" w:hint="default"/>
          <w:sz w:val="27"/>
          <w:szCs w:val="27"/>
        </w:rPr>
      </w:pPr>
    </w:p>
    <w:p>
      <w:pPr>
        <w:spacing w:line="360" w:lineRule="auto" w:before="44"/>
        <w:ind w:left="514" w:right="1122" w:hanging="360"/>
        <w:jc w:val="left"/>
        <w:rPr>
          <w:rFonts w:ascii="宋体" w:hAnsi="宋体" w:cs="宋体" w:eastAsia="宋体" w:hint="default"/>
          <w:sz w:val="18"/>
          <w:szCs w:val="18"/>
        </w:rPr>
      </w:pPr>
      <w:r>
        <w:rPr>
          <w:rFonts w:ascii="宋体" w:hAnsi="宋体" w:cs="宋体" w:eastAsia="宋体" w:hint="default"/>
          <w:b/>
          <w:bCs/>
          <w:w w:val="99"/>
          <w:sz w:val="18"/>
          <w:szCs w:val="18"/>
        </w:rPr>
        <w:t>公司近</w:t>
      </w:r>
      <w:r>
        <w:rPr>
          <w:rFonts w:ascii="宋体" w:hAnsi="宋体" w:cs="宋体" w:eastAsia="宋体" w:hint="default"/>
          <w:b/>
          <w:bCs/>
          <w:spacing w:val="-44"/>
          <w:w w:val="99"/>
          <w:sz w:val="18"/>
          <w:szCs w:val="18"/>
        </w:rPr>
        <w:t> </w:t>
      </w:r>
      <w:r>
        <w:rPr>
          <w:rFonts w:ascii="Times New Roman" w:hAnsi="Times New Roman" w:cs="Times New Roman" w:eastAsia="Times New Roman" w:hint="default"/>
          <w:b/>
          <w:bCs/>
          <w:sz w:val="18"/>
          <w:szCs w:val="18"/>
        </w:rPr>
        <w:t>3 </w:t>
      </w:r>
      <w:r>
        <w:rPr>
          <w:rFonts w:ascii="宋体" w:hAnsi="宋体" w:cs="宋体" w:eastAsia="宋体" w:hint="default"/>
          <w:b/>
          <w:bCs/>
          <w:spacing w:val="-2"/>
          <w:w w:val="99"/>
          <w:sz w:val="18"/>
          <w:szCs w:val="18"/>
        </w:rPr>
        <w:t>年（包括本报告期）的普通股股利分配方案（预案）、资本公积金转增股本方案（预案）情况</w:t>
      </w:r>
      <w:r>
        <w:rPr>
          <w:rFonts w:ascii="宋体" w:hAnsi="宋体" w:cs="宋体" w:eastAsia="宋体" w:hint="default"/>
          <w:b/>
          <w:bCs/>
          <w:spacing w:val="-79"/>
          <w:w w:val="99"/>
          <w:sz w:val="18"/>
          <w:szCs w:val="18"/>
        </w:rPr>
        <w:t> </w:t>
      </w:r>
      <w:r>
        <w:rPr>
          <w:rFonts w:ascii="宋体" w:hAnsi="宋体" w:cs="宋体" w:eastAsia="宋体" w:hint="default"/>
          <w:b/>
          <w:bCs/>
          <w:spacing w:val="-79"/>
          <w:w w:val="99"/>
          <w:sz w:val="18"/>
          <w:szCs w:val="18"/>
        </w:rPr>
      </w:r>
      <w:r>
        <w:rPr>
          <w:rFonts w:ascii="宋体" w:hAnsi="宋体" w:cs="宋体" w:eastAsia="宋体" w:hint="default"/>
          <w:sz w:val="18"/>
          <w:szCs w:val="18"/>
        </w:rPr>
        <w:t>公司</w:t>
      </w:r>
      <w:r>
        <w:rPr>
          <w:rFonts w:ascii="宋体" w:hAnsi="宋体" w:cs="宋体" w:eastAsia="宋体" w:hint="default"/>
          <w:sz w:val="18"/>
          <w:szCs w:val="18"/>
        </w:rPr>
        <w:t>2016</w:t>
      </w:r>
      <w:r>
        <w:rPr>
          <w:rFonts w:ascii="宋体" w:hAnsi="宋体" w:cs="宋体" w:eastAsia="宋体" w:hint="default"/>
          <w:sz w:val="18"/>
          <w:szCs w:val="18"/>
        </w:rPr>
        <w:t>年度利润分配方案为：以</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日总股本</w:t>
      </w:r>
      <w:r>
        <w:rPr>
          <w:rFonts w:ascii="宋体" w:hAnsi="宋体" w:cs="宋体" w:eastAsia="宋体" w:hint="default"/>
          <w:sz w:val="18"/>
          <w:szCs w:val="18"/>
        </w:rPr>
        <w:t>100,000,000</w:t>
      </w:r>
      <w:r>
        <w:rPr>
          <w:rFonts w:ascii="宋体" w:hAnsi="宋体" w:cs="宋体" w:eastAsia="宋体" w:hint="default"/>
          <w:sz w:val="18"/>
          <w:szCs w:val="18"/>
        </w:rPr>
        <w:t>股为基数，向全体股东每</w:t>
      </w:r>
      <w:r>
        <w:rPr>
          <w:rFonts w:ascii="宋体" w:hAnsi="宋体" w:cs="宋体" w:eastAsia="宋体" w:hint="default"/>
          <w:sz w:val="18"/>
          <w:szCs w:val="18"/>
        </w:rPr>
        <w:t>10</w:t>
      </w:r>
      <w:r>
        <w:rPr>
          <w:rFonts w:ascii="宋体" w:hAnsi="宋体" w:cs="宋体" w:eastAsia="宋体" w:hint="default"/>
          <w:sz w:val="18"/>
          <w:szCs w:val="18"/>
        </w:rPr>
        <w:t>股派发现金红利人民</w:t>
      </w:r>
    </w:p>
    <w:p>
      <w:pPr>
        <w:pStyle w:val="BodyText"/>
        <w:spacing w:line="364" w:lineRule="auto" w:before="33"/>
        <w:ind w:right="1130"/>
        <w:jc w:val="both"/>
      </w:pPr>
      <w:r>
        <w:rPr>
          <w:spacing w:val="-2"/>
        </w:rPr>
        <w:t>币</w:t>
      </w:r>
      <w:r>
        <w:rPr>
          <w:rFonts w:ascii="宋体" w:hAnsi="宋体" w:cs="宋体" w:eastAsia="宋体" w:hint="default"/>
          <w:spacing w:val="-2"/>
        </w:rPr>
        <w:t>2</w:t>
      </w:r>
      <w:r>
        <w:rPr>
          <w:spacing w:val="-2"/>
        </w:rPr>
        <w:t>元（含税），共计派发现金</w:t>
      </w:r>
      <w:r>
        <w:rPr>
          <w:rFonts w:ascii="宋体" w:hAnsi="宋体" w:cs="宋体" w:eastAsia="宋体" w:hint="default"/>
          <w:spacing w:val="-2"/>
        </w:rPr>
        <w:t>20,000,000</w:t>
      </w:r>
      <w:r>
        <w:rPr>
          <w:spacing w:val="-2"/>
        </w:rPr>
        <w:t>元。同时用可供股东分配的利润向全体股东每</w:t>
      </w:r>
      <w:r>
        <w:rPr>
          <w:rFonts w:ascii="宋体" w:hAnsi="宋体" w:cs="宋体" w:eastAsia="宋体" w:hint="default"/>
          <w:spacing w:val="-2"/>
        </w:rPr>
        <w:t>10</w:t>
      </w:r>
      <w:r>
        <w:rPr>
          <w:spacing w:val="-2"/>
        </w:rPr>
        <w:t>股送红股</w:t>
      </w:r>
      <w:r>
        <w:rPr>
          <w:rFonts w:ascii="宋体" w:hAnsi="宋体" w:cs="宋体" w:eastAsia="宋体" w:hint="default"/>
          <w:spacing w:val="-2"/>
        </w:rPr>
        <w:t>5</w:t>
      </w:r>
      <w:r>
        <w:rPr>
          <w:spacing w:val="-2"/>
        </w:rPr>
        <w:t>股（含税），共计送红</w:t>
      </w:r>
      <w:r>
        <w:rPr>
          <w:spacing w:val="-58"/>
        </w:rPr>
        <w:t> </w:t>
      </w:r>
      <w:r>
        <w:rPr>
          <w:spacing w:val="-58"/>
        </w:rPr>
      </w:r>
      <w:r>
        <w:rPr>
          <w:spacing w:val="-2"/>
        </w:rPr>
        <w:t>股</w:t>
      </w:r>
      <w:r>
        <w:rPr>
          <w:rFonts w:ascii="宋体" w:hAnsi="宋体" w:cs="宋体" w:eastAsia="宋体" w:hint="default"/>
          <w:spacing w:val="-2"/>
        </w:rPr>
        <w:t>50,000,000</w:t>
      </w:r>
      <w:r>
        <w:rPr>
          <w:spacing w:val="-2"/>
        </w:rPr>
        <w:t>股，不进行资本公积转增股本。该方案实施后，公司总股本将由</w:t>
      </w:r>
      <w:r>
        <w:rPr>
          <w:rFonts w:ascii="宋体" w:hAnsi="宋体" w:cs="宋体" w:eastAsia="宋体" w:hint="default"/>
          <w:spacing w:val="-2"/>
        </w:rPr>
        <w:t>100,000,000</w:t>
      </w:r>
      <w:r>
        <w:rPr>
          <w:spacing w:val="-2"/>
        </w:rPr>
        <w:t>股增加至</w:t>
      </w:r>
      <w:r>
        <w:rPr>
          <w:rFonts w:ascii="宋体" w:hAnsi="宋体" w:cs="宋体" w:eastAsia="宋体" w:hint="default"/>
          <w:spacing w:val="-2"/>
        </w:rPr>
        <w:t>150,000,000</w:t>
      </w:r>
      <w:r>
        <w:rPr>
          <w:spacing w:val="-2"/>
        </w:rPr>
        <w:t>股，该方案</w:t>
      </w:r>
      <w:r>
        <w:rPr>
          <w:spacing w:val="-34"/>
        </w:rPr>
        <w:t> </w:t>
      </w:r>
      <w:r>
        <w:rPr>
          <w:spacing w:val="-34"/>
        </w:rPr>
      </w:r>
      <w:r>
        <w:rPr/>
        <w:t>已经</w:t>
      </w:r>
      <w:r>
        <w:rPr>
          <w:rFonts w:ascii="宋体" w:hAnsi="宋体" w:cs="宋体" w:eastAsia="宋体" w:hint="default"/>
        </w:rPr>
        <w:t>2016</w:t>
      </w:r>
      <w:r>
        <w:rPr/>
        <w:t>年度股东大会审核通过。</w:t>
      </w:r>
    </w:p>
    <w:p>
      <w:pPr>
        <w:pStyle w:val="BodyText"/>
        <w:spacing w:line="364" w:lineRule="auto" w:before="29"/>
        <w:ind w:right="940" w:firstLine="360"/>
        <w:jc w:val="left"/>
      </w:pPr>
      <w:r>
        <w:rPr>
          <w:spacing w:val="-2"/>
        </w:rPr>
        <w:t>公司</w:t>
      </w:r>
      <w:r>
        <w:rPr>
          <w:rFonts w:ascii="宋体" w:hAnsi="宋体" w:cs="宋体" w:eastAsia="宋体" w:hint="default"/>
          <w:spacing w:val="-2"/>
        </w:rPr>
        <w:t>2017</w:t>
      </w:r>
      <w:r>
        <w:rPr>
          <w:spacing w:val="-2"/>
        </w:rPr>
        <w:t>年度利润分配方案为：不进行利润分配，不送红股，也不进行资本公积金转增股本。该方案已经</w:t>
      </w:r>
      <w:r>
        <w:rPr>
          <w:rFonts w:ascii="宋体" w:hAnsi="宋体" w:cs="宋体" w:eastAsia="宋体" w:hint="default"/>
          <w:spacing w:val="-2"/>
        </w:rPr>
        <w:t>2017</w:t>
      </w:r>
      <w:r>
        <w:rPr>
          <w:spacing w:val="-2"/>
        </w:rPr>
        <w:t>年度股东</w:t>
      </w:r>
      <w:r>
        <w:rPr/>
        <w:t> 大会审核通过。</w:t>
      </w:r>
    </w:p>
    <w:p>
      <w:pPr>
        <w:pStyle w:val="BodyText"/>
        <w:spacing w:line="364" w:lineRule="auto" w:before="29"/>
        <w:ind w:right="1122" w:firstLine="360"/>
        <w:jc w:val="left"/>
      </w:pPr>
      <w:r>
        <w:rPr/>
        <w:t>公司</w:t>
      </w:r>
      <w:r>
        <w:rPr>
          <w:rFonts w:ascii="宋体" w:hAnsi="宋体" w:cs="宋体" w:eastAsia="宋体" w:hint="default"/>
        </w:rPr>
        <w:t>2018</w:t>
      </w:r>
      <w:r>
        <w:rPr/>
        <w:t>年度利润分配预案为：以</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150,000,000</w:t>
      </w:r>
      <w:r>
        <w:rPr/>
        <w:t>股为基数，向全体股东每</w:t>
      </w:r>
      <w:r>
        <w:rPr>
          <w:rFonts w:ascii="宋体" w:hAnsi="宋体" w:cs="宋体" w:eastAsia="宋体" w:hint="default"/>
        </w:rPr>
        <w:t>10</w:t>
      </w:r>
      <w:r>
        <w:rPr/>
        <w:t>股派发现金红利人民 币</w:t>
      </w:r>
      <w:r>
        <w:rPr>
          <w:rFonts w:ascii="宋体" w:hAnsi="宋体" w:cs="宋体" w:eastAsia="宋体" w:hint="default"/>
        </w:rPr>
        <w:t>0.35</w:t>
      </w:r>
      <w:r>
        <w:rPr/>
        <w:t>元（含税），共计派发现金</w:t>
      </w:r>
      <w:r>
        <w:rPr>
          <w:rFonts w:ascii="宋体" w:hAnsi="宋体" w:cs="宋体" w:eastAsia="宋体" w:hint="default"/>
        </w:rPr>
        <w:t>5,250,000</w:t>
      </w:r>
      <w:r>
        <w:rPr/>
        <w:t>元。该方案尚需提交公司</w:t>
      </w:r>
      <w:r>
        <w:rPr>
          <w:rFonts w:ascii="宋体" w:hAnsi="宋体" w:cs="宋体" w:eastAsia="宋体" w:hint="default"/>
        </w:rPr>
        <w:t>2018</w:t>
      </w:r>
      <w:r>
        <w:rPr/>
        <w:t>年度股东大会审议。</w:t>
      </w:r>
    </w:p>
    <w:p>
      <w:pPr>
        <w:spacing w:line="240" w:lineRule="auto" w:before="1"/>
        <w:rPr>
          <w:rFonts w:ascii="宋体" w:hAnsi="宋体" w:cs="宋体" w:eastAsia="宋体" w:hint="default"/>
          <w:sz w:val="24"/>
          <w:szCs w:val="24"/>
        </w:rPr>
      </w:pPr>
    </w:p>
    <w:p>
      <w:pPr>
        <w:pStyle w:val="Heading6"/>
        <w:spacing w:line="240" w:lineRule="auto" w:before="44"/>
        <w:ind w:right="940"/>
        <w:jc w:val="left"/>
        <w:rPr>
          <w:b w:val="0"/>
          <w:bCs w:val="0"/>
        </w:rPr>
      </w:pPr>
      <w:r>
        <w:rPr/>
        <w:t>公司近三年（包括本报告期）普通股现金分红情况表</w:t>
      </w:r>
      <w:r>
        <w:rPr>
          <w:b w:val="0"/>
          <w:bCs w:val="0"/>
        </w:rPr>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196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7"/>
              <w:ind w:left="52" w:right="50"/>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 w:right="5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12" w:right="143"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52" w:right="50" w:firstLine="90"/>
              <w:jc w:val="left"/>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w:t>
            </w:r>
          </w:p>
        </w:tc>
      </w:tr>
    </w:tbl>
    <w:p>
      <w:pPr>
        <w:spacing w:after="0" w:line="319" w:lineRule="auto"/>
        <w:jc w:val="left"/>
        <w:rPr>
          <w:rFonts w:ascii="宋体" w:hAnsi="宋体" w:cs="宋体" w:eastAsia="宋体" w:hint="default"/>
          <w:sz w:val="18"/>
          <w:szCs w:val="18"/>
        </w:rPr>
        <w:sectPr>
          <w:pgSz w:w="11910" w:h="16840"/>
          <w:pgMar w:header="0" w:footer="979" w:top="1500" w:bottom="1160" w:left="980" w:right="0"/>
        </w:sectPr>
      </w:pPr>
    </w:p>
    <w:p>
      <w:pPr>
        <w:spacing w:line="240" w:lineRule="auto" w:before="12"/>
        <w:rPr>
          <w:rFonts w:ascii="宋体" w:hAnsi="宋体" w:cs="宋体" w:eastAsia="宋体" w:hint="default"/>
          <w:sz w:val="2"/>
          <w:szCs w:val="2"/>
        </w:rPr>
      </w:pPr>
    </w:p>
    <w:tbl>
      <w:tblPr>
        <w:tblW w:w="0" w:type="auto"/>
        <w:jc w:val="left"/>
        <w:tblInd w:w="520" w:type="dxa"/>
        <w:tblLayout w:type="fixed"/>
        <w:tblCellMar>
          <w:top w:w="0" w:type="dxa"/>
          <w:left w:w="0" w:type="dxa"/>
          <w:bottom w:w="0" w:type="dxa"/>
          <w:right w:w="0" w:type="dxa"/>
        </w:tblCellMar>
        <w:tblLook w:val="01E0"/>
      </w:tblPr>
      <w:tblGrid>
        <w:gridCol w:w="1175"/>
        <w:gridCol w:w="1206"/>
        <w:gridCol w:w="1196"/>
        <w:gridCol w:w="1197"/>
        <w:gridCol w:w="1195"/>
        <w:gridCol w:w="1197"/>
        <w:gridCol w:w="1196"/>
        <w:gridCol w:w="1195"/>
      </w:tblGrid>
      <w:tr>
        <w:trPr>
          <w:trHeight w:val="368" w:hRule="exact"/>
        </w:trPr>
        <w:tc>
          <w:tcPr>
            <w:tcW w:w="1175"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206"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197"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195"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197"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19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2" w:right="0"/>
              <w:jc w:val="left"/>
              <w:rPr>
                <w:rFonts w:ascii="宋体" w:hAnsi="宋体" w:cs="宋体" w:eastAsia="宋体" w:hint="default"/>
                <w:sz w:val="18"/>
                <w:szCs w:val="18"/>
              </w:rPr>
            </w:pPr>
            <w:r>
              <w:rPr>
                <w:rFonts w:ascii="宋体" w:hAnsi="宋体" w:cs="宋体" w:eastAsia="宋体" w:hint="default"/>
                <w:sz w:val="18"/>
                <w:szCs w:val="18"/>
              </w:rPr>
              <w:t>的比率</w:t>
            </w:r>
          </w:p>
        </w:tc>
      </w:tr>
      <w:tr>
        <w:trPr>
          <w:trHeight w:val="402"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28,112,269.71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5,250,000.00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18.68%</w:t>
            </w:r>
          </w:p>
        </w:tc>
      </w:tr>
      <w:tr>
        <w:trPr>
          <w:trHeight w:val="402"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22,608,687.67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26,795,985.32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74.64%</w:t>
            </w:r>
          </w:p>
        </w:tc>
      </w:tr>
    </w:tbl>
    <w:p>
      <w:pPr>
        <w:pStyle w:val="BodyText"/>
        <w:spacing w:line="240" w:lineRule="auto" w:before="51"/>
        <w:ind w:left="514" w:right="0"/>
        <w:jc w:val="left"/>
      </w:pPr>
      <w:r>
        <w:rPr/>
        <w:t>公司报告期内盈利且母公司可供普通股股东分配利润为正但未提出普通股现金红利分配预案</w:t>
      </w:r>
    </w:p>
    <w:p>
      <w:pPr>
        <w:pStyle w:val="BodyText"/>
        <w:spacing w:line="240" w:lineRule="auto" w:before="116"/>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514" w:right="0"/>
        <w:jc w:val="left"/>
        <w:rPr>
          <w:b w:val="0"/>
          <w:bCs w:val="0"/>
        </w:rPr>
      </w:pPr>
      <w:bookmarkStart w:name="二、本报告期利润分配及资本公积金转增股本预案情况" w:id="65"/>
      <w:bookmarkEnd w:id="65"/>
      <w:r>
        <w:rPr>
          <w:b w:val="0"/>
          <w:bCs w:val="0"/>
        </w:rPr>
      </w:r>
      <w:r>
        <w:rPr/>
        <w:t>二、本报告期利润分配及资本公积金转增股本预案情况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0" w:right="1140"/>
        <w:jc w:val="right"/>
      </w:pPr>
      <w:r>
        <w:rPr/>
        <w:pict>
          <v:shape style="position:absolute;margin-left:57.029999pt;margin-top:-306.608276pt;width:478.6pt;height:339.8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73"/>
                    <w:gridCol w:w="5784"/>
                  </w:tblGrid>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5,250,000.00</w:t>
                        </w:r>
                      </w:p>
                    </w:tc>
                  </w:tr>
                  <w:tr>
                    <w:trPr>
                      <w:trHeight w:val="402" w:hRule="exact"/>
                    </w:trPr>
                    <w:tc>
                      <w:tcPr>
                        <w:tcW w:w="37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5,250,000.00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192,686,106.64</w:t>
                        </w:r>
                      </w:p>
                    </w:tc>
                  </w:tr>
                  <w:tr>
                    <w:trPr>
                      <w:trHeight w:val="714"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0"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经希格玛</w:t>
                        </w:r>
                        <w:r>
                          <w:rPr>
                            <w:rFonts w:ascii="宋体" w:hAnsi="宋体" w:cs="宋体" w:eastAsia="宋体" w:hint="default"/>
                            <w:spacing w:val="-2"/>
                            <w:sz w:val="18"/>
                            <w:szCs w:val="18"/>
                          </w:rPr>
                          <w:t>会</w:t>
                        </w:r>
                        <w:r>
                          <w:rPr>
                            <w:rFonts w:ascii="宋体" w:hAnsi="宋体" w:cs="宋体" w:eastAsia="宋体" w:hint="default"/>
                            <w:sz w:val="18"/>
                            <w:szCs w:val="18"/>
                          </w:rPr>
                          <w:t>计师事务所（特殊普通合伙）审计，母公司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实</w:t>
                        </w:r>
                        <w:r>
                          <w:rPr>
                            <w:rFonts w:ascii="宋体" w:hAnsi="宋体" w:cs="宋体" w:eastAsia="宋体" w:hint="default"/>
                            <w:sz w:val="18"/>
                            <w:szCs w:val="18"/>
                          </w:rPr>
                          <w:t>现净利润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23,167,860.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元。根据《公司法</w:t>
                        </w:r>
                        <w:r>
                          <w:rPr>
                            <w:rFonts w:ascii="宋体" w:hAnsi="宋体" w:cs="宋体" w:eastAsia="宋体" w:hint="default"/>
                            <w:spacing w:val="-90"/>
                            <w:sz w:val="18"/>
                            <w:szCs w:val="18"/>
                          </w:rPr>
                          <w:t>》、</w:t>
                        </w:r>
                        <w:r>
                          <w:rPr>
                            <w:rFonts w:ascii="宋体" w:hAnsi="宋体" w:cs="宋体" w:eastAsia="宋体" w:hint="default"/>
                            <w:sz w:val="18"/>
                            <w:szCs w:val="18"/>
                          </w:rPr>
                          <w:t>《企</w:t>
                        </w:r>
                      </w:p>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pacing w:val="-4"/>
                            <w:sz w:val="18"/>
                            <w:szCs w:val="18"/>
                          </w:rPr>
                          <w:t>业会计准则》及《公司章程》等规定，公司拟按照</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年度实现净利润的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2,316,786.01</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元，加上公</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司年初未分配利润</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171,835,032.54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元，实际可供股东分配的利润为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192,686,106.64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元。经董事会决议，公司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年度利润</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分配预案为</w:t>
                        </w:r>
                        <w:r>
                          <w:rPr>
                            <w:rFonts w:ascii="宋体" w:hAnsi="宋体" w:cs="宋体" w:eastAsia="宋体" w:hint="default"/>
                            <w:spacing w:val="-54"/>
                            <w:sz w:val="18"/>
                            <w:szCs w:val="18"/>
                          </w:rPr>
                          <w:t>：</w:t>
                        </w:r>
                        <w:r>
                          <w:rPr>
                            <w:rFonts w:ascii="宋体" w:hAnsi="宋体" w:cs="宋体" w:eastAsia="宋体" w:hint="default"/>
                            <w:sz w:val="18"/>
                            <w:szCs w:val="18"/>
                          </w:rPr>
                          <w:t>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150,000,000 </w:t>
                        </w:r>
                        <w:r>
                          <w:rPr>
                            <w:rFonts w:ascii="宋体" w:hAnsi="宋体" w:cs="宋体" w:eastAsia="宋体" w:hint="default"/>
                            <w:spacing w:val="-2"/>
                            <w:sz w:val="18"/>
                            <w:szCs w:val="18"/>
                          </w:rPr>
                          <w:t>股</w:t>
                        </w:r>
                        <w:r>
                          <w:rPr>
                            <w:rFonts w:ascii="宋体" w:hAnsi="宋体" w:cs="宋体" w:eastAsia="宋体" w:hint="default"/>
                            <w:sz w:val="18"/>
                            <w:szCs w:val="18"/>
                          </w:rPr>
                          <w:t>为基数</w:t>
                        </w:r>
                        <w:r>
                          <w:rPr>
                            <w:rFonts w:ascii="宋体" w:hAnsi="宋体" w:cs="宋体" w:eastAsia="宋体" w:hint="default"/>
                            <w:spacing w:val="-54"/>
                            <w:sz w:val="18"/>
                            <w:szCs w:val="18"/>
                          </w:rPr>
                          <w:t>，</w:t>
                        </w:r>
                        <w:r>
                          <w:rPr>
                            <w:rFonts w:ascii="宋体" w:hAnsi="宋体" w:cs="宋体" w:eastAsia="宋体" w:hint="default"/>
                            <w:sz w:val="18"/>
                            <w:szCs w:val="18"/>
                          </w:rPr>
                          <w:t>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派</w:t>
                        </w:r>
                        <w:r>
                          <w:rPr>
                            <w:rFonts w:ascii="宋体" w:hAnsi="宋体" w:cs="宋体" w:eastAsia="宋体" w:hint="default"/>
                            <w:sz w:val="18"/>
                            <w:szCs w:val="18"/>
                          </w:rPr>
                          <w:t>发现金红利人民币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0.35</w:t>
                        </w:r>
                        <w:r>
                          <w:rPr>
                            <w:rFonts w:ascii="Times New Roman" w:hAnsi="Times New Roman" w:cs="Times New Roman" w:eastAsia="Times New Roman" w:hint="default"/>
                            <w:spacing w:val="-1"/>
                            <w:sz w:val="18"/>
                            <w:szCs w:val="18"/>
                          </w:rPr>
                          <w:t> </w:t>
                        </w:r>
                        <w:r>
                          <w:rPr>
                            <w:rFonts w:ascii="宋体" w:hAnsi="宋体" w:cs="宋体" w:eastAsia="宋体" w:hint="default"/>
                            <w:spacing w:val="-54"/>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不送红股，不以资本公积金转增股本，共派发现金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5,250,000.00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8"/>
        <w:ind w:left="514" w:right="0"/>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59" w:lineRule="auto"/>
        <w:ind w:left="514" w:right="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206"/>
        <w:gridCol w:w="1134"/>
        <w:gridCol w:w="1134"/>
        <w:gridCol w:w="3970"/>
        <w:gridCol w:w="1465"/>
        <w:gridCol w:w="649"/>
        <w:gridCol w:w="862"/>
      </w:tblGrid>
      <w:tr>
        <w:trPr>
          <w:trHeight w:val="161" w:hRule="exact"/>
        </w:trPr>
        <w:tc>
          <w:tcPr>
            <w:tcW w:w="12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397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9" w:right="47"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86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2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00"/>
              <w:jc w:val="right"/>
              <w:rPr>
                <w:rFonts w:ascii="宋体" w:hAnsi="宋体" w:cs="宋体" w:eastAsia="宋体" w:hint="default"/>
                <w:sz w:val="18"/>
                <w:szCs w:val="18"/>
              </w:rPr>
            </w:pPr>
            <w:r>
              <w:rPr>
                <w:rFonts w:ascii="宋体" w:hAnsi="宋体" w:cs="宋体" w:eastAsia="宋体" w:hint="default"/>
                <w:sz w:val="18"/>
                <w:szCs w:val="18"/>
              </w:rPr>
              <w:t>承诺类型</w:t>
            </w:r>
          </w:p>
        </w:tc>
        <w:tc>
          <w:tcPr>
            <w:tcW w:w="39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649" w:type="dxa"/>
            <w:vMerge/>
            <w:tcBorders>
              <w:left w:val="single" w:sz="4" w:space="0" w:color="000000"/>
              <w:right w:val="single" w:sz="4" w:space="0" w:color="000000"/>
            </w:tcBorders>
            <w:shd w:val="clear" w:color="auto" w:fill="D2D2D2"/>
          </w:tcPr>
          <w:p>
            <w:pPr/>
          </w:p>
        </w:tc>
        <w:tc>
          <w:tcPr>
            <w:tcW w:w="8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2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397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49" w:type="dxa"/>
            <w:vMerge/>
            <w:tcBorders>
              <w:left w:val="single" w:sz="4" w:space="0" w:color="000000"/>
              <w:bottom w:val="single" w:sz="4" w:space="0" w:color="000000"/>
              <w:right w:val="single" w:sz="4" w:space="0" w:color="000000"/>
            </w:tcBorders>
            <w:shd w:val="clear" w:color="auto" w:fill="D2D2D2"/>
          </w:tcPr>
          <w:p>
            <w:pPr/>
          </w:p>
        </w:tc>
        <w:tc>
          <w:tcPr>
            <w:tcW w:w="86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69"/>
              <w:jc w:val="center"/>
              <w:rPr>
                <w:rFonts w:ascii="宋体" w:hAnsi="宋体" w:cs="宋体" w:eastAsia="宋体" w:hint="default"/>
                <w:sz w:val="18"/>
                <w:szCs w:val="18"/>
              </w:rPr>
            </w:pPr>
            <w:r>
              <w:rPr>
                <w:rFonts w:ascii="宋体" w:hAnsi="宋体" w:cs="宋体" w:eastAsia="宋体" w:hint="default"/>
                <w:sz w:val="18"/>
                <w:szCs w:val="18"/>
              </w:rPr>
              <w:t>资产重组时所</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西安环球印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9"/>
              <w:jc w:val="right"/>
              <w:rPr>
                <w:rFonts w:ascii="宋体" w:hAnsi="宋体" w:cs="宋体" w:eastAsia="宋体" w:hint="default"/>
                <w:sz w:val="18"/>
                <w:szCs w:val="18"/>
              </w:rPr>
            </w:pPr>
            <w:r>
              <w:rPr>
                <w:rFonts w:ascii="宋体" w:hAnsi="宋体" w:cs="宋体" w:eastAsia="宋体" w:hint="default"/>
                <w:sz w:val="18"/>
                <w:szCs w:val="18"/>
              </w:rPr>
              <w:t>不进行重大</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日披露了《西安环球印务股</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46"/>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5" w:right="0"/>
              <w:jc w:val="left"/>
              <w:rPr>
                <w:rFonts w:ascii="宋体" w:hAnsi="宋体" w:cs="宋体" w:eastAsia="宋体" w:hint="default"/>
                <w:sz w:val="18"/>
                <w:szCs w:val="18"/>
              </w:rPr>
            </w:pPr>
            <w:r>
              <w:rPr>
                <w:rFonts w:ascii="宋体" w:hAnsi="宋体" w:cs="宋体" w:eastAsia="宋体" w:hint="default"/>
                <w:sz w:val="18"/>
                <w:szCs w:val="18"/>
              </w:rPr>
              <w:t>已履行完</w:t>
            </w:r>
          </w:p>
        </w:tc>
      </w:tr>
    </w:tbl>
    <w:p>
      <w:pPr>
        <w:spacing w:after="0" w:line="240" w:lineRule="auto"/>
        <w:jc w:val="left"/>
        <w:rPr>
          <w:rFonts w:ascii="宋体" w:hAnsi="宋体" w:cs="宋体" w:eastAsia="宋体" w:hint="default"/>
          <w:sz w:val="18"/>
          <w:szCs w:val="18"/>
        </w:rPr>
        <w:sectPr>
          <w:pgSz w:w="11910" w:h="16840"/>
          <w:pgMar w:header="0" w:footer="979" w:top="1500" w:bottom="1160" w:left="620" w:right="0"/>
        </w:sectPr>
      </w:pPr>
    </w:p>
    <w:tbl>
      <w:tblPr>
        <w:tblW w:w="0" w:type="auto"/>
        <w:jc w:val="left"/>
        <w:tblInd w:w="118" w:type="dxa"/>
        <w:tblLayout w:type="fixed"/>
        <w:tblCellMar>
          <w:top w:w="0" w:type="dxa"/>
          <w:left w:w="0" w:type="dxa"/>
          <w:bottom w:w="0" w:type="dxa"/>
          <w:right w:w="0" w:type="dxa"/>
        </w:tblCellMar>
        <w:tblLook w:val="01E0"/>
      </w:tblPr>
      <w:tblGrid>
        <w:gridCol w:w="1206"/>
        <w:gridCol w:w="1134"/>
        <w:gridCol w:w="1134"/>
        <w:gridCol w:w="3970"/>
        <w:gridCol w:w="1453"/>
        <w:gridCol w:w="672"/>
        <w:gridCol w:w="851"/>
      </w:tblGrid>
      <w:tr>
        <w:trPr>
          <w:trHeight w:val="1310" w:hRule="exact"/>
        </w:trPr>
        <w:tc>
          <w:tcPr>
            <w:tcW w:w="120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作承诺</w:t>
            </w:r>
          </w:p>
        </w:tc>
        <w:tc>
          <w:tcPr>
            <w:tcW w:w="1134" w:type="dxa"/>
            <w:tcBorders>
              <w:top w:val="single" w:sz="10" w:space="0" w:color="000000"/>
              <w:left w:val="single" w:sz="4" w:space="0" w:color="000000"/>
              <w:bottom w:val="single" w:sz="4" w:space="0" w:color="000000"/>
              <w:right w:val="single" w:sz="4" w:space="0" w:color="000000"/>
            </w:tcBorders>
          </w:tcPr>
          <w:p>
            <w:pPr>
              <w:pStyle w:val="TableParagraph"/>
              <w:spacing w:line="319" w:lineRule="auto" w:before="10"/>
              <w:ind w:left="22" w:right="199"/>
              <w:jc w:val="left"/>
              <w:rPr>
                <w:rFonts w:ascii="宋体" w:hAnsi="宋体" w:cs="宋体" w:eastAsia="宋体" w:hint="default"/>
                <w:sz w:val="18"/>
                <w:szCs w:val="18"/>
              </w:rPr>
            </w:pPr>
            <w:r>
              <w:rPr>
                <w:rFonts w:ascii="宋体" w:hAnsi="宋体" w:cs="宋体" w:eastAsia="宋体" w:hint="default"/>
                <w:sz w:val="18"/>
                <w:szCs w:val="18"/>
              </w:rPr>
              <w:t>务股份有限 公司</w:t>
            </w:r>
          </w:p>
        </w:tc>
        <w:tc>
          <w:tcPr>
            <w:tcW w:w="1134" w:type="dxa"/>
            <w:tcBorders>
              <w:top w:val="single" w:sz="10" w:space="0" w:color="000000"/>
              <w:left w:val="single" w:sz="4" w:space="0" w:color="000000"/>
              <w:bottom w:val="single" w:sz="4" w:space="0" w:color="000000"/>
              <w:right w:val="single" w:sz="4" w:space="0" w:color="000000"/>
            </w:tcBorders>
          </w:tcPr>
          <w:p>
            <w:pPr>
              <w:pStyle w:val="TableParagraph"/>
              <w:spacing w:line="319" w:lineRule="auto" w:before="10"/>
              <w:ind w:left="22" w:right="199"/>
              <w:jc w:val="left"/>
              <w:rPr>
                <w:rFonts w:ascii="宋体" w:hAnsi="宋体" w:cs="宋体" w:eastAsia="宋体" w:hint="default"/>
                <w:sz w:val="18"/>
                <w:szCs w:val="18"/>
              </w:rPr>
            </w:pPr>
            <w:r>
              <w:rPr>
                <w:rFonts w:ascii="宋体" w:hAnsi="宋体" w:cs="宋体" w:eastAsia="宋体" w:hint="default"/>
                <w:sz w:val="18"/>
                <w:szCs w:val="18"/>
              </w:rPr>
              <w:t>资产重组承 诺</w:t>
            </w:r>
          </w:p>
        </w:tc>
        <w:tc>
          <w:tcPr>
            <w:tcW w:w="3970" w:type="dxa"/>
            <w:tcBorders>
              <w:top w:val="single" w:sz="10" w:space="0" w:color="000000"/>
              <w:left w:val="single" w:sz="4" w:space="0" w:color="000000"/>
              <w:bottom w:val="single" w:sz="4" w:space="0" w:color="000000"/>
              <w:right w:val="single" w:sz="4" w:space="0" w:color="000000"/>
            </w:tcBorders>
          </w:tcPr>
          <w:p>
            <w:pPr>
              <w:pStyle w:val="TableParagraph"/>
              <w:spacing w:line="307"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份有限公司关于终止重大资产重组暨公司股票复 </w:t>
            </w:r>
            <w:r>
              <w:rPr>
                <w:rFonts w:ascii="宋体" w:hAnsi="宋体" w:cs="宋体" w:eastAsia="宋体" w:hint="default"/>
                <w:spacing w:val="-8"/>
                <w:sz w:val="18"/>
                <w:szCs w:val="18"/>
              </w:rPr>
              <w:t>牌的公告》（编号：</w:t>
            </w:r>
            <w:r>
              <w:rPr>
                <w:rFonts w:ascii="Times New Roman" w:hAnsi="Times New Roman" w:cs="Times New Roman" w:eastAsia="Times New Roman" w:hint="default"/>
                <w:spacing w:val="-8"/>
                <w:sz w:val="18"/>
                <w:szCs w:val="18"/>
              </w:rPr>
              <w:t>2018-040</w:t>
            </w:r>
            <w:r>
              <w:rPr>
                <w:rFonts w:ascii="宋体" w:hAnsi="宋体" w:cs="宋体" w:eastAsia="宋体" w:hint="default"/>
                <w:spacing w:val="-8"/>
                <w:sz w:val="18"/>
                <w:szCs w:val="18"/>
              </w:rPr>
              <w:t>），公司承诺自发布终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止本次重大资产重组公告之日起至少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10"/>
                <w:sz w:val="18"/>
                <w:szCs w:val="18"/>
              </w:rPr>
              <w:t>个月内，不</w:t>
            </w:r>
            <w:r>
              <w:rPr>
                <w:rFonts w:ascii="宋体" w:hAnsi="宋体" w:cs="宋体" w:eastAsia="宋体" w:hint="default"/>
                <w:sz w:val="18"/>
                <w:szCs w:val="18"/>
              </w:rPr>
              <w:t> 再筹划重大资产重组事项。</w:t>
            </w:r>
          </w:p>
        </w:tc>
        <w:tc>
          <w:tcPr>
            <w:tcW w:w="145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2" w:type="dxa"/>
            <w:tcBorders>
              <w:top w:val="single" w:sz="10" w:space="0" w:color="000000"/>
              <w:left w:val="single" w:sz="4" w:space="0" w:color="000000"/>
              <w:bottom w:val="single" w:sz="4" w:space="0" w:color="000000"/>
              <w:right w:val="single" w:sz="4" w:space="0" w:color="000000"/>
            </w:tcBorders>
          </w:tcPr>
          <w:p>
            <w:pPr/>
          </w:p>
        </w:tc>
        <w:tc>
          <w:tcPr>
            <w:tcW w:w="85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毕</w:t>
            </w:r>
          </w:p>
        </w:tc>
      </w:tr>
      <w:tr>
        <w:trPr>
          <w:trHeight w:val="9450" w:hRule="exact"/>
        </w:trPr>
        <w:tc>
          <w:tcPr>
            <w:tcW w:w="12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19" w:lineRule="auto"/>
              <w:ind w:left="22" w:right="93"/>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00" w:lineRule="auto"/>
              <w:ind w:left="22" w:right="98"/>
              <w:jc w:val="both"/>
              <w:rPr>
                <w:rFonts w:ascii="宋体" w:hAnsi="宋体" w:cs="宋体" w:eastAsia="宋体" w:hint="default"/>
                <w:sz w:val="18"/>
                <w:szCs w:val="18"/>
              </w:rPr>
            </w:pPr>
            <w:r>
              <w:rPr>
                <w:rFonts w:ascii="宋体" w:hAnsi="宋体" w:cs="宋体" w:eastAsia="宋体" w:hint="default"/>
                <w:sz w:val="18"/>
                <w:szCs w:val="18"/>
              </w:rPr>
              <w:t>李移岭</w:t>
            </w:r>
            <w:r>
              <w:rPr>
                <w:rFonts w:ascii="Times New Roman" w:hAnsi="Times New Roman" w:cs="Times New Roman" w:eastAsia="Times New Roman" w:hint="default"/>
                <w:sz w:val="18"/>
                <w:szCs w:val="18"/>
              </w:rPr>
              <w:t>;</w:t>
            </w:r>
            <w:r>
              <w:rPr>
                <w:rFonts w:ascii="宋体" w:hAnsi="宋体" w:cs="宋体" w:eastAsia="宋体" w:hint="default"/>
                <w:sz w:val="18"/>
                <w:szCs w:val="18"/>
              </w:rPr>
              <w:t>孙学 军</w:t>
            </w:r>
            <w:r>
              <w:rPr>
                <w:rFonts w:ascii="Times New Roman" w:hAnsi="Times New Roman" w:cs="Times New Roman" w:eastAsia="Times New Roman" w:hint="default"/>
                <w:sz w:val="18"/>
                <w:szCs w:val="18"/>
              </w:rPr>
              <w:t>;</w:t>
            </w:r>
            <w:r>
              <w:rPr>
                <w:rFonts w:ascii="宋体" w:hAnsi="宋体" w:cs="宋体" w:eastAsia="宋体" w:hint="default"/>
                <w:sz w:val="18"/>
                <w:szCs w:val="18"/>
              </w:rPr>
              <w:t>杨军</w:t>
            </w:r>
            <w:r>
              <w:rPr>
                <w:rFonts w:ascii="Times New Roman" w:hAnsi="Times New Roman" w:cs="Times New Roman" w:eastAsia="Times New Roman" w:hint="default"/>
                <w:sz w:val="18"/>
                <w:szCs w:val="18"/>
              </w:rPr>
              <w:t>;</w:t>
            </w:r>
            <w:r>
              <w:rPr>
                <w:rFonts w:ascii="宋体" w:hAnsi="宋体" w:cs="宋体" w:eastAsia="宋体" w:hint="default"/>
                <w:sz w:val="18"/>
                <w:szCs w:val="18"/>
              </w:rPr>
              <w:t>蔡红 军</w:t>
            </w:r>
            <w:r>
              <w:rPr>
                <w:rFonts w:ascii="Times New Roman" w:hAnsi="Times New Roman" w:cs="Times New Roman" w:eastAsia="Times New Roman" w:hint="default"/>
                <w:sz w:val="18"/>
                <w:szCs w:val="18"/>
              </w:rPr>
              <w:t>;</w:t>
            </w:r>
            <w:r>
              <w:rPr>
                <w:rFonts w:ascii="宋体" w:hAnsi="宋体" w:cs="宋体" w:eastAsia="宋体" w:hint="default"/>
                <w:sz w:val="18"/>
                <w:szCs w:val="18"/>
              </w:rPr>
              <w:t>张明禹</w:t>
            </w:r>
            <w:r>
              <w:rPr>
                <w:rFonts w:ascii="Times New Roman" w:hAnsi="Times New Roman" w:cs="Times New Roman" w:eastAsia="Times New Roman" w:hint="default"/>
                <w:sz w:val="18"/>
                <w:szCs w:val="18"/>
              </w:rPr>
              <w:t>;</w:t>
            </w:r>
            <w:r>
              <w:rPr>
                <w:rFonts w:ascii="宋体" w:hAnsi="宋体" w:cs="宋体" w:eastAsia="宋体" w:hint="default"/>
                <w:sz w:val="18"/>
                <w:szCs w:val="18"/>
              </w:rPr>
              <w:t>冯 均科</w:t>
            </w:r>
            <w:r>
              <w:rPr>
                <w:rFonts w:ascii="Times New Roman" w:hAnsi="Times New Roman" w:cs="Times New Roman" w:eastAsia="Times New Roman" w:hint="default"/>
                <w:sz w:val="18"/>
                <w:szCs w:val="18"/>
              </w:rPr>
              <w:t>;</w:t>
            </w:r>
            <w:r>
              <w:rPr>
                <w:rFonts w:ascii="宋体" w:hAnsi="宋体" w:cs="宋体" w:eastAsia="宋体" w:hint="default"/>
                <w:sz w:val="18"/>
                <w:szCs w:val="18"/>
              </w:rPr>
              <w:t>闻松泉</w:t>
            </w:r>
            <w:r>
              <w:rPr>
                <w:rFonts w:ascii="Times New Roman" w:hAnsi="Times New Roman" w:cs="Times New Roman" w:eastAsia="Times New Roman" w:hint="default"/>
                <w:sz w:val="18"/>
                <w:szCs w:val="18"/>
              </w:rPr>
              <w:t>; </w:t>
            </w:r>
            <w:r>
              <w:rPr>
                <w:rFonts w:ascii="宋体" w:hAnsi="宋体" w:cs="宋体" w:eastAsia="宋体" w:hint="default"/>
                <w:sz w:val="18"/>
                <w:szCs w:val="18"/>
              </w:rPr>
              <w:t>林蔚</w:t>
            </w:r>
            <w:r>
              <w:rPr>
                <w:rFonts w:ascii="Times New Roman" w:hAnsi="Times New Roman" w:cs="Times New Roman" w:eastAsia="Times New Roman" w:hint="default"/>
                <w:sz w:val="18"/>
                <w:szCs w:val="18"/>
              </w:rPr>
              <w:t>;</w:t>
            </w:r>
            <w:r>
              <w:rPr>
                <w:rFonts w:ascii="宋体" w:hAnsi="宋体" w:cs="宋体" w:eastAsia="宋体" w:hint="default"/>
                <w:sz w:val="18"/>
                <w:szCs w:val="18"/>
              </w:rPr>
              <w:t>赵建平</w:t>
            </w:r>
            <w:r>
              <w:rPr>
                <w:rFonts w:ascii="Times New Roman" w:hAnsi="Times New Roman" w:cs="Times New Roman" w:eastAsia="Times New Roman" w:hint="default"/>
                <w:sz w:val="18"/>
                <w:szCs w:val="18"/>
              </w:rPr>
              <w:t>; </w:t>
            </w:r>
            <w:r>
              <w:rPr>
                <w:rFonts w:ascii="宋体" w:hAnsi="宋体" w:cs="宋体" w:eastAsia="宋体" w:hint="default"/>
                <w:sz w:val="18"/>
                <w:szCs w:val="18"/>
              </w:rPr>
              <w:t>许明</w:t>
            </w:r>
            <w:r>
              <w:rPr>
                <w:rFonts w:ascii="Times New Roman" w:hAnsi="Times New Roman" w:cs="Times New Roman" w:eastAsia="Times New Roman" w:hint="default"/>
                <w:sz w:val="18"/>
                <w:szCs w:val="18"/>
              </w:rPr>
              <w:t>;</w:t>
            </w:r>
            <w:r>
              <w:rPr>
                <w:rFonts w:ascii="宋体" w:hAnsi="宋体" w:cs="宋体" w:eastAsia="宋体" w:hint="default"/>
                <w:sz w:val="18"/>
                <w:szCs w:val="18"/>
              </w:rPr>
              <w:t>常鹏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7"/>
              <w:ind w:left="22" w:right="23"/>
              <w:jc w:val="left"/>
              <w:rPr>
                <w:rFonts w:ascii="宋体" w:hAnsi="宋体" w:cs="宋体" w:eastAsia="宋体" w:hint="default"/>
                <w:sz w:val="18"/>
                <w:szCs w:val="18"/>
              </w:rPr>
            </w:pPr>
            <w:r>
              <w:rPr>
                <w:rFonts w:ascii="宋体" w:hAnsi="宋体" w:cs="宋体" w:eastAsia="宋体" w:hint="default"/>
                <w:sz w:val="18"/>
                <w:szCs w:val="18"/>
              </w:rPr>
              <w:t>关于切实履行填补每股收益具体措施的承诺函： </w:t>
            </w:r>
            <w:r>
              <w:rPr>
                <w:rFonts w:ascii="Times New Roman" w:hAnsi="Times New Roman" w:cs="Times New Roman" w:eastAsia="Times New Roman" w:hint="default"/>
                <w:sz w:val="18"/>
                <w:szCs w:val="18"/>
              </w:rPr>
              <w:t>“</w:t>
            </w:r>
            <w:r>
              <w:rPr>
                <w:rFonts w:ascii="宋体" w:hAnsi="宋体" w:cs="宋体" w:eastAsia="宋体" w:hint="default"/>
                <w:sz w:val="18"/>
                <w:szCs w:val="18"/>
              </w:rPr>
              <w:t>为保证公司填补每股收益的具体措施能够得到切 </w:t>
            </w:r>
            <w:r>
              <w:rPr>
                <w:rFonts w:ascii="宋体" w:hAnsi="宋体" w:cs="宋体" w:eastAsia="宋体" w:hint="default"/>
                <w:spacing w:val="-3"/>
                <w:sz w:val="18"/>
                <w:szCs w:val="18"/>
              </w:rPr>
              <w:t>实履行，本人作为西安环球印务股份有限公司（以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8"/>
                <w:w w:val="100"/>
                <w:sz w:val="18"/>
                <w:szCs w:val="18"/>
              </w:rPr>
              <w:t>下简称</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公司</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）的董事</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高级管理人员，特承诺</w:t>
            </w:r>
          </w:p>
          <w:p>
            <w:pPr>
              <w:pStyle w:val="TableParagraph"/>
              <w:spacing w:line="316" w:lineRule="auto" w:before="3"/>
              <w:ind w:left="22" w:right="-23"/>
              <w:jc w:val="left"/>
              <w:rPr>
                <w:rFonts w:ascii="宋体" w:hAnsi="宋体" w:cs="宋体" w:eastAsia="宋体" w:hint="default"/>
                <w:sz w:val="18"/>
                <w:szCs w:val="18"/>
              </w:rPr>
            </w:pPr>
            <w:r>
              <w:rPr>
                <w:rFonts w:ascii="宋体" w:hAnsi="宋体" w:cs="宋体" w:eastAsia="宋体" w:hint="default"/>
                <w:spacing w:val="-3"/>
                <w:sz w:val="18"/>
                <w:szCs w:val="18"/>
              </w:rPr>
              <w:t>（一）承诺不无偿或以不公平条件向其他单位或者</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个人输送利益，也不采用其他方式损害公司利益；</w:t>
            </w:r>
          </w:p>
          <w:p>
            <w:pPr>
              <w:pStyle w:val="TableParagraph"/>
              <w:spacing w:line="316" w:lineRule="auto" w:before="19"/>
              <w:ind w:left="22" w:right="2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（二）承诺对本人以及职权范围内其他董事和高管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的职务消费行为进行约束，必要的职务消费行为应</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5"/>
                <w:sz w:val="18"/>
                <w:szCs w:val="18"/>
              </w:rPr>
              <w:t>低于平均水平；（三）承诺不动用公司资产从事与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其履行职责无关的投资、消费活动；（四）承诺积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极推动公司薪酬制度的完善使之符合摊薄即期收 </w:t>
            </w:r>
            <w:r>
              <w:rPr>
                <w:rFonts w:ascii="宋体" w:hAnsi="宋体" w:cs="宋体" w:eastAsia="宋体" w:hint="default"/>
                <w:spacing w:val="-3"/>
                <w:sz w:val="18"/>
                <w:szCs w:val="18"/>
              </w:rPr>
              <w:t>益填补回报措施的要求，承诺支持公司董事会或薪</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酬委员会制定的薪酬制度与公司填补回报措施的 </w:t>
            </w:r>
            <w:r>
              <w:rPr>
                <w:rFonts w:ascii="宋体" w:hAnsi="宋体" w:cs="宋体" w:eastAsia="宋体" w:hint="default"/>
                <w:spacing w:val="-3"/>
                <w:sz w:val="18"/>
                <w:szCs w:val="18"/>
              </w:rPr>
              <w:t>执行情况相挂钩，若本人为董事则承诺在董事会上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5"/>
                <w:sz w:val="18"/>
                <w:szCs w:val="18"/>
              </w:rPr>
              <w:t>对相关议案投赞成票；（五）承诺当参与公司制订</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及推出股权激励计划的相关决策时，应该使股权激</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励的行权条件与公司填补回报措施的执行情况相 </w:t>
            </w:r>
            <w:r>
              <w:rPr>
                <w:rFonts w:ascii="宋体" w:hAnsi="宋体" w:cs="宋体" w:eastAsia="宋体" w:hint="default"/>
                <w:spacing w:val="-3"/>
                <w:sz w:val="18"/>
                <w:szCs w:val="18"/>
              </w:rPr>
              <w:t>挂钩，若本人为董事则承诺在董事会上对相关议案</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5"/>
                <w:sz w:val="18"/>
                <w:szCs w:val="18"/>
              </w:rPr>
              <w:t>投赞成票。（六）在中国证券监督管理委员会、深</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圳证券交易所另行发布摊薄即期收益填补回报措 </w:t>
            </w:r>
            <w:r>
              <w:rPr>
                <w:rFonts w:ascii="宋体" w:hAnsi="宋体" w:cs="宋体" w:eastAsia="宋体" w:hint="default"/>
                <w:spacing w:val="-3"/>
                <w:sz w:val="18"/>
                <w:szCs w:val="18"/>
              </w:rPr>
              <w:t>施及其承诺的相关意见及实施细则后，如果公司相</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关措施及本人的承诺与相关规定不符的，本人承诺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将立即按照相关规定作出补充承诺，并积极推进公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司制定新的措施。如本人未履行上述承诺，则本人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将在股东大会及中国证券监督管理委员会指定的 披露媒体上公开说明未履行承诺的具体原因并向 </w:t>
            </w:r>
            <w:r>
              <w:rPr>
                <w:rFonts w:ascii="宋体" w:hAnsi="宋体" w:cs="宋体" w:eastAsia="宋体" w:hint="default"/>
                <w:spacing w:val="-3"/>
                <w:sz w:val="18"/>
                <w:szCs w:val="18"/>
              </w:rPr>
              <w:t>公司股东和社会公众投资者道歉；公司有权将应付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本人的工资、薪酬、补贴等暂时予以扣留，直至本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人完成上述承诺的履行。如因未履行承诺导致公司</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6"/>
                <w:sz w:val="18"/>
                <w:szCs w:val="18"/>
              </w:rPr>
              <w:t>或投资者遭受经济损失的，本人将依法予以赔偿。</w:t>
            </w:r>
            <w:r>
              <w:rPr>
                <w:rFonts w:ascii="Times New Roman" w:hAnsi="Times New Roman" w:cs="Times New Roman" w:eastAsia="Times New Roman" w:hint="default"/>
                <w:spacing w:val="-6"/>
                <w:sz w:val="18"/>
                <w:szCs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4368" w:lineRule="exact"/>
              <w:ind w:right="-50"/>
              <w:jc w:val="left"/>
              <w:rPr>
                <w:rFonts w:ascii="宋体" w:hAnsi="宋体" w:cs="宋体" w:eastAsia="宋体" w:hint="default"/>
                <w:sz w:val="20"/>
                <w:szCs w:val="20"/>
              </w:rPr>
            </w:pPr>
            <w:r>
              <w:rPr>
                <w:rFonts w:ascii="宋体" w:hAnsi="宋体" w:cs="宋体" w:eastAsia="宋体" w:hint="default"/>
                <w:position w:val="-86"/>
                <w:sz w:val="20"/>
                <w:szCs w:val="20"/>
              </w:rPr>
              <w:pict>
                <v:group style="width:72.150pt;height:218.4pt;mso-position-horizontal-relative:char;mso-position-vertical-relative:line" coordorigin="0,0" coordsize="1443,4368">
                  <v:group style="position:absolute;left:0;top:0;width:1443;height:4368" coordorigin="0,0" coordsize="1443,4368">
                    <v:shape style="position:absolute;left:0;top:0;width:1443;height:4368" coordorigin="0,0" coordsize="1443,4368" path="m0,4368l1442,4368,1442,0,0,0,0,4368xe" filled="true" fillcolor="#ffffff" stroked="false">
                      <v:path arrowok="t"/>
                      <v:fill type="solid"/>
                    </v:shape>
                  </v:group>
                </v:group>
              </w:pict>
            </w:r>
            <w:r>
              <w:rPr>
                <w:rFonts w:ascii="宋体" w:hAnsi="宋体" w:cs="宋体" w:eastAsia="宋体" w:hint="default"/>
                <w:position w:val="-86"/>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尚在承诺 履行期， 严格履 行。</w:t>
            </w:r>
          </w:p>
        </w:tc>
      </w:tr>
      <w:tr>
        <w:trPr>
          <w:trHeight w:val="2859" w:hRule="exact"/>
        </w:trPr>
        <w:tc>
          <w:tcPr>
            <w:tcW w:w="1206"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9" w:lineRule="auto"/>
              <w:ind w:left="22" w:right="199"/>
              <w:jc w:val="both"/>
              <w:rPr>
                <w:rFonts w:ascii="宋体" w:hAnsi="宋体" w:cs="宋体" w:eastAsia="宋体" w:hint="default"/>
                <w:sz w:val="18"/>
                <w:szCs w:val="18"/>
              </w:rPr>
            </w:pPr>
            <w:r>
              <w:rPr>
                <w:rFonts w:ascii="宋体" w:hAnsi="宋体" w:cs="宋体" w:eastAsia="宋体" w:hint="default"/>
                <w:sz w:val="18"/>
                <w:szCs w:val="18"/>
              </w:rPr>
              <w:t>陕西医药控 股集团有限 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23"/>
              <w:jc w:val="left"/>
              <w:rPr>
                <w:rFonts w:ascii="宋体" w:hAnsi="宋体" w:cs="宋体" w:eastAsia="宋体" w:hint="default"/>
                <w:sz w:val="18"/>
                <w:szCs w:val="18"/>
              </w:rPr>
            </w:pPr>
            <w:r>
              <w:rPr>
                <w:rFonts w:ascii="宋体" w:hAnsi="宋体" w:cs="宋体" w:eastAsia="宋体" w:hint="default"/>
                <w:spacing w:val="-3"/>
                <w:sz w:val="18"/>
                <w:szCs w:val="18"/>
              </w:rPr>
              <w:t>控股股东关于公积金相关事项的承诺：作为控股股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东，为支持西安环球印务股份有限公司（下简称发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行人）首次公开发行股票并上市，本公司承诺，若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发生以下情形时，本公司将无条件承担相关支付义</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务以及因此产生的相关费用，不使发行人因此受到</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经济损失：</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、因发行人及其控股子公司在本承诺 </w:t>
            </w:r>
            <w:r>
              <w:rPr>
                <w:rFonts w:ascii="宋体" w:hAnsi="宋体" w:cs="宋体" w:eastAsia="宋体" w:hint="default"/>
                <w:spacing w:val="-3"/>
                <w:sz w:val="18"/>
                <w:szCs w:val="18"/>
              </w:rPr>
              <w:t>出具之前未执行住房公积金管理制度，导致相关主</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管机构要求发行人及其控股子公司补缴以前年度 住房公积金或对发行人及其控股子公司进行处罚；</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9" w:lineRule="auto"/>
              <w:ind w:left="23" w:right="95"/>
              <w:jc w:val="left"/>
              <w:rPr>
                <w:rFonts w:ascii="宋体" w:hAnsi="宋体" w:cs="宋体" w:eastAsia="宋体" w:hint="default"/>
                <w:sz w:val="18"/>
                <w:szCs w:val="18"/>
              </w:rPr>
            </w:pPr>
            <w:r>
              <w:rPr>
                <w:rFonts w:ascii="宋体" w:hAnsi="宋体" w:cs="宋体" w:eastAsia="宋体" w:hint="default"/>
                <w:sz w:val="18"/>
                <w:szCs w:val="18"/>
              </w:rPr>
              <w:t>尚在承诺 履行期， 严格履 行。</w:t>
            </w:r>
          </w:p>
        </w:tc>
      </w:tr>
    </w:tbl>
    <w:p>
      <w:pPr>
        <w:rPr>
          <w:sz w:val="2"/>
          <w:szCs w:val="2"/>
        </w:rPr>
      </w:pPr>
      <w:r>
        <w:rPr/>
        <w:pict>
          <v:shape style="position:absolute;margin-left:385.416992pt;margin-top:143.839981pt;width:96.35pt;height:218.4pt;mso-position-horizontal-relative:page;mso-position-vertical-relative:page;z-index:-8009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0" w:right="0"/>
                    <w:jc w:val="left"/>
                  </w:pPr>
                  <w:r>
                    <w:rPr/>
                    <w:t>如下：</w:t>
                  </w:r>
                </w:p>
              </w:txbxContent>
            </v:textbox>
            <w10:wrap type="none"/>
          </v:shape>
        </w:pict>
      </w:r>
    </w:p>
    <w:p>
      <w:pPr>
        <w:spacing w:after="0"/>
        <w:rPr>
          <w:sz w:val="2"/>
          <w:szCs w:val="2"/>
        </w:rPr>
        <w:sectPr>
          <w:pgSz w:w="11910" w:h="16840"/>
          <w:pgMar w:header="0" w:footer="979" w:top="1540" w:bottom="1160" w:left="620" w:right="0"/>
        </w:sectPr>
      </w:pPr>
    </w:p>
    <w:tbl>
      <w:tblPr>
        <w:tblW w:w="0" w:type="auto"/>
        <w:jc w:val="left"/>
        <w:tblInd w:w="118" w:type="dxa"/>
        <w:tblLayout w:type="fixed"/>
        <w:tblCellMar>
          <w:top w:w="0" w:type="dxa"/>
          <w:left w:w="0" w:type="dxa"/>
          <w:bottom w:w="0" w:type="dxa"/>
          <w:right w:w="0" w:type="dxa"/>
        </w:tblCellMar>
        <w:tblLook w:val="01E0"/>
      </w:tblPr>
      <w:tblGrid>
        <w:gridCol w:w="1206"/>
        <w:gridCol w:w="1134"/>
        <w:gridCol w:w="1134"/>
        <w:gridCol w:w="3970"/>
        <w:gridCol w:w="1453"/>
        <w:gridCol w:w="672"/>
        <w:gridCol w:w="851"/>
      </w:tblGrid>
      <w:tr>
        <w:trPr>
          <w:trHeight w:val="4118" w:hRule="exact"/>
        </w:trPr>
        <w:tc>
          <w:tcPr>
            <w:tcW w:w="1206" w:type="dxa"/>
            <w:vMerge w:val="restart"/>
            <w:tcBorders>
              <w:top w:val="single" w:sz="10" w:space="0" w:color="000000"/>
              <w:left w:val="single" w:sz="4" w:space="0" w:color="000000"/>
              <w:right w:val="single" w:sz="4" w:space="0" w:color="000000"/>
            </w:tcBorders>
            <w:shd w:val="clear" w:color="auto" w:fill="D2D2D2"/>
          </w:tcPr>
          <w:p>
            <w:pPr/>
          </w:p>
        </w:tc>
        <w:tc>
          <w:tcPr>
            <w:tcW w:w="1134" w:type="dxa"/>
            <w:tcBorders>
              <w:top w:val="single" w:sz="10" w:space="0" w:color="000000"/>
              <w:left w:val="single" w:sz="4" w:space="0" w:color="000000"/>
              <w:bottom w:val="single" w:sz="4" w:space="0" w:color="000000"/>
              <w:right w:val="single" w:sz="4" w:space="0" w:color="000000"/>
            </w:tcBorders>
          </w:tcPr>
          <w:p>
            <w:pPr/>
          </w:p>
        </w:tc>
        <w:tc>
          <w:tcPr>
            <w:tcW w:w="1134" w:type="dxa"/>
            <w:tcBorders>
              <w:top w:val="single" w:sz="10" w:space="0" w:color="000000"/>
              <w:left w:val="single" w:sz="4" w:space="0" w:color="000000"/>
              <w:bottom w:val="single" w:sz="4" w:space="0" w:color="000000"/>
              <w:right w:val="single" w:sz="4" w:space="0" w:color="000000"/>
            </w:tcBorders>
          </w:tcPr>
          <w:p>
            <w:pPr/>
          </w:p>
        </w:tc>
        <w:tc>
          <w:tcPr>
            <w:tcW w:w="3970" w:type="dxa"/>
            <w:tcBorders>
              <w:top w:val="single" w:sz="10" w:space="0" w:color="000000"/>
              <w:left w:val="single" w:sz="4" w:space="0" w:color="000000"/>
              <w:bottom w:val="single" w:sz="4" w:space="0" w:color="000000"/>
              <w:right w:val="single" w:sz="4" w:space="0" w:color="000000"/>
            </w:tcBorders>
          </w:tcPr>
          <w:p>
            <w:pPr>
              <w:pStyle w:val="TableParagraph"/>
              <w:spacing w:line="314" w:lineRule="auto" w:before="10"/>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、因发行人及其控股子公司于本承诺出具之前发 </w:t>
            </w:r>
            <w:r>
              <w:rPr>
                <w:rFonts w:ascii="宋体" w:hAnsi="宋体" w:cs="宋体" w:eastAsia="宋体" w:hint="default"/>
                <w:spacing w:val="-3"/>
                <w:sz w:val="18"/>
                <w:szCs w:val="18"/>
              </w:rPr>
              <w:t>生的未执行住房公积金管理制度，导致相关利益主</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体以任何方式提出赔偿请求。控股股东关于社会保</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险相关事项的承诺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若将来因相关主管部门要求发 行人及其控股子公司补缴社会保险或对发行人处 以任何罚款</w:t>
            </w:r>
            <w:r>
              <w:rPr>
                <w:rFonts w:ascii="Times New Roman" w:hAnsi="Times New Roman" w:cs="Times New Roman" w:eastAsia="Times New Roman" w:hint="default"/>
                <w:sz w:val="18"/>
                <w:szCs w:val="18"/>
              </w:rPr>
              <w:t>,</w:t>
            </w:r>
            <w:r>
              <w:rPr>
                <w:rFonts w:ascii="宋体" w:hAnsi="宋体" w:cs="宋体" w:eastAsia="宋体" w:hint="default"/>
                <w:sz w:val="18"/>
                <w:szCs w:val="18"/>
              </w:rPr>
              <w:t>或因相关利益主体向发行人及其控股 </w:t>
            </w:r>
            <w:r>
              <w:rPr>
                <w:rFonts w:ascii="宋体" w:hAnsi="宋体" w:cs="宋体" w:eastAsia="宋体" w:hint="default"/>
                <w:spacing w:val="-3"/>
                <w:sz w:val="18"/>
                <w:szCs w:val="18"/>
              </w:rPr>
              <w:t>子公司提出关于缴纳社会保险的任何赔偿请求，导</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致发行人及其控股子公司需要因此承担任何补偿 </w:t>
            </w:r>
            <w:r>
              <w:rPr>
                <w:rFonts w:ascii="宋体" w:hAnsi="宋体" w:cs="宋体" w:eastAsia="宋体" w:hint="default"/>
                <w:spacing w:val="-3"/>
                <w:sz w:val="18"/>
                <w:szCs w:val="18"/>
              </w:rPr>
              <w:t>责任、罚款或赔偿责任的，导致发行人及其控股子</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公司需要因此承担任何补偿责任、罚款或赔偿责任</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的，本公司将无条件全额承担发行人及其控股子公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司因此而发生的全部费用、支出，确保发行人及其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控股子公司不会因此遭受任何损失。</w:t>
            </w:r>
            <w:r>
              <w:rPr>
                <w:rFonts w:ascii="Times New Roman" w:hAnsi="Times New Roman" w:cs="Times New Roman" w:eastAsia="Times New Roman" w:hint="default"/>
                <w:sz w:val="18"/>
                <w:szCs w:val="18"/>
              </w:rPr>
              <w:t>”</w:t>
            </w:r>
          </w:p>
        </w:tc>
        <w:tc>
          <w:tcPr>
            <w:tcW w:w="1453" w:type="dxa"/>
            <w:tcBorders>
              <w:top w:val="single" w:sz="10" w:space="0" w:color="000000"/>
              <w:left w:val="single" w:sz="4" w:space="0" w:color="000000"/>
              <w:bottom w:val="single" w:sz="4" w:space="0" w:color="000000"/>
              <w:right w:val="single" w:sz="4" w:space="0" w:color="000000"/>
            </w:tcBorders>
          </w:tcPr>
          <w:p>
            <w:pPr/>
          </w:p>
        </w:tc>
        <w:tc>
          <w:tcPr>
            <w:tcW w:w="672" w:type="dxa"/>
            <w:tcBorders>
              <w:top w:val="single" w:sz="10" w:space="0" w:color="000000"/>
              <w:left w:val="single" w:sz="4" w:space="0" w:color="000000"/>
              <w:bottom w:val="single" w:sz="4" w:space="0" w:color="000000"/>
              <w:right w:val="single" w:sz="4" w:space="0" w:color="000000"/>
            </w:tcBorders>
          </w:tcPr>
          <w:p>
            <w:pPr/>
          </w:p>
        </w:tc>
        <w:tc>
          <w:tcPr>
            <w:tcW w:w="851" w:type="dxa"/>
            <w:tcBorders>
              <w:top w:val="single" w:sz="10" w:space="0" w:color="000000"/>
              <w:left w:val="single" w:sz="4" w:space="0" w:color="000000"/>
              <w:bottom w:val="single" w:sz="4" w:space="0" w:color="000000"/>
              <w:right w:val="single" w:sz="4" w:space="0" w:color="000000"/>
            </w:tcBorders>
          </w:tcPr>
          <w:p>
            <w:pPr/>
          </w:p>
        </w:tc>
      </w:tr>
      <w:tr>
        <w:trPr>
          <w:trHeight w:val="4458" w:hRule="exact"/>
        </w:trPr>
        <w:tc>
          <w:tcPr>
            <w:tcW w:w="1206"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316" w:lineRule="auto"/>
              <w:ind w:left="22" w:right="199"/>
              <w:jc w:val="both"/>
              <w:rPr>
                <w:rFonts w:ascii="宋体" w:hAnsi="宋体" w:cs="宋体" w:eastAsia="宋体" w:hint="default"/>
                <w:sz w:val="18"/>
                <w:szCs w:val="18"/>
              </w:rPr>
            </w:pPr>
            <w:r>
              <w:rPr>
                <w:rFonts w:ascii="宋体" w:hAnsi="宋体" w:cs="宋体" w:eastAsia="宋体" w:hint="default"/>
                <w:sz w:val="18"/>
                <w:szCs w:val="18"/>
              </w:rPr>
              <w:t>陕西医药控 股集团有限 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7"/>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自发行人股票上市交易之日起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个月内，本公 司不转让或者委托他人管理本公司持有的发行人 </w:t>
            </w:r>
            <w:r>
              <w:rPr>
                <w:rFonts w:ascii="宋体" w:hAnsi="宋体" w:cs="宋体" w:eastAsia="宋体" w:hint="default"/>
                <w:spacing w:val="-3"/>
                <w:sz w:val="18"/>
                <w:szCs w:val="18"/>
              </w:rPr>
              <w:t>股份，也不由发行人回购本公司持有的发行人于股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票上市前已发行的股份。</w:t>
            </w:r>
            <w:r>
              <w:rPr>
                <w:rFonts w:ascii="Times New Roman" w:hAnsi="Times New Roman" w:cs="Times New Roman" w:eastAsia="Times New Roman" w:hint="default"/>
                <w:sz w:val="18"/>
                <w:szCs w:val="18"/>
              </w:rPr>
              <w:t>2</w:t>
            </w:r>
            <w:r>
              <w:rPr>
                <w:rFonts w:ascii="宋体" w:hAnsi="宋体" w:cs="宋体" w:eastAsia="宋体" w:hint="default"/>
                <w:sz w:val="18"/>
                <w:szCs w:val="18"/>
              </w:rPr>
              <w:t>、发行人上市后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300" w:lineRule="auto" w:before="3"/>
              <w:ind w:left="22" w:right="65"/>
              <w:jc w:val="left"/>
              <w:rPr>
                <w:rFonts w:ascii="宋体" w:hAnsi="宋体" w:cs="宋体" w:eastAsia="宋体" w:hint="default"/>
                <w:sz w:val="18"/>
                <w:szCs w:val="18"/>
              </w:rPr>
            </w:pPr>
            <w:r>
              <w:rPr>
                <w:rFonts w:ascii="宋体" w:hAnsi="宋体" w:cs="宋体" w:eastAsia="宋体" w:hint="default"/>
                <w:sz w:val="18"/>
                <w:szCs w:val="18"/>
              </w:rPr>
              <w:t>内如发行人股票连续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个交易日的收盘价均低于 发行人首次公开发行股票并上市时的股票发行价</w:t>
            </w:r>
          </w:p>
          <w:p>
            <w:pPr>
              <w:pStyle w:val="TableParagraph"/>
              <w:spacing w:line="309" w:lineRule="auto" w:before="31"/>
              <w:ind w:left="22" w:right="-22"/>
              <w:jc w:val="left"/>
              <w:rPr>
                <w:rFonts w:ascii="宋体" w:hAnsi="宋体" w:cs="宋体" w:eastAsia="宋体" w:hint="default"/>
                <w:sz w:val="18"/>
                <w:szCs w:val="18"/>
              </w:rPr>
            </w:pPr>
            <w:r>
              <w:rPr>
                <w:rFonts w:ascii="宋体" w:hAnsi="宋体" w:cs="宋体" w:eastAsia="宋体" w:hint="default"/>
                <w:spacing w:val="-5"/>
                <w:w w:val="100"/>
                <w:sz w:val="18"/>
                <w:szCs w:val="18"/>
              </w:rPr>
              <w:t>（以下简称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发行价</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），或者发行人上市后</w:t>
            </w:r>
            <w:r>
              <w:rPr>
                <w:rFonts w:ascii="宋体" w:hAnsi="宋体" w:cs="宋体" w:eastAsia="宋体" w:hint="default"/>
                <w:spacing w:val="-44"/>
                <w:w w:val="10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spacing w:val="-85"/>
                <w:sz w:val="18"/>
                <w:szCs w:val="18"/>
              </w:rPr>
              <w:t> </w:t>
            </w:r>
            <w:r>
              <w:rPr>
                <w:rFonts w:ascii="宋体" w:hAnsi="宋体" w:cs="宋体" w:eastAsia="宋体" w:hint="default"/>
                <w:spacing w:val="-3"/>
                <w:sz w:val="18"/>
                <w:szCs w:val="18"/>
              </w:rPr>
              <w:t>发行人股票期末（如该日不是交易日，则为该日后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第一个交易日）收盘价低于发行价，本公司持有的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发行人上述股份的锁定期限自动延长至少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、本公司将积极采取合法措施履行就发行人首次 </w:t>
            </w:r>
            <w:r>
              <w:rPr>
                <w:rFonts w:ascii="宋体" w:hAnsi="宋体" w:cs="宋体" w:eastAsia="宋体" w:hint="default"/>
                <w:spacing w:val="-3"/>
                <w:sz w:val="18"/>
                <w:szCs w:val="18"/>
              </w:rPr>
              <w:t>公开发行股票并上市事宜所做的全部承诺，自愿接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受监管部门、社会公众及投资者的监督，并依法承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担相应责任。</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16" w:lineRule="auto"/>
              <w:ind w:left="22" w:right="97"/>
              <w:jc w:val="left"/>
              <w:rPr>
                <w:rFonts w:ascii="宋体" w:hAnsi="宋体" w:cs="宋体" w:eastAsia="宋体" w:hint="default"/>
                <w:sz w:val="18"/>
                <w:szCs w:val="18"/>
              </w:rPr>
            </w:pPr>
            <w:r>
              <w:rPr>
                <w:rFonts w:ascii="宋体" w:hAnsi="宋体" w:cs="宋体" w:eastAsia="宋体" w:hint="default"/>
                <w:sz w:val="18"/>
                <w:szCs w:val="18"/>
              </w:rPr>
              <w:t>三十六 个月</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319" w:lineRule="auto"/>
              <w:ind w:left="23" w:right="95"/>
              <w:jc w:val="left"/>
              <w:rPr>
                <w:rFonts w:ascii="宋体" w:hAnsi="宋体" w:cs="宋体" w:eastAsia="宋体" w:hint="default"/>
                <w:sz w:val="18"/>
                <w:szCs w:val="18"/>
              </w:rPr>
            </w:pPr>
            <w:r>
              <w:rPr>
                <w:rFonts w:ascii="宋体" w:hAnsi="宋体" w:cs="宋体" w:eastAsia="宋体" w:hint="default"/>
                <w:sz w:val="18"/>
                <w:szCs w:val="18"/>
              </w:rPr>
              <w:t>尚在承诺 履行期， 严格履 行。</w:t>
            </w:r>
          </w:p>
        </w:tc>
      </w:tr>
      <w:tr>
        <w:trPr>
          <w:trHeight w:val="4146" w:hRule="exact"/>
        </w:trPr>
        <w:tc>
          <w:tcPr>
            <w:tcW w:w="1206"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22" w:right="199"/>
              <w:jc w:val="both"/>
              <w:rPr>
                <w:rFonts w:ascii="宋体" w:hAnsi="宋体" w:cs="宋体" w:eastAsia="宋体" w:hint="default"/>
                <w:sz w:val="18"/>
                <w:szCs w:val="18"/>
              </w:rPr>
            </w:pPr>
            <w:r>
              <w:rPr>
                <w:rFonts w:ascii="宋体" w:hAnsi="宋体" w:cs="宋体" w:eastAsia="宋体" w:hint="default"/>
                <w:sz w:val="18"/>
                <w:szCs w:val="18"/>
              </w:rPr>
              <w:t>陕西医药控 股集团有限 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pacing w:val="-3"/>
                <w:sz w:val="18"/>
                <w:szCs w:val="18"/>
              </w:rPr>
              <w:t>减持的承诺：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、锁定期限</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届满后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个月内，本公司若减持上述股份，减持</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pacing w:val="-3"/>
                <w:sz w:val="18"/>
                <w:szCs w:val="18"/>
              </w:rPr>
              <w:t>价格将不低于发行价。在锁定期满后的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87"/>
                <w:sz w:val="18"/>
                <w:szCs w:val="18"/>
              </w:rPr>
              <w:t> </w:t>
            </w:r>
            <w:r>
              <w:rPr>
                <w:rFonts w:ascii="宋体" w:hAnsi="宋体" w:cs="宋体" w:eastAsia="宋体" w:hint="default"/>
                <w:spacing w:val="-3"/>
                <w:sz w:val="18"/>
                <w:szCs w:val="18"/>
              </w:rPr>
              <w:t>如果减持，减持股份数量不超过发行人股份总数的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；在锁定期满后的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个月内，如果减持，减持 股份数量累计不超过发行人股份总数的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。本公 </w:t>
            </w:r>
            <w:r>
              <w:rPr>
                <w:rFonts w:ascii="宋体" w:hAnsi="宋体" w:cs="宋体" w:eastAsia="宋体" w:hint="default"/>
                <w:spacing w:val="-3"/>
                <w:sz w:val="18"/>
                <w:szCs w:val="18"/>
              </w:rPr>
              <w:t>司减持发行人股份时，应提前将减持意向和拟减持</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数量等信息以书面方式通知发行人，并由发行人及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时予以公告，自发行人公告之日起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个交易日后， 本公司可以减持发行人股份。</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、本公司减持发行 </w:t>
            </w:r>
            <w:r>
              <w:rPr>
                <w:rFonts w:ascii="宋体" w:hAnsi="宋体" w:cs="宋体" w:eastAsia="宋体" w:hint="default"/>
                <w:spacing w:val="-3"/>
                <w:sz w:val="18"/>
                <w:szCs w:val="18"/>
              </w:rPr>
              <w:t>人股份应符合相关法律、法规、规章的规定，本公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司减持将通过深圳证券交易所以协议转让、大宗交</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易、竞价交易或其他方法依法进行。</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1716" w:lineRule="exact"/>
              <w:ind w:right="-50"/>
              <w:jc w:val="left"/>
              <w:rPr>
                <w:rFonts w:ascii="宋体" w:hAnsi="宋体" w:cs="宋体" w:eastAsia="宋体" w:hint="default"/>
                <w:sz w:val="20"/>
                <w:szCs w:val="20"/>
              </w:rPr>
            </w:pPr>
            <w:r>
              <w:rPr>
                <w:rFonts w:ascii="宋体" w:hAnsi="宋体" w:cs="宋体" w:eastAsia="宋体" w:hint="default"/>
                <w:position w:val="-33"/>
                <w:sz w:val="20"/>
                <w:szCs w:val="20"/>
              </w:rPr>
              <w:pict>
                <v:group style="width:72.150pt;height:85.8pt;mso-position-horizontal-relative:char;mso-position-vertical-relative:line" coordorigin="0,0" coordsize="1443,1716">
                  <v:group style="position:absolute;left:0;top:0;width:1443;height:1716" coordorigin="0,0" coordsize="1443,1716">
                    <v:shape style="position:absolute;left:0;top:0;width:1443;height:1716" coordorigin="0,0" coordsize="1443,1716" path="m0,1716l1442,1716,1442,0,0,0,0,1716xe" filled="true" fillcolor="#ffffff" stroked="false">
                      <v:path arrowok="t"/>
                      <v:fill type="solid"/>
                    </v:shape>
                  </v:group>
                </v:group>
              </w:pict>
            </w:r>
            <w:r>
              <w:rPr>
                <w:rFonts w:ascii="宋体" w:hAnsi="宋体" w:cs="宋体" w:eastAsia="宋体" w:hint="default"/>
                <w:position w:val="-33"/>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316" w:lineRule="auto"/>
              <w:ind w:left="22" w:right="97"/>
              <w:jc w:val="left"/>
              <w:rPr>
                <w:rFonts w:ascii="宋体" w:hAnsi="宋体" w:cs="宋体" w:eastAsia="宋体" w:hint="default"/>
                <w:sz w:val="18"/>
                <w:szCs w:val="18"/>
              </w:rPr>
            </w:pPr>
            <w:r>
              <w:rPr>
                <w:rFonts w:ascii="宋体" w:hAnsi="宋体" w:cs="宋体" w:eastAsia="宋体" w:hint="default"/>
                <w:sz w:val="18"/>
                <w:szCs w:val="18"/>
              </w:rPr>
              <w:t>三十六 个月</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尚在承诺 履行期， 严格履 行。</w:t>
            </w:r>
          </w:p>
        </w:tc>
      </w:tr>
      <w:tr>
        <w:trPr>
          <w:trHeight w:val="986" w:hRule="exact"/>
        </w:trPr>
        <w:tc>
          <w:tcPr>
            <w:tcW w:w="1206"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19"/>
              <w:jc w:val="left"/>
              <w:rPr>
                <w:rFonts w:ascii="宋体" w:hAnsi="宋体" w:cs="宋体" w:eastAsia="宋体" w:hint="default"/>
                <w:sz w:val="18"/>
                <w:szCs w:val="18"/>
              </w:rPr>
            </w:pPr>
            <w:r>
              <w:rPr>
                <w:rFonts w:ascii="宋体" w:hAnsi="宋体" w:cs="宋体" w:eastAsia="宋体" w:hint="default"/>
                <w:sz w:val="18"/>
                <w:szCs w:val="18"/>
              </w:rPr>
              <w:t>比特（香港） 投资有限公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香港原石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3970" w:type="dxa"/>
            <w:tcBorders>
              <w:top w:val="single" w:sz="4" w:space="0" w:color="000000"/>
              <w:left w:val="single" w:sz="4" w:space="0" w:color="000000"/>
              <w:bottom w:val="single" w:sz="4" w:space="0" w:color="000000"/>
              <w:right w:val="single" w:sz="9" w:space="0" w:color="FFFFFF"/>
            </w:tcBorders>
          </w:tcPr>
          <w:p>
            <w:pPr>
              <w:pStyle w:val="TableParagraph"/>
              <w:spacing w:line="309" w:lineRule="auto" w:before="47"/>
              <w:ind w:left="22" w:right="-29"/>
              <w:jc w:val="left"/>
              <w:rPr>
                <w:rFonts w:ascii="宋体" w:hAnsi="宋体" w:cs="宋体" w:eastAsia="宋体" w:hint="default"/>
                <w:sz w:val="18"/>
                <w:szCs w:val="18"/>
              </w:rPr>
            </w:pPr>
            <w:r>
              <w:rPr>
                <w:rFonts w:ascii="宋体" w:hAnsi="宋体" w:cs="宋体" w:eastAsia="宋体" w:hint="default"/>
                <w:sz w:val="18"/>
                <w:szCs w:val="18"/>
              </w:rPr>
              <w:t>锁定期满后的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个月内，本公司将根据相关法律 法规及深圳证券交易所规则，结合证券市场情况、 发行人股票走势及公开信息、实际资金需要等情</w:t>
            </w:r>
          </w:p>
        </w:tc>
        <w:tc>
          <w:tcPr>
            <w:tcW w:w="145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22" w:right="97"/>
              <w:jc w:val="left"/>
              <w:rPr>
                <w:rFonts w:ascii="宋体" w:hAnsi="宋体" w:cs="宋体" w:eastAsia="宋体" w:hint="default"/>
                <w:sz w:val="18"/>
                <w:szCs w:val="18"/>
              </w:rPr>
            </w:pPr>
            <w:r>
              <w:rPr>
                <w:rFonts w:ascii="宋体" w:hAnsi="宋体" w:cs="宋体" w:eastAsia="宋体" w:hint="default"/>
                <w:sz w:val="18"/>
                <w:szCs w:val="18"/>
              </w:rPr>
              <w:t>二十四 个月</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rPr>
          <w:sz w:val="2"/>
          <w:szCs w:val="2"/>
        </w:rPr>
      </w:pPr>
      <w:r>
        <w:rPr/>
        <w:pict>
          <v:shape style="position:absolute;margin-left:313.414001pt;margin-top:507.159973pt;width:168.35pt;height:85.8pt;mso-position-horizontal-relative:page;mso-position-vertical-relative:page;z-index:-800872" type="#_x0000_t202" filled="false" stroked="false">
            <v:textbox inset="0,0,0,0">
              <w:txbxContent>
                <w:p>
                  <w:pPr>
                    <w:pStyle w:val="BodyText"/>
                    <w:spacing w:line="240" w:lineRule="auto" w:before="51"/>
                    <w:ind w:left="0" w:right="0"/>
                    <w:jc w:val="left"/>
                  </w:pPr>
                  <w:r>
                    <w:rPr/>
                    <w:t>（包括延长的锁定期限）</w:t>
                  </w:r>
                </w:p>
                <w:p>
                  <w:pPr>
                    <w:spacing w:line="240" w:lineRule="auto" w:before="0"/>
                    <w:rPr>
                      <w:rFonts w:ascii="宋体" w:hAnsi="宋体" w:cs="宋体" w:eastAsia="宋体" w:hint="default"/>
                      <w:sz w:val="18"/>
                      <w:szCs w:val="18"/>
                    </w:rPr>
                  </w:pPr>
                </w:p>
                <w:p>
                  <w:pPr>
                    <w:pStyle w:val="BodyText"/>
                    <w:spacing w:line="240" w:lineRule="auto" w:before="151"/>
                    <w:ind w:left="53" w:right="0"/>
                    <w:jc w:val="center"/>
                  </w:pPr>
                  <w:r>
                    <w:rPr/>
                    <w:t>月内，</w:t>
                  </w:r>
                </w:p>
              </w:txbxContent>
            </v:textbox>
            <w10:wrap type="none"/>
          </v:shape>
        </w:pict>
      </w:r>
    </w:p>
    <w:p>
      <w:pPr>
        <w:spacing w:after="0"/>
        <w:rPr>
          <w:sz w:val="2"/>
          <w:szCs w:val="2"/>
        </w:rPr>
        <w:sectPr>
          <w:pgSz w:w="11910" w:h="16840"/>
          <w:pgMar w:header="0" w:footer="979" w:top="1540" w:bottom="1160" w:left="620" w:right="0"/>
        </w:sectPr>
      </w:pPr>
    </w:p>
    <w:tbl>
      <w:tblPr>
        <w:tblW w:w="0" w:type="auto"/>
        <w:jc w:val="left"/>
        <w:tblInd w:w="118" w:type="dxa"/>
        <w:tblLayout w:type="fixed"/>
        <w:tblCellMar>
          <w:top w:w="0" w:type="dxa"/>
          <w:left w:w="0" w:type="dxa"/>
          <w:bottom w:w="0" w:type="dxa"/>
          <w:right w:w="0" w:type="dxa"/>
        </w:tblCellMar>
        <w:tblLook w:val="01E0"/>
      </w:tblPr>
      <w:tblGrid>
        <w:gridCol w:w="1206"/>
        <w:gridCol w:w="1134"/>
        <w:gridCol w:w="1134"/>
        <w:gridCol w:w="3970"/>
        <w:gridCol w:w="1453"/>
        <w:gridCol w:w="672"/>
        <w:gridCol w:w="853"/>
      </w:tblGrid>
      <w:tr>
        <w:trPr>
          <w:trHeight w:val="5054" w:hRule="exact"/>
        </w:trPr>
        <w:tc>
          <w:tcPr>
            <w:tcW w:w="1206" w:type="dxa"/>
            <w:vMerge w:val="restart"/>
            <w:tcBorders>
              <w:top w:val="single" w:sz="10" w:space="0" w:color="000000"/>
              <w:left w:val="single" w:sz="4" w:space="0" w:color="000000"/>
              <w:right w:val="single" w:sz="4" w:space="0" w:color="000000"/>
            </w:tcBorders>
            <w:shd w:val="clear" w:color="auto" w:fill="D2D2D2"/>
          </w:tcPr>
          <w:p>
            <w:pPr/>
          </w:p>
        </w:tc>
        <w:tc>
          <w:tcPr>
            <w:tcW w:w="1134" w:type="dxa"/>
            <w:tcBorders>
              <w:top w:val="single" w:sz="10" w:space="0" w:color="000000"/>
              <w:left w:val="single" w:sz="4" w:space="0" w:color="000000"/>
              <w:bottom w:val="single" w:sz="4" w:space="0" w:color="000000"/>
              <w:right w:val="single" w:sz="4" w:space="0" w:color="000000"/>
            </w:tcBorders>
          </w:tcPr>
          <w:p>
            <w:pPr>
              <w:pStyle w:val="TableParagraph"/>
              <w:spacing w:line="319" w:lineRule="auto" w:before="10"/>
              <w:ind w:left="22" w:right="199"/>
              <w:jc w:val="left"/>
              <w:rPr>
                <w:rFonts w:ascii="宋体" w:hAnsi="宋体" w:cs="宋体" w:eastAsia="宋体" w:hint="default"/>
                <w:sz w:val="18"/>
                <w:szCs w:val="18"/>
              </w:rPr>
            </w:pPr>
            <w:r>
              <w:rPr>
                <w:rFonts w:ascii="宋体" w:hAnsi="宋体" w:cs="宋体" w:eastAsia="宋体" w:hint="default"/>
                <w:sz w:val="18"/>
                <w:szCs w:val="18"/>
              </w:rPr>
              <w:t>国际有限公 司</w:t>
            </w:r>
          </w:p>
        </w:tc>
        <w:tc>
          <w:tcPr>
            <w:tcW w:w="1134" w:type="dxa"/>
            <w:tcBorders>
              <w:top w:val="single" w:sz="10" w:space="0" w:color="000000"/>
              <w:left w:val="single" w:sz="4" w:space="0" w:color="000000"/>
              <w:bottom w:val="single" w:sz="4" w:space="0" w:color="000000"/>
              <w:right w:val="single" w:sz="4" w:space="0" w:color="000000"/>
            </w:tcBorders>
          </w:tcPr>
          <w:p>
            <w:pPr/>
          </w:p>
        </w:tc>
        <w:tc>
          <w:tcPr>
            <w:tcW w:w="3970"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3"/>
                <w:sz w:val="18"/>
                <w:szCs w:val="18"/>
              </w:rPr>
              <w:t>况，自主决策、择机进行减持，减持价格不低于发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行价，减持比例不超过本公司持有发行人股份的 </w:t>
            </w:r>
            <w:r>
              <w:rPr>
                <w:rFonts w:ascii="Times New Roman" w:hAnsi="Times New Roman" w:cs="Times New Roman" w:eastAsia="Times New Roman" w:hint="default"/>
                <w:sz w:val="18"/>
                <w:szCs w:val="18"/>
              </w:rPr>
              <w:t>100%</w:t>
            </w:r>
            <w:r>
              <w:rPr>
                <w:rFonts w:ascii="宋体" w:hAnsi="宋体" w:cs="宋体" w:eastAsia="宋体" w:hint="default"/>
                <w:sz w:val="18"/>
                <w:szCs w:val="18"/>
              </w:rPr>
              <w:t>。若本公司拟减持发行人股份，应提前将减 持意向和拟减持数量等信息以书面方式通知发行 </w:t>
            </w:r>
            <w:r>
              <w:rPr>
                <w:rFonts w:ascii="宋体" w:hAnsi="宋体" w:cs="宋体" w:eastAsia="宋体" w:hint="default"/>
                <w:spacing w:val="-3"/>
                <w:sz w:val="18"/>
                <w:szCs w:val="18"/>
              </w:rPr>
              <w:t>人，并由发行人及时予以公告，自发行人公告之日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个交易日后，本公司可以减持发行人股份。本</w:t>
            </w:r>
            <w:r>
              <w:rPr>
                <w:rFonts w:ascii="宋体" w:hAnsi="宋体" w:cs="宋体" w:eastAsia="宋体" w:hint="default"/>
                <w:sz w:val="18"/>
                <w:szCs w:val="18"/>
              </w:rPr>
              <w:t> </w:t>
            </w:r>
            <w:r>
              <w:rPr>
                <w:rFonts w:ascii="宋体" w:hAnsi="宋体" w:cs="宋体" w:eastAsia="宋体" w:hint="default"/>
                <w:spacing w:val="-3"/>
                <w:sz w:val="18"/>
                <w:szCs w:val="18"/>
              </w:rPr>
              <w:t>公司按照深圳证券交易所的规则及时、准确地履行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信息披露义务。本公司将积极采取合法措施履行就</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本次发行并上市所做的所有承诺，自愿接受监管机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关、社会公众及投资者的监督，并依法承担相应责</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任。本公司如未履行上述股份持有及减持承诺，则</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违反承诺减持所得收益归发行人所有，本公司将在</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股东大会及中国证监会指定的披露媒体上公开说 明未履行承诺的具体原因并向公司股东和社会公 </w:t>
            </w:r>
            <w:r>
              <w:rPr>
                <w:rFonts w:ascii="宋体" w:hAnsi="宋体" w:cs="宋体" w:eastAsia="宋体" w:hint="default"/>
                <w:spacing w:val="-3"/>
                <w:sz w:val="18"/>
                <w:szCs w:val="18"/>
              </w:rPr>
              <w:t>众投资者道歉，并将自动延长持有全部股份的锁定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453" w:type="dxa"/>
            <w:tcBorders>
              <w:top w:val="single" w:sz="10" w:space="0" w:color="000000"/>
              <w:left w:val="single" w:sz="4" w:space="0" w:color="000000"/>
              <w:bottom w:val="single" w:sz="4" w:space="0" w:color="000000"/>
              <w:right w:val="single" w:sz="4" w:space="0" w:color="000000"/>
            </w:tcBorders>
          </w:tcPr>
          <w:p>
            <w:pPr/>
          </w:p>
        </w:tc>
        <w:tc>
          <w:tcPr>
            <w:tcW w:w="672" w:type="dxa"/>
            <w:tcBorders>
              <w:top w:val="single" w:sz="10" w:space="0" w:color="000000"/>
              <w:left w:val="single" w:sz="4" w:space="0" w:color="000000"/>
              <w:bottom w:val="single" w:sz="4" w:space="0" w:color="000000"/>
              <w:right w:val="single" w:sz="4" w:space="0" w:color="000000"/>
            </w:tcBorders>
          </w:tcPr>
          <w:p>
            <w:pPr/>
          </w:p>
        </w:tc>
        <w:tc>
          <w:tcPr>
            <w:tcW w:w="853" w:type="dxa"/>
            <w:tcBorders>
              <w:top w:val="single" w:sz="10" w:space="0" w:color="000000"/>
              <w:left w:val="single" w:sz="4" w:space="0" w:color="000000"/>
              <w:bottom w:val="single" w:sz="4" w:space="0" w:color="000000"/>
              <w:right w:val="single" w:sz="4" w:space="0" w:color="000000"/>
            </w:tcBorders>
          </w:tcPr>
          <w:p>
            <w:pPr/>
          </w:p>
        </w:tc>
      </w:tr>
      <w:tr>
        <w:trPr>
          <w:trHeight w:val="5082" w:hRule="exact"/>
        </w:trPr>
        <w:tc>
          <w:tcPr>
            <w:tcW w:w="1206"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2" w:right="199"/>
              <w:jc w:val="both"/>
              <w:rPr>
                <w:rFonts w:ascii="宋体" w:hAnsi="宋体" w:cs="宋体" w:eastAsia="宋体" w:hint="default"/>
                <w:sz w:val="18"/>
                <w:szCs w:val="18"/>
              </w:rPr>
            </w:pPr>
            <w:r>
              <w:rPr>
                <w:rFonts w:ascii="宋体" w:hAnsi="宋体" w:cs="宋体" w:eastAsia="宋体" w:hint="default"/>
                <w:sz w:val="18"/>
                <w:szCs w:val="18"/>
              </w:rPr>
              <w:t>陕西医药控 股集团有限 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00" w:lineRule="auto"/>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稳定股价 承诺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7"/>
              <w:ind w:left="22" w:right="22"/>
              <w:jc w:val="both"/>
              <w:rPr>
                <w:rFonts w:ascii="宋体" w:hAnsi="宋体" w:cs="宋体" w:eastAsia="宋体" w:hint="default"/>
                <w:sz w:val="18"/>
                <w:szCs w:val="18"/>
              </w:rPr>
            </w:pPr>
            <w:r>
              <w:rPr>
                <w:rFonts w:ascii="宋体" w:hAnsi="宋体" w:cs="宋体" w:eastAsia="宋体" w:hint="default"/>
                <w:sz w:val="18"/>
                <w:szCs w:val="18"/>
              </w:rPr>
              <w:t>如发行人上市后三年内，发行人股票收盘价连续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个交易日低于最近一期经审计的每股净资产， </w:t>
            </w:r>
            <w:r>
              <w:rPr>
                <w:rFonts w:ascii="宋体" w:hAnsi="宋体" w:cs="宋体" w:eastAsia="宋体" w:hint="default"/>
                <w:spacing w:val="-3"/>
                <w:sz w:val="18"/>
                <w:szCs w:val="18"/>
              </w:rPr>
              <w:t>在发行人启动稳定股价预案时，本公司将严格按照</w:t>
            </w:r>
          </w:p>
          <w:p>
            <w:pPr>
              <w:pStyle w:val="TableParagraph"/>
              <w:spacing w:line="319" w:lineRule="auto" w:before="24"/>
              <w:ind w:left="22" w:right="-23"/>
              <w:jc w:val="left"/>
              <w:rPr>
                <w:rFonts w:ascii="宋体" w:hAnsi="宋体" w:cs="宋体" w:eastAsia="宋体" w:hint="default"/>
                <w:sz w:val="18"/>
                <w:szCs w:val="18"/>
              </w:rPr>
            </w:pPr>
            <w:r>
              <w:rPr>
                <w:rFonts w:ascii="宋体" w:hAnsi="宋体" w:cs="宋体" w:eastAsia="宋体" w:hint="default"/>
                <w:sz w:val="18"/>
                <w:szCs w:val="18"/>
              </w:rPr>
              <w:t>《西安环球印务股份有限公司上市后稳定公司股 价预案》的要求，履行相关稳定公司股价的义务。 </w:t>
            </w:r>
            <w:r>
              <w:rPr>
                <w:rFonts w:ascii="宋体" w:hAnsi="宋体" w:cs="宋体" w:eastAsia="宋体" w:hint="default"/>
                <w:spacing w:val="-3"/>
                <w:sz w:val="18"/>
                <w:szCs w:val="18"/>
              </w:rPr>
              <w:t>本公司如未履行上述承诺，则本公司将在股东大会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及中国证券监督管理委员会指定的披露媒体上公 开说明未履行承诺的具体原因并向发行人其他股 </w:t>
            </w:r>
            <w:r>
              <w:rPr>
                <w:rFonts w:ascii="宋体" w:hAnsi="宋体" w:cs="宋体" w:eastAsia="宋体" w:hint="default"/>
                <w:spacing w:val="-3"/>
                <w:sz w:val="18"/>
                <w:szCs w:val="18"/>
              </w:rPr>
              <w:t>东和社会公众投资者道歉；发行人有权将应付本公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司通知的拟增持股份的资金总额相等的现金分红 </w:t>
            </w:r>
            <w:r>
              <w:rPr>
                <w:rFonts w:ascii="宋体" w:hAnsi="宋体" w:cs="宋体" w:eastAsia="宋体" w:hint="default"/>
                <w:spacing w:val="-3"/>
                <w:sz w:val="18"/>
                <w:szCs w:val="18"/>
              </w:rPr>
              <w:t>予以暂时扣留，直至本公司实际履行上述承诺义务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为止；如因未履行承诺导致发行人或投资者遭受经</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济损失的，本公司将依法予以赔偿。本公司将积极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采取合法措施履行就发行人首次公开发行股票并 </w:t>
            </w:r>
            <w:r>
              <w:rPr>
                <w:rFonts w:ascii="宋体" w:hAnsi="宋体" w:cs="宋体" w:eastAsia="宋体" w:hint="default"/>
                <w:spacing w:val="-3"/>
                <w:sz w:val="18"/>
                <w:szCs w:val="18"/>
              </w:rPr>
              <w:t>上市事宜所做的全部承诺，自愿接受监管部门、社</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会公众及投资者的监督，并依法承担相应责任。</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6" w:lineRule="auto"/>
              <w:ind w:left="22" w:right="97"/>
              <w:jc w:val="left"/>
              <w:rPr>
                <w:rFonts w:ascii="宋体" w:hAnsi="宋体" w:cs="宋体" w:eastAsia="宋体" w:hint="default"/>
                <w:sz w:val="18"/>
                <w:szCs w:val="18"/>
              </w:rPr>
            </w:pPr>
            <w:r>
              <w:rPr>
                <w:rFonts w:ascii="宋体" w:hAnsi="宋体" w:cs="宋体" w:eastAsia="宋体" w:hint="default"/>
                <w:sz w:val="18"/>
                <w:szCs w:val="18"/>
              </w:rPr>
              <w:t>三十六 个月</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3" w:right="97"/>
              <w:jc w:val="left"/>
              <w:rPr>
                <w:rFonts w:ascii="宋体" w:hAnsi="宋体" w:cs="宋体" w:eastAsia="宋体" w:hint="default"/>
                <w:sz w:val="18"/>
                <w:szCs w:val="18"/>
              </w:rPr>
            </w:pPr>
            <w:r>
              <w:rPr>
                <w:rFonts w:ascii="宋体" w:hAnsi="宋体" w:cs="宋体" w:eastAsia="宋体" w:hint="default"/>
                <w:sz w:val="18"/>
                <w:szCs w:val="18"/>
              </w:rPr>
              <w:t>尚在承诺 履行期， 严格履 行。</w:t>
            </w:r>
          </w:p>
        </w:tc>
      </w:tr>
      <w:tr>
        <w:trPr>
          <w:trHeight w:val="3483" w:hRule="exact"/>
        </w:trPr>
        <w:tc>
          <w:tcPr>
            <w:tcW w:w="1206"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00" w:lineRule="auto"/>
              <w:ind w:left="22" w:right="98"/>
              <w:jc w:val="both"/>
              <w:rPr>
                <w:rFonts w:ascii="宋体" w:hAnsi="宋体" w:cs="宋体" w:eastAsia="宋体" w:hint="default"/>
                <w:sz w:val="18"/>
                <w:szCs w:val="18"/>
              </w:rPr>
            </w:pPr>
            <w:r>
              <w:rPr>
                <w:rFonts w:ascii="宋体" w:hAnsi="宋体" w:cs="宋体" w:eastAsia="宋体" w:hint="default"/>
                <w:sz w:val="18"/>
                <w:szCs w:val="18"/>
              </w:rPr>
              <w:t>李移岭</w:t>
            </w:r>
            <w:r>
              <w:rPr>
                <w:rFonts w:ascii="Times New Roman" w:hAnsi="Times New Roman" w:cs="Times New Roman" w:eastAsia="Times New Roman" w:hint="default"/>
                <w:sz w:val="18"/>
                <w:szCs w:val="18"/>
              </w:rPr>
              <w:t>;</w:t>
            </w:r>
            <w:r>
              <w:rPr>
                <w:rFonts w:ascii="宋体" w:hAnsi="宋体" w:cs="宋体" w:eastAsia="宋体" w:hint="default"/>
                <w:sz w:val="18"/>
                <w:szCs w:val="18"/>
              </w:rPr>
              <w:t>孙学 军</w:t>
            </w:r>
            <w:r>
              <w:rPr>
                <w:rFonts w:ascii="Times New Roman" w:hAnsi="Times New Roman" w:cs="Times New Roman" w:eastAsia="Times New Roman" w:hint="default"/>
                <w:sz w:val="18"/>
                <w:szCs w:val="18"/>
              </w:rPr>
              <w:t>;</w:t>
            </w:r>
            <w:r>
              <w:rPr>
                <w:rFonts w:ascii="宋体" w:hAnsi="宋体" w:cs="宋体" w:eastAsia="宋体" w:hint="default"/>
                <w:sz w:val="18"/>
                <w:szCs w:val="18"/>
              </w:rPr>
              <w:t>杨军</w:t>
            </w:r>
            <w:r>
              <w:rPr>
                <w:rFonts w:ascii="Times New Roman" w:hAnsi="Times New Roman" w:cs="Times New Roman" w:eastAsia="Times New Roman" w:hint="default"/>
                <w:sz w:val="18"/>
                <w:szCs w:val="18"/>
              </w:rPr>
              <w:t>;</w:t>
            </w:r>
            <w:r>
              <w:rPr>
                <w:rFonts w:ascii="宋体" w:hAnsi="宋体" w:cs="宋体" w:eastAsia="宋体" w:hint="default"/>
                <w:sz w:val="18"/>
                <w:szCs w:val="18"/>
              </w:rPr>
              <w:t>蔡红 军</w:t>
            </w:r>
            <w:r>
              <w:rPr>
                <w:rFonts w:ascii="Times New Roman" w:hAnsi="Times New Roman" w:cs="Times New Roman" w:eastAsia="Times New Roman" w:hint="default"/>
                <w:sz w:val="18"/>
                <w:szCs w:val="18"/>
              </w:rPr>
              <w:t>;</w:t>
            </w:r>
            <w:r>
              <w:rPr>
                <w:rFonts w:ascii="宋体" w:hAnsi="宋体" w:cs="宋体" w:eastAsia="宋体" w:hint="default"/>
                <w:sz w:val="18"/>
                <w:szCs w:val="18"/>
              </w:rPr>
              <w:t>林蔚</w:t>
            </w:r>
            <w:r>
              <w:rPr>
                <w:rFonts w:ascii="Times New Roman" w:hAnsi="Times New Roman" w:cs="Times New Roman" w:eastAsia="Times New Roman" w:hint="default"/>
                <w:sz w:val="18"/>
                <w:szCs w:val="18"/>
              </w:rPr>
              <w:t>;</w:t>
            </w:r>
            <w:r>
              <w:rPr>
                <w:rFonts w:ascii="宋体" w:hAnsi="宋体" w:cs="宋体" w:eastAsia="宋体" w:hint="default"/>
                <w:sz w:val="18"/>
                <w:szCs w:val="18"/>
              </w:rPr>
              <w:t>赵建 平</w:t>
            </w:r>
            <w:r>
              <w:rPr>
                <w:rFonts w:ascii="Times New Roman" w:hAnsi="Times New Roman" w:cs="Times New Roman" w:eastAsia="Times New Roman" w:hint="default"/>
                <w:sz w:val="18"/>
                <w:szCs w:val="18"/>
              </w:rPr>
              <w:t>;</w:t>
            </w:r>
            <w:r>
              <w:rPr>
                <w:rFonts w:ascii="宋体" w:hAnsi="宋体" w:cs="宋体" w:eastAsia="宋体" w:hint="default"/>
                <w:sz w:val="18"/>
                <w:szCs w:val="18"/>
              </w:rPr>
              <w:t>许明</w:t>
            </w:r>
            <w:r>
              <w:rPr>
                <w:rFonts w:ascii="Times New Roman" w:hAnsi="Times New Roman" w:cs="Times New Roman" w:eastAsia="Times New Roman" w:hint="default"/>
                <w:sz w:val="18"/>
                <w:szCs w:val="18"/>
              </w:rPr>
              <w:t>;</w:t>
            </w:r>
            <w:r>
              <w:rPr>
                <w:rFonts w:ascii="宋体" w:hAnsi="宋体" w:cs="宋体" w:eastAsia="宋体" w:hint="default"/>
                <w:sz w:val="18"/>
                <w:szCs w:val="18"/>
              </w:rPr>
              <w:t>常鹏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00" w:lineRule="auto"/>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稳定股价 承诺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pacing w:val="-3"/>
                <w:sz w:val="18"/>
                <w:szCs w:val="18"/>
              </w:rPr>
              <w:t>关于稳定股票价格的承诺：本人（指发行人的董事</w:t>
            </w:r>
          </w:p>
          <w:p>
            <w:pPr>
              <w:pStyle w:val="TableParagraph"/>
              <w:spacing w:line="316" w:lineRule="auto" w:before="75"/>
              <w:ind w:left="22" w:right="-23"/>
              <w:jc w:val="left"/>
              <w:rPr>
                <w:rFonts w:ascii="宋体" w:hAnsi="宋体" w:cs="宋体" w:eastAsia="宋体" w:hint="default"/>
                <w:sz w:val="18"/>
                <w:szCs w:val="18"/>
              </w:rPr>
            </w:pPr>
            <w:r>
              <w:rPr>
                <w:rFonts w:ascii="宋体" w:hAnsi="宋体" w:cs="宋体" w:eastAsia="宋体" w:hint="default"/>
                <w:spacing w:val="-5"/>
                <w:sz w:val="18"/>
                <w:szCs w:val="18"/>
              </w:rPr>
              <w:t>（独立董事除外）、高级管理人员）将根据《西安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环球印务股份有限公司上市后稳定公司股价预案》 </w:t>
            </w:r>
            <w:r>
              <w:rPr>
                <w:rFonts w:ascii="宋体" w:hAnsi="宋体" w:cs="宋体" w:eastAsia="宋体" w:hint="default"/>
                <w:spacing w:val="-3"/>
                <w:sz w:val="18"/>
                <w:szCs w:val="18"/>
              </w:rPr>
              <w:t>的相关要求，切实履行该预案所述职责，以维护发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行人股价稳定、保护中小投资者利益。如本人未履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行上述承诺，则本人将在股东大会及中国证券监督</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管理委员会指定的披露媒体上公开说明未履行承 诺的具体原因并向公司股东和社会公众投资者道 </w:t>
            </w:r>
            <w:r>
              <w:rPr>
                <w:rFonts w:ascii="宋体" w:hAnsi="宋体" w:cs="宋体" w:eastAsia="宋体" w:hint="default"/>
                <w:spacing w:val="-3"/>
                <w:sz w:val="18"/>
                <w:szCs w:val="18"/>
              </w:rPr>
              <w:t>歉；发行人有权将应付本人的工资、薪酬、补贴等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暂时予以扣留，直至本人完成上述承诺的履行。如</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因未履行承诺导致发行人或投资者遭受经济损失</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3" w:right="97"/>
              <w:jc w:val="left"/>
              <w:rPr>
                <w:rFonts w:ascii="宋体" w:hAnsi="宋体" w:cs="宋体" w:eastAsia="宋体" w:hint="default"/>
                <w:sz w:val="18"/>
                <w:szCs w:val="18"/>
              </w:rPr>
            </w:pPr>
            <w:r>
              <w:rPr>
                <w:rFonts w:ascii="宋体" w:hAnsi="宋体" w:cs="宋体" w:eastAsia="宋体" w:hint="default"/>
                <w:sz w:val="18"/>
                <w:szCs w:val="18"/>
              </w:rPr>
              <w:t>尚在承诺 履行期， 严格履 行。</w:t>
            </w:r>
          </w:p>
        </w:tc>
      </w:tr>
    </w:tbl>
    <w:p>
      <w:pPr>
        <w:spacing w:after="0" w:line="316" w:lineRule="auto"/>
        <w:jc w:val="left"/>
        <w:rPr>
          <w:rFonts w:ascii="宋体" w:hAnsi="宋体" w:cs="宋体" w:eastAsia="宋体" w:hint="default"/>
          <w:sz w:val="18"/>
          <w:szCs w:val="18"/>
        </w:rPr>
        <w:sectPr>
          <w:pgSz w:w="11910" w:h="16840"/>
          <w:pgMar w:header="0" w:footer="979" w:top="1540" w:bottom="1160" w:left="620" w:right="0"/>
        </w:sectPr>
      </w:pPr>
    </w:p>
    <w:tbl>
      <w:tblPr>
        <w:tblW w:w="0" w:type="auto"/>
        <w:jc w:val="left"/>
        <w:tblInd w:w="118" w:type="dxa"/>
        <w:tblLayout w:type="fixed"/>
        <w:tblCellMar>
          <w:top w:w="0" w:type="dxa"/>
          <w:left w:w="0" w:type="dxa"/>
          <w:bottom w:w="0" w:type="dxa"/>
          <w:right w:w="0" w:type="dxa"/>
        </w:tblCellMar>
        <w:tblLook w:val="01E0"/>
      </w:tblPr>
      <w:tblGrid>
        <w:gridCol w:w="1206"/>
        <w:gridCol w:w="1134"/>
        <w:gridCol w:w="1134"/>
        <w:gridCol w:w="3970"/>
        <w:gridCol w:w="1453"/>
        <w:gridCol w:w="672"/>
        <w:gridCol w:w="851"/>
      </w:tblGrid>
      <w:tr>
        <w:trPr>
          <w:trHeight w:val="373" w:hRule="exact"/>
        </w:trPr>
        <w:tc>
          <w:tcPr>
            <w:tcW w:w="1206" w:type="dxa"/>
            <w:vMerge w:val="restart"/>
            <w:tcBorders>
              <w:top w:val="single" w:sz="10" w:space="0" w:color="000000"/>
              <w:left w:val="single" w:sz="4" w:space="0" w:color="000000"/>
              <w:right w:val="single" w:sz="4" w:space="0" w:color="000000"/>
            </w:tcBorders>
            <w:shd w:val="clear" w:color="auto" w:fill="D2D2D2"/>
          </w:tcPr>
          <w:p>
            <w:pPr/>
          </w:p>
        </w:tc>
        <w:tc>
          <w:tcPr>
            <w:tcW w:w="1134" w:type="dxa"/>
            <w:tcBorders>
              <w:top w:val="single" w:sz="10" w:space="0" w:color="000000"/>
              <w:left w:val="single" w:sz="4" w:space="0" w:color="000000"/>
              <w:bottom w:val="single" w:sz="4" w:space="0" w:color="000000"/>
              <w:right w:val="single" w:sz="4" w:space="0" w:color="000000"/>
            </w:tcBorders>
          </w:tcPr>
          <w:p>
            <w:pPr/>
          </w:p>
        </w:tc>
        <w:tc>
          <w:tcPr>
            <w:tcW w:w="1134" w:type="dxa"/>
            <w:tcBorders>
              <w:top w:val="single" w:sz="10" w:space="0" w:color="000000"/>
              <w:left w:val="single" w:sz="4" w:space="0" w:color="000000"/>
              <w:bottom w:val="single" w:sz="4" w:space="0" w:color="000000"/>
              <w:right w:val="single" w:sz="4" w:space="0" w:color="000000"/>
            </w:tcBorders>
          </w:tcPr>
          <w:p>
            <w:pPr/>
          </w:p>
        </w:tc>
        <w:tc>
          <w:tcPr>
            <w:tcW w:w="397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的，本人将依法予以赔偿。</w:t>
            </w:r>
          </w:p>
        </w:tc>
        <w:tc>
          <w:tcPr>
            <w:tcW w:w="1453" w:type="dxa"/>
            <w:tcBorders>
              <w:top w:val="single" w:sz="10" w:space="0" w:color="000000"/>
              <w:left w:val="single" w:sz="4" w:space="0" w:color="000000"/>
              <w:bottom w:val="single" w:sz="4" w:space="0" w:color="000000"/>
              <w:right w:val="single" w:sz="4" w:space="0" w:color="000000"/>
            </w:tcBorders>
          </w:tcPr>
          <w:p>
            <w:pPr/>
          </w:p>
        </w:tc>
        <w:tc>
          <w:tcPr>
            <w:tcW w:w="672" w:type="dxa"/>
            <w:tcBorders>
              <w:top w:val="single" w:sz="10" w:space="0" w:color="000000"/>
              <w:left w:val="single" w:sz="4" w:space="0" w:color="000000"/>
              <w:bottom w:val="single" w:sz="4" w:space="0" w:color="000000"/>
              <w:right w:val="single" w:sz="4" w:space="0" w:color="000000"/>
            </w:tcBorders>
          </w:tcPr>
          <w:p>
            <w:pPr/>
          </w:p>
        </w:tc>
        <w:tc>
          <w:tcPr>
            <w:tcW w:w="851" w:type="dxa"/>
            <w:tcBorders>
              <w:top w:val="single" w:sz="10" w:space="0" w:color="000000"/>
              <w:left w:val="single" w:sz="4" w:space="0" w:color="000000"/>
              <w:bottom w:val="single" w:sz="4" w:space="0" w:color="000000"/>
              <w:right w:val="single" w:sz="4" w:space="0" w:color="000000"/>
            </w:tcBorders>
          </w:tcPr>
          <w:p>
            <w:pPr/>
          </w:p>
        </w:tc>
      </w:tr>
      <w:tr>
        <w:trPr>
          <w:trHeight w:val="2586" w:hRule="exact"/>
        </w:trPr>
        <w:tc>
          <w:tcPr>
            <w:tcW w:w="1206"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7"/>
              <w:ind w:left="22" w:right="98"/>
              <w:jc w:val="both"/>
              <w:rPr>
                <w:rFonts w:ascii="宋体" w:hAnsi="宋体" w:cs="宋体" w:eastAsia="宋体" w:hint="default"/>
                <w:sz w:val="18"/>
                <w:szCs w:val="18"/>
              </w:rPr>
            </w:pPr>
            <w:r>
              <w:rPr>
                <w:rFonts w:ascii="宋体" w:hAnsi="宋体" w:cs="宋体" w:eastAsia="宋体" w:hint="default"/>
                <w:sz w:val="18"/>
                <w:szCs w:val="18"/>
              </w:rPr>
              <w:t>李移岭</w:t>
            </w:r>
            <w:r>
              <w:rPr>
                <w:rFonts w:ascii="Times New Roman" w:hAnsi="Times New Roman" w:cs="Times New Roman" w:eastAsia="Times New Roman" w:hint="default"/>
                <w:sz w:val="18"/>
                <w:szCs w:val="18"/>
              </w:rPr>
              <w:t>;</w:t>
            </w:r>
            <w:r>
              <w:rPr>
                <w:rFonts w:ascii="宋体" w:hAnsi="宋体" w:cs="宋体" w:eastAsia="宋体" w:hint="default"/>
                <w:sz w:val="18"/>
                <w:szCs w:val="18"/>
              </w:rPr>
              <w:t>孙学 军</w:t>
            </w:r>
            <w:r>
              <w:rPr>
                <w:rFonts w:ascii="Times New Roman" w:hAnsi="Times New Roman" w:cs="Times New Roman" w:eastAsia="Times New Roman" w:hint="default"/>
                <w:sz w:val="18"/>
                <w:szCs w:val="18"/>
              </w:rPr>
              <w:t>;</w:t>
            </w:r>
            <w:r>
              <w:rPr>
                <w:rFonts w:ascii="宋体" w:hAnsi="宋体" w:cs="宋体" w:eastAsia="宋体" w:hint="default"/>
                <w:sz w:val="18"/>
                <w:szCs w:val="18"/>
              </w:rPr>
              <w:t>杨军</w:t>
            </w:r>
            <w:r>
              <w:rPr>
                <w:rFonts w:ascii="Times New Roman" w:hAnsi="Times New Roman" w:cs="Times New Roman" w:eastAsia="Times New Roman" w:hint="default"/>
                <w:sz w:val="18"/>
                <w:szCs w:val="18"/>
              </w:rPr>
              <w:t>;</w:t>
            </w:r>
            <w:r>
              <w:rPr>
                <w:rFonts w:ascii="宋体" w:hAnsi="宋体" w:cs="宋体" w:eastAsia="宋体" w:hint="default"/>
                <w:sz w:val="18"/>
                <w:szCs w:val="18"/>
              </w:rPr>
              <w:t>蔡红 军</w:t>
            </w:r>
            <w:r>
              <w:rPr>
                <w:rFonts w:ascii="Times New Roman" w:hAnsi="Times New Roman" w:cs="Times New Roman" w:eastAsia="Times New Roman" w:hint="default"/>
                <w:sz w:val="18"/>
                <w:szCs w:val="18"/>
              </w:rPr>
              <w:t>;</w:t>
            </w:r>
            <w:r>
              <w:rPr>
                <w:rFonts w:ascii="宋体" w:hAnsi="宋体" w:cs="宋体" w:eastAsia="宋体" w:hint="default"/>
                <w:sz w:val="18"/>
                <w:szCs w:val="18"/>
              </w:rPr>
              <w:t>张明禹</w:t>
            </w:r>
            <w:r>
              <w:rPr>
                <w:rFonts w:ascii="Times New Roman" w:hAnsi="Times New Roman" w:cs="Times New Roman" w:eastAsia="Times New Roman" w:hint="default"/>
                <w:sz w:val="18"/>
                <w:szCs w:val="18"/>
              </w:rPr>
              <w:t>;</w:t>
            </w:r>
            <w:r>
              <w:rPr>
                <w:rFonts w:ascii="宋体" w:hAnsi="宋体" w:cs="宋体" w:eastAsia="宋体" w:hint="default"/>
                <w:sz w:val="18"/>
                <w:szCs w:val="18"/>
              </w:rPr>
              <w:t>冯 均科</w:t>
            </w:r>
            <w:r>
              <w:rPr>
                <w:rFonts w:ascii="Times New Roman" w:hAnsi="Times New Roman" w:cs="Times New Roman" w:eastAsia="Times New Roman" w:hint="default"/>
                <w:sz w:val="18"/>
                <w:szCs w:val="18"/>
              </w:rPr>
              <w:t>;</w:t>
            </w:r>
            <w:r>
              <w:rPr>
                <w:rFonts w:ascii="宋体" w:hAnsi="宋体" w:cs="宋体" w:eastAsia="宋体" w:hint="default"/>
                <w:sz w:val="18"/>
                <w:szCs w:val="18"/>
              </w:rPr>
              <w:t>闻松泉</w:t>
            </w:r>
            <w:r>
              <w:rPr>
                <w:rFonts w:ascii="Times New Roman" w:hAnsi="Times New Roman" w:cs="Times New Roman" w:eastAsia="Times New Roman" w:hint="default"/>
                <w:sz w:val="18"/>
                <w:szCs w:val="18"/>
              </w:rPr>
              <w:t>; </w:t>
            </w:r>
            <w:r>
              <w:rPr>
                <w:rFonts w:ascii="宋体" w:hAnsi="宋体" w:cs="宋体" w:eastAsia="宋体" w:hint="default"/>
                <w:sz w:val="18"/>
                <w:szCs w:val="18"/>
              </w:rPr>
              <w:t>张兴才</w:t>
            </w:r>
            <w:r>
              <w:rPr>
                <w:rFonts w:ascii="Times New Roman" w:hAnsi="Times New Roman" w:cs="Times New Roman" w:eastAsia="Times New Roman" w:hint="default"/>
                <w:sz w:val="18"/>
                <w:szCs w:val="18"/>
              </w:rPr>
              <w:t>;</w:t>
            </w:r>
            <w:r>
              <w:rPr>
                <w:rFonts w:ascii="宋体" w:hAnsi="宋体" w:cs="宋体" w:eastAsia="宋体" w:hint="default"/>
                <w:sz w:val="18"/>
                <w:szCs w:val="18"/>
              </w:rPr>
              <w:t>冯杰</w:t>
            </w:r>
            <w:r>
              <w:rPr>
                <w:rFonts w:ascii="Times New Roman" w:hAnsi="Times New Roman" w:cs="Times New Roman" w:eastAsia="Times New Roman" w:hint="default"/>
                <w:sz w:val="18"/>
                <w:szCs w:val="18"/>
              </w:rPr>
              <w:t>; </w:t>
            </w:r>
            <w:r>
              <w:rPr>
                <w:rFonts w:ascii="宋体" w:hAnsi="宋体" w:cs="宋体" w:eastAsia="宋体" w:hint="default"/>
                <w:sz w:val="18"/>
                <w:szCs w:val="18"/>
              </w:rPr>
              <w:t>惠俊玉</w:t>
            </w:r>
            <w:r>
              <w:rPr>
                <w:rFonts w:ascii="Times New Roman" w:hAnsi="Times New Roman" w:cs="Times New Roman" w:eastAsia="Times New Roman" w:hint="default"/>
                <w:sz w:val="18"/>
                <w:szCs w:val="18"/>
              </w:rPr>
              <w:t>;</w:t>
            </w:r>
            <w:r>
              <w:rPr>
                <w:rFonts w:ascii="宋体" w:hAnsi="宋体" w:cs="宋体" w:eastAsia="宋体" w:hint="default"/>
                <w:sz w:val="18"/>
                <w:szCs w:val="18"/>
              </w:rPr>
              <w:t>林蔚</w:t>
            </w:r>
            <w:r>
              <w:rPr>
                <w:rFonts w:ascii="Times New Roman" w:hAnsi="Times New Roman" w:cs="Times New Roman" w:eastAsia="Times New Roman" w:hint="default"/>
                <w:sz w:val="18"/>
                <w:szCs w:val="18"/>
              </w:rPr>
              <w:t>; </w:t>
            </w:r>
            <w:r>
              <w:rPr>
                <w:rFonts w:ascii="宋体" w:hAnsi="宋体" w:cs="宋体" w:eastAsia="宋体" w:hint="default"/>
                <w:sz w:val="18"/>
                <w:szCs w:val="18"/>
              </w:rPr>
              <w:t>赵建平</w:t>
            </w:r>
            <w:r>
              <w:rPr>
                <w:rFonts w:ascii="Times New Roman" w:hAnsi="Times New Roman" w:cs="Times New Roman" w:eastAsia="Times New Roman" w:hint="default"/>
                <w:sz w:val="18"/>
                <w:szCs w:val="18"/>
              </w:rPr>
              <w:t>;</w:t>
            </w:r>
            <w:r>
              <w:rPr>
                <w:rFonts w:ascii="宋体" w:hAnsi="宋体" w:cs="宋体" w:eastAsia="宋体" w:hint="default"/>
                <w:sz w:val="18"/>
                <w:szCs w:val="18"/>
              </w:rPr>
              <w:t>许明</w:t>
            </w:r>
            <w:r>
              <w:rPr>
                <w:rFonts w:ascii="Times New Roman" w:hAnsi="Times New Roman" w:cs="Times New Roman" w:eastAsia="Times New Roman" w:hint="default"/>
                <w:sz w:val="18"/>
                <w:szCs w:val="18"/>
              </w:rPr>
              <w:t>; </w:t>
            </w:r>
            <w:r>
              <w:rPr>
                <w:rFonts w:ascii="宋体" w:hAnsi="宋体" w:cs="宋体" w:eastAsia="宋体" w:hint="default"/>
                <w:sz w:val="18"/>
                <w:szCs w:val="18"/>
              </w:rPr>
              <w:t>常鹏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970"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47"/>
              <w:ind w:left="22" w:right="-39"/>
              <w:jc w:val="left"/>
              <w:rPr>
                <w:rFonts w:ascii="宋体" w:hAnsi="宋体" w:cs="宋体" w:eastAsia="宋体" w:hint="default"/>
                <w:sz w:val="18"/>
                <w:szCs w:val="18"/>
              </w:rPr>
            </w:pPr>
            <w:r>
              <w:rPr>
                <w:rFonts w:ascii="宋体" w:hAnsi="宋体" w:cs="宋体" w:eastAsia="宋体" w:hint="default"/>
                <w:spacing w:val="-3"/>
                <w:sz w:val="18"/>
                <w:szCs w:val="18"/>
              </w:rPr>
              <w:t>关于招股说明书如有虚假记载、误导性陈述或者重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大遗漏的承诺：如发行人招股说明书存在虚假记 </w:t>
            </w:r>
            <w:r>
              <w:rPr>
                <w:rFonts w:ascii="宋体" w:hAnsi="宋体" w:cs="宋体" w:eastAsia="宋体" w:hint="default"/>
                <w:spacing w:val="-3"/>
                <w:sz w:val="18"/>
                <w:szCs w:val="18"/>
              </w:rPr>
              <w:t>载、误导性陈述或者重大遗漏，致使投资者在证券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8"/>
                <w:sz w:val="18"/>
                <w:szCs w:val="18"/>
              </w:rPr>
              <w:t>交易中遭受损失的，本人（指发行人的董事、监事、</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高级管理人员）将承担相应的民事赔偿责任，依法</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sz w:val="18"/>
                <w:szCs w:val="18"/>
              </w:rPr>
              <w:t>赔偿投资者损失。具体的赔偿标准、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赔偿金额等细节内容待上述情形实际发生时，以最</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终确定的赔偿方案为准。</w:t>
            </w:r>
          </w:p>
        </w:tc>
        <w:tc>
          <w:tcPr>
            <w:tcW w:w="145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351" w:lineRule="exact"/>
              <w:ind w:left="16" w:right="-27"/>
              <w:jc w:val="left"/>
              <w:rPr>
                <w:rFonts w:ascii="宋体" w:hAnsi="宋体" w:cs="宋体" w:eastAsia="宋体" w:hint="default"/>
                <w:sz w:val="20"/>
                <w:szCs w:val="20"/>
              </w:rPr>
            </w:pPr>
            <w:r>
              <w:rPr>
                <w:rFonts w:ascii="宋体" w:hAnsi="宋体" w:cs="宋体" w:eastAsia="宋体" w:hint="default"/>
                <w:position w:val="-6"/>
                <w:sz w:val="20"/>
                <w:szCs w:val="20"/>
              </w:rPr>
              <w:pict>
                <v:group style="width:69.850pt;height:17.6pt;mso-position-horizontal-relative:char;mso-position-vertical-relative:line" coordorigin="0,0" coordsize="1397,352">
                  <v:group style="position:absolute;left:0;top:0;width:1397;height:352" coordorigin="0,0" coordsize="1397,352">
                    <v:shape style="position:absolute;left:0;top:0;width:1397;height:352" coordorigin="0,0" coordsize="1397,352" path="m0,352l1397,352,1397,0,0,0,0,352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before="12"/>
              <w:ind w:right="0"/>
              <w:jc w:val="left"/>
              <w:rPr>
                <w:rFonts w:ascii="宋体" w:hAnsi="宋体" w:cs="宋体" w:eastAsia="宋体" w:hint="default"/>
                <w:sz w:val="26"/>
                <w:szCs w:val="26"/>
              </w:rPr>
            </w:pPr>
          </w:p>
          <w:p>
            <w:pPr>
              <w:pStyle w:val="TableParagraph"/>
              <w:spacing w:line="936" w:lineRule="exact"/>
              <w:ind w:left="-7" w:right="-50"/>
              <w:jc w:val="left"/>
              <w:rPr>
                <w:rFonts w:ascii="宋体" w:hAnsi="宋体" w:cs="宋体" w:eastAsia="宋体" w:hint="default"/>
                <w:sz w:val="20"/>
                <w:szCs w:val="20"/>
              </w:rPr>
            </w:pPr>
            <w:r>
              <w:rPr>
                <w:rFonts w:ascii="宋体" w:hAnsi="宋体" w:cs="宋体" w:eastAsia="宋体" w:hint="default"/>
                <w:position w:val="-18"/>
                <w:sz w:val="20"/>
                <w:szCs w:val="20"/>
              </w:rPr>
              <w:pict>
                <v:group style="width:72.150pt;height:46.8pt;mso-position-horizontal-relative:char;mso-position-vertical-relative:line" coordorigin="0,0" coordsize="1443,936">
                  <v:group style="position:absolute;left:0;top:0;width:1443;height:936" coordorigin="0,0" coordsize="1443,936">
                    <v:shape style="position:absolute;left:0;top:0;width:1443;height:936" coordorigin="0,0" coordsize="1443,936" path="m0,936l1442,936,1442,0,0,0,0,936xe" filled="true" fillcolor="#ffffff" stroked="false">
                      <v:path arrowok="t"/>
                      <v:fill type="solid"/>
                    </v:shape>
                  </v:group>
                </v:group>
              </w:pict>
            </w:r>
            <w:r>
              <w:rPr>
                <w:rFonts w:ascii="宋体" w:hAnsi="宋体" w:cs="宋体" w:eastAsia="宋体" w:hint="default"/>
                <w:position w:val="-18"/>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尚在承诺 履行期， 严格履 行。</w:t>
            </w:r>
          </w:p>
        </w:tc>
      </w:tr>
      <w:tr>
        <w:trPr>
          <w:trHeight w:val="3834" w:hRule="exact"/>
        </w:trPr>
        <w:tc>
          <w:tcPr>
            <w:tcW w:w="1206"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316" w:lineRule="auto"/>
              <w:ind w:left="22" w:right="199"/>
              <w:jc w:val="both"/>
              <w:rPr>
                <w:rFonts w:ascii="宋体" w:hAnsi="宋体" w:cs="宋体" w:eastAsia="宋体" w:hint="default"/>
                <w:sz w:val="18"/>
                <w:szCs w:val="18"/>
              </w:rPr>
            </w:pPr>
            <w:r>
              <w:rPr>
                <w:rFonts w:ascii="宋体" w:hAnsi="宋体" w:cs="宋体" w:eastAsia="宋体" w:hint="default"/>
                <w:sz w:val="18"/>
                <w:szCs w:val="18"/>
              </w:rPr>
              <w:t>陕西医药控 股集团有限 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23"/>
              <w:jc w:val="left"/>
              <w:rPr>
                <w:rFonts w:ascii="宋体" w:hAnsi="宋体" w:cs="宋体" w:eastAsia="宋体" w:hint="default"/>
                <w:sz w:val="18"/>
                <w:szCs w:val="18"/>
              </w:rPr>
            </w:pPr>
            <w:r>
              <w:rPr>
                <w:rFonts w:ascii="宋体" w:hAnsi="宋体" w:cs="宋体" w:eastAsia="宋体" w:hint="default"/>
                <w:spacing w:val="-3"/>
                <w:sz w:val="18"/>
                <w:szCs w:val="18"/>
              </w:rPr>
              <w:t>关于招股说明书如有虚假记载、误导性陈述或者重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大遗漏的承诺：如发行人招股说明书有虚假记载、 </w:t>
            </w:r>
            <w:r>
              <w:rPr>
                <w:rFonts w:ascii="宋体" w:hAnsi="宋体" w:cs="宋体" w:eastAsia="宋体" w:hint="default"/>
                <w:spacing w:val="-3"/>
                <w:sz w:val="18"/>
                <w:szCs w:val="18"/>
              </w:rPr>
              <w:t>误导性陈述或者重大遗漏，致使投资者在证券交易</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中遭受损失的，本公司将依照相关法律、法规规定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承担民事赔偿责任，赔偿投资者损失。本公司如未</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履行上述承诺，则本公司将在股东大会及中国证券</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监督管理委员会指定的披露媒体上公开说明未履 行承诺的具体原因并向公司股东和社会公众投资 </w:t>
            </w:r>
            <w:r>
              <w:rPr>
                <w:rFonts w:ascii="宋体" w:hAnsi="宋体" w:cs="宋体" w:eastAsia="宋体" w:hint="default"/>
                <w:spacing w:val="-3"/>
                <w:sz w:val="18"/>
                <w:szCs w:val="18"/>
              </w:rPr>
              <w:t>者道歉；发行人有权将应付本公司的现金分红予以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暂时扣留，直至本公司实际履行上述承诺义务为 </w:t>
            </w:r>
            <w:r>
              <w:rPr>
                <w:rFonts w:ascii="宋体" w:hAnsi="宋体" w:cs="宋体" w:eastAsia="宋体" w:hint="default"/>
                <w:spacing w:val="-3"/>
                <w:sz w:val="18"/>
                <w:szCs w:val="18"/>
              </w:rPr>
              <w:t>止；如因未履行承诺导致发行人或投资者遭受经济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损失的，本公司将依法予以赔偿。</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3" w:right="95"/>
              <w:jc w:val="left"/>
              <w:rPr>
                <w:rFonts w:ascii="宋体" w:hAnsi="宋体" w:cs="宋体" w:eastAsia="宋体" w:hint="default"/>
                <w:sz w:val="18"/>
                <w:szCs w:val="18"/>
              </w:rPr>
            </w:pPr>
            <w:r>
              <w:rPr>
                <w:rFonts w:ascii="宋体" w:hAnsi="宋体" w:cs="宋体" w:eastAsia="宋体" w:hint="default"/>
                <w:sz w:val="18"/>
                <w:szCs w:val="18"/>
              </w:rPr>
              <w:t>尚在承诺 履行期， 严格履 行。</w:t>
            </w:r>
          </w:p>
        </w:tc>
      </w:tr>
      <w:tr>
        <w:trPr>
          <w:trHeight w:val="5707" w:hRule="exact"/>
        </w:trPr>
        <w:tc>
          <w:tcPr>
            <w:tcW w:w="1206"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22" w:right="199"/>
              <w:jc w:val="both"/>
              <w:rPr>
                <w:rFonts w:ascii="宋体" w:hAnsi="宋体" w:cs="宋体" w:eastAsia="宋体" w:hint="default"/>
                <w:sz w:val="18"/>
                <w:szCs w:val="18"/>
              </w:rPr>
            </w:pPr>
            <w:r>
              <w:rPr>
                <w:rFonts w:ascii="宋体" w:hAnsi="宋体" w:cs="宋体" w:eastAsia="宋体" w:hint="default"/>
                <w:sz w:val="18"/>
                <w:szCs w:val="18"/>
              </w:rPr>
              <w:t>陕西医药控 股集团有限 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8"/>
              <w:ind w:left="22" w:right="15"/>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关于避免同业竞争的承诺函</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、本公司目前没有， </w:t>
            </w:r>
            <w:r>
              <w:rPr>
                <w:rFonts w:ascii="宋体" w:hAnsi="宋体" w:cs="宋体" w:eastAsia="宋体" w:hint="default"/>
                <w:spacing w:val="-3"/>
                <w:sz w:val="18"/>
                <w:szCs w:val="18"/>
              </w:rPr>
              <w:t>将来在作为环球印务股东期间，也不直接或间接从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事与环球印务及其控股子公司构成同业竞争的任 何活动，不利用控股股东地位谋求任何不正当利 益，进而损害环球印务或环球印务其他股东的利 益。</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、本公司将通过本公司的控制地位以及派出 </w:t>
            </w:r>
            <w:r>
              <w:rPr>
                <w:rFonts w:ascii="宋体" w:hAnsi="宋体" w:cs="宋体" w:eastAsia="宋体" w:hint="default"/>
                <w:spacing w:val="-5"/>
                <w:sz w:val="18"/>
                <w:szCs w:val="18"/>
              </w:rPr>
              <w:t>机构和人员（包括但不限于董事、经理），保证本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公司直接和间接控制的企业或组织履行与本公司 相同的义务。</w:t>
            </w:r>
            <w:r>
              <w:rPr>
                <w:rFonts w:ascii="Times New Roman" w:hAnsi="Times New Roman" w:cs="Times New Roman" w:eastAsia="Times New Roman" w:hint="default"/>
                <w:sz w:val="18"/>
                <w:szCs w:val="18"/>
              </w:rPr>
              <w:t>3</w:t>
            </w:r>
            <w:r>
              <w:rPr>
                <w:rFonts w:ascii="宋体" w:hAnsi="宋体" w:cs="宋体" w:eastAsia="宋体" w:hint="default"/>
                <w:sz w:val="18"/>
                <w:szCs w:val="18"/>
              </w:rPr>
              <w:t>、若环球印务今后从事新的业务领 </w:t>
            </w:r>
            <w:r>
              <w:rPr>
                <w:rFonts w:ascii="宋体" w:hAnsi="宋体" w:cs="宋体" w:eastAsia="宋体" w:hint="default"/>
                <w:spacing w:val="-3"/>
                <w:sz w:val="18"/>
                <w:szCs w:val="18"/>
              </w:rPr>
              <w:t>域，则本公司及本公司控制的其他企业或组织将不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以控股或参股但拥有实质控制权的方式，从事与环</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球印务新业务相同或相似的业务活动。</w:t>
            </w:r>
            <w:r>
              <w:rPr>
                <w:rFonts w:ascii="Times New Roman" w:hAnsi="Times New Roman" w:cs="Times New Roman" w:eastAsia="Times New Roman" w:hint="default"/>
                <w:sz w:val="18"/>
                <w:szCs w:val="18"/>
              </w:rPr>
              <w:t>4</w:t>
            </w:r>
            <w:r>
              <w:rPr>
                <w:rFonts w:ascii="宋体" w:hAnsi="宋体" w:cs="宋体" w:eastAsia="宋体" w:hint="default"/>
                <w:sz w:val="18"/>
                <w:szCs w:val="18"/>
              </w:rPr>
              <w:t>、如本公 司及本公司控制的其他企业或组织出现与环球印 </w:t>
            </w:r>
            <w:r>
              <w:rPr>
                <w:rFonts w:ascii="宋体" w:hAnsi="宋体" w:cs="宋体" w:eastAsia="宋体" w:hint="default"/>
                <w:spacing w:val="-3"/>
                <w:sz w:val="18"/>
                <w:szCs w:val="18"/>
              </w:rPr>
              <w:t>务同业竞争的情形，环球印务有权通过优先收购或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委托经营的方式将该业务集中到公司经营。如因本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公司及本公司控制的其他企业或组织违反上述承 诺而导致花你去印务或环球印务其他股东的权益 </w:t>
            </w:r>
            <w:r>
              <w:rPr>
                <w:rFonts w:ascii="宋体" w:hAnsi="宋体" w:cs="宋体" w:eastAsia="宋体" w:hint="default"/>
                <w:spacing w:val="-6"/>
                <w:sz w:val="18"/>
                <w:szCs w:val="18"/>
              </w:rPr>
              <w:t>受到损害的，本公司将承担相应的损害赔偿责任。</w:t>
            </w:r>
            <w:r>
              <w:rPr>
                <w:rFonts w:ascii="Times New Roman" w:hAnsi="Times New Roman" w:cs="Times New Roman" w:eastAsia="Times New Roman" w:hint="default"/>
                <w:spacing w:val="-6"/>
                <w:sz w:val="18"/>
                <w:szCs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尚在承诺 履行期， 严格履 行。</w:t>
            </w:r>
          </w:p>
        </w:tc>
      </w:tr>
      <w:tr>
        <w:trPr>
          <w:trHeight w:val="1298" w:hRule="exact"/>
        </w:trPr>
        <w:tc>
          <w:tcPr>
            <w:tcW w:w="1206"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22" w:right="199"/>
              <w:jc w:val="both"/>
              <w:rPr>
                <w:rFonts w:ascii="宋体" w:hAnsi="宋体" w:cs="宋体" w:eastAsia="宋体" w:hint="default"/>
                <w:sz w:val="18"/>
                <w:szCs w:val="18"/>
              </w:rPr>
            </w:pPr>
            <w:r>
              <w:rPr>
                <w:rFonts w:ascii="宋体" w:hAnsi="宋体" w:cs="宋体" w:eastAsia="宋体" w:hint="default"/>
                <w:sz w:val="18"/>
                <w:szCs w:val="18"/>
              </w:rPr>
              <w:t>陕西医药控 股集团有限 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7"/>
              <w:ind w:left="22" w:right="22"/>
              <w:jc w:val="left"/>
              <w:rPr>
                <w:rFonts w:ascii="宋体" w:hAnsi="宋体" w:cs="宋体" w:eastAsia="宋体" w:hint="default"/>
                <w:sz w:val="18"/>
                <w:szCs w:val="18"/>
              </w:rPr>
            </w:pPr>
            <w:r>
              <w:rPr>
                <w:rFonts w:ascii="宋体" w:hAnsi="宋体" w:cs="宋体" w:eastAsia="宋体" w:hint="default"/>
                <w:sz w:val="18"/>
                <w:szCs w:val="18"/>
              </w:rPr>
              <w:t>关于规范与西安环球印务股份有限公司关联交易 的承诺函</w:t>
            </w:r>
            <w:r>
              <w:rPr>
                <w:rFonts w:ascii="Times New Roman" w:hAnsi="Times New Roman" w:cs="Times New Roman" w:eastAsia="Times New Roman" w:hint="default"/>
                <w:sz w:val="18"/>
                <w:szCs w:val="18"/>
              </w:rPr>
              <w:t>:“</w:t>
            </w:r>
            <w:r>
              <w:rPr>
                <w:rFonts w:ascii="宋体" w:hAnsi="宋体" w:cs="宋体" w:eastAsia="宋体" w:hint="default"/>
                <w:sz w:val="18"/>
                <w:szCs w:val="18"/>
              </w:rPr>
              <w:t>截至本承诺函出具之日，陕西医药控股 </w:t>
            </w:r>
            <w:r>
              <w:rPr>
                <w:rFonts w:ascii="宋体" w:hAnsi="宋体" w:cs="宋体" w:eastAsia="宋体" w:hint="default"/>
                <w:spacing w:val="-2"/>
                <w:sz w:val="18"/>
                <w:szCs w:val="18"/>
              </w:rPr>
              <w:t>集团有限责任公司（以下简称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）持有西安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环球印务股份有限公司（以下简称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环球印务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w:t>
            </w:r>
            <w:r>
              <w:rPr>
                <w:rFonts w:ascii="宋体" w:hAnsi="宋体" w:cs="宋体" w:eastAsia="宋体" w:hint="default"/>
                <w:sz w:val="18"/>
                <w:szCs w:val="18"/>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尚在承诺 履行期， 严格履</w:t>
            </w:r>
          </w:p>
        </w:tc>
      </w:tr>
    </w:tbl>
    <w:p>
      <w:pPr>
        <w:rPr>
          <w:sz w:val="2"/>
          <w:szCs w:val="2"/>
        </w:rPr>
      </w:pPr>
      <w:r>
        <w:rPr/>
        <w:pict>
          <v:shape style="position:absolute;margin-left:349.399994pt;margin-top:178.999985pt;width:132.35pt;height:46.8pt;mso-position-horizontal-relative:page;mso-position-vertical-relative:page;z-index:-800800" type="#_x0000_t202" filled="false" stroked="false">
            <v:textbox inset="0,0,0,0">
              <w:txbxContent>
                <w:p>
                  <w:pPr>
                    <w:pStyle w:val="BodyText"/>
                    <w:spacing w:line="207" w:lineRule="exact"/>
                    <w:ind w:left="0" w:right="0"/>
                    <w:jc w:val="left"/>
                  </w:pPr>
                  <w:r>
                    <w:rPr/>
                    <w:t>赔偿主体范围、</w:t>
                  </w:r>
                </w:p>
              </w:txbxContent>
            </v:textbox>
            <w10:wrap type="none"/>
          </v:shape>
        </w:pict>
      </w:r>
    </w:p>
    <w:p>
      <w:pPr>
        <w:spacing w:after="0"/>
        <w:rPr>
          <w:sz w:val="2"/>
          <w:szCs w:val="2"/>
        </w:rPr>
        <w:sectPr>
          <w:pgSz w:w="11910" w:h="16840"/>
          <w:pgMar w:header="0" w:footer="979" w:top="1540" w:bottom="1160" w:left="620" w:right="0"/>
        </w:sectPr>
      </w:pPr>
    </w:p>
    <w:p>
      <w:pPr>
        <w:spacing w:line="240" w:lineRule="auto" w:before="5"/>
        <w:rPr>
          <w:rFonts w:ascii="Times New Roman" w:hAnsi="Times New Roman" w:cs="Times New Roman" w:eastAsia="Times New Roman" w:hint="default"/>
          <w:sz w:val="17"/>
          <w:szCs w:val="17"/>
        </w:rPr>
      </w:pPr>
      <w:r>
        <w:rPr/>
        <w:pict>
          <v:shape style="position:absolute;margin-left:36.900002pt;margin-top:77.459984pt;width:521.8pt;height:676.35pt;mso-position-horizontal-relative:page;mso-position-vertical-relative:page;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6"/>
                    <w:gridCol w:w="1134"/>
                    <w:gridCol w:w="1134"/>
                    <w:gridCol w:w="3970"/>
                    <w:gridCol w:w="1453"/>
                    <w:gridCol w:w="672"/>
                    <w:gridCol w:w="851"/>
                  </w:tblGrid>
                  <w:tr>
                    <w:trPr>
                      <w:trHeight w:val="9110" w:hRule="exact"/>
                    </w:trPr>
                    <w:tc>
                      <w:tcPr>
                        <w:tcW w:w="1206"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10" w:space="0" w:color="000000"/>
                          <w:left w:val="single" w:sz="4" w:space="0" w:color="000000"/>
                          <w:bottom w:val="single" w:sz="4" w:space="0" w:color="000000"/>
                          <w:right w:val="single" w:sz="4" w:space="0" w:color="000000"/>
                        </w:tcBorders>
                      </w:tcPr>
                      <w:p>
                        <w:pPr/>
                      </w:p>
                    </w:tc>
                    <w:tc>
                      <w:tcPr>
                        <w:tcW w:w="11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3970" w:type="dxa"/>
                        <w:tcBorders>
                          <w:top w:val="single" w:sz="10" w:space="0" w:color="000000"/>
                          <w:left w:val="single" w:sz="4" w:space="0" w:color="000000"/>
                          <w:bottom w:val="single" w:sz="4" w:space="0" w:color="000000"/>
                          <w:right w:val="single" w:sz="4" w:space="0" w:color="000000"/>
                        </w:tcBorders>
                      </w:tcPr>
                      <w:p>
                        <w:pPr>
                          <w:pStyle w:val="TableParagraph"/>
                          <w:spacing w:line="314" w:lineRule="auto" w:before="15"/>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65%</w:t>
                        </w:r>
                        <w:r>
                          <w:rPr>
                            <w:rFonts w:ascii="宋体" w:hAnsi="宋体" w:cs="宋体" w:eastAsia="宋体" w:hint="default"/>
                            <w:sz w:val="18"/>
                            <w:szCs w:val="18"/>
                          </w:rPr>
                          <w:t>股份，本公司特此承诺：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、本公司及本公司</w:t>
                        </w:r>
                        <w:r>
                          <w:rPr>
                            <w:rFonts w:ascii="宋体" w:hAnsi="宋体" w:cs="宋体" w:eastAsia="宋体" w:hint="default"/>
                            <w:w w:val="99"/>
                            <w:sz w:val="18"/>
                            <w:szCs w:val="18"/>
                          </w:rPr>
                          <w:t> </w:t>
                        </w:r>
                        <w:r>
                          <w:rPr>
                            <w:rFonts w:ascii="宋体" w:hAnsi="宋体" w:cs="宋体" w:eastAsia="宋体" w:hint="default"/>
                            <w:sz w:val="18"/>
                            <w:szCs w:val="18"/>
                          </w:rPr>
                          <w:t>控制或影响的企业将尽量避免和减少与环球印务</w:t>
                        </w:r>
                        <w:r>
                          <w:rPr>
                            <w:rFonts w:ascii="宋体" w:hAnsi="宋体" w:cs="宋体" w:eastAsia="宋体" w:hint="default"/>
                            <w:w w:val="99"/>
                            <w:sz w:val="18"/>
                            <w:szCs w:val="18"/>
                          </w:rPr>
                          <w:t> </w:t>
                        </w:r>
                        <w:r>
                          <w:rPr>
                            <w:rFonts w:ascii="宋体" w:hAnsi="宋体" w:cs="宋体" w:eastAsia="宋体" w:hint="default"/>
                            <w:spacing w:val="-3"/>
                            <w:sz w:val="18"/>
                            <w:szCs w:val="18"/>
                          </w:rPr>
                          <w:t>及其下属子公司之间的关联交易，对于环球印务及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其下属子公司能够通过市场与独立第三方之间发</w:t>
                        </w:r>
                        <w:r>
                          <w:rPr>
                            <w:rFonts w:ascii="宋体" w:hAnsi="宋体" w:cs="宋体" w:eastAsia="宋体" w:hint="default"/>
                            <w:w w:val="99"/>
                            <w:sz w:val="18"/>
                            <w:szCs w:val="18"/>
                          </w:rPr>
                          <w:t> </w:t>
                        </w:r>
                        <w:r>
                          <w:rPr>
                            <w:rFonts w:ascii="宋体" w:hAnsi="宋体" w:cs="宋体" w:eastAsia="宋体" w:hint="default"/>
                            <w:spacing w:val="-3"/>
                            <w:sz w:val="18"/>
                            <w:szCs w:val="18"/>
                          </w:rPr>
                          <w:t>生的交易，将由环球印务及其下属子公司与独立第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三方进行。本公司控制或影响的其他企业将严格避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免向环球印务及其下属子公司拆借、占用环球印务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及其下属子公司资金或采取由环球印务及其下属</w:t>
                        </w:r>
                        <w:r>
                          <w:rPr>
                            <w:rFonts w:ascii="宋体" w:hAnsi="宋体" w:cs="宋体" w:eastAsia="宋体" w:hint="default"/>
                            <w:w w:val="99"/>
                            <w:sz w:val="18"/>
                            <w:szCs w:val="18"/>
                          </w:rPr>
                          <w:t> </w:t>
                        </w:r>
                        <w:r>
                          <w:rPr>
                            <w:rFonts w:ascii="宋体" w:hAnsi="宋体" w:cs="宋体" w:eastAsia="宋体" w:hint="default"/>
                            <w:sz w:val="18"/>
                            <w:szCs w:val="18"/>
                          </w:rPr>
                          <w:t>子公司代垫款、代偿债务等方式侵占环球印务资</w:t>
                        </w:r>
                        <w:r>
                          <w:rPr>
                            <w:rFonts w:ascii="宋体" w:hAnsi="宋体" w:cs="宋体" w:eastAsia="宋体" w:hint="default"/>
                            <w:w w:val="99"/>
                            <w:sz w:val="18"/>
                            <w:szCs w:val="18"/>
                          </w:rPr>
                          <w:t> </w:t>
                        </w:r>
                        <w:r>
                          <w:rPr>
                            <w:rFonts w:ascii="宋体" w:hAnsi="宋体" w:cs="宋体" w:eastAsia="宋体" w:hint="default"/>
                            <w:sz w:val="18"/>
                            <w:szCs w:val="18"/>
                          </w:rPr>
                          <w:t>金。</w:t>
                        </w:r>
                        <w:r>
                          <w:rPr>
                            <w:rFonts w:ascii="Times New Roman" w:hAnsi="Times New Roman" w:cs="Times New Roman" w:eastAsia="Times New Roman" w:hint="default"/>
                            <w:sz w:val="18"/>
                            <w:szCs w:val="18"/>
                          </w:rPr>
                          <w:t>2</w:t>
                        </w:r>
                        <w:r>
                          <w:rPr>
                            <w:rFonts w:ascii="宋体" w:hAnsi="宋体" w:cs="宋体" w:eastAsia="宋体" w:hint="default"/>
                            <w:sz w:val="18"/>
                            <w:szCs w:val="18"/>
                          </w:rPr>
                          <w:t>、对于本公司及本公司控制或影响的企业与</w:t>
                        </w:r>
                        <w:r>
                          <w:rPr>
                            <w:rFonts w:ascii="宋体" w:hAnsi="宋体" w:cs="宋体" w:eastAsia="宋体" w:hint="default"/>
                            <w:w w:val="99"/>
                            <w:sz w:val="18"/>
                            <w:szCs w:val="18"/>
                          </w:rPr>
                          <w:t> </w:t>
                        </w:r>
                        <w:r>
                          <w:rPr>
                            <w:rFonts w:ascii="宋体" w:hAnsi="宋体" w:cs="宋体" w:eastAsia="宋体" w:hint="default"/>
                            <w:sz w:val="18"/>
                            <w:szCs w:val="18"/>
                          </w:rPr>
                          <w:t>环球印务及其下属子公司之间必需的一切交易行</w:t>
                        </w:r>
                        <w:r>
                          <w:rPr>
                            <w:rFonts w:ascii="宋体" w:hAnsi="宋体" w:cs="宋体" w:eastAsia="宋体" w:hint="default"/>
                            <w:w w:val="99"/>
                            <w:sz w:val="18"/>
                            <w:szCs w:val="18"/>
                          </w:rPr>
                          <w:t> </w:t>
                        </w:r>
                        <w:r>
                          <w:rPr>
                            <w:rFonts w:ascii="宋体" w:hAnsi="宋体" w:cs="宋体" w:eastAsia="宋体" w:hint="default"/>
                            <w:spacing w:val="-3"/>
                            <w:sz w:val="18"/>
                            <w:szCs w:val="18"/>
                          </w:rPr>
                          <w:t>为，均将严格遵守市场原则，本着平等互利、等价</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有偿的一般原则，公平合理地进行。交易定价有政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府定价的，执行政府定价；没有政府定价的，执行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市场公允价格；没有政府定价且无可参考市场价格</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的，按照成本加可比较的合理利润水平确定成本价</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执行。</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、本公司与环球印务及其下属子公司之间</w:t>
                        </w:r>
                        <w:r>
                          <w:rPr>
                            <w:rFonts w:ascii="宋体" w:hAnsi="宋体" w:cs="宋体" w:eastAsia="宋体" w:hint="default"/>
                            <w:w w:val="99"/>
                            <w:sz w:val="18"/>
                            <w:szCs w:val="18"/>
                          </w:rPr>
                          <w:t> </w:t>
                        </w:r>
                        <w:r>
                          <w:rPr>
                            <w:rFonts w:ascii="宋体" w:hAnsi="宋体" w:cs="宋体" w:eastAsia="宋体" w:hint="default"/>
                            <w:spacing w:val="-3"/>
                            <w:sz w:val="18"/>
                            <w:szCs w:val="18"/>
                          </w:rPr>
                          <w:t>的关联交易将严格遵守环球印务公司章程、关联交</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易管理制度等规定履行必要的法定程序。在环球印</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务权力机构审议有关关联交易事项时主动依法履</w:t>
                        </w:r>
                        <w:r>
                          <w:rPr>
                            <w:rFonts w:ascii="宋体" w:hAnsi="宋体" w:cs="宋体" w:eastAsia="宋体" w:hint="default"/>
                            <w:w w:val="99"/>
                            <w:sz w:val="18"/>
                            <w:szCs w:val="18"/>
                          </w:rPr>
                          <w:t> </w:t>
                        </w:r>
                        <w:r>
                          <w:rPr>
                            <w:rFonts w:ascii="宋体" w:hAnsi="宋体" w:cs="宋体" w:eastAsia="宋体" w:hint="default"/>
                            <w:spacing w:val="-3"/>
                            <w:sz w:val="18"/>
                            <w:szCs w:val="18"/>
                          </w:rPr>
                          <w:t>行回避义务；对须报经有权机构审议的关联交易事</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项，在有权机构审议通过后方可执行。</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w:t>
                        </w:r>
                        <w:r>
                          <w:rPr>
                            <w:rFonts w:ascii="宋体" w:hAnsi="宋体" w:cs="宋体" w:eastAsia="宋体" w:hint="default"/>
                            <w:w w:val="99"/>
                            <w:sz w:val="18"/>
                            <w:szCs w:val="18"/>
                          </w:rPr>
                          <w:t> </w:t>
                        </w:r>
                        <w:r>
                          <w:rPr>
                            <w:rFonts w:ascii="宋体" w:hAnsi="宋体" w:cs="宋体" w:eastAsia="宋体" w:hint="default"/>
                            <w:sz w:val="18"/>
                            <w:szCs w:val="18"/>
                          </w:rPr>
                          <w:t>保证不通过关联交易取得任何不正当的利益或使</w:t>
                        </w:r>
                        <w:r>
                          <w:rPr>
                            <w:rFonts w:ascii="宋体" w:hAnsi="宋体" w:cs="宋体" w:eastAsia="宋体" w:hint="default"/>
                            <w:w w:val="99"/>
                            <w:sz w:val="18"/>
                            <w:szCs w:val="18"/>
                          </w:rPr>
                          <w:t> </w:t>
                        </w:r>
                        <w:r>
                          <w:rPr>
                            <w:rFonts w:ascii="宋体" w:hAnsi="宋体" w:cs="宋体" w:eastAsia="宋体" w:hint="default"/>
                            <w:sz w:val="18"/>
                            <w:szCs w:val="18"/>
                          </w:rPr>
                          <w:t>环球印务及其下属子公司承担任何不正当的义务。</w:t>
                        </w:r>
                        <w:r>
                          <w:rPr>
                            <w:rFonts w:ascii="宋体" w:hAnsi="宋体" w:cs="宋体" w:eastAsia="宋体" w:hint="default"/>
                            <w:w w:val="99"/>
                            <w:sz w:val="18"/>
                            <w:szCs w:val="18"/>
                          </w:rPr>
                          <w:t> </w:t>
                        </w:r>
                        <w:r>
                          <w:rPr>
                            <w:rFonts w:ascii="宋体" w:hAnsi="宋体" w:cs="宋体" w:eastAsia="宋体" w:hint="default"/>
                            <w:sz w:val="18"/>
                            <w:szCs w:val="18"/>
                          </w:rPr>
                          <w:t>如果因违反上述承诺导致环球印务或其下属子公</w:t>
                        </w:r>
                        <w:r>
                          <w:rPr>
                            <w:rFonts w:ascii="宋体" w:hAnsi="宋体" w:cs="宋体" w:eastAsia="宋体" w:hint="default"/>
                            <w:w w:val="99"/>
                            <w:sz w:val="18"/>
                            <w:szCs w:val="18"/>
                          </w:rPr>
                          <w:t> </w:t>
                        </w:r>
                        <w:r>
                          <w:rPr>
                            <w:rFonts w:ascii="宋体" w:hAnsi="宋体" w:cs="宋体" w:eastAsia="宋体" w:hint="default"/>
                            <w:sz w:val="18"/>
                            <w:szCs w:val="18"/>
                          </w:rPr>
                          <w:t>司损失或利用关联交易侵占环球印务或其下属子</w:t>
                        </w:r>
                        <w:r>
                          <w:rPr>
                            <w:rFonts w:ascii="宋体" w:hAnsi="宋体" w:cs="宋体" w:eastAsia="宋体" w:hint="default"/>
                            <w:w w:val="99"/>
                            <w:sz w:val="18"/>
                            <w:szCs w:val="18"/>
                          </w:rPr>
                          <w:t> </w:t>
                        </w:r>
                        <w:r>
                          <w:rPr>
                            <w:rFonts w:ascii="宋体" w:hAnsi="宋体" w:cs="宋体" w:eastAsia="宋体" w:hint="default"/>
                            <w:spacing w:val="-3"/>
                            <w:sz w:val="18"/>
                            <w:szCs w:val="18"/>
                          </w:rPr>
                          <w:t>公司利益的，环球印务及其下属子公司的损失由本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公司承担。</w:t>
                        </w:r>
                        <w:r>
                          <w:rPr>
                            <w:rFonts w:ascii="Times New Roman" w:hAnsi="Times New Roman" w:cs="Times New Roman" w:eastAsia="Times New Roman" w:hint="default"/>
                            <w:sz w:val="18"/>
                            <w:szCs w:val="18"/>
                          </w:rPr>
                          <w:t>5</w:t>
                        </w:r>
                        <w:r>
                          <w:rPr>
                            <w:rFonts w:ascii="宋体" w:hAnsi="宋体" w:cs="宋体" w:eastAsia="宋体" w:hint="default"/>
                            <w:sz w:val="18"/>
                            <w:szCs w:val="18"/>
                          </w:rPr>
                          <w:t>、上述承诺在本公司及本公司控制或</w:t>
                        </w:r>
                        <w:r>
                          <w:rPr>
                            <w:rFonts w:ascii="宋体" w:hAnsi="宋体" w:cs="宋体" w:eastAsia="宋体" w:hint="default"/>
                            <w:w w:val="99"/>
                            <w:sz w:val="18"/>
                            <w:szCs w:val="18"/>
                          </w:rPr>
                          <w:t> </w:t>
                        </w:r>
                        <w:r>
                          <w:rPr>
                            <w:rFonts w:ascii="宋体" w:hAnsi="宋体" w:cs="宋体" w:eastAsia="宋体" w:hint="default"/>
                            <w:sz w:val="18"/>
                            <w:szCs w:val="18"/>
                          </w:rPr>
                          <w:t>影响的企业构成环球印务的关联方期间持续有效</w:t>
                        </w:r>
                      </w:p>
                    </w:tc>
                    <w:tc>
                      <w:tcPr>
                        <w:tcW w:w="1453" w:type="dxa"/>
                        <w:tcBorders>
                          <w:top w:val="single" w:sz="10" w:space="0" w:color="000000"/>
                          <w:left w:val="single" w:sz="4" w:space="0" w:color="000000"/>
                          <w:bottom w:val="single" w:sz="4" w:space="0" w:color="000000"/>
                          <w:right w:val="single" w:sz="4" w:space="0" w:color="000000"/>
                        </w:tcBorders>
                      </w:tcPr>
                      <w:p>
                        <w:pPr/>
                      </w:p>
                    </w:tc>
                    <w:tc>
                      <w:tcPr>
                        <w:tcW w:w="672" w:type="dxa"/>
                        <w:tcBorders>
                          <w:top w:val="single" w:sz="10" w:space="0" w:color="000000"/>
                          <w:left w:val="single" w:sz="4" w:space="0" w:color="000000"/>
                          <w:bottom w:val="single" w:sz="4" w:space="0" w:color="000000"/>
                          <w:right w:val="single" w:sz="4" w:space="0" w:color="000000"/>
                        </w:tcBorders>
                      </w:tcPr>
                      <w:p>
                        <w:pPr/>
                      </w:p>
                    </w:tc>
                    <w:tc>
                      <w:tcPr>
                        <w:tcW w:w="85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
                          <w:ind w:left="23" w:right="0"/>
                          <w:jc w:val="left"/>
                          <w:rPr>
                            <w:rFonts w:ascii="宋体" w:hAnsi="宋体" w:cs="宋体" w:eastAsia="宋体" w:hint="default"/>
                            <w:sz w:val="18"/>
                            <w:szCs w:val="18"/>
                          </w:rPr>
                        </w:pPr>
                        <w:r>
                          <w:rPr>
                            <w:rFonts w:ascii="宋体" w:hAnsi="宋体" w:cs="宋体" w:eastAsia="宋体" w:hint="default"/>
                            <w:sz w:val="18"/>
                            <w:szCs w:val="18"/>
                          </w:rPr>
                          <w:t>行。</w:t>
                        </w:r>
                      </w:p>
                    </w:tc>
                  </w:tr>
                  <w:tr>
                    <w:trPr>
                      <w:trHeight w:val="402" w:hRule="exact"/>
                    </w:trPr>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3998" w:hRule="exact"/>
                    </w:trPr>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93"/>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99"/>
                          <w:jc w:val="both"/>
                          <w:rPr>
                            <w:rFonts w:ascii="宋体" w:hAnsi="宋体" w:cs="宋体" w:eastAsia="宋体" w:hint="default"/>
                            <w:sz w:val="18"/>
                            <w:szCs w:val="18"/>
                          </w:rPr>
                        </w:pPr>
                        <w:r>
                          <w:rPr>
                            <w:rFonts w:ascii="宋体" w:hAnsi="宋体" w:cs="宋体" w:eastAsia="宋体" w:hint="default"/>
                            <w:sz w:val="18"/>
                            <w:szCs w:val="18"/>
                          </w:rPr>
                          <w:t>陕西医药控 股集团有限 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75"/>
                          <w:ind w:left="22" w:right="-23"/>
                          <w:jc w:val="left"/>
                          <w:rPr>
                            <w:rFonts w:ascii="宋体" w:hAnsi="宋体" w:cs="宋体" w:eastAsia="宋体" w:hint="default"/>
                            <w:sz w:val="18"/>
                            <w:szCs w:val="18"/>
                          </w:rPr>
                        </w:pPr>
                        <w:r>
                          <w:rPr>
                            <w:rFonts w:ascii="宋体" w:hAnsi="宋体" w:cs="宋体" w:eastAsia="宋体" w:hint="default"/>
                            <w:sz w:val="18"/>
                            <w:szCs w:val="18"/>
                          </w:rPr>
                          <w:t>陕西医药控股集团有限责任公司（以下简称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w:t>
                        </w:r>
                        <w:r>
                          <w:rPr>
                            <w:rFonts w:ascii="Times New Roman" w:hAnsi="Times New Roman" w:cs="Times New Roman" w:eastAsia="Times New Roman" w:hint="default"/>
                            <w:sz w:val="18"/>
                            <w:szCs w:val="18"/>
                          </w:rPr>
                          <w:t>”</w:t>
                        </w:r>
                        <w:r>
                          <w:rPr>
                            <w:rFonts w:ascii="宋体" w:hAnsi="宋体" w:cs="宋体" w:eastAsia="宋体" w:hint="default"/>
                            <w:sz w:val="18"/>
                            <w:szCs w:val="18"/>
                          </w:rPr>
                          <w:t>）作为西安环球印务股份有限公司（以下简称 </w:t>
                        </w:r>
                        <w:r>
                          <w:rPr>
                            <w:rFonts w:ascii="Times New Roman" w:hAnsi="Times New Roman" w:cs="Times New Roman" w:eastAsia="Times New Roman" w:hint="default"/>
                            <w:sz w:val="18"/>
                            <w:szCs w:val="18"/>
                          </w:rPr>
                          <w:t>“</w:t>
                        </w:r>
                        <w:r>
                          <w:rPr>
                            <w:rFonts w:ascii="宋体" w:hAnsi="宋体" w:cs="宋体" w:eastAsia="宋体" w:hint="default"/>
                            <w:sz w:val="18"/>
                            <w:szCs w:val="18"/>
                          </w:rPr>
                          <w:t>环球印务</w:t>
                        </w:r>
                        <w:r>
                          <w:rPr>
                            <w:rFonts w:ascii="Times New Roman" w:hAnsi="Times New Roman" w:cs="Times New Roman" w:eastAsia="Times New Roman" w:hint="default"/>
                            <w:sz w:val="18"/>
                            <w:szCs w:val="18"/>
                          </w:rPr>
                          <w:t>”</w:t>
                        </w:r>
                        <w:r>
                          <w:rPr>
                            <w:rFonts w:ascii="宋体" w:hAnsi="宋体" w:cs="宋体" w:eastAsia="宋体" w:hint="default"/>
                            <w:sz w:val="18"/>
                            <w:szCs w:val="18"/>
                          </w:rPr>
                          <w:t>）的控股股东及实际控制人，根据《深 </w:t>
                        </w:r>
                        <w:r>
                          <w:rPr>
                            <w:rFonts w:ascii="宋体" w:hAnsi="宋体" w:cs="宋体" w:eastAsia="宋体" w:hint="default"/>
                            <w:spacing w:val="-3"/>
                            <w:sz w:val="18"/>
                            <w:szCs w:val="18"/>
                          </w:rPr>
                          <w:t>圳证券交易所交易规则》的规定，现就西安环球印</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务股份有限公司股票交易异常波动事宜做如下承 诺：</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、本公司不存在涉及关于环球印务的应披露 而未披露的重大事项，或处于筹划阶段的重大事 项。</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、本公司承诺未来三个月内不会策划下述重 大事项，包括但不限于重大资产重组、发行股份、 </w:t>
                        </w:r>
                        <w:r>
                          <w:rPr>
                            <w:rFonts w:ascii="宋体" w:hAnsi="宋体" w:cs="宋体" w:eastAsia="宋体" w:hint="default"/>
                            <w:spacing w:val="-3"/>
                            <w:sz w:val="18"/>
                            <w:szCs w:val="18"/>
                          </w:rPr>
                          <w:t>上市公司收购、债务重组、业务重组、资产剥离和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资产注入等重大事项。</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、本公司将严格按照有关</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期限至</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3" w:right="95"/>
                          <w:jc w:val="left"/>
                          <w:rPr>
                            <w:rFonts w:ascii="宋体" w:hAnsi="宋体" w:cs="宋体" w:eastAsia="宋体" w:hint="default"/>
                            <w:sz w:val="18"/>
                            <w:szCs w:val="18"/>
                          </w:rPr>
                        </w:pPr>
                        <w:r>
                          <w:rPr>
                            <w:rFonts w:ascii="宋体" w:hAnsi="宋体" w:cs="宋体" w:eastAsia="宋体" w:hint="default"/>
                            <w:sz w:val="18"/>
                            <w:szCs w:val="18"/>
                          </w:rPr>
                          <w:t>已经履行 完毕</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0" w:footer="979" w:top="1560" w:bottom="1160" w:left="620" w:right="0"/>
        </w:sectPr>
      </w:pPr>
    </w:p>
    <w:p>
      <w:pPr>
        <w:spacing w:line="240" w:lineRule="auto" w:before="10"/>
        <w:rPr>
          <w:rFonts w:ascii="Times New Roman" w:hAnsi="Times New Roman" w:cs="Times New Roman" w:eastAsia="Times New Roman" w:hint="default"/>
          <w:sz w:val="2"/>
          <w:szCs w:val="2"/>
        </w:rPr>
      </w:pPr>
    </w:p>
    <w:tbl>
      <w:tblPr>
        <w:tblW w:w="0" w:type="auto"/>
        <w:jc w:val="left"/>
        <w:tblInd w:w="257" w:type="dxa"/>
        <w:tblLayout w:type="fixed"/>
        <w:tblCellMar>
          <w:top w:w="0" w:type="dxa"/>
          <w:left w:w="0" w:type="dxa"/>
          <w:bottom w:w="0" w:type="dxa"/>
          <w:right w:w="0" w:type="dxa"/>
        </w:tblCellMar>
        <w:tblLook w:val="01E0"/>
      </w:tblPr>
      <w:tblGrid>
        <w:gridCol w:w="1206"/>
        <w:gridCol w:w="1134"/>
        <w:gridCol w:w="1134"/>
        <w:gridCol w:w="3970"/>
        <w:gridCol w:w="1453"/>
        <w:gridCol w:w="672"/>
        <w:gridCol w:w="851"/>
      </w:tblGrid>
      <w:tr>
        <w:trPr>
          <w:trHeight w:val="4367" w:hRule="exact"/>
        </w:trPr>
        <w:tc>
          <w:tcPr>
            <w:tcW w:w="1206"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10" w:space="0" w:color="000000"/>
              <w:left w:val="single" w:sz="4" w:space="0" w:color="000000"/>
              <w:bottom w:val="single" w:sz="4" w:space="0" w:color="000000"/>
              <w:right w:val="single" w:sz="4" w:space="0" w:color="000000"/>
            </w:tcBorders>
          </w:tcPr>
          <w:p>
            <w:pPr/>
          </w:p>
        </w:tc>
        <w:tc>
          <w:tcPr>
            <w:tcW w:w="1134" w:type="dxa"/>
            <w:tcBorders>
              <w:top w:val="single" w:sz="10" w:space="0" w:color="000000"/>
              <w:left w:val="single" w:sz="4" w:space="0" w:color="000000"/>
              <w:bottom w:val="single" w:sz="4" w:space="0" w:color="000000"/>
              <w:right w:val="single" w:sz="4" w:space="0" w:color="000000"/>
            </w:tcBorders>
          </w:tcPr>
          <w:p>
            <w:pPr/>
          </w:p>
        </w:tc>
        <w:tc>
          <w:tcPr>
            <w:tcW w:w="3970" w:type="dxa"/>
            <w:tcBorders>
              <w:top w:val="single" w:sz="10" w:space="0" w:color="000000"/>
              <w:left w:val="single" w:sz="4" w:space="0" w:color="000000"/>
              <w:bottom w:val="single" w:sz="4" w:space="0" w:color="000000"/>
              <w:right w:val="single" w:sz="4" w:space="0" w:color="000000"/>
            </w:tcBorders>
          </w:tcPr>
          <w:p>
            <w:pPr>
              <w:pStyle w:val="TableParagraph"/>
              <w:spacing w:line="364" w:lineRule="auto" w:before="38"/>
              <w:ind w:left="22" w:right="22"/>
              <w:jc w:val="left"/>
              <w:rPr>
                <w:rFonts w:ascii="宋体" w:hAnsi="宋体" w:cs="宋体" w:eastAsia="宋体" w:hint="default"/>
                <w:sz w:val="18"/>
                <w:szCs w:val="18"/>
              </w:rPr>
            </w:pPr>
            <w:r>
              <w:rPr>
                <w:rFonts w:ascii="宋体" w:hAnsi="宋体" w:cs="宋体" w:eastAsia="宋体" w:hint="default"/>
                <w:spacing w:val="-3"/>
                <w:sz w:val="18"/>
                <w:szCs w:val="18"/>
              </w:rPr>
              <w:t>法律法规的规定和要求，做好信息披露工作。本公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司如未履行上述承诺，则本公司将在股东大会及中</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国证券监督管理委员会指定的披露媒体上公开说 明未履行承诺的具体原因并向发行人其他股东和 </w:t>
            </w:r>
            <w:r>
              <w:rPr>
                <w:rFonts w:ascii="宋体" w:hAnsi="宋体" w:cs="宋体" w:eastAsia="宋体" w:hint="default"/>
                <w:spacing w:val="-3"/>
                <w:sz w:val="18"/>
                <w:szCs w:val="18"/>
              </w:rPr>
              <w:t>社会公众投资者道歉；发行人有权将应付本公司通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知的拟增持股份的资金总额相等的现金分红予以 暂时扣留，直至本公司实际履行上述承诺义务为 </w:t>
            </w:r>
            <w:r>
              <w:rPr>
                <w:rFonts w:ascii="宋体" w:hAnsi="宋体" w:cs="宋体" w:eastAsia="宋体" w:hint="default"/>
                <w:spacing w:val="-3"/>
                <w:sz w:val="18"/>
                <w:szCs w:val="18"/>
              </w:rPr>
              <w:t>止；如因未履行承诺导致发行人或投资者遭受经济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损失的，本公司将依法予以赔偿。本公司将积极采</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取合法措施履行就环球印务信息披露工作事宜所 </w:t>
            </w:r>
            <w:r>
              <w:rPr>
                <w:rFonts w:ascii="宋体" w:hAnsi="宋体" w:cs="宋体" w:eastAsia="宋体" w:hint="default"/>
                <w:spacing w:val="-3"/>
                <w:sz w:val="18"/>
                <w:szCs w:val="18"/>
              </w:rPr>
              <w:t>做的全部承诺，自愿接受监管部门、社会公众及投</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资者的监督，并依法承担相应责任。</w:t>
            </w:r>
          </w:p>
        </w:tc>
        <w:tc>
          <w:tcPr>
            <w:tcW w:w="1453" w:type="dxa"/>
            <w:tcBorders>
              <w:top w:val="single" w:sz="10" w:space="0" w:color="000000"/>
              <w:left w:val="single" w:sz="4" w:space="0" w:color="000000"/>
              <w:bottom w:val="single" w:sz="4" w:space="0" w:color="000000"/>
              <w:right w:val="single" w:sz="4" w:space="0" w:color="000000"/>
            </w:tcBorders>
          </w:tcPr>
          <w:p>
            <w:pPr/>
          </w:p>
        </w:tc>
        <w:tc>
          <w:tcPr>
            <w:tcW w:w="672" w:type="dxa"/>
            <w:tcBorders>
              <w:top w:val="single" w:sz="10" w:space="0" w:color="000000"/>
              <w:left w:val="single" w:sz="4" w:space="0" w:color="000000"/>
              <w:bottom w:val="single" w:sz="4" w:space="0" w:color="000000"/>
              <w:right w:val="single" w:sz="4" w:space="0" w:color="000000"/>
            </w:tcBorders>
          </w:tcPr>
          <w:p>
            <w:pPr/>
          </w:p>
        </w:tc>
        <w:tc>
          <w:tcPr>
            <w:tcW w:w="851" w:type="dxa"/>
            <w:tcBorders>
              <w:top w:val="single" w:sz="10" w:space="0" w:color="000000"/>
              <w:left w:val="single" w:sz="4" w:space="0" w:color="000000"/>
              <w:bottom w:val="single" w:sz="4" w:space="0" w:color="000000"/>
              <w:right w:val="single" w:sz="4" w:space="0" w:color="000000"/>
            </w:tcBorders>
          </w:tcPr>
          <w:p>
            <w:pPr/>
          </w:p>
        </w:tc>
      </w:tr>
      <w:tr>
        <w:trPr>
          <w:trHeight w:val="714" w:hRule="exact"/>
        </w:trPr>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92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276" w:hRule="exact"/>
        </w:trPr>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3"/>
              <w:jc w:val="both"/>
              <w:rPr>
                <w:rFonts w:ascii="宋体" w:hAnsi="宋体" w:cs="宋体" w:eastAsia="宋体" w:hint="default"/>
                <w:sz w:val="18"/>
                <w:szCs w:val="18"/>
              </w:rPr>
            </w:pPr>
            <w:r>
              <w:rPr>
                <w:rFonts w:ascii="宋体" w:hAnsi="宋体" w:cs="宋体" w:eastAsia="宋体" w:hint="default"/>
                <w:sz w:val="18"/>
                <w:szCs w:val="18"/>
              </w:rPr>
              <w:t>如承诺超期未 履行完毕的， 应当详细说明 未完成履行的 具体原因及下 一步的工作计 划</w:t>
            </w:r>
          </w:p>
        </w:tc>
        <w:tc>
          <w:tcPr>
            <w:tcW w:w="92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spacing w:line="259" w:lineRule="auto" w:before="176"/>
        <w:ind w:left="654" w:right="21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54" w:right="2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923"/>
        <w:gridCol w:w="1562"/>
        <w:gridCol w:w="1558"/>
        <w:gridCol w:w="993"/>
        <w:gridCol w:w="991"/>
        <w:gridCol w:w="1180"/>
        <w:gridCol w:w="1515"/>
        <w:gridCol w:w="1985"/>
      </w:tblGrid>
      <w:tr>
        <w:trPr>
          <w:trHeight w:val="1025" w:hRule="exact"/>
        </w:trPr>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5" w:right="95"/>
              <w:jc w:val="both"/>
              <w:rPr>
                <w:rFonts w:ascii="宋体" w:hAnsi="宋体" w:cs="宋体" w:eastAsia="宋体" w:hint="default"/>
                <w:sz w:val="18"/>
                <w:szCs w:val="18"/>
              </w:rPr>
            </w:pPr>
            <w:r>
              <w:rPr>
                <w:rFonts w:ascii="宋体" w:hAnsi="宋体" w:cs="宋体" w:eastAsia="宋体" w:hint="default"/>
                <w:sz w:val="18"/>
                <w:szCs w:val="18"/>
              </w:rPr>
              <w:t>盈利预测 资产或项 目名称</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预测起始时间</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预测终止时间</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0" w:right="40"/>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9" w:right="41"/>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4" w:right="43"/>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原预测披露日期</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56"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2276" w:hRule="exact"/>
        </w:trPr>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68"/>
              <w:jc w:val="both"/>
              <w:rPr>
                <w:rFonts w:ascii="宋体" w:hAnsi="宋体" w:cs="宋体" w:eastAsia="宋体" w:hint="default"/>
                <w:sz w:val="18"/>
                <w:szCs w:val="18"/>
              </w:rPr>
            </w:pPr>
            <w:r>
              <w:rPr>
                <w:rFonts w:ascii="宋体" w:hAnsi="宋体" w:cs="宋体" w:eastAsia="宋体" w:hint="default"/>
                <w:sz w:val="18"/>
                <w:szCs w:val="18"/>
              </w:rPr>
              <w:t>霍尔果斯 领凯网络 科技有限 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29" w:right="0"/>
              <w:jc w:val="left"/>
              <w:rPr>
                <w:rFonts w:ascii="Times New Roman" w:hAnsi="Times New Roman" w:cs="Times New Roman" w:eastAsia="Times New Roman" w:hint="default"/>
                <w:sz w:val="18"/>
                <w:szCs w:val="18"/>
              </w:rPr>
            </w:pPr>
            <w:r>
              <w:rPr>
                <w:rFonts w:ascii="Times New Roman"/>
                <w:sz w:val="18"/>
              </w:rPr>
              <w:t>4,500.00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27" w:right="0"/>
              <w:jc w:val="left"/>
              <w:rPr>
                <w:rFonts w:ascii="Times New Roman" w:hAnsi="Times New Roman" w:cs="Times New Roman" w:eastAsia="Times New Roman" w:hint="default"/>
                <w:sz w:val="18"/>
                <w:szCs w:val="18"/>
              </w:rPr>
            </w:pPr>
            <w:r>
              <w:rPr>
                <w:rFonts w:ascii="Times New Roman"/>
                <w:sz w:val="18"/>
              </w:rPr>
              <w:t>4,683.82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9" w:lineRule="auto" w:before="75"/>
              <w:ind w:left="22" w:right="22"/>
              <w:jc w:val="left"/>
              <w:rPr>
                <w:rFonts w:ascii="宋体" w:hAnsi="宋体" w:cs="宋体" w:eastAsia="宋体"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z w:val="18"/>
                  <w:szCs w:val="18"/>
                </w:rPr>
                <w:t>http://www.cninfo.com.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8"/>
                <w:sz w:val="18"/>
                <w:szCs w:val="18"/>
              </w:rPr>
              <w:t>cn/</w:t>
            </w:r>
            <w:r>
              <w:rPr>
                <w:rFonts w:ascii="宋体" w:hAnsi="宋体" w:cs="宋体" w:eastAsia="宋体" w:hint="default"/>
                <w:spacing w:val="-8"/>
                <w:sz w:val="18"/>
                <w:szCs w:val="18"/>
              </w:rPr>
              <w:t>）《西安环球印务股份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有限公司关于收购霍尔 果斯领凯网络科技有限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股权的公告》</w:t>
            </w:r>
          </w:p>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2018-051</w:t>
            </w:r>
            <w:r>
              <w:rPr>
                <w:rFonts w:ascii="宋体" w:hAnsi="宋体" w:cs="宋体" w:eastAsia="宋体" w:hint="default"/>
                <w:sz w:val="18"/>
                <w:szCs w:val="18"/>
              </w:rPr>
              <w:t>）</w:t>
            </w:r>
          </w:p>
        </w:tc>
      </w:tr>
    </w:tbl>
    <w:p>
      <w:pPr>
        <w:pStyle w:val="BodyText"/>
        <w:spacing w:line="240" w:lineRule="auto" w:before="51"/>
        <w:ind w:left="654" w:right="210"/>
        <w:jc w:val="left"/>
      </w:pPr>
      <w:r>
        <w:rPr/>
        <w:t>公司股东、交易对手方在报告年度经营业绩做出的承诺情况</w:t>
      </w:r>
    </w:p>
    <w:p>
      <w:pPr>
        <w:pStyle w:val="BodyText"/>
        <w:spacing w:line="360" w:lineRule="auto" w:before="116"/>
        <w:ind w:left="1014" w:right="21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w:t>
      </w:r>
      <w:r>
        <w:rPr>
          <w:spacing w:val="-2"/>
        </w:rPr>
        <w:t>日与连学旺、李仁东、金湖县行千里网络传媒服务中心（有限合伙）签订《股权转让协议》，协议约</w:t>
      </w:r>
    </w:p>
    <w:p>
      <w:pPr>
        <w:spacing w:after="0" w:line="360" w:lineRule="auto"/>
        <w:jc w:val="left"/>
        <w:sectPr>
          <w:pgSz w:w="11910" w:h="16840"/>
          <w:pgMar w:header="0" w:footer="979" w:top="1500" w:bottom="1160" w:left="4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64" w:lineRule="auto" w:before="27"/>
        <w:ind w:right="940"/>
        <w:jc w:val="left"/>
      </w:pPr>
      <w:r>
        <w:rPr>
          <w:spacing w:val="-5"/>
        </w:rPr>
        <w:t>定，领凯网络科技</w:t>
      </w:r>
      <w:r>
        <w:rPr>
          <w:rFonts w:ascii="宋体" w:hAnsi="宋体" w:cs="宋体" w:eastAsia="宋体" w:hint="default"/>
          <w:spacing w:val="-5"/>
        </w:rPr>
        <w:t>2018</w:t>
      </w:r>
      <w:r>
        <w:rPr>
          <w:spacing w:val="-5"/>
        </w:rPr>
        <w:t>年度净利润不低于人民币</w:t>
      </w:r>
      <w:r>
        <w:rPr>
          <w:rFonts w:ascii="宋体" w:hAnsi="宋体" w:cs="宋体" w:eastAsia="宋体" w:hint="default"/>
          <w:spacing w:val="-5"/>
        </w:rPr>
        <w:t>4,500</w:t>
      </w:r>
      <w:r>
        <w:rPr>
          <w:spacing w:val="-5"/>
        </w:rPr>
        <w:t>万元，且</w:t>
      </w:r>
      <w:r>
        <w:rPr>
          <w:rFonts w:ascii="宋体" w:hAnsi="宋体" w:cs="宋体" w:eastAsia="宋体" w:hint="default"/>
          <w:spacing w:val="-5"/>
        </w:rPr>
        <w:t>2018</w:t>
      </w:r>
      <w:r>
        <w:rPr>
          <w:spacing w:val="-5"/>
        </w:rPr>
        <w:t>年至</w:t>
      </w:r>
      <w:r>
        <w:rPr>
          <w:rFonts w:ascii="宋体" w:hAnsi="宋体" w:cs="宋体" w:eastAsia="宋体" w:hint="default"/>
          <w:spacing w:val="-5"/>
        </w:rPr>
        <w:t>2020</w:t>
      </w:r>
      <w:r>
        <w:rPr>
          <w:spacing w:val="-5"/>
        </w:rPr>
        <w:t>年底，应累计实现净利润不低于人民币</w:t>
      </w:r>
      <w:r>
        <w:rPr>
          <w:rFonts w:ascii="宋体" w:hAnsi="宋体" w:cs="宋体" w:eastAsia="宋体" w:hint="default"/>
          <w:spacing w:val="-5"/>
        </w:rPr>
        <w:t>1.4</w:t>
      </w:r>
      <w:r>
        <w:rPr>
          <w:spacing w:val="-5"/>
        </w:rPr>
        <w:t>亿元，</w:t>
      </w:r>
      <w:r>
        <w:rPr>
          <w:spacing w:val="-29"/>
        </w:rPr>
        <w:t> </w:t>
      </w:r>
      <w:r>
        <w:rPr/>
        <w:t>并保持增长态势。</w:t>
      </w:r>
    </w:p>
    <w:p>
      <w:pPr>
        <w:pStyle w:val="BodyText"/>
        <w:spacing w:line="381" w:lineRule="auto" w:before="47"/>
        <w:ind w:left="514" w:right="940" w:hanging="360"/>
        <w:jc w:val="left"/>
      </w:pPr>
      <w:r>
        <w:rPr/>
        <w:t>业绩承诺的完成情况及其对商誉减值测试的影响 </w:t>
      </w:r>
      <w:r>
        <w:rPr>
          <w:spacing w:val="-2"/>
        </w:rPr>
        <w:t>经希格玛会计师事务所（特殊普通合伙）审计，</w:t>
      </w:r>
      <w:r>
        <w:rPr>
          <w:rFonts w:ascii="宋体" w:hAnsi="宋体" w:cs="宋体" w:eastAsia="宋体" w:hint="default"/>
          <w:spacing w:val="-2"/>
        </w:rPr>
        <w:t>2018</w:t>
      </w:r>
      <w:r>
        <w:rPr>
          <w:spacing w:val="-2"/>
        </w:rPr>
        <w:t>年领凯网络科技实现的净利润为</w:t>
      </w:r>
      <w:r>
        <w:rPr>
          <w:rFonts w:ascii="宋体" w:hAnsi="宋体" w:cs="宋体" w:eastAsia="宋体" w:hint="default"/>
          <w:spacing w:val="-2"/>
        </w:rPr>
        <w:t>4,683.82</w:t>
      </w:r>
      <w:r>
        <w:rPr>
          <w:spacing w:val="-2"/>
        </w:rPr>
        <w:t>万元，完成了约定的业绩</w:t>
      </w:r>
    </w:p>
    <w:p>
      <w:pPr>
        <w:pStyle w:val="BodyText"/>
        <w:spacing w:line="364" w:lineRule="auto" w:before="17"/>
        <w:ind w:right="940"/>
        <w:jc w:val="left"/>
      </w:pPr>
      <w:r>
        <w:rPr>
          <w:spacing w:val="-2"/>
        </w:rPr>
        <w:t>承诺。公司已委托外部专业评估机构对上述项目在并购过程中形成的商誉在本报告期末进行了商誉减值测试，经测试，领凯</w:t>
      </w:r>
      <w:r>
        <w:rPr>
          <w:spacing w:val="-66"/>
        </w:rPr>
        <w:t> </w:t>
      </w:r>
      <w:r>
        <w:rPr>
          <w:spacing w:val="-66"/>
        </w:rPr>
      </w:r>
      <w:r>
        <w:rPr/>
        <w:t>网络科技经营正常，盈利符合预期，未出现减值迹象。</w:t>
      </w:r>
    </w:p>
    <w:p>
      <w:pPr>
        <w:spacing w:line="240" w:lineRule="auto" w:before="11"/>
        <w:rPr>
          <w:rFonts w:ascii="宋体" w:hAnsi="宋体" w:cs="宋体" w:eastAsia="宋体" w:hint="default"/>
          <w:sz w:val="19"/>
          <w:szCs w:val="19"/>
        </w:rPr>
      </w:pPr>
    </w:p>
    <w:p>
      <w:pPr>
        <w:pStyle w:val="Heading2"/>
        <w:spacing w:line="240" w:lineRule="auto"/>
        <w:ind w:right="940"/>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940"/>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40"/>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64" w:lineRule="auto" w:before="124"/>
        <w:ind w:left="574" w:right="1119"/>
        <w:jc w:val="left"/>
      </w:pPr>
      <w:r>
        <w:rPr>
          <w:rFonts w:ascii="宋体" w:hAnsi="宋体" w:cs="宋体" w:eastAsia="宋体" w:hint="default"/>
          <w:b/>
          <w:bCs/>
        </w:rPr>
        <w:t>1</w:t>
      </w:r>
      <w:r>
        <w:rPr>
          <w:rFonts w:ascii="宋体" w:hAnsi="宋体" w:cs="宋体" w:eastAsia="宋体" w:hint="default"/>
          <w:b/>
          <w:bCs/>
        </w:rPr>
        <w:t>、会计政策的变更</w:t>
      </w:r>
      <w:r>
        <w:rPr>
          <w:rFonts w:ascii="宋体" w:hAnsi="宋体" w:cs="宋体" w:eastAsia="宋体" w:hint="default"/>
          <w:b/>
          <w:bCs/>
          <w:w w:val="99"/>
        </w:rPr>
        <w:t> </w:t>
      </w:r>
      <w:r>
        <w:rPr/>
        <w:t>财政部于</w:t>
      </w:r>
      <w:r>
        <w:rPr>
          <w:rFonts w:ascii="宋体" w:hAnsi="宋体" w:cs="宋体" w:eastAsia="宋体" w:hint="default"/>
        </w:rPr>
        <w:t>2018</w:t>
      </w:r>
      <w:r>
        <w:rPr/>
        <w:t>年颁布了《财政部关于修订印发</w:t>
      </w:r>
      <w:r>
        <w:rPr>
          <w:rFonts w:ascii="宋体" w:hAnsi="宋体" w:cs="宋体" w:eastAsia="宋体" w:hint="default"/>
        </w:rPr>
        <w:t>2018</w:t>
      </w:r>
      <w:r>
        <w:rPr/>
        <w:t>年度一般企业财务报表格式的通知》（财会（</w:t>
      </w:r>
      <w:r>
        <w:rPr>
          <w:rFonts w:ascii="宋体" w:hAnsi="宋体" w:cs="宋体" w:eastAsia="宋体" w:hint="default"/>
        </w:rPr>
        <w:t>2018</w:t>
      </w:r>
      <w:r>
        <w:rPr/>
        <w:t>）</w:t>
      </w:r>
      <w:r>
        <w:rPr>
          <w:rFonts w:ascii="宋体" w:hAnsi="宋体" w:cs="宋体" w:eastAsia="宋体" w:hint="default"/>
        </w:rPr>
        <w:t>15</w:t>
      </w:r>
      <w:r>
        <w:rPr>
          <w:rFonts w:ascii="宋体" w:hAnsi="宋体" w:cs="宋体" w:eastAsia="宋体" w:hint="default"/>
          <w:spacing w:val="-37"/>
        </w:rPr>
        <w:t> </w:t>
      </w:r>
      <w:r>
        <w:rPr>
          <w:spacing w:val="-4"/>
        </w:rPr>
        <w:t>号），对一</w:t>
      </w:r>
    </w:p>
    <w:p>
      <w:pPr>
        <w:pStyle w:val="BodyText"/>
        <w:spacing w:line="364" w:lineRule="auto" w:before="29"/>
        <w:ind w:right="940"/>
        <w:jc w:val="left"/>
      </w:pPr>
      <w:r>
        <w:rPr>
          <w:spacing w:val="-5"/>
        </w:rPr>
        <w:t>般企业财务报表格式进行修订。本公司已按照上述通知编制了</w:t>
      </w:r>
      <w:r>
        <w:rPr>
          <w:rFonts w:ascii="宋体" w:hAnsi="宋体" w:cs="宋体" w:eastAsia="宋体" w:hint="default"/>
          <w:spacing w:val="-5"/>
        </w:rPr>
        <w:t>2018</w:t>
      </w:r>
      <w:r>
        <w:rPr>
          <w:spacing w:val="-5"/>
        </w:rPr>
        <w:t>年度的财务报表，并对年初余额、上期金额进行相应调整，</w:t>
      </w:r>
      <w:r>
        <w:rPr>
          <w:spacing w:val="-69"/>
        </w:rPr>
        <w:t> </w:t>
      </w:r>
      <w:r>
        <w:rPr>
          <w:spacing w:val="-69"/>
        </w:rPr>
      </w:r>
      <w:r>
        <w:rPr/>
        <w:t>对财务报表的影响列示如下：</w:t>
      </w:r>
    </w:p>
    <w:tbl>
      <w:tblPr>
        <w:tblW w:w="0" w:type="auto"/>
        <w:jc w:val="left"/>
        <w:tblInd w:w="144" w:type="dxa"/>
        <w:tblLayout w:type="fixed"/>
        <w:tblCellMar>
          <w:top w:w="0" w:type="dxa"/>
          <w:left w:w="0" w:type="dxa"/>
          <w:bottom w:w="0" w:type="dxa"/>
          <w:right w:w="0" w:type="dxa"/>
        </w:tblCellMar>
        <w:tblLook w:val="01E0"/>
      </w:tblPr>
      <w:tblGrid>
        <w:gridCol w:w="3262"/>
        <w:gridCol w:w="2126"/>
        <w:gridCol w:w="4112"/>
      </w:tblGrid>
      <w:tr>
        <w:trPr>
          <w:trHeight w:val="484" w:hRule="exact"/>
        </w:trPr>
        <w:tc>
          <w:tcPr>
            <w:tcW w:w="326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85"/>
              <w:ind w:left="901" w:right="0"/>
              <w:jc w:val="left"/>
              <w:rPr>
                <w:rFonts w:ascii="宋体" w:hAnsi="宋体" w:cs="宋体" w:eastAsia="宋体" w:hint="default"/>
                <w:sz w:val="18"/>
                <w:szCs w:val="18"/>
              </w:rPr>
            </w:pPr>
            <w:r>
              <w:rPr>
                <w:rFonts w:ascii="宋体" w:hAnsi="宋体" w:cs="宋体" w:eastAsia="宋体" w:hint="default"/>
                <w:sz w:val="18"/>
                <w:szCs w:val="18"/>
              </w:rPr>
              <w:t>会计政策变更原因</w:t>
            </w:r>
          </w:p>
        </w:tc>
        <w:tc>
          <w:tcPr>
            <w:tcW w:w="212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影响科目</w:t>
            </w:r>
          </w:p>
        </w:tc>
        <w:tc>
          <w:tcPr>
            <w:tcW w:w="411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85"/>
              <w:ind w:left="1280"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w:t>
            </w:r>
            <w:r>
              <w:rPr>
                <w:rFonts w:ascii="宋体" w:hAnsi="宋体" w:cs="宋体" w:eastAsia="宋体" w:hint="default"/>
                <w:sz w:val="18"/>
                <w:szCs w:val="18"/>
              </w:rPr>
              <w:t>上期金额</w:t>
            </w:r>
          </w:p>
        </w:tc>
      </w:tr>
      <w:tr>
        <w:trPr>
          <w:trHeight w:val="620" w:hRule="exact"/>
        </w:trPr>
        <w:tc>
          <w:tcPr>
            <w:tcW w:w="3262" w:type="dxa"/>
            <w:vMerge w:val="restart"/>
            <w:tcBorders>
              <w:top w:val="single" w:sz="8" w:space="0" w:color="000000"/>
              <w:left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541" w:right="179" w:hanging="361"/>
              <w:jc w:val="left"/>
              <w:rPr>
                <w:rFonts w:ascii="宋体" w:hAnsi="宋体" w:cs="宋体" w:eastAsia="宋体" w:hint="default"/>
                <w:sz w:val="18"/>
                <w:szCs w:val="18"/>
              </w:rPr>
            </w:pPr>
            <w:r>
              <w:rPr>
                <w:rFonts w:ascii="宋体" w:hAnsi="宋体" w:cs="宋体" w:eastAsia="宋体" w:hint="default"/>
                <w:sz w:val="18"/>
                <w:szCs w:val="18"/>
              </w:rPr>
              <w:t>本公司将应收票据和应收账款合并计 入应收票据及应收账款项目</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41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2"/>
              <w:ind w:right="96"/>
              <w:jc w:val="right"/>
              <w:rPr>
                <w:rFonts w:ascii="宋体" w:hAnsi="宋体" w:cs="宋体" w:eastAsia="宋体" w:hint="default"/>
                <w:sz w:val="18"/>
                <w:szCs w:val="18"/>
              </w:rPr>
            </w:pPr>
            <w:r>
              <w:rPr>
                <w:rFonts w:ascii="宋体"/>
                <w:sz w:val="18"/>
              </w:rPr>
              <w:t>-124,268,146.32</w:t>
            </w:r>
          </w:p>
        </w:tc>
      </w:tr>
      <w:tr>
        <w:trPr>
          <w:trHeight w:val="332" w:hRule="exact"/>
        </w:trPr>
        <w:tc>
          <w:tcPr>
            <w:tcW w:w="3262" w:type="dxa"/>
            <w:vMerge/>
            <w:tcBorders>
              <w:left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41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-30,908,516.58</w:t>
            </w:r>
          </w:p>
        </w:tc>
      </w:tr>
      <w:tr>
        <w:trPr>
          <w:trHeight w:val="331" w:hRule="exact"/>
        </w:trPr>
        <w:tc>
          <w:tcPr>
            <w:tcW w:w="3262" w:type="dxa"/>
            <w:vMerge/>
            <w:tcBorders>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41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96"/>
              <w:jc w:val="right"/>
              <w:rPr>
                <w:rFonts w:ascii="宋体" w:hAnsi="宋体" w:cs="宋体" w:eastAsia="宋体" w:hint="default"/>
                <w:sz w:val="18"/>
                <w:szCs w:val="18"/>
              </w:rPr>
            </w:pPr>
            <w:r>
              <w:rPr>
                <w:rFonts w:ascii="宋体"/>
                <w:sz w:val="18"/>
              </w:rPr>
              <w:t>155,176,662.90</w:t>
            </w:r>
          </w:p>
        </w:tc>
      </w:tr>
      <w:tr>
        <w:trPr>
          <w:trHeight w:val="332" w:hRule="exact"/>
        </w:trPr>
        <w:tc>
          <w:tcPr>
            <w:tcW w:w="3262"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316" w:lineRule="auto"/>
              <w:ind w:left="901" w:right="179" w:hanging="721"/>
              <w:jc w:val="left"/>
              <w:rPr>
                <w:rFonts w:ascii="宋体" w:hAnsi="宋体" w:cs="宋体" w:eastAsia="宋体" w:hint="default"/>
                <w:sz w:val="18"/>
                <w:szCs w:val="18"/>
              </w:rPr>
            </w:pPr>
            <w:r>
              <w:rPr>
                <w:rFonts w:ascii="宋体" w:hAnsi="宋体" w:cs="宋体" w:eastAsia="宋体" w:hint="default"/>
                <w:sz w:val="18"/>
                <w:szCs w:val="18"/>
              </w:rPr>
              <w:t>本公司将应收利息和应收股利合并计 入其他应收款项目</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应收利息</w:t>
            </w:r>
          </w:p>
        </w:tc>
        <w:tc>
          <w:tcPr>
            <w:tcW w:w="4112" w:type="dxa"/>
            <w:tcBorders>
              <w:top w:val="single" w:sz="8" w:space="0" w:color="000000"/>
              <w:left w:val="single" w:sz="8" w:space="0" w:color="000000"/>
              <w:bottom w:val="single" w:sz="8" w:space="0" w:color="000000"/>
              <w:right w:val="single" w:sz="8" w:space="0" w:color="000000"/>
            </w:tcBorders>
          </w:tcPr>
          <w:p>
            <w:pPr/>
          </w:p>
        </w:tc>
      </w:tr>
      <w:tr>
        <w:trPr>
          <w:trHeight w:val="332" w:hRule="exact"/>
        </w:trPr>
        <w:tc>
          <w:tcPr>
            <w:tcW w:w="3262" w:type="dxa"/>
            <w:vMerge/>
            <w:tcBorders>
              <w:left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41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-2,210,308.58</w:t>
            </w:r>
          </w:p>
        </w:tc>
      </w:tr>
      <w:tr>
        <w:trPr>
          <w:trHeight w:val="331" w:hRule="exact"/>
        </w:trPr>
        <w:tc>
          <w:tcPr>
            <w:tcW w:w="3262" w:type="dxa"/>
            <w:vMerge/>
            <w:tcBorders>
              <w:left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41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96"/>
              <w:jc w:val="right"/>
              <w:rPr>
                <w:rFonts w:ascii="宋体" w:hAnsi="宋体" w:cs="宋体" w:eastAsia="宋体" w:hint="default"/>
                <w:sz w:val="18"/>
                <w:szCs w:val="18"/>
              </w:rPr>
            </w:pPr>
            <w:r>
              <w:rPr>
                <w:rFonts w:ascii="宋体"/>
                <w:sz w:val="18"/>
              </w:rPr>
              <w:t>-1,466,521.64</w:t>
            </w:r>
          </w:p>
        </w:tc>
      </w:tr>
      <w:tr>
        <w:trPr>
          <w:trHeight w:val="332" w:hRule="exact"/>
        </w:trPr>
        <w:tc>
          <w:tcPr>
            <w:tcW w:w="3262" w:type="dxa"/>
            <w:vMerge/>
            <w:tcBorders>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41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3,676,830.22</w:t>
            </w:r>
          </w:p>
        </w:tc>
      </w:tr>
      <w:tr>
        <w:trPr>
          <w:trHeight w:val="620" w:hRule="exact"/>
        </w:trPr>
        <w:tc>
          <w:tcPr>
            <w:tcW w:w="3262" w:type="dxa"/>
            <w:vMerge w:val="restart"/>
            <w:tcBorders>
              <w:top w:val="single" w:sz="8" w:space="0" w:color="000000"/>
              <w:left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316" w:lineRule="auto"/>
              <w:ind w:left="541" w:right="179" w:hanging="361"/>
              <w:jc w:val="left"/>
              <w:rPr>
                <w:rFonts w:ascii="宋体" w:hAnsi="宋体" w:cs="宋体" w:eastAsia="宋体" w:hint="default"/>
                <w:sz w:val="18"/>
                <w:szCs w:val="18"/>
              </w:rPr>
            </w:pPr>
            <w:r>
              <w:rPr>
                <w:rFonts w:ascii="宋体" w:hAnsi="宋体" w:cs="宋体" w:eastAsia="宋体" w:hint="default"/>
                <w:sz w:val="18"/>
                <w:szCs w:val="18"/>
              </w:rPr>
              <w:t>本公司将应付票据和应付账款合并计 入应付票据及应付账款项目</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41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2"/>
              <w:ind w:right="96"/>
              <w:jc w:val="right"/>
              <w:rPr>
                <w:rFonts w:ascii="宋体" w:hAnsi="宋体" w:cs="宋体" w:eastAsia="宋体" w:hint="default"/>
                <w:sz w:val="18"/>
                <w:szCs w:val="18"/>
              </w:rPr>
            </w:pPr>
            <w:r>
              <w:rPr>
                <w:rFonts w:ascii="宋体"/>
                <w:sz w:val="18"/>
              </w:rPr>
              <w:t>-89,995,973.23</w:t>
            </w:r>
          </w:p>
        </w:tc>
      </w:tr>
      <w:tr>
        <w:trPr>
          <w:trHeight w:val="331" w:hRule="exact"/>
        </w:trPr>
        <w:tc>
          <w:tcPr>
            <w:tcW w:w="3262" w:type="dxa"/>
            <w:vMerge/>
            <w:tcBorders>
              <w:left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41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96"/>
              <w:jc w:val="right"/>
              <w:rPr>
                <w:rFonts w:ascii="宋体" w:hAnsi="宋体" w:cs="宋体" w:eastAsia="宋体" w:hint="default"/>
                <w:sz w:val="18"/>
                <w:szCs w:val="18"/>
              </w:rPr>
            </w:pPr>
            <w:r>
              <w:rPr>
                <w:rFonts w:ascii="宋体"/>
                <w:sz w:val="18"/>
              </w:rPr>
              <w:t>-6,807,889.18</w:t>
            </w:r>
          </w:p>
        </w:tc>
      </w:tr>
      <w:tr>
        <w:trPr>
          <w:trHeight w:val="332" w:hRule="exact"/>
        </w:trPr>
        <w:tc>
          <w:tcPr>
            <w:tcW w:w="3262" w:type="dxa"/>
            <w:vMerge/>
            <w:tcBorders>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41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96,803,862.41</w:t>
            </w:r>
          </w:p>
        </w:tc>
      </w:tr>
      <w:tr>
        <w:trPr>
          <w:trHeight w:val="332" w:hRule="exact"/>
        </w:trPr>
        <w:tc>
          <w:tcPr>
            <w:tcW w:w="3262" w:type="dxa"/>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901" w:right="179" w:hanging="721"/>
              <w:jc w:val="left"/>
              <w:rPr>
                <w:rFonts w:ascii="宋体" w:hAnsi="宋体" w:cs="宋体" w:eastAsia="宋体" w:hint="default"/>
                <w:sz w:val="18"/>
                <w:szCs w:val="18"/>
              </w:rPr>
            </w:pPr>
            <w:r>
              <w:rPr>
                <w:rFonts w:ascii="宋体" w:hAnsi="宋体" w:cs="宋体" w:eastAsia="宋体" w:hint="default"/>
                <w:sz w:val="18"/>
                <w:szCs w:val="18"/>
              </w:rPr>
              <w:t>本公司将应付利息和应付股利合并计 入其他应付款项目</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41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-116,727.00</w:t>
            </w:r>
          </w:p>
        </w:tc>
      </w:tr>
      <w:tr>
        <w:trPr>
          <w:trHeight w:val="332" w:hRule="exact"/>
        </w:trPr>
        <w:tc>
          <w:tcPr>
            <w:tcW w:w="3262" w:type="dxa"/>
            <w:vMerge/>
            <w:tcBorders>
              <w:left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4112" w:type="dxa"/>
            <w:tcBorders>
              <w:top w:val="single" w:sz="8" w:space="0" w:color="000000"/>
              <w:left w:val="single" w:sz="8" w:space="0" w:color="000000"/>
              <w:bottom w:val="single" w:sz="8" w:space="0" w:color="000000"/>
              <w:right w:val="single" w:sz="8" w:space="0" w:color="000000"/>
            </w:tcBorders>
          </w:tcPr>
          <w:p>
            <w:pPr/>
          </w:p>
        </w:tc>
      </w:tr>
      <w:tr>
        <w:trPr>
          <w:trHeight w:val="332" w:hRule="exact"/>
        </w:trPr>
        <w:tc>
          <w:tcPr>
            <w:tcW w:w="3262" w:type="dxa"/>
            <w:vMerge/>
            <w:tcBorders>
              <w:left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41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-4,545,530.09</w:t>
            </w:r>
          </w:p>
        </w:tc>
      </w:tr>
      <w:tr>
        <w:trPr>
          <w:trHeight w:val="331" w:hRule="exact"/>
        </w:trPr>
        <w:tc>
          <w:tcPr>
            <w:tcW w:w="3262" w:type="dxa"/>
            <w:vMerge/>
            <w:tcBorders>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41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4,662,257.09</w:t>
            </w:r>
          </w:p>
        </w:tc>
      </w:tr>
    </w:tbl>
    <w:p>
      <w:pPr>
        <w:spacing w:after="0" w:line="240" w:lineRule="auto"/>
        <w:jc w:val="right"/>
        <w:rPr>
          <w:rFonts w:ascii="宋体" w:hAnsi="宋体" w:cs="宋体" w:eastAsia="宋体" w:hint="default"/>
          <w:sz w:val="18"/>
          <w:szCs w:val="18"/>
        </w:rPr>
        <w:sectPr>
          <w:pgSz w:w="11910" w:h="16840"/>
          <w:pgMar w:header="0" w:footer="979" w:top="1500" w:bottom="1160" w:left="980" w:right="0"/>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67"/>
        <w:gridCol w:w="2126"/>
        <w:gridCol w:w="4112"/>
        <w:gridCol w:w="170"/>
      </w:tblGrid>
      <w:tr>
        <w:trPr>
          <w:trHeight w:val="1067" w:hRule="exact"/>
        </w:trPr>
        <w:tc>
          <w:tcPr>
            <w:tcW w:w="3267" w:type="dxa"/>
            <w:vMerge w:val="restart"/>
            <w:tcBorders>
              <w:top w:val="single" w:sz="6"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4"/>
              <w:ind w:left="451" w:right="184" w:hanging="270"/>
              <w:jc w:val="left"/>
              <w:rPr>
                <w:rFonts w:ascii="宋体" w:hAnsi="宋体" w:cs="宋体" w:eastAsia="宋体" w:hint="default"/>
                <w:sz w:val="18"/>
                <w:szCs w:val="18"/>
              </w:rPr>
            </w:pPr>
            <w:r>
              <w:rPr>
                <w:rFonts w:ascii="宋体" w:hAnsi="宋体" w:cs="宋体" w:eastAsia="宋体" w:hint="default"/>
                <w:sz w:val="18"/>
                <w:szCs w:val="18"/>
              </w:rPr>
              <w:t>本公司将原计入管理费用项目的研发 费用单独列示为研发费用项目</w:t>
            </w:r>
          </w:p>
        </w:tc>
        <w:tc>
          <w:tcPr>
            <w:tcW w:w="2126"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4112"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96"/>
              <w:jc w:val="right"/>
              <w:rPr>
                <w:rFonts w:ascii="宋体" w:hAnsi="宋体" w:cs="宋体" w:eastAsia="宋体" w:hint="default"/>
                <w:sz w:val="18"/>
                <w:szCs w:val="18"/>
              </w:rPr>
            </w:pPr>
            <w:r>
              <w:rPr>
                <w:rFonts w:ascii="宋体"/>
                <w:sz w:val="18"/>
              </w:rPr>
              <w:t>-7,399,093.46</w:t>
            </w:r>
          </w:p>
        </w:tc>
        <w:tc>
          <w:tcPr>
            <w:tcW w:w="170" w:type="dxa"/>
            <w:vMerge w:val="restart"/>
            <w:tcBorders>
              <w:top w:val="single" w:sz="6" w:space="0" w:color="000000"/>
              <w:left w:val="single" w:sz="8" w:space="0" w:color="000000"/>
              <w:right w:val="nil" w:sz="6" w:space="0" w:color="auto"/>
            </w:tcBorders>
          </w:tcPr>
          <w:p>
            <w:pPr/>
          </w:p>
        </w:tc>
      </w:tr>
      <w:tr>
        <w:trPr>
          <w:trHeight w:val="336" w:hRule="exact"/>
        </w:trPr>
        <w:tc>
          <w:tcPr>
            <w:tcW w:w="3267" w:type="dxa"/>
            <w:vMerge/>
            <w:tcBorders>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41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7,399,093.46</w:t>
            </w:r>
          </w:p>
        </w:tc>
        <w:tc>
          <w:tcPr>
            <w:tcW w:w="170" w:type="dxa"/>
            <w:vMerge/>
            <w:tcBorders>
              <w:left w:val="single" w:sz="8" w:space="0" w:color="000000"/>
              <w:bottom w:val="nil" w:sz="6" w:space="0" w:color="auto"/>
              <w:right w:val="nil" w:sz="6" w:space="0" w:color="auto"/>
            </w:tcBorders>
          </w:tcPr>
          <w:p>
            <w:pPr/>
          </w:p>
        </w:tc>
      </w:tr>
    </w:tbl>
    <w:p>
      <w:pPr>
        <w:pStyle w:val="BodyText"/>
        <w:spacing w:line="240" w:lineRule="auto" w:before="7"/>
        <w:ind w:left="554" w:right="1132"/>
        <w:jc w:val="left"/>
      </w:pPr>
      <w:r>
        <w:rPr>
          <w:rFonts w:ascii="Times New Roman" w:hAnsi="Times New Roman" w:cs="Times New Roman" w:eastAsia="Times New Roman" w:hint="default"/>
        </w:rPr>
        <w:t>2</w:t>
      </w:r>
      <w:r>
        <w:rPr/>
        <w:t>、本公司本会计期间无会计估计的变更。</w:t>
      </w:r>
    </w:p>
    <w:p>
      <w:pPr>
        <w:pStyle w:val="BodyText"/>
        <w:spacing w:line="240" w:lineRule="auto" w:before="63"/>
        <w:ind w:left="554" w:right="1132"/>
        <w:jc w:val="left"/>
      </w:pPr>
      <w:r>
        <w:rPr>
          <w:rFonts w:ascii="Times New Roman" w:hAnsi="Times New Roman" w:cs="Times New Roman" w:eastAsia="Times New Roman" w:hint="default"/>
        </w:rPr>
        <w:t>3</w:t>
      </w:r>
      <w:r>
        <w:rPr/>
        <w:t>、本公司本会计期间无会计核算方法的变更。</w:t>
      </w:r>
    </w:p>
    <w:p>
      <w:pPr>
        <w:spacing w:line="240" w:lineRule="auto" w:before="1"/>
        <w:rPr>
          <w:rFonts w:ascii="宋体" w:hAnsi="宋体" w:cs="宋体" w:eastAsia="宋体" w:hint="default"/>
          <w:sz w:val="24"/>
          <w:szCs w:val="24"/>
        </w:rPr>
      </w:pPr>
    </w:p>
    <w:p>
      <w:pPr>
        <w:pStyle w:val="Heading2"/>
        <w:spacing w:line="240" w:lineRule="auto"/>
        <w:ind w:left="134" w:right="1132"/>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134"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left="134" w:right="1132"/>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3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spacing w:line="316" w:lineRule="auto"/>
        <w:ind w:left="134" w:right="1132" w:firstLine="420"/>
        <w:jc w:val="left"/>
      </w:pPr>
      <w:r>
        <w:rPr>
          <w:spacing w:val="-1"/>
        </w:rPr>
        <w:t>报告期收购了领凯网络科技</w:t>
      </w:r>
      <w:r>
        <w:rPr>
          <w:rFonts w:ascii="宋体" w:hAnsi="宋体" w:cs="宋体" w:eastAsia="宋体" w:hint="default"/>
          <w:spacing w:val="-1"/>
        </w:rPr>
        <w:t>70%</w:t>
      </w:r>
      <w:r>
        <w:rPr>
          <w:spacing w:val="-1"/>
        </w:rPr>
        <w:t>股权并完成了股权交割手续，领凯网络科技于</w:t>
      </w:r>
      <w:r>
        <w:rPr>
          <w:rFonts w:ascii="宋体" w:hAnsi="宋体" w:cs="宋体" w:eastAsia="宋体" w:hint="default"/>
          <w:spacing w:val="-1"/>
        </w:rPr>
        <w:t>2018</w:t>
      </w:r>
      <w:r>
        <w:rPr>
          <w:spacing w:val="-1"/>
        </w:rPr>
        <w:t>年</w:t>
      </w:r>
      <w:r>
        <w:rPr>
          <w:rFonts w:ascii="宋体" w:hAnsi="宋体" w:cs="宋体" w:eastAsia="宋体" w:hint="default"/>
          <w:spacing w:val="-1"/>
        </w:rPr>
        <w:t>10</w:t>
      </w:r>
      <w:r>
        <w:rPr>
          <w:spacing w:val="-1"/>
        </w:rPr>
        <w:t>月纳入公司合并报表范围。</w:t>
      </w:r>
      <w:r>
        <w:rPr>
          <w:rFonts w:ascii="宋体" w:hAnsi="宋体" w:cs="宋体" w:eastAsia="宋体" w:hint="default"/>
          <w:spacing w:val="-1"/>
        </w:rPr>
        <w:t>2018</w:t>
      </w:r>
      <w:r>
        <w:rPr>
          <w:rFonts w:ascii="宋体" w:hAnsi="宋体" w:cs="宋体" w:eastAsia="宋体" w:hint="default"/>
        </w:rPr>
        <w:t> </w:t>
      </w:r>
      <w:r>
        <w:rPr/>
        <w:t>年</w:t>
      </w:r>
      <w:r>
        <w:rPr>
          <w:rFonts w:ascii="宋体" w:hAnsi="宋体" w:cs="宋体" w:eastAsia="宋体" w:hint="default"/>
        </w:rPr>
        <w:t>10-12</w:t>
      </w:r>
      <w:r>
        <w:rPr/>
        <w:t>月，领凯网络科技实现净利润</w:t>
      </w:r>
      <w:r>
        <w:rPr>
          <w:rFonts w:ascii="宋体" w:hAnsi="宋体" w:cs="宋体" w:eastAsia="宋体" w:hint="default"/>
        </w:rPr>
        <w:t>779.08</w:t>
      </w:r>
      <w:r>
        <w:rPr/>
        <w:t>万元，实现归属于母公司的净利润</w:t>
      </w:r>
      <w:r>
        <w:rPr>
          <w:rFonts w:ascii="宋体" w:hAnsi="宋体" w:cs="宋体" w:eastAsia="宋体" w:hint="default"/>
        </w:rPr>
        <w:t>545.35</w:t>
      </w:r>
      <w:r>
        <w:rPr/>
        <w:t>万元。</w:t>
      </w:r>
    </w:p>
    <w:p>
      <w:pPr>
        <w:spacing w:line="240" w:lineRule="auto" w:before="10"/>
        <w:rPr>
          <w:rFonts w:ascii="宋体" w:hAnsi="宋体" w:cs="宋体" w:eastAsia="宋体" w:hint="default"/>
          <w:sz w:val="20"/>
          <w:szCs w:val="20"/>
        </w:rPr>
      </w:pPr>
    </w:p>
    <w:p>
      <w:pPr>
        <w:pStyle w:val="Heading2"/>
        <w:spacing w:line="240" w:lineRule="auto"/>
        <w:ind w:left="134" w:right="1132"/>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34" w:right="1132"/>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希格玛会计师事务所（特殊普通合伙）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王侠、杨树杰</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34" w:right="1132"/>
        <w:jc w:val="left"/>
      </w:pPr>
      <w:r>
        <w:rPr/>
        <w:t>当期是否改聘会计师事务所</w:t>
      </w:r>
    </w:p>
    <w:p>
      <w:pPr>
        <w:pStyle w:val="BodyText"/>
        <w:spacing w:line="340" w:lineRule="auto" w:before="116"/>
        <w:ind w:left="134"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left="13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left="134" w:right="1132"/>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3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0" w:footer="979" w:top="1500" w:bottom="1160" w:left="1000" w:right="0"/>
        </w:sectPr>
      </w:pPr>
    </w:p>
    <w:p>
      <w:pPr>
        <w:pStyle w:val="Heading2"/>
        <w:spacing w:line="240" w:lineRule="auto" w:before="14"/>
        <w:ind w:right="940"/>
        <w:jc w:val="left"/>
        <w:rPr>
          <w:b w:val="0"/>
          <w:bCs w:val="0"/>
        </w:rPr>
      </w:pPr>
      <w:r>
        <w:rPr/>
        <w:pict>
          <v:group style="position:absolute;margin-left:55.200001pt;margin-top:2.23563pt;width:485pt;height:.1pt;mso-position-horizontal-relative:page;mso-position-vertical-relative:paragraph;z-index:-800728" coordorigin="1104,45" coordsize="9700,2">
            <v:shape style="position:absolute;left:1104;top:45;width:9700;height:2" coordorigin="1104,45" coordsize="9700,0" path="m1104,45l10804,45e" filled="false" stroked="true" strokeweight=".72pt" strokecolor="#000000">
              <v:path arrowok="t"/>
            </v:shape>
            <w10:wrap type="none"/>
          </v:group>
        </w:pict>
      </w:r>
      <w:bookmarkStart w:name="十一、破产重整相关事项" w:id="76"/>
      <w:bookmarkEnd w:id="76"/>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5"/>
        <w:rPr>
          <w:rFonts w:ascii="宋体" w:hAnsi="宋体" w:cs="宋体" w:eastAsia="宋体" w:hint="default"/>
          <w:sz w:val="19"/>
          <w:szCs w:val="19"/>
        </w:rPr>
      </w:pPr>
    </w:p>
    <w:p>
      <w:pPr>
        <w:pStyle w:val="Heading2"/>
        <w:spacing w:line="240" w:lineRule="auto"/>
        <w:ind w:right="940"/>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940"/>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527"/>
        <w:gridCol w:w="120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4"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调查处罚类型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75"/>
              <w:jc w:val="left"/>
              <w:rPr>
                <w:rFonts w:ascii="宋体" w:hAnsi="宋体" w:cs="宋体" w:eastAsia="宋体" w:hint="default"/>
                <w:sz w:val="18"/>
                <w:szCs w:val="18"/>
              </w:rPr>
            </w:pPr>
            <w:r>
              <w:rPr>
                <w:rFonts w:ascii="宋体" w:hAnsi="宋体" w:cs="宋体" w:eastAsia="宋体" w:hint="default"/>
                <w:sz w:val="18"/>
                <w:szCs w:val="18"/>
              </w:rPr>
              <w:t>陕西永鑫纸业包 装有限公司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产生含挥发性有 机物废气的生产 和服务活动，未 在密闭设备或空 间进行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49"/>
              <w:jc w:val="center"/>
              <w:rPr>
                <w:rFonts w:ascii="宋体" w:hAnsi="宋体" w:cs="宋体" w:eastAsia="宋体" w:hint="default"/>
                <w:sz w:val="18"/>
                <w:szCs w:val="18"/>
              </w:rPr>
            </w:pPr>
            <w:r>
              <w:rPr>
                <w:rFonts w:ascii="宋体" w:hAnsi="宋体" w:cs="宋体" w:eastAsia="宋体" w:hint="default"/>
                <w:sz w:val="18"/>
                <w:szCs w:val="18"/>
              </w:rPr>
              <w:t>被有权机关调查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罚款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514" w:right="130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公司于</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1</w:t>
      </w:r>
      <w:r>
        <w:rPr/>
        <w:t>日召开的第四届董事会第十次会议及</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24</w:t>
      </w:r>
      <w:r>
        <w:rPr/>
        <w:t>日召开的</w:t>
      </w:r>
      <w:r>
        <w:rPr>
          <w:rFonts w:ascii="宋体" w:hAnsi="宋体" w:cs="宋体" w:eastAsia="宋体" w:hint="default"/>
        </w:rPr>
        <w:t>2018</w:t>
      </w:r>
      <w:r>
        <w:rPr/>
        <w:t>年第一次临时股东大会审议通过了</w:t>
      </w:r>
    </w:p>
    <w:p>
      <w:pPr>
        <w:pStyle w:val="BodyText"/>
        <w:spacing w:line="364" w:lineRule="auto" w:before="33"/>
        <w:ind w:right="1129"/>
        <w:jc w:val="both"/>
      </w:pPr>
      <w:r>
        <w:rPr>
          <w:spacing w:val="-2"/>
        </w:rPr>
        <w:t>《西安环球印务股份有限公司第一期员工持股计划（草案）》及摘要、《关于提请股东大会授权董事会办理公司员工持股计</w:t>
      </w:r>
      <w:r>
        <w:rPr>
          <w:spacing w:val="-65"/>
        </w:rPr>
        <w:t> </w:t>
      </w:r>
      <w:r>
        <w:rPr>
          <w:spacing w:val="-65"/>
        </w:rPr>
      </w:r>
      <w:r>
        <w:rPr>
          <w:spacing w:val="-2"/>
        </w:rPr>
        <w:t>划相关事宜的议案》和《西安环球印务股份有限公司第一期员工持股计划管理办法》，具体内容详见公司于</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3</w:t>
      </w:r>
      <w:r>
        <w:rPr>
          <w:spacing w:val="-2"/>
        </w:rPr>
        <w:t>日和</w:t>
      </w:r>
      <w:r>
        <w:rPr>
          <w:spacing w:val="-59"/>
        </w:rPr>
        <w:t> </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27</w:t>
      </w:r>
      <w:r>
        <w:rPr/>
        <w:t>日披露于《中国证券报》、《证券时报》和巨潮资讯网（</w:t>
      </w:r>
      <w:hyperlink r:id="rId11">
        <w:r>
          <w:rPr>
            <w:rFonts w:ascii="宋体" w:hAnsi="宋体" w:cs="宋体" w:eastAsia="宋体" w:hint="default"/>
          </w:rPr>
          <w:t>http://www.cninfo.com.cn</w:t>
        </w:r>
      </w:hyperlink>
      <w:r>
        <w:rPr/>
        <w:t>）上的相关公告。参与本 次员工持股计划的员工总人数为</w:t>
      </w:r>
      <w:r>
        <w:rPr>
          <w:rFonts w:ascii="宋体" w:hAnsi="宋体" w:cs="宋体" w:eastAsia="宋体" w:hint="default"/>
        </w:rPr>
        <w:t>91</w:t>
      </w:r>
      <w:r>
        <w:rPr/>
        <w:t>人，员工实际缴款金额为</w:t>
      </w:r>
      <w:r>
        <w:rPr>
          <w:rFonts w:ascii="宋体" w:hAnsi="宋体" w:cs="宋体" w:eastAsia="宋体" w:hint="default"/>
        </w:rPr>
        <w:t>1,750.00</w:t>
      </w:r>
      <w:r>
        <w:rPr/>
        <w:t>万元，截至</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31</w:t>
      </w:r>
      <w:r>
        <w:rPr/>
        <w:t>日公司第一期员工持股计划通 </w:t>
      </w:r>
      <w:r>
        <w:rPr>
          <w:spacing w:val="-2"/>
        </w:rPr>
        <w:t>过二级市场累计买入公司股票</w:t>
      </w:r>
      <w:r>
        <w:rPr>
          <w:rFonts w:ascii="宋体" w:hAnsi="宋体" w:cs="宋体" w:eastAsia="宋体" w:hint="default"/>
          <w:spacing w:val="-2"/>
        </w:rPr>
        <w:t>1,431,350</w:t>
      </w:r>
      <w:r>
        <w:rPr>
          <w:spacing w:val="-2"/>
        </w:rPr>
        <w:t>股，占公司总股本的</w:t>
      </w:r>
      <w:r>
        <w:rPr>
          <w:rFonts w:ascii="宋体" w:hAnsi="宋体" w:cs="宋体" w:eastAsia="宋体" w:hint="default"/>
          <w:spacing w:val="-2"/>
        </w:rPr>
        <w:t>0.95%</w:t>
      </w:r>
      <w:r>
        <w:rPr>
          <w:spacing w:val="-2"/>
        </w:rPr>
        <w:t>，至此公司本次员工持股计划已经完成股票购买。公司分</w:t>
      </w:r>
      <w:r>
        <w:rPr>
          <w:spacing w:val="-52"/>
        </w:rPr>
        <w:t> </w:t>
      </w:r>
      <w:r>
        <w:rPr>
          <w:spacing w:val="-52"/>
        </w:rPr>
      </w:r>
      <w:r>
        <w:rPr/>
        <w:t>别于</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27</w:t>
      </w:r>
      <w:r>
        <w:rPr/>
        <w:t>日、</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24</w:t>
      </w:r>
      <w:r>
        <w:rPr/>
        <w:t>日、</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27</w:t>
      </w:r>
      <w:r>
        <w:rPr/>
        <w:t>日、</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26</w:t>
      </w:r>
      <w:r>
        <w:rPr/>
        <w:t>日在指定信息披露媒体《中国证券报》、《证券时 </w:t>
      </w:r>
      <w:r>
        <w:rPr>
          <w:spacing w:val="-4"/>
        </w:rPr>
        <w:t>报》及巨潮资讯网（</w:t>
      </w:r>
      <w:hyperlink r:id="rId11">
        <w:r>
          <w:rPr>
            <w:rFonts w:ascii="宋体" w:hAnsi="宋体" w:cs="宋体" w:eastAsia="宋体" w:hint="default"/>
            <w:spacing w:val="-4"/>
          </w:rPr>
          <w:t>http://www.cninfo.com.cn</w:t>
        </w:r>
      </w:hyperlink>
      <w:r>
        <w:rPr>
          <w:spacing w:val="-4"/>
        </w:rPr>
        <w:t>）上披露了《关于第一期员工持股计划的进展公告》（公告编号：</w:t>
      </w:r>
      <w:r>
        <w:rPr>
          <w:rFonts w:ascii="宋体" w:hAnsi="宋体" w:cs="宋体" w:eastAsia="宋体" w:hint="default"/>
          <w:spacing w:val="-4"/>
        </w:rPr>
        <w:t>2018-064</w:t>
      </w:r>
      <w:r>
        <w:rPr>
          <w:spacing w:val="-4"/>
        </w:rPr>
        <w:t>、</w:t>
      </w:r>
      <w:r>
        <w:rPr>
          <w:spacing w:val="-70"/>
        </w:rPr>
        <w:t> </w:t>
      </w:r>
      <w:r>
        <w:rPr>
          <w:rFonts w:ascii="宋体" w:hAnsi="宋体" w:cs="宋体" w:eastAsia="宋体" w:hint="default"/>
        </w:rPr>
        <w:t>2018-071</w:t>
      </w:r>
      <w:r>
        <w:rPr/>
        <w:t>、</w:t>
      </w:r>
      <w:r>
        <w:rPr>
          <w:rFonts w:ascii="宋体" w:hAnsi="宋体" w:cs="宋体" w:eastAsia="宋体" w:hint="default"/>
        </w:rPr>
        <w:t>2018-073</w:t>
      </w:r>
      <w:r>
        <w:rPr/>
        <w:t>、</w:t>
      </w:r>
      <w:r>
        <w:rPr>
          <w:rFonts w:ascii="宋体" w:hAnsi="宋体" w:cs="宋体" w:eastAsia="宋体" w:hint="default"/>
        </w:rPr>
        <w:t>2018-074</w:t>
      </w:r>
      <w:r>
        <w:rPr/>
        <w:t>；公司于</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1</w:t>
      </w:r>
      <w:r>
        <w:rPr/>
        <w:t>日在指定信息披露媒体《中国证券报》、《证券时报》及巨潮资讯网</w:t>
      </w:r>
    </w:p>
    <w:p>
      <w:pPr>
        <w:pStyle w:val="BodyText"/>
        <w:spacing w:line="240" w:lineRule="auto" w:before="29"/>
        <w:ind w:right="0"/>
        <w:jc w:val="both"/>
      </w:pPr>
      <w:r>
        <w:rPr/>
        <w:t>（</w:t>
      </w:r>
      <w:hyperlink r:id="rId11">
        <w:r>
          <w:rPr>
            <w:rFonts w:ascii="宋体" w:hAnsi="宋体" w:cs="宋体" w:eastAsia="宋体" w:hint="default"/>
          </w:rPr>
          <w:t>http://www.cninfo.com.cn</w:t>
        </w:r>
      </w:hyperlink>
      <w:r>
        <w:rPr/>
        <w:t>）上披露了《关于第一期员工持股计划完成股票购买的公告》（公告编号：</w:t>
      </w:r>
      <w:r>
        <w:rPr>
          <w:rFonts w:ascii="宋体" w:hAnsi="宋体" w:cs="宋体" w:eastAsia="宋体" w:hint="default"/>
        </w:rPr>
        <w:t>2019-007</w:t>
      </w:r>
      <w:r>
        <w:rPr/>
        <w:t>）。</w:t>
      </w:r>
    </w:p>
    <w:p>
      <w:pPr>
        <w:spacing w:after="0" w:line="240" w:lineRule="auto"/>
        <w:jc w:val="both"/>
        <w:sectPr>
          <w:pgSz w:w="11910" w:h="16840"/>
          <w:pgMar w:header="0" w:footer="979" w:top="1500" w:bottom="1160" w:left="980" w:right="0"/>
        </w:sectPr>
      </w:pPr>
    </w:p>
    <w:p>
      <w:pPr>
        <w:pStyle w:val="Heading2"/>
        <w:spacing w:line="240" w:lineRule="auto" w:before="15"/>
        <w:ind w:left="474" w:right="6432"/>
        <w:jc w:val="left"/>
        <w:rPr>
          <w:b w:val="0"/>
          <w:bCs w:val="0"/>
        </w:rPr>
      </w:pPr>
      <w:r>
        <w:rPr/>
        <w:pict>
          <v:group style="position:absolute;margin-left:55.200001pt;margin-top:2.225632pt;width:485pt;height:.1pt;mso-position-horizontal-relative:page;mso-position-vertical-relative:paragraph;z-index:-800704" coordorigin="1104,45" coordsize="9700,2">
            <v:shape style="position:absolute;left:1104;top:45;width:9700;height:2" coordorigin="1104,45" coordsize="9700,0" path="m1104,45l10804,45e" filled="false" stroked="true" strokeweight=".72pt" strokecolor="#000000">
              <v:path arrowok="t"/>
            </v:shape>
            <w10:wrap type="none"/>
          </v:group>
        </w:pict>
      </w:r>
      <w:bookmarkStart w:name="十六、重大关联交易" w:id="81"/>
      <w:bookmarkEnd w:id="81"/>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474" w:right="6432"/>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74"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800"/>
        <w:gridCol w:w="677"/>
        <w:gridCol w:w="677"/>
        <w:gridCol w:w="706"/>
        <w:gridCol w:w="679"/>
        <w:gridCol w:w="675"/>
        <w:gridCol w:w="749"/>
        <w:gridCol w:w="599"/>
        <w:gridCol w:w="818"/>
        <w:gridCol w:w="530"/>
        <w:gridCol w:w="674"/>
        <w:gridCol w:w="674"/>
        <w:gridCol w:w="670"/>
        <w:gridCol w:w="1422"/>
      </w:tblGrid>
      <w:tr>
        <w:trPr>
          <w:trHeight w:val="133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5"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8" w:right="98"/>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auto" w:before="20"/>
              <w:ind w:left="22" w:right="-4"/>
              <w:jc w:val="left"/>
              <w:rPr>
                <w:rFonts w:ascii="宋体" w:hAnsi="宋体" w:cs="宋体" w:eastAsia="宋体" w:hint="default"/>
                <w:sz w:val="18"/>
                <w:szCs w:val="18"/>
              </w:rPr>
            </w:pPr>
            <w:r>
              <w:rPr>
                <w:rFonts w:ascii="宋体" w:hAnsi="宋体" w:cs="宋体" w:eastAsia="宋体" w:hint="default"/>
                <w:sz w:val="18"/>
                <w:szCs w:val="18"/>
              </w:rPr>
              <w:t>（万元）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23"/>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34" w:right="42" w:hanging="90"/>
              <w:jc w:val="left"/>
              <w:rPr>
                <w:rFonts w:ascii="宋体" w:hAnsi="宋体" w:cs="宋体" w:eastAsia="宋体" w:hint="default"/>
                <w:sz w:val="18"/>
                <w:szCs w:val="18"/>
              </w:rPr>
            </w:pPr>
            <w:r>
              <w:rPr>
                <w:rFonts w:ascii="宋体" w:hAnsi="宋体" w:cs="宋体" w:eastAsia="宋体" w:hint="default"/>
                <w:sz w:val="18"/>
                <w:szCs w:val="18"/>
              </w:rPr>
              <w:t>获批的交 易额度</w:t>
            </w:r>
          </w:p>
          <w:p>
            <w:pPr>
              <w:pStyle w:val="TableParagraph"/>
              <w:spacing w:line="240" w:lineRule="auto" w:before="20"/>
              <w:ind w:left="4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9" w:right="79"/>
              <w:jc w:val="both"/>
              <w:rPr>
                <w:rFonts w:ascii="宋体" w:hAnsi="宋体" w:cs="宋体" w:eastAsia="宋体" w:hint="default"/>
                <w:sz w:val="18"/>
                <w:szCs w:val="18"/>
              </w:rPr>
            </w:pPr>
            <w:r>
              <w:rPr>
                <w:rFonts w:ascii="宋体" w:hAnsi="宋体" w:cs="宋体" w:eastAsia="宋体" w:hint="default"/>
                <w:sz w:val="18"/>
                <w:szCs w:val="18"/>
              </w:rPr>
              <w:t>是否 超过 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2"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1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47"/>
              <w:jc w:val="both"/>
              <w:rPr>
                <w:rFonts w:ascii="宋体" w:hAnsi="宋体" w:cs="宋体" w:eastAsia="宋体" w:hint="default"/>
                <w:sz w:val="18"/>
                <w:szCs w:val="18"/>
              </w:rPr>
            </w:pPr>
            <w:r>
              <w:rPr>
                <w:rFonts w:ascii="宋体" w:hAnsi="宋体" w:cs="宋体" w:eastAsia="宋体" w:hint="default"/>
                <w:sz w:val="18"/>
                <w:szCs w:val="18"/>
              </w:rPr>
              <w:t>西安杨森 制药有限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受控股 股东重 大影响</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销售货 物</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销售医 药折叠 纸盒及 瓦楞纸 箱</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3" w:right="99"/>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2,373.21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22"/>
              <w:jc w:val="left"/>
              <w:rPr>
                <w:rFonts w:ascii="宋体" w:hAnsi="宋体" w:cs="宋体" w:eastAsia="宋体" w:hint="default"/>
                <w:sz w:val="18"/>
                <w:szCs w:val="18"/>
              </w:rPr>
            </w:pPr>
            <w:r>
              <w:rPr>
                <w:rFonts w:ascii="宋体" w:hAnsi="宋体" w:cs="宋体" w:eastAsia="宋体" w:hint="default"/>
                <w:sz w:val="18"/>
                <w:szCs w:val="18"/>
              </w:rPr>
              <w:t>《西安环球印务 股份有限公司关 于预计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 </w:t>
            </w:r>
            <w:r>
              <w:rPr>
                <w:rFonts w:ascii="宋体" w:hAnsi="宋体" w:cs="宋体" w:eastAsia="宋体" w:hint="default"/>
                <w:sz w:val="18"/>
                <w:szCs w:val="18"/>
              </w:rPr>
              <w:t>日常关联交易额</w:t>
            </w:r>
            <w:r>
              <w:rPr>
                <w:rFonts w:ascii="宋体" w:hAnsi="宋体" w:cs="宋体" w:eastAsia="宋体" w:hint="default"/>
                <w:sz w:val="18"/>
                <w:szCs w:val="18"/>
              </w:rPr>
              <w:t> </w:t>
            </w:r>
            <w:r>
              <w:rPr>
                <w:rFonts w:ascii="宋体" w:hAnsi="宋体" w:cs="宋体" w:eastAsia="宋体" w:hint="default"/>
                <w:spacing w:val="-12"/>
                <w:sz w:val="18"/>
                <w:szCs w:val="18"/>
              </w:rPr>
              <w:t>度的公告》（公告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2018-018</w:t>
            </w:r>
            <w:r>
              <w:rPr>
                <w:rFonts w:ascii="宋体" w:hAnsi="宋体" w:cs="宋体" w:eastAsia="宋体" w:hint="default"/>
                <w:sz w:val="18"/>
                <w:szCs w:val="18"/>
              </w:rPr>
              <w:t>）</w:t>
            </w:r>
          </w:p>
        </w:tc>
      </w:tr>
      <w:tr>
        <w:trPr>
          <w:trHeight w:val="196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47"/>
              <w:jc w:val="both"/>
              <w:rPr>
                <w:rFonts w:ascii="宋体" w:hAnsi="宋体" w:cs="宋体" w:eastAsia="宋体" w:hint="default"/>
                <w:sz w:val="18"/>
                <w:szCs w:val="18"/>
              </w:rPr>
            </w:pPr>
            <w:r>
              <w:rPr>
                <w:rFonts w:ascii="宋体" w:hAnsi="宋体" w:cs="宋体" w:eastAsia="宋体" w:hint="default"/>
                <w:sz w:val="18"/>
                <w:szCs w:val="18"/>
              </w:rPr>
              <w:t>西安海欣 制药有限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受控股 股东重 大影响</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销售货 物</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销售医 药折叠 纸盒及 瓦楞纸 箱</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04"/>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99"/>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82.22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0.17%</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《西安环球印务 股份有限公司关 于预计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 </w:t>
            </w:r>
            <w:r>
              <w:rPr>
                <w:rFonts w:ascii="宋体" w:hAnsi="宋体" w:cs="宋体" w:eastAsia="宋体" w:hint="default"/>
                <w:sz w:val="18"/>
                <w:szCs w:val="18"/>
              </w:rPr>
              <w:t>日常关联交易额</w:t>
            </w:r>
            <w:r>
              <w:rPr>
                <w:rFonts w:ascii="宋体" w:hAnsi="宋体" w:cs="宋体" w:eastAsia="宋体" w:hint="default"/>
                <w:sz w:val="18"/>
                <w:szCs w:val="18"/>
              </w:rPr>
              <w:t> </w:t>
            </w:r>
            <w:r>
              <w:rPr>
                <w:rFonts w:ascii="宋体" w:hAnsi="宋体" w:cs="宋体" w:eastAsia="宋体" w:hint="default"/>
                <w:spacing w:val="-12"/>
                <w:sz w:val="18"/>
                <w:szCs w:val="18"/>
              </w:rPr>
              <w:t>度的公告》（公告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2018-018</w:t>
            </w:r>
            <w:r>
              <w:rPr>
                <w:rFonts w:ascii="宋体" w:hAnsi="宋体" w:cs="宋体" w:eastAsia="宋体" w:hint="default"/>
                <w:sz w:val="18"/>
                <w:szCs w:val="18"/>
              </w:rPr>
              <w:t>）</w:t>
            </w:r>
          </w:p>
        </w:tc>
      </w:tr>
      <w:tr>
        <w:trPr>
          <w:trHeight w:val="196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7"/>
              <w:jc w:val="both"/>
              <w:rPr>
                <w:rFonts w:ascii="宋体" w:hAnsi="宋体" w:cs="宋体" w:eastAsia="宋体" w:hint="default"/>
                <w:sz w:val="18"/>
                <w:szCs w:val="18"/>
              </w:rPr>
            </w:pPr>
            <w:r>
              <w:rPr>
                <w:rFonts w:ascii="宋体" w:hAnsi="宋体" w:cs="宋体" w:eastAsia="宋体" w:hint="default"/>
                <w:sz w:val="18"/>
                <w:szCs w:val="18"/>
              </w:rPr>
              <w:t>陕西医药 控股集团 天宁制药 有限责任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同受控 股股东 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销售货 物</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销售瓦 楞纸箱</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04"/>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99"/>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《西安环球印务 股份有限公司关 于预计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 </w:t>
            </w:r>
            <w:r>
              <w:rPr>
                <w:rFonts w:ascii="宋体" w:hAnsi="宋体" w:cs="宋体" w:eastAsia="宋体" w:hint="default"/>
                <w:sz w:val="18"/>
                <w:szCs w:val="18"/>
              </w:rPr>
              <w:t>日常关联交易额</w:t>
            </w:r>
            <w:r>
              <w:rPr>
                <w:rFonts w:ascii="宋体" w:hAnsi="宋体" w:cs="宋体" w:eastAsia="宋体" w:hint="default"/>
                <w:sz w:val="18"/>
                <w:szCs w:val="18"/>
              </w:rPr>
              <w:t> </w:t>
            </w:r>
            <w:r>
              <w:rPr>
                <w:rFonts w:ascii="宋体" w:hAnsi="宋体" w:cs="宋体" w:eastAsia="宋体" w:hint="default"/>
                <w:spacing w:val="-12"/>
                <w:sz w:val="18"/>
                <w:szCs w:val="18"/>
              </w:rPr>
              <w:t>度的公告》（公告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2018-018</w:t>
            </w:r>
            <w:r>
              <w:rPr>
                <w:rFonts w:ascii="宋体" w:hAnsi="宋体" w:cs="宋体" w:eastAsia="宋体" w:hint="default"/>
                <w:sz w:val="18"/>
                <w:szCs w:val="18"/>
              </w:rPr>
              <w:t>）</w:t>
            </w:r>
          </w:p>
        </w:tc>
      </w:tr>
      <w:tr>
        <w:trPr>
          <w:trHeight w:val="196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7"/>
              <w:jc w:val="both"/>
              <w:rPr>
                <w:rFonts w:ascii="宋体" w:hAnsi="宋体" w:cs="宋体" w:eastAsia="宋体" w:hint="default"/>
                <w:sz w:val="18"/>
                <w:szCs w:val="18"/>
              </w:rPr>
            </w:pPr>
            <w:r>
              <w:rPr>
                <w:rFonts w:ascii="宋体" w:hAnsi="宋体" w:cs="宋体" w:eastAsia="宋体" w:hint="default"/>
                <w:sz w:val="18"/>
                <w:szCs w:val="18"/>
              </w:rPr>
              <w:t>陕西医药 控股集团 实业开发 有限责任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同受控 股股东 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销售货 物</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销售酒 类食品 彩盒</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04"/>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99"/>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《西安环球印务 股份有限公司关 于预计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 </w:t>
            </w:r>
            <w:r>
              <w:rPr>
                <w:rFonts w:ascii="宋体" w:hAnsi="宋体" w:cs="宋体" w:eastAsia="宋体" w:hint="default"/>
                <w:sz w:val="18"/>
                <w:szCs w:val="18"/>
              </w:rPr>
              <w:t>日常关联交易额</w:t>
            </w:r>
            <w:r>
              <w:rPr>
                <w:rFonts w:ascii="宋体" w:hAnsi="宋体" w:cs="宋体" w:eastAsia="宋体" w:hint="default"/>
                <w:sz w:val="18"/>
                <w:szCs w:val="18"/>
              </w:rPr>
              <w:t> </w:t>
            </w:r>
            <w:r>
              <w:rPr>
                <w:rFonts w:ascii="宋体" w:hAnsi="宋体" w:cs="宋体" w:eastAsia="宋体" w:hint="default"/>
                <w:spacing w:val="-12"/>
                <w:sz w:val="18"/>
                <w:szCs w:val="18"/>
              </w:rPr>
              <w:t>度的公告》（公告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2018-018</w:t>
            </w:r>
            <w:r>
              <w:rPr>
                <w:rFonts w:ascii="宋体" w:hAnsi="宋体" w:cs="宋体" w:eastAsia="宋体" w:hint="default"/>
                <w:sz w:val="18"/>
                <w:szCs w:val="18"/>
              </w:rPr>
              <w:t>）</w:t>
            </w:r>
          </w:p>
        </w:tc>
      </w:tr>
      <w:tr>
        <w:trPr>
          <w:trHeight w:val="196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7"/>
              <w:jc w:val="both"/>
              <w:rPr>
                <w:rFonts w:ascii="宋体" w:hAnsi="宋体" w:cs="宋体" w:eastAsia="宋体" w:hint="default"/>
                <w:sz w:val="18"/>
                <w:szCs w:val="18"/>
              </w:rPr>
            </w:pPr>
            <w:r>
              <w:rPr>
                <w:rFonts w:ascii="宋体" w:hAnsi="宋体" w:cs="宋体" w:eastAsia="宋体" w:hint="default"/>
                <w:sz w:val="18"/>
                <w:szCs w:val="18"/>
              </w:rPr>
              <w:t>陕西医药 控股集团 派昂医药 有限责任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同受控 股股东 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销售货 物</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销售瓦 楞纸箱</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04"/>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99"/>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《西安环球印务 股份有限公司关 于预计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 </w:t>
            </w:r>
            <w:r>
              <w:rPr>
                <w:rFonts w:ascii="宋体" w:hAnsi="宋体" w:cs="宋体" w:eastAsia="宋体" w:hint="default"/>
                <w:sz w:val="18"/>
                <w:szCs w:val="18"/>
              </w:rPr>
              <w:t>日常关联交易额</w:t>
            </w:r>
            <w:r>
              <w:rPr>
                <w:rFonts w:ascii="宋体" w:hAnsi="宋体" w:cs="宋体" w:eastAsia="宋体" w:hint="default"/>
                <w:sz w:val="18"/>
                <w:szCs w:val="18"/>
              </w:rPr>
              <w:t> </w:t>
            </w:r>
            <w:r>
              <w:rPr>
                <w:rFonts w:ascii="宋体" w:hAnsi="宋体" w:cs="宋体" w:eastAsia="宋体" w:hint="default"/>
                <w:spacing w:val="-12"/>
                <w:sz w:val="18"/>
                <w:szCs w:val="18"/>
              </w:rPr>
              <w:t>度的公告》（公告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2018-018</w:t>
            </w:r>
            <w:r>
              <w:rPr>
                <w:rFonts w:ascii="宋体" w:hAnsi="宋体" w:cs="宋体" w:eastAsia="宋体" w:hint="default"/>
                <w:sz w:val="18"/>
                <w:szCs w:val="18"/>
              </w:rPr>
              <w:t>）</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7"/>
              <w:jc w:val="both"/>
              <w:rPr>
                <w:rFonts w:ascii="宋体" w:hAnsi="宋体" w:cs="宋体" w:eastAsia="宋体" w:hint="default"/>
                <w:sz w:val="18"/>
                <w:szCs w:val="18"/>
              </w:rPr>
            </w:pPr>
            <w:r>
              <w:rPr>
                <w:rFonts w:ascii="宋体" w:hAnsi="宋体" w:cs="宋体" w:eastAsia="宋体" w:hint="default"/>
                <w:sz w:val="18"/>
                <w:szCs w:val="18"/>
              </w:rPr>
              <w:t>陕西医药 控股集团 实业开发</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同受控 股股东 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购买商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31"/>
              <w:jc w:val="both"/>
              <w:rPr>
                <w:rFonts w:ascii="宋体" w:hAnsi="宋体" w:cs="宋体" w:eastAsia="宋体" w:hint="default"/>
                <w:sz w:val="18"/>
                <w:szCs w:val="18"/>
              </w:rPr>
            </w:pPr>
            <w:r>
              <w:rPr>
                <w:rFonts w:ascii="宋体" w:hAnsi="宋体" w:cs="宋体" w:eastAsia="宋体" w:hint="default"/>
                <w:sz w:val="18"/>
                <w:szCs w:val="18"/>
              </w:rPr>
              <w:t>购买生 产用水 和供暖</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9"/>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88.11</w:t>
            </w:r>
          </w:p>
        </w:tc>
        <w:tc>
          <w:tcPr>
            <w:tcW w:w="59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35"/>
              <w:jc w:val="both"/>
              <w:rPr>
                <w:rFonts w:ascii="宋体" w:hAnsi="宋体" w:cs="宋体" w:eastAsia="宋体" w:hint="default"/>
                <w:sz w:val="18"/>
                <w:szCs w:val="18"/>
              </w:rPr>
            </w:pPr>
            <w:r>
              <w:rPr>
                <w:rFonts w:ascii="宋体" w:hAnsi="宋体" w:cs="宋体" w:eastAsia="宋体" w:hint="default"/>
                <w:sz w:val="18"/>
                <w:szCs w:val="18"/>
              </w:rPr>
              <w:t>《西安环球印务 股份有限公司关 于预计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bl>
    <w:p>
      <w:pPr>
        <w:spacing w:after="0" w:line="316" w:lineRule="auto"/>
        <w:jc w:val="both"/>
        <w:rPr>
          <w:rFonts w:ascii="宋体" w:hAnsi="宋体" w:cs="宋体" w:eastAsia="宋体" w:hint="default"/>
          <w:sz w:val="18"/>
          <w:szCs w:val="18"/>
        </w:rPr>
        <w:sectPr>
          <w:pgSz w:w="11910" w:h="16840"/>
          <w:pgMar w:header="0" w:footer="979" w:top="1500" w:bottom="1160" w:left="660" w:right="0"/>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800"/>
        <w:gridCol w:w="677"/>
        <w:gridCol w:w="677"/>
        <w:gridCol w:w="706"/>
        <w:gridCol w:w="679"/>
        <w:gridCol w:w="675"/>
        <w:gridCol w:w="749"/>
        <w:gridCol w:w="599"/>
        <w:gridCol w:w="818"/>
        <w:gridCol w:w="530"/>
        <w:gridCol w:w="674"/>
        <w:gridCol w:w="674"/>
        <w:gridCol w:w="670"/>
        <w:gridCol w:w="1422"/>
      </w:tblGrid>
      <w:tr>
        <w:trPr>
          <w:trHeight w:val="997" w:hRule="exact"/>
        </w:trPr>
        <w:tc>
          <w:tcPr>
            <w:tcW w:w="800" w:type="dxa"/>
            <w:tcBorders>
              <w:top w:val="single" w:sz="10" w:space="0" w:color="000000"/>
              <w:left w:val="single" w:sz="4" w:space="0" w:color="000000"/>
              <w:bottom w:val="single" w:sz="4" w:space="0" w:color="000000"/>
              <w:right w:val="single" w:sz="4" w:space="0" w:color="000000"/>
            </w:tcBorders>
          </w:tcPr>
          <w:p>
            <w:pPr>
              <w:pStyle w:val="TableParagraph"/>
              <w:spacing w:line="319" w:lineRule="auto" w:before="15"/>
              <w:ind w:left="22" w:right="47"/>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677" w:type="dxa"/>
            <w:tcBorders>
              <w:top w:val="single" w:sz="10" w:space="0" w:color="000000"/>
              <w:left w:val="single" w:sz="4" w:space="0" w:color="000000"/>
              <w:bottom w:val="single" w:sz="4" w:space="0" w:color="000000"/>
              <w:right w:val="single" w:sz="4" w:space="0" w:color="000000"/>
            </w:tcBorders>
          </w:tcPr>
          <w:p>
            <w:pPr/>
          </w:p>
        </w:tc>
        <w:tc>
          <w:tcPr>
            <w:tcW w:w="677" w:type="dxa"/>
            <w:tcBorders>
              <w:top w:val="single" w:sz="10" w:space="0" w:color="000000"/>
              <w:left w:val="single" w:sz="4" w:space="0" w:color="000000"/>
              <w:bottom w:val="single" w:sz="4" w:space="0" w:color="000000"/>
              <w:right w:val="single" w:sz="4" w:space="0" w:color="000000"/>
            </w:tcBorders>
          </w:tcPr>
          <w:p>
            <w:pPr/>
          </w:p>
        </w:tc>
        <w:tc>
          <w:tcPr>
            <w:tcW w:w="706" w:type="dxa"/>
            <w:tcBorders>
              <w:top w:val="single" w:sz="10" w:space="0" w:color="000000"/>
              <w:left w:val="single" w:sz="4" w:space="0" w:color="000000"/>
              <w:bottom w:val="single" w:sz="4" w:space="0" w:color="000000"/>
              <w:right w:val="single" w:sz="4" w:space="0" w:color="000000"/>
            </w:tcBorders>
          </w:tcPr>
          <w:p>
            <w:pPr>
              <w:pStyle w:val="TableParagraph"/>
              <w:spacing w:line="319" w:lineRule="auto" w:before="15"/>
              <w:ind w:left="22" w:right="131"/>
              <w:jc w:val="both"/>
              <w:rPr>
                <w:rFonts w:ascii="宋体" w:hAnsi="宋体" w:cs="宋体" w:eastAsia="宋体" w:hint="default"/>
                <w:sz w:val="18"/>
                <w:szCs w:val="18"/>
              </w:rPr>
            </w:pPr>
            <w:r>
              <w:rPr>
                <w:rFonts w:ascii="宋体" w:hAnsi="宋体" w:cs="宋体" w:eastAsia="宋体" w:hint="default"/>
                <w:sz w:val="18"/>
                <w:szCs w:val="18"/>
              </w:rPr>
              <w:t>用蒸汽 及其他 服务</w:t>
            </w:r>
          </w:p>
        </w:tc>
        <w:tc>
          <w:tcPr>
            <w:tcW w:w="679" w:type="dxa"/>
            <w:tcBorders>
              <w:top w:val="single" w:sz="10" w:space="0" w:color="000000"/>
              <w:left w:val="single" w:sz="4" w:space="0" w:color="000000"/>
              <w:bottom w:val="single" w:sz="4" w:space="0" w:color="000000"/>
              <w:right w:val="single" w:sz="4" w:space="0" w:color="000000"/>
            </w:tcBorders>
          </w:tcPr>
          <w:p>
            <w:pPr/>
          </w:p>
        </w:tc>
        <w:tc>
          <w:tcPr>
            <w:tcW w:w="675" w:type="dxa"/>
            <w:tcBorders>
              <w:top w:val="single" w:sz="10" w:space="0" w:color="000000"/>
              <w:left w:val="single" w:sz="4" w:space="0" w:color="000000"/>
              <w:bottom w:val="single" w:sz="4" w:space="0" w:color="000000"/>
              <w:right w:val="single" w:sz="4" w:space="0" w:color="000000"/>
            </w:tcBorders>
          </w:tcPr>
          <w:p>
            <w:pPr/>
          </w:p>
        </w:tc>
        <w:tc>
          <w:tcPr>
            <w:tcW w:w="749" w:type="dxa"/>
            <w:tcBorders>
              <w:top w:val="single" w:sz="10" w:space="0" w:color="000000"/>
              <w:left w:val="single" w:sz="4" w:space="0" w:color="000000"/>
              <w:bottom w:val="single" w:sz="4" w:space="0" w:color="000000"/>
              <w:right w:val="single" w:sz="4" w:space="0" w:color="000000"/>
            </w:tcBorders>
          </w:tcPr>
          <w:p>
            <w:pPr/>
          </w:p>
        </w:tc>
        <w:tc>
          <w:tcPr>
            <w:tcW w:w="599" w:type="dxa"/>
            <w:tcBorders>
              <w:top w:val="single" w:sz="10" w:space="0" w:color="000000"/>
              <w:left w:val="single" w:sz="4" w:space="0" w:color="000000"/>
              <w:bottom w:val="single" w:sz="4" w:space="0" w:color="000000"/>
              <w:right w:val="single" w:sz="4" w:space="0" w:color="000000"/>
            </w:tcBorders>
          </w:tcPr>
          <w:p>
            <w:pPr/>
          </w:p>
        </w:tc>
        <w:tc>
          <w:tcPr>
            <w:tcW w:w="818" w:type="dxa"/>
            <w:tcBorders>
              <w:top w:val="single" w:sz="10" w:space="0" w:color="000000"/>
              <w:left w:val="single" w:sz="4" w:space="0" w:color="000000"/>
              <w:bottom w:val="single" w:sz="4" w:space="0" w:color="000000"/>
              <w:right w:val="single" w:sz="4" w:space="0" w:color="000000"/>
            </w:tcBorders>
          </w:tcPr>
          <w:p>
            <w:pPr/>
          </w:p>
        </w:tc>
        <w:tc>
          <w:tcPr>
            <w:tcW w:w="530" w:type="dxa"/>
            <w:tcBorders>
              <w:top w:val="single" w:sz="10" w:space="0" w:color="000000"/>
              <w:left w:val="single" w:sz="4" w:space="0" w:color="000000"/>
              <w:bottom w:val="single" w:sz="4" w:space="0" w:color="000000"/>
              <w:right w:val="single" w:sz="4" w:space="0" w:color="000000"/>
            </w:tcBorders>
          </w:tcPr>
          <w:p>
            <w:pPr/>
          </w:p>
        </w:tc>
        <w:tc>
          <w:tcPr>
            <w:tcW w:w="674" w:type="dxa"/>
            <w:tcBorders>
              <w:top w:val="single" w:sz="10" w:space="0" w:color="000000"/>
              <w:left w:val="single" w:sz="4" w:space="0" w:color="000000"/>
              <w:bottom w:val="single" w:sz="4" w:space="0" w:color="000000"/>
              <w:right w:val="single" w:sz="4" w:space="0" w:color="000000"/>
            </w:tcBorders>
          </w:tcPr>
          <w:p>
            <w:pPr/>
          </w:p>
        </w:tc>
        <w:tc>
          <w:tcPr>
            <w:tcW w:w="674" w:type="dxa"/>
            <w:tcBorders>
              <w:top w:val="single" w:sz="10" w:space="0" w:color="000000"/>
              <w:left w:val="single" w:sz="4" w:space="0" w:color="000000"/>
              <w:bottom w:val="single" w:sz="4" w:space="0" w:color="000000"/>
              <w:right w:val="single" w:sz="4" w:space="0" w:color="000000"/>
            </w:tcBorders>
          </w:tcPr>
          <w:p>
            <w:pPr/>
          </w:p>
        </w:tc>
        <w:tc>
          <w:tcPr>
            <w:tcW w:w="670" w:type="dxa"/>
            <w:tcBorders>
              <w:top w:val="single" w:sz="10" w:space="0" w:color="000000"/>
              <w:left w:val="single" w:sz="4" w:space="0" w:color="000000"/>
              <w:bottom w:val="single" w:sz="4" w:space="0" w:color="000000"/>
              <w:right w:val="single" w:sz="4" w:space="0" w:color="000000"/>
            </w:tcBorders>
          </w:tcPr>
          <w:p>
            <w:pPr/>
          </w:p>
        </w:tc>
        <w:tc>
          <w:tcPr>
            <w:tcW w:w="1422" w:type="dxa"/>
            <w:tcBorders>
              <w:top w:val="single" w:sz="10" w:space="0" w:color="000000"/>
              <w:left w:val="single" w:sz="4" w:space="0" w:color="000000"/>
              <w:bottom w:val="single" w:sz="4" w:space="0" w:color="000000"/>
              <w:right w:val="single" w:sz="4" w:space="0" w:color="000000"/>
            </w:tcBorders>
          </w:tcPr>
          <w:p>
            <w:pPr>
              <w:pStyle w:val="TableParagraph"/>
              <w:spacing w:line="319" w:lineRule="auto" w:before="15"/>
              <w:ind w:left="23" w:right="-22"/>
              <w:jc w:val="left"/>
              <w:rPr>
                <w:rFonts w:ascii="宋体" w:hAnsi="宋体" w:cs="宋体" w:eastAsia="宋体" w:hint="default"/>
                <w:sz w:val="18"/>
                <w:szCs w:val="18"/>
              </w:rPr>
            </w:pPr>
            <w:r>
              <w:rPr>
                <w:rFonts w:ascii="宋体" w:hAnsi="宋体" w:cs="宋体" w:eastAsia="宋体" w:hint="default"/>
                <w:sz w:val="18"/>
                <w:szCs w:val="18"/>
              </w:rPr>
              <w:t>日常关联交易额 </w:t>
            </w:r>
            <w:r>
              <w:rPr>
                <w:rFonts w:ascii="宋体" w:hAnsi="宋体" w:cs="宋体" w:eastAsia="宋体" w:hint="default"/>
                <w:spacing w:val="-12"/>
                <w:sz w:val="18"/>
                <w:szCs w:val="18"/>
              </w:rPr>
              <w:t>度的公告》（公告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2018-018</w:t>
            </w:r>
            <w:r>
              <w:rPr>
                <w:rFonts w:ascii="宋体" w:hAnsi="宋体" w:cs="宋体" w:eastAsia="宋体" w:hint="default"/>
                <w:sz w:val="18"/>
                <w:szCs w:val="18"/>
              </w:rPr>
              <w:t>）</w:t>
            </w:r>
          </w:p>
        </w:tc>
      </w:tr>
      <w:tr>
        <w:trPr>
          <w:trHeight w:val="196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47"/>
              <w:jc w:val="both"/>
              <w:rPr>
                <w:rFonts w:ascii="宋体" w:hAnsi="宋体" w:cs="宋体" w:eastAsia="宋体" w:hint="default"/>
                <w:sz w:val="18"/>
                <w:szCs w:val="18"/>
              </w:rPr>
            </w:pPr>
            <w:r>
              <w:rPr>
                <w:rFonts w:ascii="宋体" w:hAnsi="宋体" w:cs="宋体" w:eastAsia="宋体" w:hint="default"/>
                <w:sz w:val="18"/>
                <w:szCs w:val="18"/>
              </w:rPr>
              <w:t>西安海欣 制药有限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受控股 股东重 大影响</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接受劳 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接受关 联人提 供仓储 管理</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3" w:right="99"/>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42.48</w:t>
            </w:r>
          </w:p>
        </w:tc>
        <w:tc>
          <w:tcPr>
            <w:tcW w:w="599"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79"/>
              <w:jc w:val="righ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7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22"/>
              <w:jc w:val="left"/>
              <w:rPr>
                <w:rFonts w:ascii="宋体" w:hAnsi="宋体" w:cs="宋体" w:eastAsia="宋体" w:hint="default"/>
                <w:sz w:val="18"/>
                <w:szCs w:val="18"/>
              </w:rPr>
            </w:pPr>
            <w:r>
              <w:rPr>
                <w:rFonts w:ascii="宋体" w:hAnsi="宋体" w:cs="宋体" w:eastAsia="宋体" w:hint="default"/>
                <w:sz w:val="18"/>
                <w:szCs w:val="18"/>
              </w:rPr>
              <w:t>《西安环球印务 股份有限公司关 于预计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 </w:t>
            </w:r>
            <w:r>
              <w:rPr>
                <w:rFonts w:ascii="宋体" w:hAnsi="宋体" w:cs="宋体" w:eastAsia="宋体" w:hint="default"/>
                <w:sz w:val="18"/>
                <w:szCs w:val="18"/>
              </w:rPr>
              <w:t>日常关联交易额</w:t>
            </w:r>
            <w:r>
              <w:rPr>
                <w:rFonts w:ascii="宋体" w:hAnsi="宋体" w:cs="宋体" w:eastAsia="宋体" w:hint="default"/>
                <w:sz w:val="18"/>
                <w:szCs w:val="18"/>
              </w:rPr>
              <w:t> </w:t>
            </w:r>
            <w:r>
              <w:rPr>
                <w:rFonts w:ascii="宋体" w:hAnsi="宋体" w:cs="宋体" w:eastAsia="宋体" w:hint="default"/>
                <w:spacing w:val="-12"/>
                <w:sz w:val="18"/>
                <w:szCs w:val="18"/>
              </w:rPr>
              <w:t>度的公告》（公告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2018-018</w:t>
            </w:r>
            <w:r>
              <w:rPr>
                <w:rFonts w:ascii="宋体" w:hAnsi="宋体" w:cs="宋体" w:eastAsia="宋体" w:hint="default"/>
                <w:sz w:val="18"/>
                <w:szCs w:val="18"/>
              </w:rPr>
              <w:t>）</w:t>
            </w: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2,653.76</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3,103.00</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70"/>
              <w:jc w:val="righ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749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报告期内关联方无大额销货退回的情况</w:t>
            </w:r>
          </w:p>
        </w:tc>
      </w:tr>
      <w:tr>
        <w:trPr>
          <w:trHeight w:val="1026"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749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749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4"/>
        <w:spacing w:line="240" w:lineRule="auto" w:before="35"/>
        <w:ind w:left="474" w:right="6432"/>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474"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4"/>
        <w:spacing w:line="240" w:lineRule="auto"/>
        <w:ind w:left="474" w:right="6432"/>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474"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4"/>
        <w:spacing w:line="240" w:lineRule="auto"/>
        <w:ind w:left="474" w:right="6432"/>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474"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40" w:lineRule="auto" w:before="42"/>
        <w:ind w:left="474" w:right="94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应付关联方债务</w:t>
      </w:r>
    </w:p>
    <w:p>
      <w:pPr>
        <w:spacing w:line="240" w:lineRule="auto" w:before="3"/>
        <w:rPr>
          <w:rFonts w:ascii="宋体" w:hAnsi="宋体" w:cs="宋体" w:eastAsia="宋体" w:hint="default"/>
          <w:sz w:val="2"/>
          <w:szCs w:val="2"/>
        </w:rPr>
      </w:pPr>
    </w:p>
    <w:tbl>
      <w:tblPr>
        <w:tblW w:w="0" w:type="auto"/>
        <w:jc w:val="left"/>
        <w:tblInd w:w="469" w:type="dxa"/>
        <w:tblLayout w:type="fixed"/>
        <w:tblCellMar>
          <w:top w:w="0" w:type="dxa"/>
          <w:left w:w="0" w:type="dxa"/>
          <w:bottom w:w="0" w:type="dxa"/>
          <w:right w:w="0" w:type="dxa"/>
        </w:tblCellMar>
        <w:tblLook w:val="01E0"/>
      </w:tblPr>
      <w:tblGrid>
        <w:gridCol w:w="1156"/>
        <w:gridCol w:w="1038"/>
        <w:gridCol w:w="1045"/>
        <w:gridCol w:w="1044"/>
        <w:gridCol w:w="1044"/>
        <w:gridCol w:w="1044"/>
        <w:gridCol w:w="1044"/>
        <w:gridCol w:w="1044"/>
        <w:gridCol w:w="1109"/>
      </w:tblGrid>
      <w:tr>
        <w:trPr>
          <w:trHeight w:val="714" w:hRule="exact"/>
        </w:trPr>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7"/>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 w:right="66"/>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 w:right="66"/>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6"/>
              <w:jc w:val="right"/>
              <w:rPr>
                <w:rFonts w:ascii="宋体" w:hAnsi="宋体" w:cs="宋体" w:eastAsia="宋体" w:hint="default"/>
                <w:sz w:val="18"/>
                <w:szCs w:val="18"/>
              </w:rPr>
            </w:pPr>
            <w:r>
              <w:rPr>
                <w:rFonts w:ascii="宋体" w:hAnsi="宋体" w:cs="宋体" w:eastAsia="宋体" w:hint="default"/>
                <w:sz w:val="18"/>
                <w:szCs w:val="18"/>
              </w:rPr>
              <w:t>利率</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5"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7"/>
              <w:ind w:left="15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68" w:right="21"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r>
      <w:tr>
        <w:trPr>
          <w:trHeight w:val="1026"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陕西医药控股 集团有限责任 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控股股东</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5,000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83"/>
              <w:jc w:val="right"/>
              <w:rPr>
                <w:rFonts w:ascii="Times New Roman" w:hAnsi="Times New Roman" w:cs="Times New Roman" w:eastAsia="Times New Roman" w:hint="default"/>
                <w:sz w:val="18"/>
                <w:szCs w:val="18"/>
              </w:rPr>
            </w:pPr>
            <w:r>
              <w:rPr>
                <w:rFonts w:ascii="Times New Roman"/>
                <w:sz w:val="18"/>
              </w:rPr>
              <w:t>4.35%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48.94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3" w:right="0"/>
              <w:jc w:val="left"/>
              <w:rPr>
                <w:rFonts w:ascii="Times New Roman" w:hAnsi="Times New Roman" w:cs="Times New Roman" w:eastAsia="Times New Roman" w:hint="default"/>
                <w:sz w:val="18"/>
                <w:szCs w:val="18"/>
              </w:rPr>
            </w:pPr>
            <w:r>
              <w:rPr>
                <w:rFonts w:ascii="Times New Roman"/>
                <w:sz w:val="18"/>
              </w:rPr>
              <w:t>5,048.94</w:t>
            </w:r>
          </w:p>
        </w:tc>
      </w:tr>
      <w:tr>
        <w:trPr>
          <w:trHeight w:val="1026" w:hRule="exact"/>
        </w:trPr>
        <w:tc>
          <w:tcPr>
            <w:tcW w:w="21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9"/>
              <w:jc w:val="left"/>
              <w:rPr>
                <w:rFonts w:ascii="宋体" w:hAnsi="宋体" w:cs="宋体" w:eastAsia="宋体" w:hint="default"/>
                <w:sz w:val="18"/>
                <w:szCs w:val="18"/>
              </w:rPr>
            </w:pPr>
            <w:r>
              <w:rPr>
                <w:rFonts w:ascii="宋体" w:hAnsi="宋体" w:cs="宋体" w:eastAsia="宋体" w:hint="default"/>
                <w:sz w:val="18"/>
                <w:szCs w:val="18"/>
              </w:rPr>
              <w:t>关联债务对公司经营成果 及财务状况的影响</w:t>
            </w:r>
          </w:p>
        </w:tc>
        <w:tc>
          <w:tcPr>
            <w:tcW w:w="7375"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月向控股股东陕西医药控股集团有限责任公司申请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万元并购借款，用于 支付收购霍尔果斯领凯网络科技有限公司</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70%</w:t>
            </w:r>
            <w:r>
              <w:rPr>
                <w:rFonts w:ascii="宋体" w:hAnsi="宋体" w:cs="宋体" w:eastAsia="宋体" w:hint="default"/>
                <w:spacing w:val="-4"/>
                <w:sz w:val="18"/>
                <w:szCs w:val="18"/>
              </w:rPr>
              <w:t>股权，期限不超过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个月，借款利率参照银行同</w:t>
            </w:r>
            <w:r>
              <w:rPr>
                <w:rFonts w:ascii="宋体" w:hAnsi="宋体" w:cs="宋体" w:eastAsia="宋体" w:hint="default"/>
                <w:sz w:val="18"/>
                <w:szCs w:val="18"/>
              </w:rPr>
              <w:t> 期贷款利率。</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年产生借款利息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after="0" w:line="300" w:lineRule="auto"/>
        <w:jc w:val="left"/>
        <w:rPr>
          <w:rFonts w:ascii="宋体" w:hAnsi="宋体" w:cs="宋体" w:eastAsia="宋体" w:hint="default"/>
          <w:sz w:val="18"/>
          <w:szCs w:val="18"/>
        </w:rPr>
        <w:sectPr>
          <w:pgSz w:w="11910" w:h="16840"/>
          <w:pgMar w:header="0" w:footer="979" w:top="1500" w:bottom="1160" w:left="66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5"/>
        <w:rPr>
          <w:rFonts w:ascii="宋体" w:hAnsi="宋体" w:cs="宋体" w:eastAsia="宋体" w:hint="default"/>
          <w:sz w:val="19"/>
          <w:szCs w:val="19"/>
        </w:rPr>
      </w:pPr>
    </w:p>
    <w:p>
      <w:pPr>
        <w:pStyle w:val="Heading2"/>
        <w:spacing w:line="240" w:lineRule="auto"/>
        <w:ind w:right="940"/>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0"/>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0"/>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4"/>
        <w:spacing w:line="240" w:lineRule="auto"/>
        <w:ind w:right="940"/>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4"/>
        <w:spacing w:line="240" w:lineRule="auto"/>
        <w:ind w:right="940"/>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364" w:lineRule="auto" w:before="65"/>
        <w:ind w:right="1332" w:firstLine="420"/>
        <w:jc w:val="left"/>
      </w:pPr>
      <w:r>
        <w:rPr/>
        <w:t>截至本报告期末，公司及子公司按市场价格租赁了房产及土地用于办公、生产，公司该租赁项目取得的利润总额为 </w:t>
      </w:r>
      <w:r>
        <w:rPr>
          <w:rFonts w:ascii="宋体" w:hAnsi="宋体" w:cs="宋体" w:eastAsia="宋体" w:hint="default"/>
        </w:rPr>
        <w:t>72,052.48</w:t>
      </w:r>
      <w:r>
        <w:rPr/>
        <w:t>元。</w:t>
      </w:r>
    </w:p>
    <w:p>
      <w:pPr>
        <w:pStyle w:val="BodyText"/>
        <w:spacing w:line="240" w:lineRule="auto" w:before="47"/>
        <w:ind w:right="94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94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545"/>
        <w:gridCol w:w="815"/>
        <w:gridCol w:w="1170"/>
        <w:gridCol w:w="913"/>
        <w:gridCol w:w="792"/>
        <w:gridCol w:w="779"/>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1" w:right="41"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5"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1" w:right="0"/>
              <w:jc w:val="left"/>
              <w:rPr>
                <w:rFonts w:ascii="宋体" w:hAnsi="宋体" w:cs="宋体" w:eastAsia="宋体" w:hint="default"/>
                <w:sz w:val="18"/>
                <w:szCs w:val="18"/>
              </w:rPr>
            </w:pPr>
            <w:r>
              <w:rPr>
                <w:rFonts w:ascii="宋体" w:hAnsi="宋体" w:cs="宋体" w:eastAsia="宋体" w:hint="default"/>
                <w:sz w:val="18"/>
                <w:szCs w:val="18"/>
              </w:rPr>
              <w:t>实际担保</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8" w:right="0"/>
              <w:jc w:val="left"/>
              <w:rPr>
                <w:rFonts w:ascii="宋体" w:hAnsi="宋体" w:cs="宋体" w:eastAsia="宋体" w:hint="default"/>
                <w:sz w:val="18"/>
                <w:szCs w:val="18"/>
              </w:rPr>
            </w:pPr>
            <w:r>
              <w:rPr>
                <w:rFonts w:ascii="宋体" w:hAnsi="宋体" w:cs="宋体" w:eastAsia="宋体" w:hint="default"/>
                <w:sz w:val="18"/>
                <w:szCs w:val="18"/>
              </w:rPr>
              <w:t>是否履行</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5" w:right="0"/>
              <w:jc w:val="left"/>
              <w:rPr>
                <w:rFonts w:ascii="宋体" w:hAnsi="宋体" w:cs="宋体" w:eastAsia="宋体" w:hint="default"/>
                <w:sz w:val="18"/>
                <w:szCs w:val="18"/>
              </w:rPr>
            </w:pPr>
            <w:r>
              <w:rPr>
                <w:rFonts w:ascii="宋体" w:hAnsi="宋体" w:cs="宋体" w:eastAsia="宋体" w:hint="default"/>
                <w:sz w:val="18"/>
                <w:szCs w:val="18"/>
              </w:rPr>
              <w:t>是否为关</w:t>
            </w:r>
          </w:p>
        </w:tc>
      </w:tr>
    </w:tbl>
    <w:p>
      <w:pPr>
        <w:spacing w:after="0" w:line="240" w:lineRule="auto"/>
        <w:jc w:val="left"/>
        <w:rPr>
          <w:rFonts w:ascii="宋体" w:hAnsi="宋体" w:cs="宋体" w:eastAsia="宋体" w:hint="default"/>
          <w:sz w:val="18"/>
          <w:szCs w:val="18"/>
        </w:rPr>
        <w:sectPr>
          <w:pgSz w:w="11910" w:h="16840"/>
          <w:pgMar w:header="0" w:footer="979" w:top="15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40" w:lineRule="auto" w:before="44"/>
        <w:ind w:left="114" w:right="1360"/>
        <w:jc w:val="left"/>
      </w:pPr>
      <w:r>
        <w:rPr/>
        <w:pict>
          <v:shape style="position:absolute;margin-left:56.459999pt;margin-top:-568.728271pt;width:479.5pt;height:568.4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5"/>
                    <w:gridCol w:w="907"/>
                    <w:gridCol w:w="929"/>
                    <w:gridCol w:w="1556"/>
                    <w:gridCol w:w="802"/>
                    <w:gridCol w:w="1176"/>
                    <w:gridCol w:w="919"/>
                    <w:gridCol w:w="785"/>
                    <w:gridCol w:w="785"/>
                  </w:tblGrid>
                  <w:tr>
                    <w:trPr>
                      <w:trHeight w:val="680" w:hRule="exact"/>
                    </w:trPr>
                    <w:tc>
                      <w:tcPr>
                        <w:tcW w:w="1715"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90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0" w:right="85"/>
                          <w:jc w:val="left"/>
                          <w:rPr>
                            <w:rFonts w:ascii="宋体" w:hAnsi="宋体" w:cs="宋体" w:eastAsia="宋体" w:hint="default"/>
                            <w:sz w:val="18"/>
                            <w:szCs w:val="18"/>
                          </w:rPr>
                        </w:pPr>
                        <w:r>
                          <w:rPr>
                            <w:rFonts w:ascii="宋体" w:hAnsi="宋体" w:cs="宋体" w:eastAsia="宋体" w:hint="default"/>
                            <w:sz w:val="18"/>
                            <w:szCs w:val="18"/>
                          </w:rPr>
                          <w:t>相关公告 披露日期</w:t>
                        </w:r>
                      </w:p>
                    </w:tc>
                    <w:tc>
                      <w:tcPr>
                        <w:tcW w:w="929"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556"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80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76"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919"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78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完毕</w:t>
                        </w:r>
                      </w:p>
                    </w:tc>
                    <w:tc>
                      <w:tcPr>
                        <w:tcW w:w="78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联方担保</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60"/>
                          <w:jc w:val="left"/>
                          <w:rPr>
                            <w:rFonts w:ascii="宋体" w:hAnsi="宋体" w:cs="宋体" w:eastAsia="宋体" w:hint="default"/>
                            <w:sz w:val="18"/>
                            <w:szCs w:val="18"/>
                          </w:rPr>
                        </w:pPr>
                        <w:r>
                          <w:rPr>
                            <w:rFonts w:ascii="宋体" w:hAnsi="宋体" w:cs="宋体" w:eastAsia="宋体" w:hint="default"/>
                            <w:sz w:val="18"/>
                            <w:szCs w:val="18"/>
                          </w:rPr>
                          <w:t>陕西永鑫纸业包装有 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半年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0"/>
                          <w:jc w:val="left"/>
                          <w:rPr>
                            <w:rFonts w:ascii="宋体" w:hAnsi="宋体" w:cs="宋体" w:eastAsia="宋体" w:hint="default"/>
                            <w:sz w:val="18"/>
                            <w:szCs w:val="18"/>
                          </w:rPr>
                        </w:pPr>
                        <w:r>
                          <w:rPr>
                            <w:rFonts w:ascii="宋体" w:hAnsi="宋体" w:cs="宋体" w:eastAsia="宋体" w:hint="default"/>
                            <w:sz w:val="18"/>
                            <w:szCs w:val="18"/>
                          </w:rPr>
                          <w:t>陕西永鑫纸业包装有 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900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101.5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0"/>
                          <w:jc w:val="left"/>
                          <w:rPr>
                            <w:rFonts w:ascii="宋体" w:hAnsi="宋体" w:cs="宋体" w:eastAsia="宋体" w:hint="default"/>
                            <w:sz w:val="18"/>
                            <w:szCs w:val="18"/>
                          </w:rPr>
                        </w:pPr>
                        <w:r>
                          <w:rPr>
                            <w:rFonts w:ascii="宋体" w:hAnsi="宋体" w:cs="宋体" w:eastAsia="宋体" w:hint="default"/>
                            <w:sz w:val="18"/>
                            <w:szCs w:val="18"/>
                          </w:rPr>
                          <w:t>天津滨海环球印务有 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757.65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485"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5,900</w:t>
                        </w:r>
                      </w:p>
                    </w:tc>
                    <w:tc>
                      <w:tcPr>
                        <w:tcW w:w="19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 w:right="116"/>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48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2,517.76</w:t>
                        </w:r>
                      </w:p>
                    </w:tc>
                  </w:tr>
                  <w:tr>
                    <w:trPr>
                      <w:trHeight w:val="720"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485"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5,900</w:t>
                        </w:r>
                      </w:p>
                    </w:tc>
                    <w:tc>
                      <w:tcPr>
                        <w:tcW w:w="19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 w:right="146"/>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48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1,359.15</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1"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6"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556" w:type="dxa"/>
                        <w:vMerge w:val="restart"/>
                        <w:tcBorders>
                          <w:top w:val="single" w:sz="4" w:space="0" w:color="000000"/>
                          <w:left w:val="single" w:sz="4" w:space="0" w:color="000000"/>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6" w:type="dxa"/>
                        <w:vMerge w:val="restart"/>
                        <w:tcBorders>
                          <w:top w:val="single" w:sz="4" w:space="0" w:color="000000"/>
                          <w:left w:val="single" w:sz="4" w:space="0" w:color="000000"/>
                          <w:right w:val="single" w:sz="4" w:space="0" w:color="000000"/>
                        </w:tcBorders>
                        <w:shd w:val="clear" w:color="auto" w:fill="D2D2D2"/>
                      </w:tcPr>
                      <w:p>
                        <w:pPr/>
                      </w:p>
                    </w:tc>
                    <w:tc>
                      <w:tcPr>
                        <w:tcW w:w="919"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556" w:type="dxa"/>
                        <w:vMerge/>
                        <w:tcBorders>
                          <w:left w:val="single" w:sz="4" w:space="0" w:color="000000"/>
                          <w:bottom w:val="nil" w:sz="6" w:space="0" w:color="auto"/>
                          <w:right w:val="single" w:sz="4" w:space="0" w:color="000000"/>
                        </w:tcBorders>
                        <w:shd w:val="clear" w:color="auto" w:fill="D2D2D2"/>
                      </w:tcPr>
                      <w:p>
                        <w:pPr/>
                      </w:p>
                    </w:tc>
                    <w:tc>
                      <w:tcPr>
                        <w:tcW w:w="80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9" w:right="40"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176" w:type="dxa"/>
                        <w:vMerge/>
                        <w:tcBorders>
                          <w:left w:val="single" w:sz="4" w:space="0" w:color="000000"/>
                          <w:bottom w:val="nil" w:sz="6" w:space="0" w:color="auto"/>
                          <w:right w:val="single" w:sz="4" w:space="0" w:color="000000"/>
                        </w:tcBorders>
                        <w:shd w:val="clear" w:color="auto" w:fill="D2D2D2"/>
                      </w:tcPr>
                      <w:p>
                        <w:pPr/>
                      </w:p>
                    </w:tc>
                    <w:tc>
                      <w:tcPr>
                        <w:tcW w:w="919"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1"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7"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802" w:type="dxa"/>
                        <w:vMerge/>
                        <w:tcBorders>
                          <w:left w:val="single" w:sz="4" w:space="0" w:color="000000"/>
                          <w:right w:val="single" w:sz="4" w:space="0" w:color="000000"/>
                        </w:tcBorders>
                        <w:shd w:val="clear" w:color="auto" w:fill="D2D2D2"/>
                      </w:tcPr>
                      <w:p>
                        <w:pPr/>
                      </w:p>
                    </w:tc>
                    <w:tc>
                      <w:tcPr>
                        <w:tcW w:w="1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556" w:type="dxa"/>
                        <w:vMerge w:val="restart"/>
                        <w:tcBorders>
                          <w:top w:val="nil" w:sz="6" w:space="0" w:color="auto"/>
                          <w:left w:val="single" w:sz="4" w:space="0" w:color="000000"/>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1176" w:type="dxa"/>
                        <w:vMerge w:val="restart"/>
                        <w:tcBorders>
                          <w:top w:val="nil" w:sz="6" w:space="0" w:color="auto"/>
                          <w:left w:val="single" w:sz="4" w:space="0" w:color="000000"/>
                          <w:right w:val="single" w:sz="4" w:space="0" w:color="000000"/>
                        </w:tcBorders>
                        <w:shd w:val="clear" w:color="auto" w:fill="D2D2D2"/>
                      </w:tcPr>
                      <w:p>
                        <w:pPr/>
                      </w:p>
                    </w:tc>
                    <w:tc>
                      <w:tcPr>
                        <w:tcW w:w="919"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556" w:type="dxa"/>
                        <w:vMerge/>
                        <w:tcBorders>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919"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485"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5,900</w:t>
                        </w:r>
                      </w:p>
                    </w:tc>
                    <w:tc>
                      <w:tcPr>
                        <w:tcW w:w="19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 w:right="146"/>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48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2,517.76</w:t>
                        </w:r>
                      </w:p>
                    </w:tc>
                  </w:tr>
                  <w:tr>
                    <w:trPr>
                      <w:trHeight w:val="715"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485"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5,900</w:t>
                        </w:r>
                      </w:p>
                    </w:tc>
                    <w:tc>
                      <w:tcPr>
                        <w:tcW w:w="19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0" w:right="146"/>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48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1,359.15</w:t>
                        </w:r>
                      </w:p>
                    </w:tc>
                  </w:tr>
                  <w:tr>
                    <w:trPr>
                      <w:trHeight w:val="407" w:hRule="exact"/>
                    </w:trPr>
                    <w:tc>
                      <w:tcPr>
                        <w:tcW w:w="510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46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w:t>
                        </w:r>
                      </w:p>
                    </w:tc>
                  </w:tr>
                  <w:tr>
                    <w:trPr>
                      <w:trHeight w:val="391"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510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46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510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25"/>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 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46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10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46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10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46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510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32"/>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对未到期担保，报告期内已发生担保责任或可能承担连带清偿责 任的情况说明（如有）</w:t>
                        </w:r>
                      </w:p>
                    </w:tc>
                    <w:tc>
                      <w:tcPr>
                        <w:tcW w:w="446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510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46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采用复合方式担保的具体情况说明</w:t>
      </w:r>
    </w:p>
    <w:p>
      <w:pPr>
        <w:spacing w:line="240" w:lineRule="auto" w:before="10"/>
        <w:rPr>
          <w:rFonts w:ascii="宋体" w:hAnsi="宋体" w:cs="宋体" w:eastAsia="宋体" w:hint="default"/>
          <w:sz w:val="26"/>
          <w:szCs w:val="26"/>
        </w:rPr>
      </w:pPr>
    </w:p>
    <w:p>
      <w:pPr>
        <w:pStyle w:val="Heading4"/>
        <w:spacing w:line="240" w:lineRule="auto"/>
        <w:ind w:left="114" w:right="1360"/>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14"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after="0" w:line="338" w:lineRule="auto"/>
        <w:jc w:val="left"/>
        <w:sectPr>
          <w:pgSz w:w="11910" w:h="16840"/>
          <w:pgMar w:header="0" w:footer="979" w:top="1560" w:bottom="1160" w:left="102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0"/>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2"/>
        <w:rPr>
          <w:rFonts w:ascii="宋体" w:hAnsi="宋体" w:cs="宋体" w:eastAsia="宋体" w:hint="default"/>
          <w:sz w:val="21"/>
          <w:szCs w:val="21"/>
        </w:rPr>
      </w:pPr>
    </w:p>
    <w:p>
      <w:pPr>
        <w:pStyle w:val="Heading4"/>
        <w:spacing w:line="240" w:lineRule="auto"/>
        <w:ind w:right="940"/>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2"/>
        <w:rPr>
          <w:rFonts w:ascii="宋体" w:hAnsi="宋体" w:cs="宋体" w:eastAsia="宋体" w:hint="default"/>
          <w:sz w:val="20"/>
          <w:szCs w:val="20"/>
        </w:rPr>
      </w:pPr>
    </w:p>
    <w:p>
      <w:pPr>
        <w:pStyle w:val="Heading4"/>
        <w:spacing w:line="240" w:lineRule="auto"/>
        <w:ind w:right="940"/>
        <w:jc w:val="left"/>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940"/>
        <w:jc w:val="left"/>
        <w:rPr>
          <w:b w:val="0"/>
          <w:bCs w:val="0"/>
        </w:rPr>
      </w:pPr>
      <w:bookmarkStart w:name="十八、社会责任情况" w:id="99"/>
      <w:bookmarkEnd w:id="99"/>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0"/>
        <w:jc w:val="left"/>
        <w:rPr>
          <w:b w:val="0"/>
          <w:bCs w:val="0"/>
        </w:rPr>
      </w:pPr>
      <w:bookmarkStart w:name="1、履行社会责任情况" w:id="100"/>
      <w:bookmarkEnd w:id="100"/>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3"/>
        <w:rPr>
          <w:rFonts w:ascii="宋体" w:hAnsi="宋体" w:cs="宋体" w:eastAsia="宋体" w:hint="default"/>
          <w:b/>
          <w:bCs/>
          <w:sz w:val="28"/>
          <w:szCs w:val="28"/>
        </w:rPr>
      </w:pPr>
    </w:p>
    <w:p>
      <w:pPr>
        <w:pStyle w:val="BodyText"/>
        <w:spacing w:line="364" w:lineRule="auto"/>
        <w:ind w:right="1133" w:firstLine="360"/>
        <w:jc w:val="both"/>
      </w:pPr>
      <w:r>
        <w:rPr>
          <w:spacing w:val="-2"/>
        </w:rPr>
        <w:t>报告期内，公司积极履行企业公民应尽的义务，承担社会责任。在追求自身发展，不断为股东创造价值的同时，也积极</w:t>
      </w:r>
      <w:r>
        <w:rPr/>
        <w:t> </w:t>
      </w:r>
      <w:r>
        <w:rPr>
          <w:spacing w:val="-2"/>
        </w:rPr>
        <w:t>承担对职工、客户、社会其它利益相关体的责任。实现企业、投资者、员工与社会的共同成长和发展。坚持以人为本、科学</w:t>
      </w:r>
      <w:r>
        <w:rPr>
          <w:spacing w:val="-72"/>
        </w:rPr>
        <w:t> </w:t>
      </w:r>
      <w:r>
        <w:rPr>
          <w:spacing w:val="-72"/>
        </w:rPr>
      </w:r>
      <w:r>
        <w:rPr/>
        <w:t>发展，在追求经济效益的同时，对利益相关者负责，追求企业发展与社会、环境、员工的良性互动。</w:t>
      </w:r>
    </w:p>
    <w:p>
      <w:pPr>
        <w:spacing w:line="240" w:lineRule="auto" w:before="8"/>
        <w:rPr>
          <w:rFonts w:ascii="宋体" w:hAnsi="宋体" w:cs="宋体" w:eastAsia="宋体" w:hint="default"/>
          <w:sz w:val="21"/>
          <w:szCs w:val="21"/>
        </w:rPr>
      </w:pPr>
    </w:p>
    <w:p>
      <w:pPr>
        <w:pStyle w:val="Heading4"/>
        <w:spacing w:line="240" w:lineRule="auto"/>
        <w:ind w:right="940"/>
        <w:jc w:val="left"/>
        <w:rPr>
          <w:b w:val="0"/>
          <w:bCs w:val="0"/>
        </w:rPr>
      </w:pPr>
      <w:bookmarkStart w:name="2、履行精准扶贫社会责任情况" w:id="101"/>
      <w:bookmarkEnd w:id="101"/>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0"/>
        <w:jc w:val="left"/>
        <w:rPr>
          <w:b w:val="0"/>
          <w:bCs w:val="0"/>
        </w:rPr>
      </w:pPr>
      <w:bookmarkStart w:name="（1）精准扶贫规划" w:id="102"/>
      <w:bookmarkEnd w:id="102"/>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3"/>
        <w:rPr>
          <w:rFonts w:ascii="宋体" w:hAnsi="宋体" w:cs="宋体" w:eastAsia="宋体" w:hint="default"/>
          <w:b/>
          <w:bCs/>
          <w:sz w:val="28"/>
          <w:szCs w:val="28"/>
        </w:rPr>
      </w:pPr>
    </w:p>
    <w:p>
      <w:pPr>
        <w:pStyle w:val="BodyText"/>
        <w:spacing w:line="367" w:lineRule="auto"/>
        <w:ind w:right="1130" w:firstLine="420"/>
        <w:jc w:val="both"/>
      </w:pPr>
      <w:r>
        <w:rPr>
          <w:rFonts w:ascii="宋体" w:hAnsi="宋体" w:cs="宋体" w:eastAsia="宋体" w:hint="default"/>
        </w:rPr>
        <w:t>2018</w:t>
      </w:r>
      <w:r>
        <w:rPr/>
        <w:t>年，公司响应党中央国务院打赢脱贫攻坚战的号召，结合《中国证监会关于发挥资本市场作用服务国家脱贫攻坚 战略的意见》，先后开展教育扶贫和就业扶贫两项工作。坚持扶贫工作抓在日常，重在经常。</w:t>
      </w:r>
    </w:p>
    <w:p>
      <w:pPr>
        <w:pStyle w:val="BodyText"/>
        <w:spacing w:line="367" w:lineRule="auto" w:before="67"/>
        <w:ind w:right="1133" w:firstLine="420"/>
        <w:jc w:val="both"/>
      </w:pPr>
      <w:r>
        <w:rPr/>
        <w:t>就业扶贫方面，对于已经认定的贫困对象，做到经常性走访问询、充分了解、积极帮扶解决；定期进行贫困员工摸排 </w:t>
      </w:r>
      <w:r>
        <w:rPr>
          <w:spacing w:val="-2"/>
        </w:rPr>
        <w:t>工作，对于新发现的贫困员工，主动沟通，了解情况，适时上报贫困信息，为其争取贫困补贴；教育扶贫方面，充分了解调</w:t>
      </w:r>
      <w:r>
        <w:rPr>
          <w:spacing w:val="-72"/>
        </w:rPr>
        <w:t> </w:t>
      </w:r>
      <w:r>
        <w:rPr>
          <w:spacing w:val="-72"/>
        </w:rPr>
      </w:r>
      <w:r>
        <w:rPr/>
        <w:t>研西安市周边区县贫困学校情况，对因学致贫、因学返贫现象进行定点帮扶工作。</w:t>
      </w:r>
    </w:p>
    <w:p>
      <w:pPr>
        <w:spacing w:line="240" w:lineRule="auto" w:before="4"/>
        <w:rPr>
          <w:rFonts w:ascii="宋体" w:hAnsi="宋体" w:cs="宋体" w:eastAsia="宋体" w:hint="default"/>
          <w:sz w:val="21"/>
          <w:szCs w:val="21"/>
        </w:rPr>
      </w:pPr>
    </w:p>
    <w:p>
      <w:pPr>
        <w:pStyle w:val="Heading4"/>
        <w:spacing w:line="240" w:lineRule="auto"/>
        <w:ind w:right="940"/>
        <w:jc w:val="left"/>
        <w:rPr>
          <w:b w:val="0"/>
          <w:bCs w:val="0"/>
        </w:rPr>
      </w:pPr>
      <w:bookmarkStart w:name="（2）年度精准扶贫概要" w:id="103"/>
      <w:bookmarkEnd w:id="103"/>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4"/>
        <w:rPr>
          <w:rFonts w:ascii="宋体" w:hAnsi="宋体" w:cs="宋体" w:eastAsia="宋体" w:hint="default"/>
          <w:b/>
          <w:bCs/>
          <w:sz w:val="28"/>
          <w:szCs w:val="28"/>
        </w:rPr>
      </w:pPr>
    </w:p>
    <w:p>
      <w:pPr>
        <w:pStyle w:val="BodyText"/>
        <w:spacing w:line="364" w:lineRule="auto"/>
        <w:ind w:right="1118" w:firstLine="420"/>
        <w:jc w:val="left"/>
      </w:pPr>
      <w:r>
        <w:rPr>
          <w:rFonts w:ascii="宋体" w:hAnsi="宋体" w:cs="宋体" w:eastAsia="宋体" w:hint="default"/>
          <w:spacing w:val="-1"/>
        </w:rPr>
        <w:t>2018</w:t>
      </w:r>
      <w:r>
        <w:rPr>
          <w:spacing w:val="-1"/>
        </w:rPr>
        <w:t>年教育扶贫方面，</w:t>
      </w:r>
      <w:r>
        <w:rPr>
          <w:rFonts w:ascii="宋体" w:hAnsi="宋体" w:cs="宋体" w:eastAsia="宋体" w:hint="default"/>
          <w:spacing w:val="-1"/>
        </w:rPr>
        <w:t>7</w:t>
      </w:r>
      <w:r>
        <w:rPr>
          <w:spacing w:val="-1"/>
        </w:rPr>
        <w:t>月公司响应党中央国务院打赢脱贫攻坚战的号召，依据《</w:t>
      </w:r>
      <w:r>
        <w:rPr>
          <w:rFonts w:ascii="宋体" w:hAnsi="宋体" w:cs="宋体" w:eastAsia="宋体" w:hint="default"/>
          <w:spacing w:val="-1"/>
        </w:rPr>
        <w:t>2018</w:t>
      </w:r>
      <w:r>
        <w:rPr>
          <w:spacing w:val="-1"/>
        </w:rPr>
        <w:t>年陕西资本市场教育扶贫工作实</w:t>
      </w:r>
      <w:r>
        <w:rPr/>
        <w:t> 施方案》，采用慈善信托的方式，通过西安市慈善会向陕西省内贫困县建档立卡农村贫困户</w:t>
      </w:r>
      <w:r>
        <w:rPr>
          <w:rFonts w:ascii="宋体" w:hAnsi="宋体" w:cs="宋体" w:eastAsia="宋体" w:hint="default"/>
        </w:rPr>
        <w:t>2018</w:t>
      </w:r>
      <w:r>
        <w:rPr/>
        <w:t>年高考成绩文理科各前</w:t>
      </w:r>
      <w:r>
        <w:rPr>
          <w:rFonts w:ascii="宋体" w:hAnsi="宋体" w:cs="宋体" w:eastAsia="宋体" w:hint="default"/>
        </w:rPr>
        <w:t>10 </w:t>
      </w:r>
      <w:r>
        <w:rPr/>
        <w:t>名中的</w:t>
      </w:r>
      <w:r>
        <w:rPr>
          <w:rFonts w:ascii="宋体" w:hAnsi="宋体" w:cs="宋体" w:eastAsia="宋体" w:hint="default"/>
        </w:rPr>
        <w:t>4</w:t>
      </w:r>
      <w:r>
        <w:rPr/>
        <w:t>个学生捐助</w:t>
      </w:r>
      <w:r>
        <w:rPr>
          <w:rFonts w:ascii="宋体" w:hAnsi="宋体" w:cs="宋体" w:eastAsia="宋体" w:hint="default"/>
        </w:rPr>
        <w:t>1.20</w:t>
      </w:r>
      <w:r>
        <w:rPr/>
        <w:t>万元进行帮扶。就业扶贫方面，公司招聘员工时在考虑满足岗位需求的同时，对于符合陕西省总工 会贫困标准的农村家庭贫困人员给予照顾就业，截止报告期末，公司共向中华全国总工会上报</w:t>
      </w:r>
      <w:r>
        <w:rPr>
          <w:rFonts w:ascii="宋体" w:hAnsi="宋体" w:cs="宋体" w:eastAsia="宋体" w:hint="default"/>
        </w:rPr>
        <w:t>5</w:t>
      </w:r>
      <w:r>
        <w:rPr/>
        <w:t>名贫困员工，经审批，均通 </w:t>
      </w:r>
      <w:r>
        <w:rPr>
          <w:spacing w:val="-2"/>
        </w:rPr>
        <w:t>过系统审核，并进入工会帮扶工作管理系统。</w:t>
      </w:r>
      <w:r>
        <w:rPr>
          <w:rFonts w:ascii="宋体" w:hAnsi="宋体" w:cs="宋体" w:eastAsia="宋体" w:hint="default"/>
          <w:spacing w:val="-2"/>
        </w:rPr>
        <w:t>2018</w:t>
      </w:r>
      <w:r>
        <w:rPr>
          <w:spacing w:val="-2"/>
        </w:rPr>
        <w:t>年全年针对这</w:t>
      </w:r>
      <w:r>
        <w:rPr>
          <w:rFonts w:ascii="宋体" w:hAnsi="宋体" w:cs="宋体" w:eastAsia="宋体" w:hint="default"/>
          <w:spacing w:val="-2"/>
        </w:rPr>
        <w:t>5</w:t>
      </w:r>
      <w:r>
        <w:rPr>
          <w:spacing w:val="-2"/>
        </w:rPr>
        <w:t>名贫困员工的工资发放总额为</w:t>
      </w:r>
      <w:r>
        <w:rPr>
          <w:rFonts w:ascii="宋体" w:hAnsi="宋体" w:cs="宋体" w:eastAsia="宋体" w:hint="default"/>
          <w:spacing w:val="-2"/>
        </w:rPr>
        <w:t>25.85</w:t>
      </w:r>
      <w:r>
        <w:rPr>
          <w:spacing w:val="-2"/>
        </w:rPr>
        <w:t>万，另发放困难补贴共</w:t>
      </w:r>
    </w:p>
    <w:p>
      <w:pPr>
        <w:spacing w:after="0" w:line="364" w:lineRule="auto"/>
        <w:jc w:val="left"/>
        <w:sectPr>
          <w:pgSz w:w="11910" w:h="16840"/>
          <w:pgMar w:header="0"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7"/>
        <w:ind w:right="940"/>
        <w:jc w:val="left"/>
      </w:pPr>
      <w:r>
        <w:rPr/>
        <w:t>计</w:t>
      </w:r>
      <w:r>
        <w:rPr>
          <w:rFonts w:ascii="宋体" w:hAnsi="宋体" w:cs="宋体" w:eastAsia="宋体" w:hint="default"/>
        </w:rPr>
        <w:t>0.83</w:t>
      </w:r>
      <w:r>
        <w:rPr/>
        <w:t>万元。公司后续将持续关注相关教育扶贫计划及其他扶贫工作，为打赢脱贫攻坚战做出应有的贡献。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pStyle w:val="Heading4"/>
        <w:spacing w:line="240" w:lineRule="auto"/>
        <w:ind w:right="940"/>
        <w:jc w:val="left"/>
        <w:rPr>
          <w:b w:val="0"/>
          <w:bCs w:val="0"/>
        </w:rPr>
      </w:pPr>
      <w:bookmarkStart w:name="（3）精准扶贫成效" w:id="104"/>
      <w:bookmarkEnd w:id="104"/>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83"/>
        <w:gridCol w:w="1450"/>
        <w:gridCol w:w="4524"/>
      </w:tblGrid>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指标</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27.88</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3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帮助建档立卡贫困户实现就业</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452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w:t>
            </w:r>
          </w:p>
        </w:tc>
      </w:tr>
      <w:tr>
        <w:trPr>
          <w:trHeight w:val="392" w:hRule="exact"/>
        </w:trPr>
        <w:tc>
          <w:tcPr>
            <w:tcW w:w="3583" w:type="dxa"/>
            <w:vMerge/>
            <w:tcBorders>
              <w:left w:val="single" w:sz="4" w:space="0" w:color="000000"/>
              <w:right w:val="single" w:sz="4" w:space="0" w:color="000000"/>
            </w:tcBorders>
            <w:shd w:val="clear" w:color="auto" w:fill="D2D2D2"/>
          </w:tcPr>
          <w:p>
            <w:pPr/>
          </w:p>
        </w:tc>
        <w:tc>
          <w:tcPr>
            <w:tcW w:w="14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24" w:type="dxa"/>
            <w:vMerge/>
            <w:tcBorders>
              <w:left w:val="single" w:sz="9" w:space="0" w:color="D2D2D2"/>
              <w:right w:val="single" w:sz="4" w:space="0" w:color="000000"/>
            </w:tcBorders>
          </w:tcPr>
          <w:p>
            <w:pPr/>
          </w:p>
        </w:tc>
      </w:tr>
      <w:tr>
        <w:trPr>
          <w:trHeight w:val="161" w:hRule="exact"/>
        </w:trPr>
        <w:tc>
          <w:tcPr>
            <w:tcW w:w="3583"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4524" w:type="dxa"/>
            <w:vMerge/>
            <w:tcBorders>
              <w:left w:val="single" w:sz="9" w:space="0" w:color="D2D2D2"/>
              <w:bottom w:val="single" w:sz="4" w:space="0" w:color="000000"/>
              <w:right w:val="single" w:sz="4" w:space="0" w:color="000000"/>
            </w:tcBorders>
          </w:tcPr>
          <w:p>
            <w:pP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资助贫困学生投入金额</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资助贫困学生人数</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b/>
          <w:bCs/>
          <w:sz w:val="19"/>
          <w:szCs w:val="19"/>
        </w:rPr>
      </w:pPr>
    </w:p>
    <w:p>
      <w:pPr>
        <w:pStyle w:val="Heading4"/>
        <w:spacing w:line="240" w:lineRule="auto" w:before="35"/>
        <w:ind w:right="940"/>
        <w:jc w:val="left"/>
        <w:rPr>
          <w:b w:val="0"/>
          <w:bCs w:val="0"/>
        </w:rPr>
      </w:pPr>
      <w:bookmarkStart w:name="（4）后续精准扶贫计划" w:id="105"/>
      <w:bookmarkEnd w:id="105"/>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3"/>
        <w:rPr>
          <w:rFonts w:ascii="宋体" w:hAnsi="宋体" w:cs="宋体" w:eastAsia="宋体" w:hint="default"/>
          <w:b/>
          <w:bCs/>
          <w:sz w:val="28"/>
          <w:szCs w:val="28"/>
        </w:rPr>
      </w:pPr>
    </w:p>
    <w:p>
      <w:pPr>
        <w:pStyle w:val="BodyText"/>
        <w:spacing w:line="367" w:lineRule="auto"/>
        <w:ind w:right="1134" w:firstLine="420"/>
        <w:jc w:val="both"/>
      </w:pPr>
      <w:r>
        <w:rPr>
          <w:rFonts w:ascii="宋体" w:hAnsi="宋体" w:cs="宋体" w:eastAsia="宋体" w:hint="default"/>
        </w:rPr>
        <w:t>2019</w:t>
      </w:r>
      <w:r>
        <w:rPr/>
        <w:t>年，公司各级将切实履行职责，创新思路方法，加大扶贫力度，注重精准发力，除坚持做好就业扶贫和教育扶贫 的工作外，还将施行定点定时走访慰问工作，力争把扶贫工作落到实处，具体规划如下：</w:t>
      </w:r>
    </w:p>
    <w:p>
      <w:pPr>
        <w:pStyle w:val="BodyText"/>
        <w:spacing w:line="367" w:lineRule="auto" w:before="66"/>
        <w:ind w:right="1130" w:firstLine="420"/>
        <w:jc w:val="both"/>
      </w:pPr>
      <w:r>
        <w:rPr/>
        <w:t>提高思想认识。认真贯彻落实习近平总书记扶贫开发战略思想，正确处理经济发展的新常态与扶贫工作的关系。落实 </w:t>
      </w:r>
      <w:r>
        <w:rPr>
          <w:spacing w:val="-5"/>
        </w:rPr>
        <w:t>扶贫的主体责任。扶贫工作实行党政一把手扶贫责任制，负总责；分管领导具体抓，抓落实；各级部门分工协作，相互协调，</w:t>
      </w:r>
      <w:r>
        <w:rPr>
          <w:spacing w:val="-81"/>
        </w:rPr>
        <w:t> </w:t>
      </w:r>
      <w:r>
        <w:rPr>
          <w:spacing w:val="-81"/>
        </w:rPr>
      </w:r>
      <w:r>
        <w:rPr/>
        <w:t>相互配合。建立健全扶贫长效机制，不断提高贫困员工持续增收能力，切实巩固提升脱贫成果。</w:t>
      </w:r>
    </w:p>
    <w:p>
      <w:pPr>
        <w:pStyle w:val="BodyText"/>
        <w:spacing w:line="367" w:lineRule="auto" w:before="67"/>
        <w:ind w:right="1132" w:firstLine="420"/>
        <w:jc w:val="both"/>
      </w:pPr>
      <w:r>
        <w:rPr/>
        <w:t>在继续做好就业扶贫和教育扶贫的基础上，</w:t>
      </w:r>
      <w:r>
        <w:rPr>
          <w:rFonts w:ascii="宋体" w:hAnsi="宋体" w:cs="宋体" w:eastAsia="宋体" w:hint="default"/>
        </w:rPr>
        <w:t>2019</w:t>
      </w:r>
      <w:r>
        <w:rPr/>
        <w:t>年度的扶贫工作无论在项目内容和实地帮扶方面将更加扎实有效，在 资金的支持上不低于</w:t>
      </w:r>
      <w:r>
        <w:rPr>
          <w:rFonts w:ascii="宋体" w:hAnsi="宋体" w:cs="宋体" w:eastAsia="宋体" w:hint="default"/>
        </w:rPr>
        <w:t>2018</w:t>
      </w:r>
      <w:r>
        <w:rPr/>
        <w:t>年，尽到一个上市公司的社会责任。</w:t>
      </w:r>
    </w:p>
    <w:p>
      <w:pPr>
        <w:spacing w:line="240" w:lineRule="auto" w:before="4"/>
        <w:rPr>
          <w:rFonts w:ascii="宋体" w:hAnsi="宋体" w:cs="宋体" w:eastAsia="宋体" w:hint="default"/>
          <w:sz w:val="21"/>
          <w:szCs w:val="21"/>
        </w:rPr>
      </w:pPr>
    </w:p>
    <w:p>
      <w:pPr>
        <w:pStyle w:val="Heading4"/>
        <w:spacing w:line="240" w:lineRule="auto"/>
        <w:ind w:right="940"/>
        <w:jc w:val="left"/>
        <w:rPr>
          <w:b w:val="0"/>
          <w:bCs w:val="0"/>
        </w:rPr>
      </w:pPr>
      <w:bookmarkStart w:name="3、环境保护相关的情况" w:id="106"/>
      <w:bookmarkEnd w:id="106"/>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5712"/>
        <w:jc w:val="left"/>
      </w:pPr>
      <w:r>
        <w:rPr/>
        <w:t>上市公司及其子公司是否属于环境保护部门公布的重点排污单位 否</w:t>
      </w:r>
    </w:p>
    <w:p>
      <w:pPr>
        <w:spacing w:after="0" w:line="357" w:lineRule="auto"/>
        <w:jc w:val="left"/>
        <w:sectPr>
          <w:pgSz w:w="11910" w:h="16840"/>
          <w:pgMar w:header="0"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405" w:lineRule="auto" w:before="29"/>
        <w:ind w:left="514" w:right="5352"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）建设项目环境影响评价及其他环境保护行政许可情况</w:t>
      </w:r>
      <w:r>
        <w:rPr>
          <w:rFonts w:ascii="宋体" w:hAnsi="宋体" w:cs="宋体" w:eastAsia="宋体" w:hint="default"/>
          <w:b/>
          <w:bCs/>
          <w:w w:val="99"/>
          <w:sz w:val="18"/>
          <w:szCs w:val="18"/>
        </w:rPr>
        <w:t> </w:t>
      </w:r>
      <w:r>
        <w:rPr>
          <w:rFonts w:ascii="宋体" w:hAnsi="宋体" w:cs="宋体" w:eastAsia="宋体" w:hint="default"/>
          <w:sz w:val="18"/>
          <w:szCs w:val="18"/>
        </w:rPr>
        <w:t>项目严格执行环境许可制度，公司严格遵守环境保护许可法规。</w:t>
      </w:r>
    </w:p>
    <w:p>
      <w:pPr>
        <w:spacing w:line="405" w:lineRule="auto" w:before="38"/>
        <w:ind w:left="514" w:right="940"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）突发环境事件应急预案</w:t>
      </w:r>
      <w:r>
        <w:rPr>
          <w:rFonts w:ascii="宋体" w:hAnsi="宋体" w:cs="宋体" w:eastAsia="宋体" w:hint="default"/>
          <w:b/>
          <w:bCs/>
          <w:w w:val="99"/>
          <w:sz w:val="18"/>
          <w:szCs w:val="18"/>
        </w:rPr>
        <w:t> </w:t>
      </w:r>
      <w:r>
        <w:rPr>
          <w:rFonts w:ascii="宋体" w:hAnsi="宋体" w:cs="宋体" w:eastAsia="宋体" w:hint="default"/>
          <w:spacing w:val="-2"/>
          <w:sz w:val="18"/>
          <w:szCs w:val="18"/>
        </w:rPr>
        <w:t>公司建有完善的《突发环境事件应急预案》，明确突发环境事件应急领导小组人员与职责，并不定期对应急预案进行演</w:t>
      </w:r>
    </w:p>
    <w:p>
      <w:pPr>
        <w:pStyle w:val="BodyText"/>
        <w:spacing w:line="364" w:lineRule="auto"/>
        <w:ind w:right="1131"/>
        <w:jc w:val="both"/>
      </w:pPr>
      <w:r>
        <w:rPr>
          <w:spacing w:val="-2"/>
        </w:rPr>
        <w:t>练，不断完善应急措施，提高应急能力。在日常环保管理工作中，将环境巡查纳入到公司体系管理中，建立了相关环境巡查</w:t>
      </w:r>
      <w:r>
        <w:rPr>
          <w:spacing w:val="-66"/>
        </w:rPr>
        <w:t> </w:t>
      </w:r>
      <w:r>
        <w:rPr>
          <w:spacing w:val="-66"/>
        </w:rPr>
      </w:r>
      <w:r>
        <w:rPr>
          <w:spacing w:val="-2"/>
        </w:rPr>
        <w:t>机制来监控、预防环境事件。公司严格按照相关法律法规要求，规范对“三废”进行处置和治理，每年定期邀请有资质的第</w:t>
      </w:r>
      <w:r>
        <w:rPr>
          <w:spacing w:val="-67"/>
        </w:rPr>
        <w:t> </w:t>
      </w:r>
      <w:r>
        <w:rPr>
          <w:spacing w:val="-67"/>
        </w:rPr>
      </w:r>
      <w:r>
        <w:rPr>
          <w:spacing w:val="-2"/>
        </w:rPr>
        <w:t>三方检测公司对废气、废水进行检测并出具检测报告。</w:t>
      </w:r>
      <w:r>
        <w:rPr>
          <w:rFonts w:ascii="宋体" w:hAnsi="宋体" w:cs="宋体" w:eastAsia="宋体" w:hint="default"/>
          <w:spacing w:val="-2"/>
        </w:rPr>
        <w:t>2018</w:t>
      </w:r>
      <w:r>
        <w:rPr>
          <w:spacing w:val="-2"/>
        </w:rPr>
        <w:t>年，环保设施运行通过层层落实环保责任，保证环保设施及时有</w:t>
      </w:r>
      <w:r>
        <w:rPr>
          <w:spacing w:val="-61"/>
        </w:rPr>
        <w:t> </w:t>
      </w:r>
      <w:r>
        <w:rPr>
          <w:spacing w:val="-61"/>
        </w:rPr>
      </w:r>
      <w:r>
        <w:rPr/>
        <w:t>效投用，严格执行国家、地方环保排放标准要求，确保污染物排放浓度达标排放。</w:t>
      </w:r>
    </w:p>
    <w:p>
      <w:pPr>
        <w:pStyle w:val="BodyText"/>
        <w:spacing w:line="405" w:lineRule="auto" w:before="69"/>
        <w:ind w:left="514" w:right="940" w:hanging="360"/>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）环境自行监测方案</w:t>
      </w:r>
      <w:r>
        <w:rPr>
          <w:rFonts w:ascii="宋体" w:hAnsi="宋体" w:cs="宋体" w:eastAsia="宋体" w:hint="default"/>
          <w:b/>
          <w:bCs/>
          <w:w w:val="99"/>
        </w:rPr>
        <w:t> </w:t>
      </w:r>
      <w:r>
        <w:rPr>
          <w:spacing w:val="-2"/>
        </w:rPr>
        <w:t>公司定期委托具备相关资质的环保监测机构进行污染因子的监测。并率先安装了挥发性有机物在线监测设备，监测数据</w:t>
      </w:r>
    </w:p>
    <w:p>
      <w:pPr>
        <w:pStyle w:val="BodyText"/>
        <w:spacing w:line="240" w:lineRule="auto"/>
        <w:ind w:right="940"/>
        <w:jc w:val="left"/>
      </w:pPr>
      <w:r>
        <w:rPr/>
        <w:t>与区环保局实现互联互通。</w:t>
      </w:r>
    </w:p>
    <w:p>
      <w:pPr>
        <w:spacing w:line="240" w:lineRule="auto" w:before="12"/>
        <w:rPr>
          <w:rFonts w:ascii="宋体" w:hAnsi="宋体" w:cs="宋体" w:eastAsia="宋体" w:hint="default"/>
          <w:sz w:val="26"/>
          <w:szCs w:val="26"/>
        </w:rPr>
      </w:pPr>
    </w:p>
    <w:p>
      <w:pPr>
        <w:pStyle w:val="Heading2"/>
        <w:spacing w:line="240" w:lineRule="auto"/>
        <w:ind w:right="940"/>
        <w:jc w:val="left"/>
        <w:rPr>
          <w:b w:val="0"/>
          <w:bCs w:val="0"/>
        </w:rPr>
      </w:pPr>
      <w:bookmarkStart w:name="十九、其他重大事项的说明" w:id="107"/>
      <w:bookmarkEnd w:id="107"/>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27"/>
        <w:ind w:left="0" w:right="2790"/>
        <w:jc w:val="right"/>
      </w:pPr>
      <w:r>
        <w:rPr/>
        <w:pict>
          <v:group style="position:absolute;margin-left:56.580002pt;margin-top:4.201705pt;width:482.55pt;height:409pt;mso-position-horizontal-relative:page;mso-position-vertical-relative:paragraph;z-index:-800560" coordorigin="1132,84" coordsize="9651,8180">
            <v:group style="position:absolute;left:1146;top:112;width:1528;height:2" coordorigin="1146,112" coordsize="1528,2">
              <v:shape style="position:absolute;left:1146;top:112;width:1528;height:2" coordorigin="1146,112" coordsize="1528,0" path="m1146,112l2674,112e" filled="false" stroked="true" strokeweight=".47998pt" strokecolor="#d9d9d9">
                <v:path arrowok="t"/>
              </v:shape>
            </v:group>
            <v:group style="position:absolute;left:1147;top:116;width:2;height:312" coordorigin="1147,116" coordsize="2,312">
              <v:shape style="position:absolute;left:1147;top:116;width:2;height:312" coordorigin="1147,116" coordsize="0,312" path="m1147,116l1147,428e" filled="false" stroked="true" strokeweight=".12pt" strokecolor="#d9d9d9">
                <v:path arrowok="t"/>
              </v:shape>
            </v:group>
            <v:group style="position:absolute;left:1146;top:433;width:1528;height:2" coordorigin="1146,433" coordsize="1528,2">
              <v:shape style="position:absolute;left:1146;top:433;width:1528;height:2" coordorigin="1146,433" coordsize="1528,0" path="m1146,433l2674,433e" filled="false" stroked="true" strokeweight=".48001pt" strokecolor="#d9d9d9">
                <v:path arrowok="t"/>
              </v:shape>
            </v:group>
            <v:group style="position:absolute;left:1148;top:116;width:1524;height:312" coordorigin="1148,116" coordsize="1524,312">
              <v:shape style="position:absolute;left:1148;top:116;width:1524;height:312" coordorigin="1148,116" coordsize="1524,312" path="m1148,428l2672,428,2672,116,1148,116,1148,428xe" filled="true" fillcolor="#d9d9d9" stroked="false">
                <v:path arrowok="t"/>
                <v:fill type="solid"/>
              </v:shape>
            </v:group>
            <v:group style="position:absolute;left:2688;top:112;width:1133;height:2" coordorigin="2688,112" coordsize="1133,2">
              <v:shape style="position:absolute;left:2688;top:112;width:1133;height:2" coordorigin="2688,112" coordsize="1133,0" path="m2688,112l3821,112e" filled="false" stroked="true" strokeweight=".47998pt" strokecolor="#d9d9d9">
                <v:path arrowok="t"/>
              </v:shape>
            </v:group>
            <v:group style="position:absolute;left:2688;top:433;width:1133;height:2" coordorigin="2688,433" coordsize="1133,2">
              <v:shape style="position:absolute;left:2688;top:433;width:1133;height:2" coordorigin="2688,433" coordsize="1133,0" path="m2688,433l3821,433e" filled="false" stroked="true" strokeweight=".48001pt" strokecolor="#d9d9d9">
                <v:path arrowok="t"/>
              </v:shape>
            </v:group>
            <v:group style="position:absolute;left:2692;top:116;width:1127;height:312" coordorigin="2692,116" coordsize="1127,312">
              <v:shape style="position:absolute;left:2692;top:116;width:1127;height:312" coordorigin="2692,116" coordsize="1127,312" path="m2692,428l3819,428,3819,116,2692,116,2692,428xe" filled="true" fillcolor="#d9d9d9" stroked="false">
                <v:path arrowok="t"/>
                <v:fill type="solid"/>
              </v:shape>
            </v:group>
            <v:group style="position:absolute;left:3836;top:112;width:2889;height:2" coordorigin="3836,112" coordsize="2889,2">
              <v:shape style="position:absolute;left:3836;top:112;width:2889;height:2" coordorigin="3836,112" coordsize="2889,0" path="m3836,112l6724,112e" filled="false" stroked="true" strokeweight=".47998pt" strokecolor="#d9d9d9">
                <v:path arrowok="t"/>
              </v:shape>
            </v:group>
            <v:group style="position:absolute;left:3836;top:433;width:2889;height:2" coordorigin="3836,433" coordsize="2889,2">
              <v:shape style="position:absolute;left:3836;top:433;width:2889;height:2" coordorigin="3836,433" coordsize="2889,0" path="m3836,433l6724,433e" filled="false" stroked="true" strokeweight=".48001pt" strokecolor="#d9d9d9">
                <v:path arrowok="t"/>
              </v:shape>
            </v:group>
            <v:group style="position:absolute;left:3838;top:116;width:2884;height:312" coordorigin="3838,116" coordsize="2884,312">
              <v:shape style="position:absolute;left:3838;top:116;width:2884;height:312" coordorigin="3838,116" coordsize="2884,312" path="m3838,428l6722,428,6722,116,3838,116,3838,428xe" filled="true" fillcolor="#d9d9d9" stroked="false">
                <v:path arrowok="t"/>
                <v:fill type="solid"/>
              </v:shape>
            </v:group>
            <v:group style="position:absolute;left:6739;top:112;width:4029;height:2" coordorigin="6739,112" coordsize="4029,2">
              <v:shape style="position:absolute;left:6739;top:112;width:4029;height:2" coordorigin="6739,112" coordsize="4029,0" path="m6739,112l10768,112e" filled="false" stroked="true" strokeweight=".47998pt" strokecolor="#d9d9d9">
                <v:path arrowok="t"/>
              </v:shape>
            </v:group>
            <v:group style="position:absolute;left:6741;top:116;width:2;height:312" coordorigin="6741,116" coordsize="2,312">
              <v:shape style="position:absolute;left:6741;top:116;width:2;height:312" coordorigin="6741,116" coordsize="0,312" path="m6741,116l6741,428e" filled="false" stroked="true" strokeweight=".17999pt" strokecolor="#d9d9d9">
                <v:path arrowok="t"/>
              </v:shape>
            </v:group>
            <v:group style="position:absolute;left:10766;top:116;width:2;height:312" coordorigin="10766,116" coordsize="2,312">
              <v:shape style="position:absolute;left:10766;top:116;width:2;height:312" coordorigin="10766,116" coordsize="0,312" path="m10766,116l10766,428e" filled="false" stroked="true" strokeweight=".17999pt" strokecolor="#d9d9d9">
                <v:path arrowok="t"/>
              </v:shape>
            </v:group>
            <v:group style="position:absolute;left:6739;top:433;width:4029;height:2" coordorigin="6739,433" coordsize="4029,2">
              <v:shape style="position:absolute;left:6739;top:433;width:4029;height:2" coordorigin="6739,433" coordsize="4029,0" path="m6739,433l10768,433e" filled="false" stroked="true" strokeweight=".48001pt" strokecolor="#d9d9d9">
                <v:path arrowok="t"/>
              </v:shape>
            </v:group>
            <v:group style="position:absolute;left:6742;top:116;width:4022;height:312" coordorigin="6742,116" coordsize="4022,312">
              <v:shape style="position:absolute;left:6742;top:116;width:4022;height:312" coordorigin="6742,116" coordsize="4022,312" path="m6742,428l10764,428,10764,116,6742,116,6742,428xe" filled="true" fillcolor="#d9d9d9" stroked="false">
                <v:path arrowok="t"/>
                <v:fill type="solid"/>
              </v:shape>
            </v:group>
            <v:group style="position:absolute;left:1146;top:98;width:1528;height:2" coordorigin="1146,98" coordsize="1528,2">
              <v:shape style="position:absolute;left:1146;top:98;width:1528;height:2" coordorigin="1146,98" coordsize="1528,0" path="m1146,98l2674,98e" filled="false" stroked="true" strokeweight=".72pt" strokecolor="#000000">
                <v:path arrowok="t"/>
              </v:shape>
            </v:group>
            <v:group style="position:absolute;left:1146;top:111;width:1528;height:2" coordorigin="1146,111" coordsize="1528,2">
              <v:shape style="position:absolute;left:1146;top:111;width:1528;height:2" coordorigin="1146,111" coordsize="1528,0" path="m1146,111l2674,111e" filled="false" stroked="true" strokeweight=".54001pt" strokecolor="#d9d9d9">
                <v:path arrowok="t"/>
              </v:shape>
            </v:group>
            <v:group style="position:absolute;left:2688;top:98;width:1133;height:2" coordorigin="2688,98" coordsize="1133,2">
              <v:shape style="position:absolute;left:2688;top:98;width:1133;height:2" coordorigin="2688,98" coordsize="1133,0" path="m2688,98l3821,98e" filled="false" stroked="true" strokeweight=".72pt" strokecolor="#000000">
                <v:path arrowok="t"/>
              </v:shape>
            </v:group>
            <v:group style="position:absolute;left:2688;top:111;width:1133;height:2" coordorigin="2688,111" coordsize="1133,2">
              <v:shape style="position:absolute;left:2688;top:111;width:1133;height:2" coordorigin="2688,111" coordsize="1133,0" path="m2688,111l3821,111e" filled="false" stroked="true" strokeweight=".54001pt" strokecolor="#d9d9d9">
                <v:path arrowok="t"/>
              </v:shape>
            </v:group>
            <v:group style="position:absolute;left:3836;top:98;width:2889;height:2" coordorigin="3836,98" coordsize="2889,2">
              <v:shape style="position:absolute;left:3836;top:98;width:2889;height:2" coordorigin="3836,98" coordsize="2889,0" path="m3836,98l6724,98e" filled="false" stroked="true" strokeweight=".72pt" strokecolor="#000000">
                <v:path arrowok="t"/>
              </v:shape>
            </v:group>
            <v:group style="position:absolute;left:3836;top:111;width:2889;height:2" coordorigin="3836,111" coordsize="2889,2">
              <v:shape style="position:absolute;left:3836;top:111;width:2889;height:2" coordorigin="3836,111" coordsize="2889,0" path="m3836,111l6724,111e" filled="false" stroked="true" strokeweight=".54001pt" strokecolor="#d9d9d9">
                <v:path arrowok="t"/>
              </v:shape>
            </v:group>
            <v:group style="position:absolute;left:6739;top:98;width:4029;height:2" coordorigin="6739,98" coordsize="4029,2">
              <v:shape style="position:absolute;left:6739;top:98;width:4029;height:2" coordorigin="6739,98" coordsize="4029,0" path="m6739,98l10768,98e" filled="false" stroked="true" strokeweight=".72pt" strokecolor="#000000">
                <v:path arrowok="t"/>
              </v:shape>
            </v:group>
            <v:group style="position:absolute;left:6739;top:111;width:4029;height:2" coordorigin="6739,111" coordsize="4029,2">
              <v:shape style="position:absolute;left:6739;top:111;width:4029;height:2" coordorigin="6739,111" coordsize="4029,0" path="m6739,111l10768,111e" filled="false" stroked="true" strokeweight=".54001pt" strokecolor="#d9d9d9">
                <v:path arrowok="t"/>
              </v:shape>
            </v:group>
            <v:group style="position:absolute;left:1140;top:432;width:1542;height:2" coordorigin="1140,432" coordsize="1542,2">
              <v:shape style="position:absolute;left:1140;top:432;width:1542;height:2" coordorigin="1140,432" coordsize="1542,0" path="m1140,432l2681,432e" filled="false" stroked="true" strokeweight=".47998pt" strokecolor="#d9d9d9">
                <v:path arrowok="t"/>
              </v:shape>
            </v:group>
            <v:group style="position:absolute;left:2682;top:432;width:1146;height:2" coordorigin="2682,432" coordsize="1146,2">
              <v:shape style="position:absolute;left:2682;top:432;width:1146;height:2" coordorigin="2682,432" coordsize="1146,0" path="m2682,432l3828,432e" filled="false" stroked="true" strokeweight=".47998pt" strokecolor="#d9d9d9">
                <v:path arrowok="t"/>
              </v:shape>
            </v:group>
            <v:group style="position:absolute;left:3828;top:432;width:2904;height:2" coordorigin="3828,432" coordsize="2904,2">
              <v:shape style="position:absolute;left:3828;top:432;width:2904;height:2" coordorigin="3828,432" coordsize="2904,0" path="m3828,432l6732,432e" filled="false" stroked="true" strokeweight=".47998pt" strokecolor="#d9d9d9">
                <v:path arrowok="t"/>
              </v:shape>
            </v:group>
            <v:group style="position:absolute;left:6733;top:432;width:4041;height:2" coordorigin="6733,432" coordsize="4041,2">
              <v:shape style="position:absolute;left:6733;top:432;width:4041;height:2" coordorigin="6733,432" coordsize="4041,0" path="m6733,432l10774,432e" filled="false" stroked="true" strokeweight=".47998pt" strokecolor="#d9d9d9">
                <v:path arrowok="t"/>
              </v:shape>
            </v:group>
            <v:group style="position:absolute;left:1146;top:445;width:1528;height:2" coordorigin="1146,445" coordsize="1528,2">
              <v:shape style="position:absolute;left:1146;top:445;width:1528;height:2" coordorigin="1146,445" coordsize="1528,0" path="m1146,445l2674,445e" filled="false" stroked="true" strokeweight=".72pt" strokecolor="#000000">
                <v:path arrowok="t"/>
              </v:shape>
            </v:group>
            <v:group style="position:absolute;left:2688;top:445;width:1133;height:2" coordorigin="2688,445" coordsize="1133,2">
              <v:shape style="position:absolute;left:2688;top:445;width:1133;height:2" coordorigin="2688,445" coordsize="1133,0" path="m2688,445l3821,445e" filled="false" stroked="true" strokeweight=".72pt" strokecolor="#000000">
                <v:path arrowok="t"/>
              </v:shape>
            </v:group>
            <v:group style="position:absolute;left:3836;top:445;width:2889;height:2" coordorigin="3836,445" coordsize="2889,2">
              <v:shape style="position:absolute;left:3836;top:445;width:2889;height:2" coordorigin="3836,445" coordsize="2889,0" path="m3836,445l6724,445e" filled="false" stroked="true" strokeweight=".72pt" strokecolor="#000000">
                <v:path arrowok="t"/>
              </v:shape>
            </v:group>
            <v:group style="position:absolute;left:6739;top:445;width:4029;height:2" coordorigin="6739,445" coordsize="4029,2">
              <v:shape style="position:absolute;left:6739;top:445;width:4029;height:2" coordorigin="6739,445" coordsize="4029,0" path="m6739,445l10768,445e" filled="false" stroked="true" strokeweight=".72pt" strokecolor="#000000">
                <v:path arrowok="t"/>
              </v:shape>
            </v:group>
            <v:group style="position:absolute;left:1146;top:1104;width:1528;height:2" coordorigin="1146,1104" coordsize="1528,2">
              <v:shape style="position:absolute;left:1146;top:1104;width:1528;height:2" coordorigin="1146,1104" coordsize="1528,0" path="m1146,1104l2674,1104e" filled="false" stroked="true" strokeweight=".72pt" strokecolor="#000000">
                <v:path arrowok="t"/>
              </v:shape>
            </v:group>
            <v:group style="position:absolute;left:2688;top:1104;width:1133;height:2" coordorigin="2688,1104" coordsize="1133,2">
              <v:shape style="position:absolute;left:2688;top:1104;width:1133;height:2" coordorigin="2688,1104" coordsize="1133,0" path="m2688,1104l3821,1104e" filled="false" stroked="true" strokeweight=".72pt" strokecolor="#000000">
                <v:path arrowok="t"/>
              </v:shape>
            </v:group>
            <v:group style="position:absolute;left:3836;top:1104;width:2889;height:2" coordorigin="3836,1104" coordsize="2889,2">
              <v:shape style="position:absolute;left:3836;top:1104;width:2889;height:2" coordorigin="3836,1104" coordsize="2889,0" path="m3836,1104l6724,1104e" filled="false" stroked="true" strokeweight=".72pt" strokecolor="#000000">
                <v:path arrowok="t"/>
              </v:shape>
            </v:group>
            <v:group style="position:absolute;left:6739;top:1104;width:4029;height:2" coordorigin="6739,1104" coordsize="4029,2">
              <v:shape style="position:absolute;left:6739;top:1104;width:4029;height:2" coordorigin="6739,1104" coordsize="4029,0" path="m6739,1104l10768,1104e" filled="false" stroked="true" strokeweight=".72pt" strokecolor="#000000">
                <v:path arrowok="t"/>
              </v:shape>
            </v:group>
            <v:group style="position:absolute;left:1146;top:2387;width:1528;height:2" coordorigin="1146,2387" coordsize="1528,2">
              <v:shape style="position:absolute;left:1146;top:2387;width:1528;height:2" coordorigin="1146,2387" coordsize="1528,0" path="m1146,2387l2674,2387e" filled="false" stroked="true" strokeweight=".72pt" strokecolor="#000000">
                <v:path arrowok="t"/>
              </v:shape>
            </v:group>
            <v:group style="position:absolute;left:2688;top:2387;width:1133;height:2" coordorigin="2688,2387" coordsize="1133,2">
              <v:shape style="position:absolute;left:2688;top:2387;width:1133;height:2" coordorigin="2688,2387" coordsize="1133,0" path="m2688,2387l3821,2387e" filled="false" stroked="true" strokeweight=".72pt" strokecolor="#000000">
                <v:path arrowok="t"/>
              </v:shape>
            </v:group>
            <v:group style="position:absolute;left:3836;top:2387;width:2889;height:2" coordorigin="3836,2387" coordsize="2889,2">
              <v:shape style="position:absolute;left:3836;top:2387;width:2889;height:2" coordorigin="3836,2387" coordsize="2889,0" path="m3836,2387l6724,2387e" filled="false" stroked="true" strokeweight=".72pt" strokecolor="#000000">
                <v:path arrowok="t"/>
              </v:shape>
            </v:group>
            <v:group style="position:absolute;left:6739;top:2387;width:4029;height:2" coordorigin="6739,2387" coordsize="4029,2">
              <v:shape style="position:absolute;left:6739;top:2387;width:4029;height:2" coordorigin="6739,2387" coordsize="4029,0" path="m6739,2387l10768,2387e" filled="false" stroked="true" strokeweight=".72pt" strokecolor="#000000">
                <v:path arrowok="t"/>
              </v:shape>
            </v:group>
            <v:group style="position:absolute;left:1146;top:3046;width:1528;height:2" coordorigin="1146,3046" coordsize="1528,2">
              <v:shape style="position:absolute;left:1146;top:3046;width:1528;height:2" coordorigin="1146,3046" coordsize="1528,0" path="m1146,3046l2674,3046e" filled="false" stroked="true" strokeweight=".72pt" strokecolor="#000000">
                <v:path arrowok="t"/>
              </v:shape>
            </v:group>
            <v:group style="position:absolute;left:2688;top:3046;width:1133;height:2" coordorigin="2688,3046" coordsize="1133,2">
              <v:shape style="position:absolute;left:2688;top:3046;width:1133;height:2" coordorigin="2688,3046" coordsize="1133,0" path="m2688,3046l3821,3046e" filled="false" stroked="true" strokeweight=".72pt" strokecolor="#000000">
                <v:path arrowok="t"/>
              </v:shape>
            </v:group>
            <v:group style="position:absolute;left:3836;top:3046;width:2889;height:2" coordorigin="3836,3046" coordsize="2889,2">
              <v:shape style="position:absolute;left:3836;top:3046;width:2889;height:2" coordorigin="3836,3046" coordsize="2889,0" path="m3836,3046l6724,3046e" filled="false" stroked="true" strokeweight=".72pt" strokecolor="#000000">
                <v:path arrowok="t"/>
              </v:shape>
            </v:group>
            <v:group style="position:absolute;left:6739;top:3046;width:4029;height:2" coordorigin="6739,3046" coordsize="4029,2">
              <v:shape style="position:absolute;left:6739;top:3046;width:4029;height:2" coordorigin="6739,3046" coordsize="4029,0" path="m6739,3046l10768,3046e" filled="false" stroked="true" strokeweight=".72pt" strokecolor="#000000">
                <v:path arrowok="t"/>
              </v:shape>
            </v:group>
            <v:group style="position:absolute;left:1146;top:4018;width:1528;height:2" coordorigin="1146,4018" coordsize="1528,2">
              <v:shape style="position:absolute;left:1146;top:4018;width:1528;height:2" coordorigin="1146,4018" coordsize="1528,0" path="m1146,4018l2674,4018e" filled="false" stroked="true" strokeweight=".72003pt" strokecolor="#000000">
                <v:path arrowok="t"/>
              </v:shape>
            </v:group>
            <v:group style="position:absolute;left:2688;top:4018;width:1133;height:2" coordorigin="2688,4018" coordsize="1133,2">
              <v:shape style="position:absolute;left:2688;top:4018;width:1133;height:2" coordorigin="2688,4018" coordsize="1133,0" path="m2688,4018l3821,4018e" filled="false" stroked="true" strokeweight=".72003pt" strokecolor="#000000">
                <v:path arrowok="t"/>
              </v:shape>
            </v:group>
            <v:group style="position:absolute;left:3836;top:4018;width:2889;height:2" coordorigin="3836,4018" coordsize="2889,2">
              <v:shape style="position:absolute;left:3836;top:4018;width:2889;height:2" coordorigin="3836,4018" coordsize="2889,0" path="m3836,4018l6724,4018e" filled="false" stroked="true" strokeweight=".72003pt" strokecolor="#000000">
                <v:path arrowok="t"/>
              </v:shape>
            </v:group>
            <v:group style="position:absolute;left:6739;top:4018;width:4029;height:2" coordorigin="6739,4018" coordsize="4029,2">
              <v:shape style="position:absolute;left:6739;top:4018;width:4029;height:2" coordorigin="6739,4018" coordsize="4029,0" path="m6739,4018l10768,4018e" filled="false" stroked="true" strokeweight=".72003pt" strokecolor="#000000">
                <v:path arrowok="t"/>
              </v:shape>
            </v:group>
            <v:group style="position:absolute;left:1146;top:4989;width:1528;height:2" coordorigin="1146,4989" coordsize="1528,2">
              <v:shape style="position:absolute;left:1146;top:4989;width:1528;height:2" coordorigin="1146,4989" coordsize="1528,0" path="m1146,4989l2674,4989e" filled="false" stroked="true" strokeweight=".71997pt" strokecolor="#000000">
                <v:path arrowok="t"/>
              </v:shape>
            </v:group>
            <v:group style="position:absolute;left:2688;top:4989;width:1133;height:2" coordorigin="2688,4989" coordsize="1133,2">
              <v:shape style="position:absolute;left:2688;top:4989;width:1133;height:2" coordorigin="2688,4989" coordsize="1133,0" path="m2688,4989l3821,4989e" filled="false" stroked="true" strokeweight=".71997pt" strokecolor="#000000">
                <v:path arrowok="t"/>
              </v:shape>
            </v:group>
            <v:group style="position:absolute;left:3836;top:4989;width:2889;height:2" coordorigin="3836,4989" coordsize="2889,2">
              <v:shape style="position:absolute;left:3836;top:4989;width:2889;height:2" coordorigin="3836,4989" coordsize="2889,0" path="m3836,4989l6724,4989e" filled="false" stroked="true" strokeweight=".71997pt" strokecolor="#000000">
                <v:path arrowok="t"/>
              </v:shape>
            </v:group>
            <v:group style="position:absolute;left:6739;top:4989;width:4029;height:2" coordorigin="6739,4989" coordsize="4029,2">
              <v:shape style="position:absolute;left:6739;top:4989;width:4029;height:2" coordorigin="6739,4989" coordsize="4029,0" path="m6739,4989l10768,4989e" filled="false" stroked="true" strokeweight=".71997pt" strokecolor="#000000">
                <v:path arrowok="t"/>
              </v:shape>
            </v:group>
            <v:group style="position:absolute;left:1146;top:5648;width:1528;height:2" coordorigin="1146,5648" coordsize="1528,2">
              <v:shape style="position:absolute;left:1146;top:5648;width:1528;height:2" coordorigin="1146,5648" coordsize="1528,0" path="m1146,5648l2674,5648e" filled="false" stroked="true" strokeweight=".71997pt" strokecolor="#000000">
                <v:path arrowok="t"/>
              </v:shape>
            </v:group>
            <v:group style="position:absolute;left:2688;top:5648;width:1133;height:2" coordorigin="2688,5648" coordsize="1133,2">
              <v:shape style="position:absolute;left:2688;top:5648;width:1133;height:2" coordorigin="2688,5648" coordsize="1133,0" path="m2688,5648l3821,5648e" filled="false" stroked="true" strokeweight=".71997pt" strokecolor="#000000">
                <v:path arrowok="t"/>
              </v:shape>
            </v:group>
            <v:group style="position:absolute;left:3836;top:5648;width:2889;height:2" coordorigin="3836,5648" coordsize="2889,2">
              <v:shape style="position:absolute;left:3836;top:5648;width:2889;height:2" coordorigin="3836,5648" coordsize="2889,0" path="m3836,5648l6724,5648e" filled="false" stroked="true" strokeweight=".71997pt" strokecolor="#000000">
                <v:path arrowok="t"/>
              </v:shape>
            </v:group>
            <v:group style="position:absolute;left:6739;top:5648;width:4029;height:2" coordorigin="6739,5648" coordsize="4029,2">
              <v:shape style="position:absolute;left:6739;top:5648;width:4029;height:2" coordorigin="6739,5648" coordsize="4029,0" path="m6739,5648l10768,5648e" filled="false" stroked="true" strokeweight=".71997pt" strokecolor="#000000">
                <v:path arrowok="t"/>
              </v:shape>
            </v:group>
            <v:group style="position:absolute;left:1146;top:6306;width:1528;height:2" coordorigin="1146,6306" coordsize="1528,2">
              <v:shape style="position:absolute;left:1146;top:6306;width:1528;height:2" coordorigin="1146,6306" coordsize="1528,0" path="m1146,6306l2674,6306e" filled="false" stroked="true" strokeweight=".71997pt" strokecolor="#000000">
                <v:path arrowok="t"/>
              </v:shape>
            </v:group>
            <v:group style="position:absolute;left:2688;top:6306;width:1133;height:2" coordorigin="2688,6306" coordsize="1133,2">
              <v:shape style="position:absolute;left:2688;top:6306;width:1133;height:2" coordorigin="2688,6306" coordsize="1133,0" path="m2688,6306l3821,6306e" filled="false" stroked="true" strokeweight=".71997pt" strokecolor="#000000">
                <v:path arrowok="t"/>
              </v:shape>
            </v:group>
            <v:group style="position:absolute;left:3836;top:6306;width:2889;height:2" coordorigin="3836,6306" coordsize="2889,2">
              <v:shape style="position:absolute;left:3836;top:6306;width:2889;height:2" coordorigin="3836,6306" coordsize="2889,0" path="m3836,6306l6724,6306e" filled="false" stroked="true" strokeweight=".71997pt" strokecolor="#000000">
                <v:path arrowok="t"/>
              </v:shape>
            </v:group>
            <v:group style="position:absolute;left:6739;top:6306;width:4029;height:2" coordorigin="6739,6306" coordsize="4029,2">
              <v:shape style="position:absolute;left:6739;top:6306;width:4029;height:2" coordorigin="6739,6306" coordsize="4029,0" path="m6739,6306l10768,6306e" filled="false" stroked="true" strokeweight=".71997pt" strokecolor="#000000">
                <v:path arrowok="t"/>
              </v:shape>
            </v:group>
            <v:group style="position:absolute;left:1146;top:7278;width:1528;height:2" coordorigin="1146,7278" coordsize="1528,2">
              <v:shape style="position:absolute;left:1146;top:7278;width:1528;height:2" coordorigin="1146,7278" coordsize="1528,0" path="m1146,7278l2674,7278e" filled="false" stroked="true" strokeweight=".71997pt" strokecolor="#000000">
                <v:path arrowok="t"/>
              </v:shape>
            </v:group>
            <v:group style="position:absolute;left:2688;top:7278;width:1133;height:2" coordorigin="2688,7278" coordsize="1133,2">
              <v:shape style="position:absolute;left:2688;top:7278;width:1133;height:2" coordorigin="2688,7278" coordsize="1133,0" path="m2688,7278l3821,7278e" filled="false" stroked="true" strokeweight=".71997pt" strokecolor="#000000">
                <v:path arrowok="t"/>
              </v:shape>
            </v:group>
            <v:group style="position:absolute;left:3836;top:7278;width:2889;height:2" coordorigin="3836,7278" coordsize="2889,2">
              <v:shape style="position:absolute;left:3836;top:7278;width:2889;height:2" coordorigin="3836,7278" coordsize="2889,0" path="m3836,7278l6724,7278e" filled="false" stroked="true" strokeweight=".71997pt" strokecolor="#000000">
                <v:path arrowok="t"/>
              </v:shape>
            </v:group>
            <v:group style="position:absolute;left:6739;top:7278;width:4029;height:2" coordorigin="6739,7278" coordsize="4029,2">
              <v:shape style="position:absolute;left:6739;top:7278;width:4029;height:2" coordorigin="6739,7278" coordsize="4029,0" path="m6739,7278l10768,7278e" filled="false" stroked="true" strokeweight=".71997pt" strokecolor="#000000">
                <v:path arrowok="t"/>
              </v:shape>
            </v:group>
            <v:group style="position:absolute;left:1139;top:91;width:2;height:8166" coordorigin="1139,91" coordsize="2,8166">
              <v:shape style="position:absolute;left:1139;top:91;width:2;height:8166" coordorigin="1139,91" coordsize="0,8166" path="m1139,91l1139,8257e" filled="false" stroked="true" strokeweight=".72pt" strokecolor="#000000">
                <v:path arrowok="t"/>
              </v:shape>
            </v:group>
            <v:group style="position:absolute;left:1146;top:8250;width:1528;height:2" coordorigin="1146,8250" coordsize="1528,2">
              <v:shape style="position:absolute;left:1146;top:8250;width:1528;height:2" coordorigin="1146,8250" coordsize="1528,0" path="m1146,8250l2674,8250e" filled="false" stroked="true" strokeweight=".72003pt" strokecolor="#000000">
                <v:path arrowok="t"/>
              </v:shape>
            </v:group>
            <v:group style="position:absolute;left:2688;top:8250;width:1133;height:2" coordorigin="2688,8250" coordsize="1133,2">
              <v:shape style="position:absolute;left:2688;top:8250;width:1133;height:2" coordorigin="2688,8250" coordsize="1133,0" path="m2688,8250l3821,8250e" filled="false" stroked="true" strokeweight=".72003pt" strokecolor="#000000">
                <v:path arrowok="t"/>
              </v:shape>
            </v:group>
            <v:group style="position:absolute;left:3836;top:8250;width:2889;height:2" coordorigin="3836,8250" coordsize="2889,2">
              <v:shape style="position:absolute;left:3836;top:8250;width:2889;height:2" coordorigin="3836,8250" coordsize="2889,0" path="m3836,8250l6724,8250e" filled="false" stroked="true" strokeweight=".72003pt" strokecolor="#000000">
                <v:path arrowok="t"/>
              </v:shape>
            </v:group>
            <v:group style="position:absolute;left:6739;top:8250;width:4029;height:2" coordorigin="6739,8250" coordsize="4029,2">
              <v:shape style="position:absolute;left:6739;top:8250;width:4029;height:2" coordorigin="6739,8250" coordsize="4029,0" path="m6739,8250l10768,8250e" filled="false" stroked="true" strokeweight=".72003pt" strokecolor="#000000">
                <v:path arrowok="t"/>
              </v:shape>
            </v:group>
            <v:group style="position:absolute;left:10775;top:91;width:2;height:8166" coordorigin="10775,91" coordsize="2,8166">
              <v:shape style="position:absolute;left:10775;top:91;width:2;height:8166" coordorigin="10775,91" coordsize="0,8166" path="m10775,91l10775,8257e" filled="false" stroked="true" strokeweight=".71997pt" strokecolor="#000000">
                <v:path arrowok="t"/>
              </v:shape>
            </v:group>
            <w10:wrap type="none"/>
          </v:group>
        </w:pict>
      </w:r>
      <w:r>
        <w:rPr/>
        <w:pict>
          <v:shape style="position:absolute;margin-left:56.939999pt;margin-top:4.921705pt;width:280pt;height:407.6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42"/>
                    <w:gridCol w:w="1147"/>
                    <w:gridCol w:w="2903"/>
                  </w:tblGrid>
                  <w:tr>
                    <w:trPr>
                      <w:trHeight w:val="347" w:hRule="exact"/>
                    </w:trPr>
                    <w:tc>
                      <w:tcPr>
                        <w:tcW w:w="1542" w:type="dxa"/>
                        <w:tcBorders>
                          <w:top w:val="nil" w:sz="6" w:space="0" w:color="auto"/>
                          <w:left w:val="nil" w:sz="6" w:space="0" w:color="auto"/>
                          <w:bottom w:val="nil" w:sz="6" w:space="0" w:color="auto"/>
                          <w:right w:val="single" w:sz="6" w:space="0" w:color="000000"/>
                        </w:tcBorders>
                        <w:shd w:val="clear" w:color="auto" w:fill="D9D9D9"/>
                      </w:tcPr>
                      <w:p>
                        <w:pPr>
                          <w:pStyle w:val="TableParagraph"/>
                          <w:spacing w:line="240" w:lineRule="auto" w:before="28"/>
                          <w:ind w:left="5" w:right="0"/>
                          <w:jc w:val="center"/>
                          <w:rPr>
                            <w:rFonts w:ascii="宋体" w:hAnsi="宋体" w:cs="宋体" w:eastAsia="宋体" w:hint="default"/>
                            <w:sz w:val="18"/>
                            <w:szCs w:val="18"/>
                          </w:rPr>
                        </w:pPr>
                        <w:r>
                          <w:rPr>
                            <w:rFonts w:ascii="宋体" w:hAnsi="宋体" w:cs="宋体" w:eastAsia="宋体" w:hint="default"/>
                            <w:sz w:val="18"/>
                            <w:szCs w:val="18"/>
                          </w:rPr>
                          <w:t>披露时间</w:t>
                        </w:r>
                      </w:p>
                    </w:tc>
                    <w:tc>
                      <w:tcPr>
                        <w:tcW w:w="1147" w:type="dxa"/>
                        <w:tcBorders>
                          <w:top w:val="nil" w:sz="6" w:space="0" w:color="auto"/>
                          <w:left w:val="single" w:sz="6" w:space="0" w:color="000000"/>
                          <w:bottom w:val="nil" w:sz="6" w:space="0" w:color="auto"/>
                          <w:right w:val="single" w:sz="6" w:space="0" w:color="000000"/>
                        </w:tcBorders>
                        <w:shd w:val="clear" w:color="auto" w:fill="D9D9D9"/>
                      </w:tcPr>
                      <w:p>
                        <w:pPr>
                          <w:pStyle w:val="TableParagraph"/>
                          <w:spacing w:line="240" w:lineRule="auto" w:before="28"/>
                          <w:ind w:left="206"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2903" w:type="dxa"/>
                        <w:tcBorders>
                          <w:top w:val="nil" w:sz="6" w:space="0" w:color="auto"/>
                          <w:left w:val="single" w:sz="6" w:space="0" w:color="000000"/>
                          <w:bottom w:val="nil" w:sz="6" w:space="0" w:color="auto"/>
                          <w:right w:val="single" w:sz="6" w:space="0" w:color="000000"/>
                        </w:tcBorders>
                        <w:shd w:val="clear" w:color="auto" w:fill="D9D9D9"/>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公告名称</w:t>
                        </w:r>
                      </w:p>
                    </w:tc>
                  </w:tr>
                  <w:tr>
                    <w:trPr>
                      <w:trHeight w:val="659" w:hRule="exact"/>
                    </w:trPr>
                    <w:tc>
                      <w:tcPr>
                        <w:tcW w:w="1542" w:type="dxa"/>
                        <w:tcBorders>
                          <w:top w:val="nil" w:sz="6" w:space="0" w:color="auto"/>
                          <w:left w:val="nil" w:sz="6" w:space="0" w:color="auto"/>
                          <w:bottom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03</w:t>
                        </w:r>
                        <w:r>
                          <w:rPr>
                            <w:rFonts w:ascii="宋体" w:hAnsi="宋体" w:cs="宋体" w:eastAsia="宋体" w:hint="default"/>
                            <w:sz w:val="18"/>
                            <w:szCs w:val="18"/>
                          </w:rPr>
                          <w:t>月</w:t>
                        </w:r>
                        <w:r>
                          <w:rPr>
                            <w:rFonts w:ascii="宋体" w:hAnsi="宋体" w:cs="宋体" w:eastAsia="宋体" w:hint="default"/>
                            <w:sz w:val="18"/>
                            <w:szCs w:val="18"/>
                          </w:rPr>
                          <w:t>01</w:t>
                        </w:r>
                        <w:r>
                          <w:rPr>
                            <w:rFonts w:ascii="宋体" w:hAnsi="宋体" w:cs="宋体" w:eastAsia="宋体" w:hint="default"/>
                            <w:sz w:val="18"/>
                            <w:szCs w:val="18"/>
                          </w:rPr>
                          <w:t>日</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sz w:val="18"/>
                          </w:rPr>
                          <w:t>2018-006</w:t>
                        </w:r>
                      </w:p>
                    </w:tc>
                    <w:tc>
                      <w:tcPr>
                        <w:tcW w:w="2903" w:type="dxa"/>
                        <w:tcBorders>
                          <w:top w:val="nil" w:sz="6" w:space="0" w:color="auto"/>
                          <w:left w:val="single" w:sz="6" w:space="0" w:color="000000"/>
                          <w:bottom w:val="nil" w:sz="6" w:space="0" w:color="auto"/>
                          <w:right w:val="single" w:sz="6" w:space="0" w:color="000000"/>
                        </w:tcBorders>
                      </w:tcPr>
                      <w:p>
                        <w:pPr>
                          <w:pStyle w:val="TableParagraph"/>
                          <w:spacing w:line="316" w:lineRule="auto" w:before="28"/>
                          <w:ind w:left="363" w:right="363"/>
                          <w:jc w:val="left"/>
                          <w:rPr>
                            <w:rFonts w:ascii="宋体" w:hAnsi="宋体" w:cs="宋体" w:eastAsia="宋体" w:hint="default"/>
                            <w:sz w:val="18"/>
                            <w:szCs w:val="18"/>
                          </w:rPr>
                        </w:pPr>
                        <w:r>
                          <w:rPr>
                            <w:rFonts w:ascii="宋体" w:hAnsi="宋体" w:cs="宋体" w:eastAsia="宋体" w:hint="default"/>
                            <w:sz w:val="18"/>
                            <w:szCs w:val="18"/>
                          </w:rPr>
                          <w:t>西安环球印务股份有限公司 筹划重大资产重组停牌公告</w:t>
                        </w:r>
                      </w:p>
                    </w:tc>
                  </w:tr>
                  <w:tr>
                    <w:trPr>
                      <w:trHeight w:val="1283" w:hRule="exact"/>
                    </w:trPr>
                    <w:tc>
                      <w:tcPr>
                        <w:tcW w:w="1542" w:type="dxa"/>
                        <w:tcBorders>
                          <w:top w:val="nil" w:sz="6" w:space="0" w:color="auto"/>
                          <w:left w:val="nil" w:sz="6" w:space="0" w:color="auto"/>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03</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06" w:right="0"/>
                          <w:jc w:val="left"/>
                          <w:rPr>
                            <w:rFonts w:ascii="宋体" w:hAnsi="宋体" w:cs="宋体" w:eastAsia="宋体" w:hint="default"/>
                            <w:sz w:val="18"/>
                            <w:szCs w:val="18"/>
                          </w:rPr>
                        </w:pPr>
                        <w:r>
                          <w:rPr>
                            <w:rFonts w:ascii="宋体"/>
                            <w:sz w:val="18"/>
                          </w:rPr>
                          <w:t>2018-019</w:t>
                        </w:r>
                      </w:p>
                    </w:tc>
                    <w:tc>
                      <w:tcPr>
                        <w:tcW w:w="2903"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3" w:right="3"/>
                          <w:jc w:val="center"/>
                          <w:rPr>
                            <w:rFonts w:ascii="宋体" w:hAnsi="宋体" w:cs="宋体" w:eastAsia="宋体" w:hint="default"/>
                            <w:sz w:val="18"/>
                            <w:szCs w:val="18"/>
                          </w:rPr>
                        </w:pPr>
                        <w:r>
                          <w:rPr>
                            <w:rFonts w:ascii="宋体" w:hAnsi="宋体" w:cs="宋体" w:eastAsia="宋体" w:hint="default"/>
                            <w:sz w:val="18"/>
                            <w:szCs w:val="18"/>
                          </w:rPr>
                          <w:t>西安环球印务股份有限公司关于公司 监事会监事辞职及增补公司监事的公 告</w:t>
                        </w:r>
                      </w:p>
                    </w:tc>
                  </w:tr>
                  <w:tr>
                    <w:trPr>
                      <w:trHeight w:val="659" w:hRule="exact"/>
                    </w:trPr>
                    <w:tc>
                      <w:tcPr>
                        <w:tcW w:w="1542" w:type="dxa"/>
                        <w:tcBorders>
                          <w:top w:val="nil" w:sz="6" w:space="0" w:color="auto"/>
                          <w:left w:val="nil" w:sz="6" w:space="0" w:color="auto"/>
                          <w:bottom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03</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sz w:val="18"/>
                          </w:rPr>
                          <w:t>2018-021</w:t>
                        </w:r>
                      </w:p>
                    </w:tc>
                    <w:tc>
                      <w:tcPr>
                        <w:tcW w:w="2903" w:type="dxa"/>
                        <w:tcBorders>
                          <w:top w:val="nil" w:sz="6" w:space="0" w:color="auto"/>
                          <w:left w:val="single" w:sz="6" w:space="0" w:color="000000"/>
                          <w:bottom w:val="nil" w:sz="6" w:space="0" w:color="auto"/>
                          <w:right w:val="single" w:sz="6" w:space="0" w:color="000000"/>
                        </w:tcBorders>
                      </w:tcPr>
                      <w:p>
                        <w:pPr>
                          <w:pStyle w:val="TableParagraph"/>
                          <w:spacing w:line="316" w:lineRule="auto" w:before="28"/>
                          <w:ind w:left="813" w:right="3" w:hanging="810"/>
                          <w:jc w:val="left"/>
                          <w:rPr>
                            <w:rFonts w:ascii="宋体" w:hAnsi="宋体" w:cs="宋体" w:eastAsia="宋体" w:hint="default"/>
                            <w:sz w:val="18"/>
                            <w:szCs w:val="18"/>
                          </w:rPr>
                        </w:pPr>
                        <w:r>
                          <w:rPr>
                            <w:rFonts w:ascii="宋体" w:hAnsi="宋体" w:cs="宋体" w:eastAsia="宋体" w:hint="default"/>
                            <w:sz w:val="18"/>
                            <w:szCs w:val="18"/>
                          </w:rPr>
                          <w:t>西安环球印务股份有限公司关于会计 政策变更的公告</w:t>
                        </w:r>
                      </w:p>
                    </w:tc>
                  </w:tr>
                  <w:tr>
                    <w:trPr>
                      <w:trHeight w:val="972" w:hRule="exact"/>
                    </w:trPr>
                    <w:tc>
                      <w:tcPr>
                        <w:tcW w:w="1542" w:type="dxa"/>
                        <w:tcBorders>
                          <w:top w:val="nil" w:sz="6" w:space="0" w:color="auto"/>
                          <w:left w:val="nil" w:sz="6" w:space="0" w:color="auto"/>
                          <w:bottom w:val="nil" w:sz="6" w:space="0" w:color="auto"/>
                          <w:right w:val="single" w:sz="6"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03</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206" w:right="0"/>
                          <w:jc w:val="left"/>
                          <w:rPr>
                            <w:rFonts w:ascii="宋体" w:hAnsi="宋体" w:cs="宋体" w:eastAsia="宋体" w:hint="default"/>
                            <w:sz w:val="18"/>
                            <w:szCs w:val="18"/>
                          </w:rPr>
                        </w:pPr>
                        <w:r>
                          <w:rPr>
                            <w:rFonts w:ascii="宋体"/>
                            <w:sz w:val="18"/>
                          </w:rPr>
                          <w:t>2018-022</w:t>
                        </w:r>
                      </w:p>
                    </w:tc>
                    <w:tc>
                      <w:tcPr>
                        <w:tcW w:w="2903" w:type="dxa"/>
                        <w:tcBorders>
                          <w:top w:val="nil" w:sz="6" w:space="0" w:color="auto"/>
                          <w:left w:val="single" w:sz="6" w:space="0" w:color="000000"/>
                          <w:bottom w:val="nil" w:sz="6" w:space="0" w:color="auto"/>
                          <w:right w:val="single" w:sz="6" w:space="0" w:color="000000"/>
                        </w:tcBorders>
                      </w:tcPr>
                      <w:p>
                        <w:pPr>
                          <w:pStyle w:val="TableParagraph"/>
                          <w:spacing w:line="316" w:lineRule="auto" w:before="28"/>
                          <w:ind w:left="3" w:right="3"/>
                          <w:jc w:val="center"/>
                          <w:rPr>
                            <w:rFonts w:ascii="宋体" w:hAnsi="宋体" w:cs="宋体" w:eastAsia="宋体" w:hint="default"/>
                            <w:sz w:val="18"/>
                            <w:szCs w:val="18"/>
                          </w:rPr>
                        </w:pPr>
                        <w:r>
                          <w:rPr>
                            <w:rFonts w:ascii="宋体" w:hAnsi="宋体" w:cs="宋体" w:eastAsia="宋体" w:hint="default"/>
                            <w:sz w:val="18"/>
                            <w:szCs w:val="18"/>
                          </w:rPr>
                          <w:t>西安环球印务股份有限公司关于公司 董事会董事辞职及增补公司董事的公 告</w:t>
                        </w:r>
                      </w:p>
                    </w:tc>
                  </w:tr>
                  <w:tr>
                    <w:trPr>
                      <w:trHeight w:val="971" w:hRule="exact"/>
                    </w:trPr>
                    <w:tc>
                      <w:tcPr>
                        <w:tcW w:w="1542" w:type="dxa"/>
                        <w:tcBorders>
                          <w:top w:val="nil" w:sz="6" w:space="0" w:color="auto"/>
                          <w:left w:val="nil" w:sz="6" w:space="0" w:color="auto"/>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05</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06" w:right="0"/>
                          <w:jc w:val="left"/>
                          <w:rPr>
                            <w:rFonts w:ascii="宋体" w:hAnsi="宋体" w:cs="宋体" w:eastAsia="宋体" w:hint="default"/>
                            <w:sz w:val="18"/>
                            <w:szCs w:val="18"/>
                          </w:rPr>
                        </w:pPr>
                        <w:r>
                          <w:rPr>
                            <w:rFonts w:ascii="宋体"/>
                            <w:sz w:val="18"/>
                          </w:rPr>
                          <w:t>2018-040</w:t>
                        </w:r>
                      </w:p>
                    </w:tc>
                    <w:tc>
                      <w:tcPr>
                        <w:tcW w:w="2903" w:type="dxa"/>
                        <w:tcBorders>
                          <w:top w:val="nil" w:sz="6" w:space="0" w:color="auto"/>
                          <w:left w:val="single" w:sz="6" w:space="0" w:color="000000"/>
                          <w:bottom w:val="nil" w:sz="6" w:space="0" w:color="auto"/>
                          <w:right w:val="single" w:sz="6" w:space="0" w:color="000000"/>
                        </w:tcBorders>
                      </w:tcPr>
                      <w:p>
                        <w:pPr>
                          <w:pStyle w:val="TableParagraph"/>
                          <w:spacing w:line="316" w:lineRule="auto" w:before="27"/>
                          <w:ind w:left="3" w:right="3"/>
                          <w:jc w:val="center"/>
                          <w:rPr>
                            <w:rFonts w:ascii="宋体" w:hAnsi="宋体" w:cs="宋体" w:eastAsia="宋体" w:hint="default"/>
                            <w:sz w:val="18"/>
                            <w:szCs w:val="18"/>
                          </w:rPr>
                        </w:pPr>
                        <w:r>
                          <w:rPr>
                            <w:rFonts w:ascii="宋体" w:hAnsi="宋体" w:cs="宋体" w:eastAsia="宋体" w:hint="default"/>
                            <w:sz w:val="18"/>
                            <w:szCs w:val="18"/>
                          </w:rPr>
                          <w:t>西安环球印务股份有限公司 关于终止重大资产重组暨公司股票复 牌的公告</w:t>
                        </w:r>
                      </w:p>
                    </w:tc>
                  </w:tr>
                  <w:tr>
                    <w:trPr>
                      <w:trHeight w:val="659" w:hRule="exact"/>
                    </w:trPr>
                    <w:tc>
                      <w:tcPr>
                        <w:tcW w:w="1542" w:type="dxa"/>
                        <w:tcBorders>
                          <w:top w:val="nil" w:sz="6" w:space="0" w:color="auto"/>
                          <w:left w:val="nil" w:sz="6" w:space="0" w:color="auto"/>
                          <w:bottom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05</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sz w:val="18"/>
                          </w:rPr>
                          <w:t>2018-041</w:t>
                        </w:r>
                      </w:p>
                    </w:tc>
                    <w:tc>
                      <w:tcPr>
                        <w:tcW w:w="2903" w:type="dxa"/>
                        <w:tcBorders>
                          <w:top w:val="nil" w:sz="6" w:space="0" w:color="auto"/>
                          <w:left w:val="single" w:sz="6" w:space="0" w:color="000000"/>
                          <w:bottom w:val="nil" w:sz="6" w:space="0" w:color="auto"/>
                          <w:right w:val="single" w:sz="6" w:space="0" w:color="000000"/>
                        </w:tcBorders>
                      </w:tcPr>
                      <w:p>
                        <w:pPr>
                          <w:pStyle w:val="TableParagraph"/>
                          <w:spacing w:line="316" w:lineRule="auto" w:before="28"/>
                          <w:ind w:left="3" w:right="3" w:firstLine="360"/>
                          <w:jc w:val="left"/>
                          <w:rPr>
                            <w:rFonts w:ascii="宋体" w:hAnsi="宋体" w:cs="宋体" w:eastAsia="宋体" w:hint="default"/>
                            <w:sz w:val="18"/>
                            <w:szCs w:val="18"/>
                          </w:rPr>
                        </w:pPr>
                        <w:r>
                          <w:rPr>
                            <w:rFonts w:ascii="宋体" w:hAnsi="宋体" w:cs="宋体" w:eastAsia="宋体" w:hint="default"/>
                            <w:sz w:val="18"/>
                            <w:szCs w:val="18"/>
                          </w:rPr>
                          <w:t>西安环球印务股份有限公司 关于对外投资设立控股子公司的公告</w:t>
                        </w:r>
                      </w:p>
                    </w:tc>
                  </w:tr>
                  <w:tr>
                    <w:trPr>
                      <w:trHeight w:val="659" w:hRule="exact"/>
                    </w:trPr>
                    <w:tc>
                      <w:tcPr>
                        <w:tcW w:w="1542" w:type="dxa"/>
                        <w:tcBorders>
                          <w:top w:val="nil" w:sz="6" w:space="0" w:color="auto"/>
                          <w:left w:val="nil" w:sz="6" w:space="0" w:color="auto"/>
                          <w:bottom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05</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sz w:val="18"/>
                          </w:rPr>
                          <w:t>2018-042</w:t>
                        </w:r>
                      </w:p>
                    </w:tc>
                    <w:tc>
                      <w:tcPr>
                        <w:tcW w:w="2903" w:type="dxa"/>
                        <w:tcBorders>
                          <w:top w:val="nil" w:sz="6" w:space="0" w:color="auto"/>
                          <w:left w:val="single" w:sz="6" w:space="0" w:color="000000"/>
                          <w:bottom w:val="nil" w:sz="6" w:space="0" w:color="auto"/>
                          <w:right w:val="single" w:sz="6" w:space="0" w:color="000000"/>
                        </w:tcBorders>
                      </w:tcPr>
                      <w:p>
                        <w:pPr>
                          <w:pStyle w:val="TableParagraph"/>
                          <w:spacing w:line="316" w:lineRule="auto" w:before="28"/>
                          <w:ind w:left="93" w:right="93" w:firstLine="270"/>
                          <w:jc w:val="left"/>
                          <w:rPr>
                            <w:rFonts w:ascii="宋体" w:hAnsi="宋体" w:cs="宋体" w:eastAsia="宋体" w:hint="default"/>
                            <w:sz w:val="18"/>
                            <w:szCs w:val="18"/>
                          </w:rPr>
                        </w:pPr>
                        <w:r>
                          <w:rPr>
                            <w:rFonts w:ascii="宋体" w:hAnsi="宋体" w:cs="宋体" w:eastAsia="宋体" w:hint="default"/>
                            <w:sz w:val="18"/>
                            <w:szCs w:val="18"/>
                          </w:rPr>
                          <w:t>西安环球印务股份有限公司 关于签订股权收购意向协议的公告</w:t>
                        </w:r>
                      </w:p>
                    </w:tc>
                  </w:tr>
                  <w:tr>
                    <w:trPr>
                      <w:trHeight w:val="642" w:hRule="exact"/>
                    </w:trPr>
                    <w:tc>
                      <w:tcPr>
                        <w:tcW w:w="1542" w:type="dxa"/>
                        <w:tcBorders>
                          <w:top w:val="nil" w:sz="6" w:space="0" w:color="auto"/>
                          <w:left w:val="nil" w:sz="6" w:space="0" w:color="auto"/>
                          <w:bottom w:val="nil" w:sz="6" w:space="0" w:color="auto"/>
                          <w:right w:val="single" w:sz="6"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08</w:t>
                        </w:r>
                        <w:r>
                          <w:rPr>
                            <w:rFonts w:ascii="宋体" w:hAnsi="宋体" w:cs="宋体" w:eastAsia="宋体" w:hint="default"/>
                            <w:sz w:val="18"/>
                            <w:szCs w:val="18"/>
                          </w:rPr>
                          <w:t>月</w:t>
                        </w:r>
                        <w:r>
                          <w:rPr>
                            <w:rFonts w:ascii="宋体" w:hAnsi="宋体" w:cs="宋体" w:eastAsia="宋体" w:hint="default"/>
                            <w:sz w:val="18"/>
                            <w:szCs w:val="18"/>
                          </w:rPr>
                          <w:t>03</w:t>
                        </w:r>
                        <w:r>
                          <w:rPr>
                            <w:rFonts w:ascii="宋体" w:hAnsi="宋体" w:cs="宋体" w:eastAsia="宋体" w:hint="default"/>
                            <w:sz w:val="18"/>
                            <w:szCs w:val="18"/>
                          </w:rPr>
                          <w:t>日</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206" w:right="0"/>
                          <w:jc w:val="left"/>
                          <w:rPr>
                            <w:rFonts w:ascii="宋体" w:hAnsi="宋体" w:cs="宋体" w:eastAsia="宋体" w:hint="default"/>
                            <w:sz w:val="18"/>
                            <w:szCs w:val="18"/>
                          </w:rPr>
                        </w:pPr>
                        <w:r>
                          <w:rPr>
                            <w:rFonts w:ascii="宋体"/>
                            <w:sz w:val="18"/>
                          </w:rPr>
                          <w:t>2018-051</w:t>
                        </w:r>
                      </w:p>
                    </w:tc>
                    <w:tc>
                      <w:tcPr>
                        <w:tcW w:w="2903" w:type="dxa"/>
                        <w:tcBorders>
                          <w:top w:val="nil" w:sz="6" w:space="0" w:color="auto"/>
                          <w:left w:val="single" w:sz="6" w:space="0" w:color="000000"/>
                          <w:bottom w:val="nil" w:sz="6" w:space="0" w:color="auto"/>
                          <w:right w:val="single" w:sz="6" w:space="0" w:color="000000"/>
                        </w:tcBorders>
                      </w:tcPr>
                      <w:p>
                        <w:pPr>
                          <w:pStyle w:val="TableParagraph"/>
                          <w:spacing w:line="316" w:lineRule="auto" w:before="28"/>
                          <w:ind w:left="3" w:right="3" w:firstLine="360"/>
                          <w:jc w:val="left"/>
                          <w:rPr>
                            <w:rFonts w:ascii="宋体" w:hAnsi="宋体" w:cs="宋体" w:eastAsia="宋体" w:hint="default"/>
                            <w:sz w:val="18"/>
                            <w:szCs w:val="18"/>
                          </w:rPr>
                        </w:pPr>
                        <w:r>
                          <w:rPr>
                            <w:rFonts w:ascii="宋体" w:hAnsi="宋体" w:cs="宋体" w:eastAsia="宋体" w:hint="default"/>
                            <w:sz w:val="18"/>
                            <w:szCs w:val="18"/>
                          </w:rPr>
                          <w:t>西安环球印务股份有限公司 关于收购霍尔果斯领凯网络科技有限</w:t>
                        </w:r>
                      </w:p>
                    </w:tc>
                  </w:tr>
                  <w:tr>
                    <w:trPr>
                      <w:trHeight w:val="329" w:hRule="exact"/>
                    </w:trPr>
                    <w:tc>
                      <w:tcPr>
                        <w:tcW w:w="1542" w:type="dxa"/>
                        <w:tcBorders>
                          <w:top w:val="nil" w:sz="6" w:space="0" w:color="auto"/>
                          <w:left w:val="nil" w:sz="6" w:space="0" w:color="auto"/>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
                    </w:tc>
                    <w:tc>
                      <w:tcPr>
                        <w:tcW w:w="290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70%</w:t>
                        </w:r>
                        <w:r>
                          <w:rPr>
                            <w:rFonts w:ascii="宋体" w:hAnsi="宋体" w:cs="宋体" w:eastAsia="宋体" w:hint="default"/>
                            <w:sz w:val="18"/>
                            <w:szCs w:val="18"/>
                          </w:rPr>
                          <w:t>股权的公告</w:t>
                        </w:r>
                      </w:p>
                    </w:tc>
                  </w:tr>
                  <w:tr>
                    <w:trPr>
                      <w:trHeight w:val="642" w:hRule="exact"/>
                    </w:trPr>
                    <w:tc>
                      <w:tcPr>
                        <w:tcW w:w="1542" w:type="dxa"/>
                        <w:tcBorders>
                          <w:top w:val="nil" w:sz="6" w:space="0" w:color="auto"/>
                          <w:left w:val="nil" w:sz="6" w:space="0" w:color="auto"/>
                          <w:bottom w:val="nil" w:sz="6" w:space="0" w:color="auto"/>
                          <w:right w:val="single" w:sz="6"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08</w:t>
                        </w:r>
                        <w:r>
                          <w:rPr>
                            <w:rFonts w:ascii="宋体" w:hAnsi="宋体" w:cs="宋体" w:eastAsia="宋体" w:hint="default"/>
                            <w:sz w:val="18"/>
                            <w:szCs w:val="18"/>
                          </w:rPr>
                          <w:t>月</w:t>
                        </w:r>
                        <w:r>
                          <w:rPr>
                            <w:rFonts w:ascii="宋体" w:hAnsi="宋体" w:cs="宋体" w:eastAsia="宋体" w:hint="default"/>
                            <w:sz w:val="18"/>
                            <w:szCs w:val="18"/>
                          </w:rPr>
                          <w:t>03</w:t>
                        </w:r>
                        <w:r>
                          <w:rPr>
                            <w:rFonts w:ascii="宋体" w:hAnsi="宋体" w:cs="宋体" w:eastAsia="宋体" w:hint="default"/>
                            <w:sz w:val="18"/>
                            <w:szCs w:val="18"/>
                          </w:rPr>
                          <w:t>日</w:t>
                        </w:r>
                      </w:p>
                    </w:tc>
                    <w:tc>
                      <w:tcPr>
                        <w:tcW w:w="1147" w:type="dxa"/>
                        <w:tcBorders>
                          <w:top w:val="nil" w:sz="6" w:space="0" w:color="auto"/>
                          <w:left w:val="single" w:sz="6" w:space="0" w:color="000000"/>
                          <w:bottom w:val="nil" w:sz="6" w:space="0" w:color="auto"/>
                          <w:right w:val="single" w:sz="6"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206" w:right="0"/>
                          <w:jc w:val="left"/>
                          <w:rPr>
                            <w:rFonts w:ascii="宋体" w:hAnsi="宋体" w:cs="宋体" w:eastAsia="宋体" w:hint="default"/>
                            <w:sz w:val="18"/>
                            <w:szCs w:val="18"/>
                          </w:rPr>
                        </w:pPr>
                        <w:r>
                          <w:rPr>
                            <w:rFonts w:ascii="宋体"/>
                            <w:sz w:val="18"/>
                          </w:rPr>
                          <w:t>2018-054</w:t>
                        </w:r>
                      </w:p>
                    </w:tc>
                    <w:tc>
                      <w:tcPr>
                        <w:tcW w:w="2903" w:type="dxa"/>
                        <w:tcBorders>
                          <w:top w:val="nil" w:sz="6" w:space="0" w:color="auto"/>
                          <w:left w:val="single" w:sz="6" w:space="0" w:color="000000"/>
                          <w:bottom w:val="nil" w:sz="6" w:space="0" w:color="auto"/>
                          <w:right w:val="single" w:sz="6" w:space="0" w:color="000000"/>
                        </w:tcBorders>
                      </w:tcPr>
                      <w:p>
                        <w:pPr>
                          <w:pStyle w:val="TableParagraph"/>
                          <w:spacing w:line="316" w:lineRule="auto" w:before="28"/>
                          <w:ind w:left="3" w:right="3" w:firstLine="180"/>
                          <w:jc w:val="left"/>
                          <w:rPr>
                            <w:rFonts w:ascii="宋体" w:hAnsi="宋体" w:cs="宋体" w:eastAsia="宋体" w:hint="default"/>
                            <w:sz w:val="18"/>
                            <w:szCs w:val="18"/>
                          </w:rPr>
                        </w:pPr>
                        <w:r>
                          <w:rPr>
                            <w:rFonts w:ascii="宋体" w:hAnsi="宋体" w:cs="宋体" w:eastAsia="宋体" w:hint="default"/>
                            <w:sz w:val="18"/>
                            <w:szCs w:val="18"/>
                          </w:rPr>
                          <w:t>西安环球印务股份有限公司关于 变更公司经营范围并修订公司章程及</w:t>
                        </w:r>
                      </w:p>
                    </w:tc>
                  </w:tr>
                  <w:tr>
                    <w:trPr>
                      <w:trHeight w:val="330" w:hRule="exact"/>
                    </w:trPr>
                    <w:tc>
                      <w:tcPr>
                        <w:tcW w:w="1542" w:type="dxa"/>
                        <w:tcBorders>
                          <w:top w:val="nil" w:sz="6" w:space="0" w:color="auto"/>
                          <w:left w:val="nil" w:sz="6" w:space="0" w:color="auto"/>
                          <w:bottom w:val="nil" w:sz="6" w:space="0" w:color="auto"/>
                          <w:right w:val="single" w:sz="6" w:space="0" w:color="000000"/>
                        </w:tcBorders>
                      </w:tcPr>
                      <w:p>
                        <w:pPr/>
                      </w:p>
                    </w:tc>
                    <w:tc>
                      <w:tcPr>
                        <w:tcW w:w="1147" w:type="dxa"/>
                        <w:tcBorders>
                          <w:top w:val="nil" w:sz="6" w:space="0" w:color="auto"/>
                          <w:left w:val="single" w:sz="6" w:space="0" w:color="000000"/>
                          <w:bottom w:val="nil" w:sz="6" w:space="0" w:color="auto"/>
                          <w:right w:val="single" w:sz="6" w:space="0" w:color="000000"/>
                        </w:tcBorders>
                      </w:tcPr>
                      <w:p>
                        <w:pPr/>
                      </w:p>
                    </w:tc>
                    <w:tc>
                      <w:tcPr>
                        <w:tcW w:w="290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办理工商变更的公告</w:t>
                        </w:r>
                      </w:p>
                    </w:tc>
                  </w:tr>
                </w:tbl>
                <w:p>
                  <w:pPr/>
                </w:p>
              </w:txbxContent>
            </v:textbox>
            <w10:wrap type="none"/>
          </v:shape>
        </w:pict>
      </w:r>
      <w:r>
        <w:rPr/>
        <w:t>披露媒体</w:t>
      </w:r>
    </w:p>
    <w:p>
      <w:pPr>
        <w:pStyle w:val="BodyText"/>
        <w:spacing w:line="240" w:lineRule="auto" w:before="111"/>
        <w:ind w:left="5728" w:right="1018"/>
        <w:jc w:val="center"/>
      </w:pPr>
      <w:r>
        <w:rPr/>
        <w:t>《中国证券报》、《上海证券报》、《证券时报》、</w:t>
      </w:r>
    </w:p>
    <w:p>
      <w:pPr>
        <w:pStyle w:val="BodyText"/>
        <w:spacing w:line="240" w:lineRule="auto" w:before="76"/>
        <w:ind w:left="5666" w:right="1018"/>
        <w:jc w:val="center"/>
      </w:pPr>
      <w:r>
        <w:rPr/>
        <w:t>《证券日报》及巨潮资讯网（</w:t>
      </w:r>
      <w:hyperlink r:id="rId11">
        <w:r>
          <w:rPr>
            <w:rFonts w:ascii="宋体" w:hAnsi="宋体" w:cs="宋体" w:eastAsia="宋体" w:hint="default"/>
          </w:rPr>
          <w:t>www.cninfo.com.cn</w:t>
        </w:r>
      </w:hyperlink>
      <w:r>
        <w:rPr/>
        <w:t>）</w:t>
      </w:r>
    </w:p>
    <w:p>
      <w:pPr>
        <w:spacing w:line="240" w:lineRule="auto" w:before="13"/>
        <w:rPr>
          <w:rFonts w:ascii="宋体" w:hAnsi="宋体" w:cs="宋体" w:eastAsia="宋体" w:hint="default"/>
          <w:sz w:val="28"/>
          <w:szCs w:val="28"/>
        </w:rPr>
      </w:pPr>
    </w:p>
    <w:p>
      <w:pPr>
        <w:pStyle w:val="BodyText"/>
        <w:spacing w:line="240" w:lineRule="auto" w:before="44"/>
        <w:ind w:left="5762" w:right="940"/>
        <w:jc w:val="left"/>
      </w:pPr>
      <w:r>
        <w:rPr/>
        <w:t>《中国证券报》、《上海证券报》、《证券时报》、</w:t>
      </w:r>
    </w:p>
    <w:p>
      <w:pPr>
        <w:pStyle w:val="BodyText"/>
        <w:spacing w:line="240" w:lineRule="auto" w:before="76"/>
        <w:ind w:left="5762" w:right="940"/>
        <w:jc w:val="left"/>
      </w:pPr>
      <w:r>
        <w:rPr/>
        <w:t>《证券日报》及巨潮资讯网（</w:t>
      </w:r>
      <w:hyperlink r:id="rId11">
        <w:r>
          <w:rPr>
            <w:rFonts w:ascii="宋体" w:hAnsi="宋体" w:cs="宋体" w:eastAsia="宋体" w:hint="default"/>
          </w:rPr>
          <w:t>www.cninfo.com.cn</w:t>
        </w:r>
      </w:hyperlink>
      <w:r>
        <w:rPr/>
        <w:t>）</w:t>
      </w:r>
    </w:p>
    <w:p>
      <w:pPr>
        <w:spacing w:line="240" w:lineRule="auto" w:before="12"/>
        <w:rPr>
          <w:rFonts w:ascii="宋体" w:hAnsi="宋体" w:cs="宋体" w:eastAsia="宋体" w:hint="default"/>
          <w:sz w:val="28"/>
          <w:szCs w:val="28"/>
        </w:rPr>
      </w:pPr>
    </w:p>
    <w:p>
      <w:pPr>
        <w:pStyle w:val="BodyText"/>
        <w:spacing w:line="240" w:lineRule="auto" w:before="44"/>
        <w:ind w:left="5762" w:right="940"/>
        <w:jc w:val="left"/>
      </w:pPr>
      <w:r>
        <w:rPr/>
        <w:t>《中国证券报》、《上海证券报》、《证券时报》、</w:t>
      </w:r>
    </w:p>
    <w:p>
      <w:pPr>
        <w:pStyle w:val="BodyText"/>
        <w:spacing w:line="240" w:lineRule="auto" w:before="76"/>
        <w:ind w:left="5762" w:right="940"/>
        <w:jc w:val="left"/>
      </w:pPr>
      <w:r>
        <w:rPr/>
        <w:t>《证券日报》及巨潮资讯网（</w:t>
      </w:r>
      <w:hyperlink r:id="rId11">
        <w:r>
          <w:rPr>
            <w:rFonts w:ascii="宋体" w:hAnsi="宋体" w:cs="宋体" w:eastAsia="宋体" w:hint="default"/>
          </w:rPr>
          <w:t>www.cninfo.com.cn</w:t>
        </w:r>
      </w:hyperlink>
      <w:r>
        <w:rPr/>
        <w:t>）</w:t>
      </w:r>
    </w:p>
    <w:p>
      <w:pPr>
        <w:spacing w:line="240" w:lineRule="auto" w:before="0"/>
        <w:rPr>
          <w:rFonts w:ascii="宋体" w:hAnsi="宋体" w:cs="宋体" w:eastAsia="宋体" w:hint="default"/>
          <w:sz w:val="17"/>
          <w:szCs w:val="17"/>
        </w:rPr>
      </w:pPr>
    </w:p>
    <w:p>
      <w:pPr>
        <w:pStyle w:val="BodyText"/>
        <w:spacing w:line="240" w:lineRule="auto" w:before="44"/>
        <w:ind w:left="5762" w:right="940"/>
        <w:jc w:val="left"/>
      </w:pPr>
      <w:r>
        <w:rPr/>
        <w:t>《中国证券报》、《上海证券报》、《证券时报》、</w:t>
      </w:r>
    </w:p>
    <w:p>
      <w:pPr>
        <w:pStyle w:val="BodyText"/>
        <w:spacing w:line="240" w:lineRule="auto" w:before="76"/>
        <w:ind w:left="5762" w:right="940"/>
        <w:jc w:val="left"/>
      </w:pPr>
      <w:r>
        <w:rPr/>
        <w:t>《证券日报》及巨潮资讯网（</w:t>
      </w:r>
      <w:hyperlink r:id="rId11">
        <w:r>
          <w:rPr>
            <w:rFonts w:ascii="宋体" w:hAnsi="宋体" w:cs="宋体" w:eastAsia="宋体" w:hint="default"/>
          </w:rPr>
          <w:t>www.cninfo.com.cn</w:t>
        </w:r>
      </w:hyperlink>
      <w:r>
        <w:rPr/>
        <w:t>）</w:t>
      </w:r>
    </w:p>
    <w:p>
      <w:pPr>
        <w:spacing w:line="240" w:lineRule="auto" w:before="12"/>
        <w:rPr>
          <w:rFonts w:ascii="宋体" w:hAnsi="宋体" w:cs="宋体" w:eastAsia="宋体" w:hint="default"/>
          <w:sz w:val="28"/>
          <w:szCs w:val="28"/>
        </w:rPr>
      </w:pPr>
    </w:p>
    <w:p>
      <w:pPr>
        <w:pStyle w:val="BodyText"/>
        <w:spacing w:line="240" w:lineRule="auto" w:before="44"/>
        <w:ind w:left="5762" w:right="940"/>
        <w:jc w:val="left"/>
      </w:pPr>
      <w:r>
        <w:rPr/>
        <w:t>《中国证券报》、《上海证券报》、《证券时报》、</w:t>
      </w:r>
    </w:p>
    <w:p>
      <w:pPr>
        <w:pStyle w:val="BodyText"/>
        <w:spacing w:line="240" w:lineRule="auto" w:before="76"/>
        <w:ind w:left="5762" w:right="940"/>
        <w:jc w:val="left"/>
      </w:pPr>
      <w:r>
        <w:rPr/>
        <w:t>《证券日报》及巨潮资讯网（</w:t>
      </w:r>
      <w:hyperlink r:id="rId11">
        <w:r>
          <w:rPr>
            <w:rFonts w:ascii="宋体" w:hAnsi="宋体" w:cs="宋体" w:eastAsia="宋体" w:hint="default"/>
          </w:rPr>
          <w:t>www.cninfo.com.cn</w:t>
        </w:r>
      </w:hyperlink>
      <w:r>
        <w:rPr/>
        <w:t>）</w:t>
      </w:r>
    </w:p>
    <w:p>
      <w:pPr>
        <w:spacing w:line="240" w:lineRule="auto" w:before="2"/>
        <w:rPr>
          <w:rFonts w:ascii="宋体" w:hAnsi="宋体" w:cs="宋体" w:eastAsia="宋体" w:hint="default"/>
          <w:sz w:val="17"/>
          <w:szCs w:val="17"/>
        </w:rPr>
      </w:pPr>
    </w:p>
    <w:p>
      <w:pPr>
        <w:pStyle w:val="BodyText"/>
        <w:spacing w:line="240" w:lineRule="auto" w:before="44"/>
        <w:ind w:left="5762" w:right="940"/>
        <w:jc w:val="left"/>
      </w:pPr>
      <w:r>
        <w:rPr/>
        <w:t>《中国证券报》、《上海证券报》、《证券时报》、</w:t>
      </w:r>
    </w:p>
    <w:p>
      <w:pPr>
        <w:pStyle w:val="BodyText"/>
        <w:spacing w:line="240" w:lineRule="auto" w:before="76"/>
        <w:ind w:left="5762" w:right="940"/>
        <w:jc w:val="left"/>
      </w:pPr>
      <w:r>
        <w:rPr/>
        <w:t>《证券日报》及巨潮资讯网（</w:t>
      </w:r>
      <w:hyperlink r:id="rId11">
        <w:r>
          <w:rPr>
            <w:rFonts w:ascii="宋体" w:hAnsi="宋体" w:cs="宋体" w:eastAsia="宋体" w:hint="default"/>
          </w:rPr>
          <w:t>www.cninfo.com.cn</w:t>
        </w:r>
      </w:hyperlink>
      <w:r>
        <w:rPr/>
        <w:t>）</w:t>
      </w:r>
    </w:p>
    <w:p>
      <w:pPr>
        <w:pStyle w:val="BodyText"/>
        <w:spacing w:line="240" w:lineRule="auto" w:before="111"/>
        <w:ind w:left="5762" w:right="940"/>
        <w:jc w:val="left"/>
      </w:pPr>
      <w:r>
        <w:rPr/>
        <w:t>《中国证券报》、《上海证券报》、《证券时报》、</w:t>
      </w:r>
    </w:p>
    <w:p>
      <w:pPr>
        <w:pStyle w:val="BodyText"/>
        <w:spacing w:line="240" w:lineRule="auto" w:before="76"/>
        <w:ind w:left="5762" w:right="940"/>
        <w:jc w:val="left"/>
      </w:pPr>
      <w:r>
        <w:rPr/>
        <w:t>《证券日报》及巨潮资讯网（</w:t>
      </w:r>
      <w:hyperlink r:id="rId11">
        <w:r>
          <w:rPr>
            <w:rFonts w:ascii="宋体" w:hAnsi="宋体" w:cs="宋体" w:eastAsia="宋体" w:hint="default"/>
          </w:rPr>
          <w:t>www.cninfo.com.cn</w:t>
        </w:r>
      </w:hyperlink>
      <w:r>
        <w:rPr/>
        <w:t>）</w:t>
      </w:r>
    </w:p>
    <w:p>
      <w:pPr>
        <w:spacing w:line="240" w:lineRule="auto" w:before="0"/>
        <w:rPr>
          <w:rFonts w:ascii="宋体" w:hAnsi="宋体" w:cs="宋体" w:eastAsia="宋体" w:hint="default"/>
          <w:sz w:val="17"/>
          <w:szCs w:val="17"/>
        </w:rPr>
      </w:pPr>
    </w:p>
    <w:p>
      <w:pPr>
        <w:pStyle w:val="BodyText"/>
        <w:spacing w:line="240" w:lineRule="auto" w:before="44"/>
        <w:ind w:left="5762" w:right="940"/>
        <w:jc w:val="left"/>
      </w:pPr>
      <w:r>
        <w:rPr/>
        <w:t>《中国证券报》、《上海证券报》、《证券时报》、</w:t>
      </w:r>
    </w:p>
    <w:p>
      <w:pPr>
        <w:pStyle w:val="BodyText"/>
        <w:spacing w:line="240" w:lineRule="auto" w:before="76"/>
        <w:ind w:left="5762" w:right="940"/>
        <w:jc w:val="left"/>
      </w:pPr>
      <w:r>
        <w:rPr/>
        <w:t>《证券日报》及巨潮资讯网（</w:t>
      </w:r>
      <w:hyperlink r:id="rId11">
        <w:r>
          <w:rPr>
            <w:rFonts w:ascii="宋体" w:hAnsi="宋体" w:cs="宋体" w:eastAsia="宋体" w:hint="default"/>
          </w:rPr>
          <w:t>www.cninfo.com.cn</w:t>
        </w:r>
      </w:hyperlink>
      <w:r>
        <w:rPr/>
        <w:t>）</w:t>
      </w:r>
    </w:p>
    <w:p>
      <w:pPr>
        <w:spacing w:line="240" w:lineRule="auto" w:before="13"/>
        <w:rPr>
          <w:rFonts w:ascii="宋体" w:hAnsi="宋体" w:cs="宋体" w:eastAsia="宋体" w:hint="default"/>
          <w:sz w:val="28"/>
          <w:szCs w:val="28"/>
        </w:rPr>
      </w:pPr>
    </w:p>
    <w:p>
      <w:pPr>
        <w:pStyle w:val="BodyText"/>
        <w:spacing w:line="240" w:lineRule="auto" w:before="44"/>
        <w:ind w:left="5762" w:right="940"/>
        <w:jc w:val="left"/>
      </w:pPr>
      <w:r>
        <w:rPr/>
        <w:t>《中国证券报》、《上海证券报》、《证券时报》、</w:t>
      </w:r>
    </w:p>
    <w:p>
      <w:pPr>
        <w:pStyle w:val="BodyText"/>
        <w:spacing w:line="240" w:lineRule="auto" w:before="76"/>
        <w:ind w:left="5762" w:right="940"/>
        <w:jc w:val="left"/>
      </w:pPr>
      <w:r>
        <w:rPr/>
        <w:t>《证券日报》及巨潮资讯网（</w:t>
      </w:r>
      <w:hyperlink r:id="rId11">
        <w:r>
          <w:rPr>
            <w:rFonts w:ascii="宋体" w:hAnsi="宋体" w:cs="宋体" w:eastAsia="宋体" w:hint="default"/>
          </w:rPr>
          <w:t>www.cninfo.com.cn</w:t>
        </w:r>
      </w:hyperlink>
      <w:r>
        <w:rPr/>
        <w:t>）</w:t>
      </w:r>
    </w:p>
    <w:p>
      <w:pPr>
        <w:spacing w:after="0" w:line="240" w:lineRule="auto"/>
        <w:jc w:val="left"/>
        <w:sectPr>
          <w:pgSz w:w="11910" w:h="16840"/>
          <w:pgMar w:header="0" w:footer="979" w:top="1500" w:bottom="1160" w:left="980" w:right="0"/>
        </w:sectPr>
      </w:pPr>
    </w:p>
    <w:p>
      <w:pPr>
        <w:pStyle w:val="Heading2"/>
        <w:spacing w:line="240" w:lineRule="auto" w:before="15"/>
        <w:ind w:right="940"/>
        <w:jc w:val="left"/>
        <w:rPr>
          <w:b w:val="0"/>
          <w:bCs w:val="0"/>
        </w:rPr>
      </w:pPr>
      <w:r>
        <w:rPr/>
        <w:pict>
          <v:group style="position:absolute;margin-left:55.200001pt;margin-top:2.225632pt;width:485pt;height:.1pt;mso-position-horizontal-relative:page;mso-position-vertical-relative:paragraph;z-index:-800512" coordorigin="1104,45" coordsize="9700,2">
            <v:shape style="position:absolute;left:1104;top:45;width:9700;height:2" coordorigin="1104,45" coordsize="9700,0" path="m1104,45l10804,45e" filled="false" stroked="true" strokeweight=".72pt" strokecolor="#000000">
              <v:path arrowok="t"/>
            </v:shape>
            <w10:wrap type="none"/>
          </v:group>
        </w:pict>
      </w:r>
      <w:bookmarkStart w:name="二十、公司子公司重大事项" w:id="108"/>
      <w:bookmarkEnd w:id="108"/>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0"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49"/>
        <w:ind w:left="2966" w:right="940"/>
        <w:jc w:val="left"/>
        <w:rPr>
          <w:b w:val="0"/>
          <w:bCs w:val="0"/>
        </w:rPr>
      </w:pPr>
      <w:bookmarkStart w:name="第六节 股份变动及股东情况" w:id="109"/>
      <w:bookmarkEnd w:id="109"/>
      <w:r>
        <w:rPr>
          <w:b w:val="0"/>
          <w:bCs w:val="0"/>
        </w:rPr>
      </w:r>
      <w:bookmarkStart w:name="_bookmark5" w:id="110"/>
      <w:bookmarkEnd w:id="110"/>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40"/>
        <w:jc w:val="left"/>
        <w:rPr>
          <w:b w:val="0"/>
          <w:bCs w:val="0"/>
        </w:rPr>
      </w:pPr>
      <w:bookmarkStart w:name="一、股份变动情况" w:id="111"/>
      <w:bookmarkEnd w:id="111"/>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0"/>
        <w:jc w:val="left"/>
        <w:rPr>
          <w:b w:val="0"/>
          <w:bCs w:val="0"/>
        </w:rPr>
      </w:pPr>
      <w:bookmarkStart w:name="1、股份变动情况" w:id="112"/>
      <w:bookmarkEnd w:id="112"/>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62"/>
        <w:gridCol w:w="1077"/>
        <w:gridCol w:w="824"/>
        <w:gridCol w:w="822"/>
        <w:gridCol w:w="822"/>
        <w:gridCol w:w="822"/>
        <w:gridCol w:w="822"/>
        <w:gridCol w:w="636"/>
        <w:gridCol w:w="980"/>
        <w:gridCol w:w="794"/>
      </w:tblGrid>
      <w:tr>
        <w:trPr>
          <w:trHeight w:val="403"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2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6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0"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77"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636" w:type="dxa"/>
            <w:vMerge/>
            <w:tcBorders>
              <w:left w:val="single" w:sz="4" w:space="0" w:color="000000"/>
              <w:bottom w:val="nil" w:sz="6" w:space="0" w:color="auto"/>
              <w:right w:val="single" w:sz="4" w:space="0" w:color="000000"/>
            </w:tcBorders>
            <w:shd w:val="clear" w:color="auto" w:fill="D2D2D2"/>
          </w:tcPr>
          <w:p>
            <w:pPr/>
          </w:p>
        </w:tc>
        <w:tc>
          <w:tcPr>
            <w:tcW w:w="980"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0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6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73,125,000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48.75%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73,125,000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48.75%</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73,125,000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48.75%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73,125,000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48.75%</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76,875,000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51.25%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76,875,000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51.25%</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76,875,000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51.25%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76,875,000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51.25%</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150,000,000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940"/>
        <w:jc w:val="left"/>
      </w:pPr>
      <w:r>
        <w:rPr/>
        <w:t>股份变动的原因</w:t>
      </w:r>
    </w:p>
    <w:p>
      <w:pPr>
        <w:pStyle w:val="BodyText"/>
        <w:spacing w:line="340" w:lineRule="auto" w:before="116"/>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股份变动的批准情况</w:t>
      </w:r>
    </w:p>
    <w:p>
      <w:pPr>
        <w:pStyle w:val="BodyText"/>
        <w:spacing w:line="338" w:lineRule="auto" w:before="40"/>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38" w:lineRule="auto" w:before="43"/>
        <w:ind w:right="8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股份回购的实施进展情况</w:t>
      </w:r>
    </w:p>
    <w:p>
      <w:pPr>
        <w:pStyle w:val="BodyText"/>
        <w:spacing w:line="340" w:lineRule="auto" w:before="42"/>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38" w:lineRule="auto" w:before="40"/>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3"/>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2"/>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40"/>
        <w:jc w:val="left"/>
        <w:rPr>
          <w:b w:val="0"/>
          <w:bCs w:val="0"/>
        </w:rPr>
      </w:pPr>
      <w:bookmarkStart w:name="2、限售股份变动情况" w:id="113"/>
      <w:bookmarkEnd w:id="113"/>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0" w:footer="979" w:top="1500" w:bottom="1160" w:left="980" w:right="0"/>
        </w:sectPr>
      </w:pPr>
    </w:p>
    <w:p>
      <w:pPr>
        <w:pStyle w:val="Heading2"/>
        <w:spacing w:line="240" w:lineRule="auto" w:before="14"/>
        <w:ind w:right="940"/>
        <w:jc w:val="left"/>
        <w:rPr>
          <w:b w:val="0"/>
          <w:bCs w:val="0"/>
        </w:rPr>
      </w:pPr>
      <w:r>
        <w:rPr/>
        <w:pict>
          <v:group style="position:absolute;margin-left:55.200001pt;margin-top:2.23563pt;width:485pt;height:.1pt;mso-position-horizontal-relative:page;mso-position-vertical-relative:paragraph;z-index:-800440" coordorigin="1104,45" coordsize="9700,2">
            <v:shape style="position:absolute;left:1104;top:45;width:9700;height:2" coordorigin="1104,45" coordsize="9700,0" path="m1104,45l10804,45e" filled="false" stroked="true" strokeweight=".72pt" strokecolor="#000000">
              <v:path arrowok="t"/>
            </v:shape>
            <w10:wrap type="none"/>
          </v:group>
        </w:pict>
      </w:r>
      <w:bookmarkStart w:name="二、证券发行与上市情况" w:id="114"/>
      <w:bookmarkEnd w:id="114"/>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0"/>
        <w:jc w:val="left"/>
        <w:rPr>
          <w:b w:val="0"/>
          <w:bCs w:val="0"/>
        </w:rPr>
      </w:pPr>
      <w:bookmarkStart w:name="1、报告期内证券发行（不含优先股）情况" w:id="115"/>
      <w:bookmarkEnd w:id="115"/>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2、公司股份总数及股东结构的变动、公司资产和负债结构的变动情况说明" w:id="116"/>
      <w:bookmarkEnd w:id="116"/>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3、现存的内部职工股情况" w:id="117"/>
      <w:bookmarkEnd w:id="117"/>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40"/>
        <w:jc w:val="left"/>
        <w:rPr>
          <w:b w:val="0"/>
          <w:bCs w:val="0"/>
        </w:rPr>
      </w:pPr>
      <w:bookmarkStart w:name="三、股东和实际控制人情况" w:id="118"/>
      <w:bookmarkEnd w:id="118"/>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0"/>
        <w:jc w:val="left"/>
        <w:rPr>
          <w:b w:val="0"/>
          <w:bCs w:val="0"/>
        </w:rPr>
      </w:pPr>
      <w:bookmarkStart w:name="1、公司股东数量及持股情况" w:id="119"/>
      <w:bookmarkEnd w:id="119"/>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353.73999pt;margin-top:78.311714pt;width:66.7pt;height:39pt;mso-position-horizontal-relative:page;mso-position-vertical-relative:paragraph;z-index:-800464" type="#_x0000_t202" filled="false" stroked="false">
            <v:textbox inset="0,0,0,0">
              <w:txbxContent>
                <w:p>
                  <w:pPr>
                    <w:pStyle w:val="BodyText"/>
                    <w:spacing w:line="240" w:lineRule="auto" w:before="128"/>
                    <w:ind w:left="0" w:right="0"/>
                    <w:jc w:val="left"/>
                  </w:pPr>
                  <w:r>
                    <w:rPr/>
                    <w:t>）</w:t>
                  </w:r>
                </w:p>
              </w:txbxContent>
            </v:textbox>
            <w10:wrap type="none"/>
          </v:shape>
        </w:pict>
      </w:r>
      <w:r>
        <w:rPr/>
        <w:pict>
          <v:group style="position:absolute;margin-left:359.920013pt;margin-top:78.311714pt;width:60.5pt;height:39pt;mso-position-horizontal-relative:page;mso-position-vertical-relative:paragraph;z-index:-800416" coordorigin="7198,1566" coordsize="1210,780">
            <v:shape style="position:absolute;left:7198;top:1566;width:1210;height:780" coordorigin="7198,1566" coordsize="1210,780" path="m7198,2346l8408,2346,8408,1566,7198,1566,7198,2346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197"/>
        <w:gridCol w:w="266"/>
        <w:gridCol w:w="932"/>
        <w:gridCol w:w="473"/>
        <w:gridCol w:w="731"/>
        <w:gridCol w:w="908"/>
        <w:gridCol w:w="328"/>
        <w:gridCol w:w="445"/>
        <w:gridCol w:w="831"/>
        <w:gridCol w:w="901"/>
        <w:gridCol w:w="307"/>
        <w:gridCol w:w="1036"/>
        <w:gridCol w:w="129"/>
        <w:gridCol w:w="1211"/>
      </w:tblGrid>
      <w:tr>
        <w:trPr>
          <w:trHeight w:val="318" w:hRule="exact"/>
        </w:trPr>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9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52" w:right="0"/>
              <w:jc w:val="left"/>
              <w:rPr>
                <w:rFonts w:ascii="Times New Roman" w:hAnsi="Times New Roman" w:cs="Times New Roman" w:eastAsia="Times New Roman" w:hint="default"/>
                <w:sz w:val="18"/>
                <w:szCs w:val="18"/>
              </w:rPr>
            </w:pPr>
            <w:r>
              <w:rPr>
                <w:rFonts w:ascii="Times New Roman"/>
                <w:sz w:val="18"/>
              </w:rPr>
              <w:t>14,195</w:t>
            </w:r>
          </w:p>
        </w:tc>
        <w:tc>
          <w:tcPr>
            <w:tcW w:w="120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36"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13,289</w:t>
            </w:r>
          </w:p>
        </w:tc>
        <w:tc>
          <w:tcPr>
            <w:tcW w:w="127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116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9"/>
                <w:sz w:val="18"/>
                <w:szCs w:val="18"/>
              </w:rPr>
              <w:t>数（如有）（参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11"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197" w:type="dxa"/>
            <w:vMerge/>
            <w:tcBorders>
              <w:left w:val="single" w:sz="4" w:space="0" w:color="000000"/>
              <w:bottom w:val="nil" w:sz="6" w:space="0" w:color="auto"/>
              <w:right w:val="single" w:sz="4" w:space="0" w:color="000000"/>
            </w:tcBorders>
            <w:shd w:val="clear" w:color="auto" w:fill="D2D2D2"/>
          </w:tcPr>
          <w:p>
            <w:pPr/>
          </w:p>
        </w:tc>
        <w:tc>
          <w:tcPr>
            <w:tcW w:w="1198" w:type="dxa"/>
            <w:gridSpan w:val="2"/>
            <w:vMerge/>
            <w:tcBorders>
              <w:left w:val="single" w:sz="9" w:space="0" w:color="D2D2D2"/>
              <w:right w:val="single" w:sz="9" w:space="0" w:color="D2D2D2"/>
            </w:tcBorders>
          </w:tcPr>
          <w:p>
            <w:pPr/>
          </w:p>
        </w:tc>
        <w:tc>
          <w:tcPr>
            <w:tcW w:w="120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36" w:type="dxa"/>
            <w:gridSpan w:val="2"/>
            <w:vMerge/>
            <w:tcBorders>
              <w:left w:val="single" w:sz="10" w:space="0" w:color="D2D2D2"/>
              <w:right w:val="single" w:sz="9" w:space="0" w:color="D2D2D2"/>
            </w:tcBorders>
          </w:tcPr>
          <w:p>
            <w:pPr/>
          </w:p>
        </w:tc>
        <w:tc>
          <w:tcPr>
            <w:tcW w:w="127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报告期末表决 权恢复的优先 </w:t>
            </w:r>
            <w:r>
              <w:rPr>
                <w:rFonts w:ascii="宋体" w:hAnsi="宋体" w:cs="宋体" w:eastAsia="宋体" w:hint="default"/>
                <w:spacing w:val="-8"/>
                <w:sz w:val="18"/>
                <w:szCs w:val="18"/>
              </w:rPr>
              <w:t>股股东总数（如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7"/>
                <w:sz w:val="18"/>
                <w:szCs w:val="18"/>
              </w:rPr>
              <w:t>有）（参见注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p>
        </w:tc>
        <w:tc>
          <w:tcPr>
            <w:tcW w:w="1207" w:type="dxa"/>
            <w:gridSpan w:val="2"/>
            <w:vMerge/>
            <w:tcBorders>
              <w:left w:val="single" w:sz="9" w:space="0" w:color="D2D2D2"/>
              <w:right w:val="single" w:sz="9" w:space="0" w:color="D2D2D2"/>
            </w:tcBorders>
          </w:tcPr>
          <w:p>
            <w:pPr/>
          </w:p>
        </w:tc>
        <w:tc>
          <w:tcPr>
            <w:tcW w:w="1165" w:type="dxa"/>
            <w:gridSpan w:val="2"/>
            <w:vMerge/>
            <w:tcBorders>
              <w:left w:val="single" w:sz="4" w:space="0" w:color="000000"/>
              <w:right w:val="single" w:sz="4" w:space="0" w:color="000000"/>
            </w:tcBorders>
            <w:shd w:val="clear" w:color="auto" w:fill="D2D2D2"/>
          </w:tcPr>
          <w:p>
            <w:pPr/>
          </w:p>
        </w:tc>
        <w:tc>
          <w:tcPr>
            <w:tcW w:w="1211" w:type="dxa"/>
            <w:vMerge/>
            <w:tcBorders>
              <w:left w:val="single" w:sz="13" w:space="0" w:color="D2D2D2"/>
              <w:right w:val="single" w:sz="4" w:space="0" w:color="000000"/>
            </w:tcBorders>
          </w:tcPr>
          <w:p>
            <w:pPr/>
          </w:p>
        </w:tc>
      </w:tr>
      <w:tr>
        <w:trPr>
          <w:trHeight w:val="704"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8" w:type="dxa"/>
            <w:gridSpan w:val="2"/>
            <w:vMerge/>
            <w:tcBorders>
              <w:left w:val="single" w:sz="9" w:space="0" w:color="D2D2D2"/>
              <w:right w:val="single" w:sz="9" w:space="0" w:color="D2D2D2"/>
            </w:tcBorders>
          </w:tcPr>
          <w:p>
            <w:pPr/>
          </w:p>
        </w:tc>
        <w:tc>
          <w:tcPr>
            <w:tcW w:w="1204" w:type="dxa"/>
            <w:gridSpan w:val="2"/>
            <w:vMerge/>
            <w:tcBorders>
              <w:left w:val="single" w:sz="4" w:space="0" w:color="000000"/>
              <w:right w:val="single" w:sz="4" w:space="0" w:color="000000"/>
            </w:tcBorders>
            <w:shd w:val="clear" w:color="auto" w:fill="D2D2D2"/>
          </w:tcPr>
          <w:p>
            <w:pPr/>
          </w:p>
        </w:tc>
        <w:tc>
          <w:tcPr>
            <w:tcW w:w="1236" w:type="dxa"/>
            <w:gridSpan w:val="2"/>
            <w:vMerge/>
            <w:tcBorders>
              <w:left w:val="single" w:sz="10" w:space="0" w:color="D2D2D2"/>
              <w:right w:val="single" w:sz="9" w:space="0" w:color="D2D2D2"/>
            </w:tcBorders>
          </w:tcPr>
          <w:p>
            <w:pPr/>
          </w:p>
        </w:tc>
        <w:tc>
          <w:tcPr>
            <w:tcW w:w="1276"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65" w:type="dxa"/>
            <w:gridSpan w:val="2"/>
            <w:vMerge/>
            <w:tcBorders>
              <w:left w:val="single" w:sz="4" w:space="0" w:color="000000"/>
              <w:right w:val="single" w:sz="4" w:space="0" w:color="000000"/>
            </w:tcBorders>
            <w:shd w:val="clear" w:color="auto" w:fill="D2D2D2"/>
          </w:tcPr>
          <w:p>
            <w:pPr/>
          </w:p>
        </w:tc>
        <w:tc>
          <w:tcPr>
            <w:tcW w:w="1211" w:type="dxa"/>
            <w:vMerge/>
            <w:tcBorders>
              <w:left w:val="single" w:sz="13" w:space="0" w:color="D2D2D2"/>
              <w:right w:val="single" w:sz="4" w:space="0" w:color="000000"/>
            </w:tcBorders>
          </w:tcPr>
          <w:p>
            <w:pPr/>
          </w:p>
        </w:tc>
      </w:tr>
      <w:tr>
        <w:trPr>
          <w:trHeight w:val="312" w:hRule="exact"/>
        </w:trPr>
        <w:tc>
          <w:tcPr>
            <w:tcW w:w="1197" w:type="dxa"/>
            <w:vMerge w:val="restart"/>
            <w:tcBorders>
              <w:top w:val="nil" w:sz="6" w:space="0" w:color="auto"/>
              <w:left w:val="single" w:sz="4" w:space="0" w:color="000000"/>
              <w:right w:val="single" w:sz="4" w:space="0" w:color="000000"/>
            </w:tcBorders>
            <w:shd w:val="clear" w:color="auto" w:fill="D2D2D2"/>
          </w:tcPr>
          <w:p>
            <w:pPr/>
          </w:p>
        </w:tc>
        <w:tc>
          <w:tcPr>
            <w:tcW w:w="1198" w:type="dxa"/>
            <w:gridSpan w:val="2"/>
            <w:vMerge/>
            <w:tcBorders>
              <w:left w:val="single" w:sz="9" w:space="0" w:color="D2D2D2"/>
              <w:right w:val="single" w:sz="9" w:space="0" w:color="D2D2D2"/>
            </w:tcBorders>
          </w:tcPr>
          <w:p>
            <w:pPr/>
          </w:p>
        </w:tc>
        <w:tc>
          <w:tcPr>
            <w:tcW w:w="1204" w:type="dxa"/>
            <w:gridSpan w:val="2"/>
            <w:vMerge/>
            <w:tcBorders>
              <w:left w:val="single" w:sz="4" w:space="0" w:color="000000"/>
              <w:bottom w:val="nil" w:sz="6" w:space="0" w:color="auto"/>
              <w:right w:val="single" w:sz="4" w:space="0" w:color="000000"/>
            </w:tcBorders>
            <w:shd w:val="clear" w:color="auto" w:fill="D2D2D2"/>
          </w:tcPr>
          <w:p>
            <w:pPr/>
          </w:p>
        </w:tc>
        <w:tc>
          <w:tcPr>
            <w:tcW w:w="1236" w:type="dxa"/>
            <w:gridSpan w:val="2"/>
            <w:vMerge/>
            <w:tcBorders>
              <w:left w:val="single" w:sz="10" w:space="0" w:color="D2D2D2"/>
              <w:right w:val="single" w:sz="9" w:space="0" w:color="D2D2D2"/>
            </w:tcBorders>
          </w:tcPr>
          <w:p>
            <w:pPr/>
          </w:p>
        </w:tc>
        <w:tc>
          <w:tcPr>
            <w:tcW w:w="1276" w:type="dxa"/>
            <w:gridSpan w:val="2"/>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65" w:type="dxa"/>
            <w:gridSpan w:val="2"/>
            <w:vMerge/>
            <w:tcBorders>
              <w:left w:val="single" w:sz="4" w:space="0" w:color="000000"/>
              <w:right w:val="single" w:sz="4" w:space="0" w:color="000000"/>
            </w:tcBorders>
            <w:shd w:val="clear" w:color="auto" w:fill="D2D2D2"/>
          </w:tcPr>
          <w:p>
            <w:pPr/>
          </w:p>
        </w:tc>
        <w:tc>
          <w:tcPr>
            <w:tcW w:w="1211" w:type="dxa"/>
            <w:vMerge/>
            <w:tcBorders>
              <w:left w:val="single" w:sz="13" w:space="0" w:color="D2D2D2"/>
              <w:right w:val="single" w:sz="4" w:space="0" w:color="000000"/>
            </w:tcBorders>
          </w:tcPr>
          <w:p>
            <w:pPr/>
          </w:p>
        </w:tc>
      </w:tr>
      <w:tr>
        <w:trPr>
          <w:trHeight w:val="323" w:hRule="exact"/>
        </w:trPr>
        <w:tc>
          <w:tcPr>
            <w:tcW w:w="1197" w:type="dxa"/>
            <w:vMerge/>
            <w:tcBorders>
              <w:left w:val="single" w:sz="4" w:space="0" w:color="000000"/>
              <w:bottom w:val="single" w:sz="4" w:space="0" w:color="000000"/>
              <w:right w:val="single" w:sz="4" w:space="0" w:color="000000"/>
            </w:tcBorders>
            <w:shd w:val="clear" w:color="auto" w:fill="D2D2D2"/>
          </w:tcPr>
          <w:p>
            <w:pPr/>
          </w:p>
        </w:tc>
        <w:tc>
          <w:tcPr>
            <w:tcW w:w="1198" w:type="dxa"/>
            <w:gridSpan w:val="2"/>
            <w:vMerge/>
            <w:tcBorders>
              <w:left w:val="single" w:sz="9" w:space="0" w:color="D2D2D2"/>
              <w:bottom w:val="single" w:sz="4" w:space="0" w:color="000000"/>
              <w:right w:val="single" w:sz="9" w:space="0" w:color="D2D2D2"/>
            </w:tcBorders>
          </w:tcPr>
          <w:p>
            <w:pPr/>
          </w:p>
        </w:tc>
        <w:tc>
          <w:tcPr>
            <w:tcW w:w="120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36" w:type="dxa"/>
            <w:gridSpan w:val="2"/>
            <w:vMerge/>
            <w:tcBorders>
              <w:left w:val="single" w:sz="10" w:space="0" w:color="D2D2D2"/>
              <w:bottom w:val="single" w:sz="4" w:space="0" w:color="000000"/>
              <w:right w:val="single" w:sz="9" w:space="0" w:color="D2D2D2"/>
            </w:tcBorders>
          </w:tcPr>
          <w:p>
            <w:pPr/>
          </w:p>
        </w:tc>
        <w:tc>
          <w:tcPr>
            <w:tcW w:w="127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9" w:space="0" w:color="D2D2D2"/>
              <w:bottom w:val="single" w:sz="4" w:space="0" w:color="000000"/>
              <w:right w:val="single" w:sz="9" w:space="0" w:color="D2D2D2"/>
            </w:tcBorders>
          </w:tcPr>
          <w:p>
            <w:pPr/>
          </w:p>
        </w:tc>
        <w:tc>
          <w:tcPr>
            <w:tcW w:w="1165" w:type="dxa"/>
            <w:gridSpan w:val="2"/>
            <w:vMerge/>
            <w:tcBorders>
              <w:left w:val="single" w:sz="4" w:space="0" w:color="000000"/>
              <w:bottom w:val="single" w:sz="4" w:space="0" w:color="000000"/>
              <w:right w:val="single" w:sz="4" w:space="0" w:color="000000"/>
            </w:tcBorders>
            <w:shd w:val="clear" w:color="auto" w:fill="D2D2D2"/>
          </w:tcPr>
          <w:p>
            <w:pPr/>
          </w:p>
        </w:tc>
        <w:tc>
          <w:tcPr>
            <w:tcW w:w="1211" w:type="dxa"/>
            <w:vMerge/>
            <w:tcBorders>
              <w:left w:val="single" w:sz="13" w:space="0" w:color="D2D2D2"/>
              <w:bottom w:val="single" w:sz="4" w:space="0" w:color="000000"/>
              <w:right w:val="single" w:sz="4" w:space="0" w:color="000000"/>
            </w:tcBorders>
          </w:tcPr>
          <w:p>
            <w:pPr/>
          </w:p>
        </w:tc>
      </w:tr>
      <w:tr>
        <w:trPr>
          <w:trHeight w:val="391" w:hRule="exact"/>
        </w:trPr>
        <w:tc>
          <w:tcPr>
            <w:tcW w:w="9695"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12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63" w:type="dxa"/>
            <w:gridSpan w:val="2"/>
            <w:vMerge w:val="restart"/>
            <w:tcBorders>
              <w:top w:val="single" w:sz="4" w:space="0" w:color="000000"/>
              <w:left w:val="single" w:sz="4" w:space="0" w:color="000000"/>
              <w:right w:val="single" w:sz="4" w:space="0" w:color="000000"/>
            </w:tcBorders>
            <w:shd w:val="clear" w:color="auto" w:fill="D2D2D2"/>
          </w:tcPr>
          <w:p>
            <w:pPr/>
          </w:p>
        </w:tc>
        <w:tc>
          <w:tcPr>
            <w:tcW w:w="1405" w:type="dxa"/>
            <w:gridSpan w:val="2"/>
            <w:vMerge w:val="restart"/>
            <w:tcBorders>
              <w:top w:val="single" w:sz="4" w:space="0" w:color="000000"/>
              <w:left w:val="single" w:sz="4" w:space="0" w:color="000000"/>
              <w:right w:val="single" w:sz="4" w:space="0" w:color="000000"/>
            </w:tcBorders>
            <w:shd w:val="clear" w:color="auto" w:fill="D2D2D2"/>
          </w:tcPr>
          <w:p>
            <w:pPr/>
          </w:p>
        </w:tc>
        <w:tc>
          <w:tcPr>
            <w:tcW w:w="731" w:type="dxa"/>
            <w:vMerge w:val="restart"/>
            <w:tcBorders>
              <w:top w:val="single" w:sz="4" w:space="0" w:color="000000"/>
              <w:left w:val="single" w:sz="4" w:space="0" w:color="000000"/>
              <w:right w:val="single" w:sz="4" w:space="0" w:color="000000"/>
            </w:tcBorders>
            <w:shd w:val="clear" w:color="auto" w:fill="D2D2D2"/>
          </w:tcPr>
          <w:p>
            <w:pPr/>
          </w:p>
        </w:tc>
        <w:tc>
          <w:tcPr>
            <w:tcW w:w="908" w:type="dxa"/>
            <w:vMerge w:val="restart"/>
            <w:tcBorders>
              <w:top w:val="single" w:sz="4" w:space="0" w:color="000000"/>
              <w:left w:val="single" w:sz="4" w:space="0" w:color="000000"/>
              <w:right w:val="single" w:sz="4" w:space="0" w:color="000000"/>
            </w:tcBorders>
            <w:shd w:val="clear" w:color="auto" w:fill="D2D2D2"/>
          </w:tcPr>
          <w:p>
            <w:pPr/>
          </w:p>
        </w:tc>
        <w:tc>
          <w:tcPr>
            <w:tcW w:w="7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111" w:right="109"/>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268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0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8" w:hRule="exact"/>
        </w:trPr>
        <w:tc>
          <w:tcPr>
            <w:tcW w:w="1463" w:type="dxa"/>
            <w:gridSpan w:val="2"/>
            <w:vMerge/>
            <w:tcBorders>
              <w:left w:val="single" w:sz="4" w:space="0" w:color="000000"/>
              <w:right w:val="single" w:sz="4" w:space="0" w:color="000000"/>
            </w:tcBorders>
            <w:shd w:val="clear" w:color="auto" w:fill="D2D2D2"/>
          </w:tcPr>
          <w:p>
            <w:pPr/>
          </w:p>
        </w:tc>
        <w:tc>
          <w:tcPr>
            <w:tcW w:w="1405" w:type="dxa"/>
            <w:gridSpan w:val="2"/>
            <w:vMerge/>
            <w:tcBorders>
              <w:left w:val="single" w:sz="4" w:space="0" w:color="000000"/>
              <w:right w:val="single" w:sz="4" w:space="0" w:color="000000"/>
            </w:tcBorders>
            <w:shd w:val="clear" w:color="auto" w:fill="D2D2D2"/>
          </w:tcPr>
          <w:p>
            <w:pPr/>
          </w:p>
        </w:tc>
        <w:tc>
          <w:tcPr>
            <w:tcW w:w="731" w:type="dxa"/>
            <w:vMerge/>
            <w:tcBorders>
              <w:left w:val="single" w:sz="4" w:space="0" w:color="000000"/>
              <w:bottom w:val="nil" w:sz="6" w:space="0" w:color="auto"/>
              <w:right w:val="single" w:sz="4" w:space="0" w:color="000000"/>
            </w:tcBorders>
            <w:shd w:val="clear" w:color="auto" w:fill="D2D2D2"/>
          </w:tcPr>
          <w:p>
            <w:pPr/>
          </w:p>
        </w:tc>
        <w:tc>
          <w:tcPr>
            <w:tcW w:w="908" w:type="dxa"/>
            <w:vMerge/>
            <w:tcBorders>
              <w:left w:val="single" w:sz="4" w:space="0" w:color="000000"/>
              <w:bottom w:val="nil" w:sz="6" w:space="0" w:color="auto"/>
              <w:right w:val="single" w:sz="4" w:space="0" w:color="000000"/>
            </w:tcBorders>
            <w:shd w:val="clear" w:color="auto" w:fill="D2D2D2"/>
          </w:tcPr>
          <w:p>
            <w:pPr/>
          </w:p>
        </w:tc>
        <w:tc>
          <w:tcPr>
            <w:tcW w:w="773" w:type="dxa"/>
            <w:gridSpan w:val="2"/>
            <w:vMerge/>
            <w:tcBorders>
              <w:left w:val="single" w:sz="4" w:space="0" w:color="000000"/>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7" w:right="3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0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02" w:right="66"/>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83" w:type="dxa"/>
            <w:gridSpan w:val="4"/>
            <w:vMerge/>
            <w:tcBorders>
              <w:left w:val="single" w:sz="4" w:space="0" w:color="000000"/>
              <w:bottom w:val="single" w:sz="4" w:space="0" w:color="000000"/>
              <w:right w:val="single" w:sz="4" w:space="0" w:color="000000"/>
            </w:tcBorders>
            <w:shd w:val="clear" w:color="auto" w:fill="D2D2D2"/>
          </w:tcPr>
          <w:p>
            <w:pPr/>
          </w:p>
        </w:tc>
      </w:tr>
      <w:tr>
        <w:trPr>
          <w:trHeight w:val="114" w:hRule="exact"/>
        </w:trPr>
        <w:tc>
          <w:tcPr>
            <w:tcW w:w="1463" w:type="dxa"/>
            <w:gridSpan w:val="2"/>
            <w:vMerge/>
            <w:tcBorders>
              <w:left w:val="single" w:sz="4" w:space="0" w:color="000000"/>
              <w:bottom w:val="nil" w:sz="6" w:space="0" w:color="auto"/>
              <w:right w:val="single" w:sz="4" w:space="0" w:color="000000"/>
            </w:tcBorders>
            <w:shd w:val="clear" w:color="auto" w:fill="D2D2D2"/>
          </w:tcPr>
          <w:p>
            <w:pPr/>
          </w:p>
        </w:tc>
        <w:tc>
          <w:tcPr>
            <w:tcW w:w="1405" w:type="dxa"/>
            <w:gridSpan w:val="2"/>
            <w:vMerge/>
            <w:tcBorders>
              <w:left w:val="single" w:sz="4" w:space="0" w:color="000000"/>
              <w:bottom w:val="nil" w:sz="6" w:space="0" w:color="auto"/>
              <w:right w:val="single" w:sz="4" w:space="0" w:color="000000"/>
            </w:tcBorders>
            <w:shd w:val="clear" w:color="auto" w:fill="D2D2D2"/>
          </w:tcPr>
          <w:p>
            <w:pPr/>
          </w:p>
        </w:tc>
        <w:tc>
          <w:tcPr>
            <w:tcW w:w="7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9"/>
              <w:ind w:left="290" w:right="6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9"/>
              <w:ind w:left="107" w:right="69"/>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73" w:type="dxa"/>
            <w:gridSpan w:val="2"/>
            <w:vMerge/>
            <w:tcBorders>
              <w:left w:val="single" w:sz="4" w:space="0" w:color="000000"/>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343" w:type="dxa"/>
            <w:gridSpan w:val="2"/>
            <w:vMerge w:val="restart"/>
            <w:tcBorders>
              <w:top w:val="single" w:sz="4" w:space="0" w:color="000000"/>
              <w:left w:val="single" w:sz="4" w:space="0" w:color="000000"/>
              <w:right w:val="single" w:sz="4" w:space="0" w:color="000000"/>
            </w:tcBorders>
            <w:shd w:val="clear" w:color="auto" w:fill="D2D2D2"/>
          </w:tcPr>
          <w:p>
            <w:pPr/>
          </w:p>
        </w:tc>
        <w:tc>
          <w:tcPr>
            <w:tcW w:w="1340" w:type="dxa"/>
            <w:gridSpan w:val="2"/>
            <w:vMerge w:val="restart"/>
            <w:tcBorders>
              <w:top w:val="single" w:sz="4" w:space="0" w:color="000000"/>
              <w:left w:val="single" w:sz="4" w:space="0" w:color="000000"/>
              <w:right w:val="single" w:sz="4" w:space="0" w:color="000000"/>
            </w:tcBorders>
            <w:shd w:val="clear" w:color="auto" w:fill="D2D2D2"/>
          </w:tcPr>
          <w:p>
            <w:pPr/>
          </w:p>
        </w:tc>
      </w:tr>
      <w:tr>
        <w:trPr>
          <w:trHeight w:val="200" w:hRule="exact"/>
        </w:trPr>
        <w:tc>
          <w:tcPr>
            <w:tcW w:w="146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31" w:type="dxa"/>
            <w:vMerge/>
            <w:tcBorders>
              <w:left w:val="single" w:sz="4" w:space="0" w:color="000000"/>
              <w:right w:val="single" w:sz="4" w:space="0" w:color="000000"/>
            </w:tcBorders>
            <w:shd w:val="clear" w:color="auto" w:fill="D2D2D2"/>
          </w:tcPr>
          <w:p>
            <w:pPr/>
          </w:p>
        </w:tc>
        <w:tc>
          <w:tcPr>
            <w:tcW w:w="908" w:type="dxa"/>
            <w:vMerge/>
            <w:tcBorders>
              <w:left w:val="single" w:sz="4" w:space="0" w:color="000000"/>
              <w:right w:val="single" w:sz="4" w:space="0" w:color="000000"/>
            </w:tcBorders>
            <w:shd w:val="clear" w:color="auto" w:fill="D2D2D2"/>
          </w:tcPr>
          <w:p>
            <w:pPr/>
          </w:p>
        </w:tc>
        <w:tc>
          <w:tcPr>
            <w:tcW w:w="773" w:type="dxa"/>
            <w:gridSpan w:val="2"/>
            <w:vMerge/>
            <w:tcBorders>
              <w:left w:val="single" w:sz="4" w:space="0" w:color="000000"/>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343" w:type="dxa"/>
            <w:gridSpan w:val="2"/>
            <w:vMerge/>
            <w:tcBorders>
              <w:left w:val="single" w:sz="4" w:space="0" w:color="000000"/>
              <w:bottom w:val="nil" w:sz="6" w:space="0" w:color="auto"/>
              <w:right w:val="single" w:sz="4" w:space="0" w:color="000000"/>
            </w:tcBorders>
            <w:shd w:val="clear" w:color="auto" w:fill="D2D2D2"/>
          </w:tcPr>
          <w:p>
            <w:pPr/>
          </w:p>
        </w:tc>
        <w:tc>
          <w:tcPr>
            <w:tcW w:w="1340" w:type="dxa"/>
            <w:gridSpan w:val="2"/>
            <w:vMerge/>
            <w:tcBorders>
              <w:left w:val="single" w:sz="4" w:space="0" w:color="000000"/>
              <w:bottom w:val="nil" w:sz="6" w:space="0" w:color="auto"/>
              <w:right w:val="single" w:sz="4" w:space="0" w:color="000000"/>
            </w:tcBorders>
            <w:shd w:val="clear" w:color="auto" w:fill="D2D2D2"/>
          </w:tcPr>
          <w:p>
            <w:pPr/>
          </w:p>
        </w:tc>
      </w:tr>
      <w:tr>
        <w:trPr>
          <w:trHeight w:val="191" w:hRule="exact"/>
        </w:trPr>
        <w:tc>
          <w:tcPr>
            <w:tcW w:w="1463" w:type="dxa"/>
            <w:gridSpan w:val="2"/>
            <w:vMerge/>
            <w:tcBorders>
              <w:left w:val="single" w:sz="4" w:space="0" w:color="000000"/>
              <w:bottom w:val="nil" w:sz="6" w:space="0" w:color="auto"/>
              <w:right w:val="single" w:sz="4" w:space="0" w:color="000000"/>
            </w:tcBorders>
            <w:shd w:val="clear" w:color="auto" w:fill="D2D2D2"/>
          </w:tcPr>
          <w:p>
            <w:pPr/>
          </w:p>
        </w:tc>
        <w:tc>
          <w:tcPr>
            <w:tcW w:w="1405" w:type="dxa"/>
            <w:gridSpan w:val="2"/>
            <w:vMerge/>
            <w:tcBorders>
              <w:left w:val="single" w:sz="4" w:space="0" w:color="000000"/>
              <w:bottom w:val="nil" w:sz="6" w:space="0" w:color="auto"/>
              <w:right w:val="single" w:sz="4" w:space="0" w:color="000000"/>
            </w:tcBorders>
            <w:shd w:val="clear" w:color="auto" w:fill="D2D2D2"/>
          </w:tcPr>
          <w:p>
            <w:pPr/>
          </w:p>
        </w:tc>
        <w:tc>
          <w:tcPr>
            <w:tcW w:w="731" w:type="dxa"/>
            <w:vMerge/>
            <w:tcBorders>
              <w:left w:val="single" w:sz="4" w:space="0" w:color="000000"/>
              <w:right w:val="single" w:sz="4" w:space="0" w:color="000000"/>
            </w:tcBorders>
            <w:shd w:val="clear" w:color="auto" w:fill="D2D2D2"/>
          </w:tcPr>
          <w:p>
            <w:pPr/>
          </w:p>
        </w:tc>
        <w:tc>
          <w:tcPr>
            <w:tcW w:w="908" w:type="dxa"/>
            <w:vMerge/>
            <w:tcBorders>
              <w:left w:val="single" w:sz="4" w:space="0" w:color="000000"/>
              <w:right w:val="single" w:sz="4" w:space="0" w:color="000000"/>
            </w:tcBorders>
            <w:shd w:val="clear" w:color="auto" w:fill="D2D2D2"/>
          </w:tcPr>
          <w:p>
            <w:pPr/>
          </w:p>
        </w:tc>
        <w:tc>
          <w:tcPr>
            <w:tcW w:w="773" w:type="dxa"/>
            <w:gridSpan w:val="2"/>
            <w:vMerge/>
            <w:tcBorders>
              <w:left w:val="single" w:sz="4" w:space="0" w:color="000000"/>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34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6"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79" w:hRule="exact"/>
        </w:trPr>
        <w:tc>
          <w:tcPr>
            <w:tcW w:w="1463" w:type="dxa"/>
            <w:gridSpan w:val="2"/>
            <w:vMerge w:val="restart"/>
            <w:tcBorders>
              <w:top w:val="nil" w:sz="6" w:space="0" w:color="auto"/>
              <w:left w:val="single" w:sz="4" w:space="0" w:color="000000"/>
              <w:right w:val="single" w:sz="4" w:space="0" w:color="000000"/>
            </w:tcBorders>
            <w:shd w:val="clear" w:color="auto" w:fill="D2D2D2"/>
          </w:tcPr>
          <w:p>
            <w:pPr/>
          </w:p>
        </w:tc>
        <w:tc>
          <w:tcPr>
            <w:tcW w:w="1405" w:type="dxa"/>
            <w:gridSpan w:val="2"/>
            <w:vMerge w:val="restart"/>
            <w:tcBorders>
              <w:top w:val="nil" w:sz="6" w:space="0" w:color="auto"/>
              <w:left w:val="single" w:sz="4" w:space="0" w:color="000000"/>
              <w:right w:val="single" w:sz="4" w:space="0" w:color="000000"/>
            </w:tcBorders>
            <w:shd w:val="clear" w:color="auto" w:fill="D2D2D2"/>
          </w:tcPr>
          <w:p>
            <w:pPr/>
          </w:p>
        </w:tc>
        <w:tc>
          <w:tcPr>
            <w:tcW w:w="731" w:type="dxa"/>
            <w:vMerge/>
            <w:tcBorders>
              <w:left w:val="single" w:sz="4" w:space="0" w:color="000000"/>
              <w:bottom w:val="nil" w:sz="6" w:space="0" w:color="auto"/>
              <w:right w:val="single" w:sz="4" w:space="0" w:color="000000"/>
            </w:tcBorders>
            <w:shd w:val="clear" w:color="auto" w:fill="D2D2D2"/>
          </w:tcPr>
          <w:p>
            <w:pPr/>
          </w:p>
        </w:tc>
        <w:tc>
          <w:tcPr>
            <w:tcW w:w="908" w:type="dxa"/>
            <w:vMerge/>
            <w:tcBorders>
              <w:left w:val="single" w:sz="4" w:space="0" w:color="000000"/>
              <w:bottom w:val="nil" w:sz="6" w:space="0" w:color="auto"/>
              <w:right w:val="single" w:sz="4" w:space="0" w:color="000000"/>
            </w:tcBorders>
            <w:shd w:val="clear" w:color="auto" w:fill="D2D2D2"/>
          </w:tcPr>
          <w:p>
            <w:pPr/>
          </w:p>
        </w:tc>
        <w:tc>
          <w:tcPr>
            <w:tcW w:w="773" w:type="dxa"/>
            <w:gridSpan w:val="2"/>
            <w:vMerge/>
            <w:tcBorders>
              <w:left w:val="single" w:sz="4" w:space="0" w:color="000000"/>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343" w:type="dxa"/>
            <w:gridSpan w:val="2"/>
            <w:vMerge/>
            <w:tcBorders>
              <w:left w:val="single" w:sz="4" w:space="0" w:color="000000"/>
              <w:bottom w:val="nil" w:sz="6" w:space="0" w:color="auto"/>
              <w:right w:val="single" w:sz="4" w:space="0" w:color="000000"/>
            </w:tcBorders>
            <w:shd w:val="clear" w:color="auto" w:fill="D2D2D2"/>
          </w:tcPr>
          <w:p>
            <w:pPr/>
          </w:p>
        </w:tc>
        <w:tc>
          <w:tcPr>
            <w:tcW w:w="1340" w:type="dxa"/>
            <w:gridSpan w:val="2"/>
            <w:vMerge/>
            <w:tcBorders>
              <w:left w:val="single" w:sz="4" w:space="0" w:color="000000"/>
              <w:bottom w:val="nil" w:sz="6" w:space="0" w:color="auto"/>
              <w:right w:val="single" w:sz="4" w:space="0" w:color="000000"/>
            </w:tcBorders>
            <w:shd w:val="clear" w:color="auto" w:fill="D2D2D2"/>
          </w:tcPr>
          <w:p>
            <w:pPr/>
          </w:p>
        </w:tc>
      </w:tr>
      <w:tr>
        <w:trPr>
          <w:trHeight w:val="133" w:hRule="exact"/>
        </w:trPr>
        <w:tc>
          <w:tcPr>
            <w:tcW w:w="1463" w:type="dxa"/>
            <w:gridSpan w:val="2"/>
            <w:vMerge/>
            <w:tcBorders>
              <w:left w:val="single" w:sz="4" w:space="0" w:color="000000"/>
              <w:right w:val="single" w:sz="4" w:space="0" w:color="000000"/>
            </w:tcBorders>
            <w:shd w:val="clear" w:color="auto" w:fill="D2D2D2"/>
          </w:tcPr>
          <w:p>
            <w:pPr/>
          </w:p>
        </w:tc>
        <w:tc>
          <w:tcPr>
            <w:tcW w:w="1405" w:type="dxa"/>
            <w:gridSpan w:val="2"/>
            <w:vMerge/>
            <w:tcBorders>
              <w:left w:val="single" w:sz="4" w:space="0" w:color="000000"/>
              <w:right w:val="single" w:sz="4" w:space="0" w:color="000000"/>
            </w:tcBorders>
            <w:shd w:val="clear" w:color="auto" w:fill="D2D2D2"/>
          </w:tcPr>
          <w:p>
            <w:pPr/>
          </w:p>
        </w:tc>
        <w:tc>
          <w:tcPr>
            <w:tcW w:w="731" w:type="dxa"/>
            <w:vMerge w:val="restart"/>
            <w:tcBorders>
              <w:top w:val="nil" w:sz="6" w:space="0" w:color="auto"/>
              <w:left w:val="single" w:sz="4" w:space="0" w:color="000000"/>
              <w:right w:val="single" w:sz="4" w:space="0" w:color="000000"/>
            </w:tcBorders>
            <w:shd w:val="clear" w:color="auto" w:fill="D2D2D2"/>
          </w:tcPr>
          <w:p>
            <w:pPr/>
          </w:p>
        </w:tc>
        <w:tc>
          <w:tcPr>
            <w:tcW w:w="908" w:type="dxa"/>
            <w:vMerge w:val="restart"/>
            <w:tcBorders>
              <w:top w:val="nil" w:sz="6" w:space="0" w:color="auto"/>
              <w:left w:val="single" w:sz="4" w:space="0" w:color="000000"/>
              <w:right w:val="single" w:sz="4" w:space="0" w:color="000000"/>
            </w:tcBorders>
            <w:shd w:val="clear" w:color="auto" w:fill="D2D2D2"/>
          </w:tcPr>
          <w:p>
            <w:pPr/>
          </w:p>
        </w:tc>
        <w:tc>
          <w:tcPr>
            <w:tcW w:w="773" w:type="dxa"/>
            <w:gridSpan w:val="2"/>
            <w:vMerge/>
            <w:tcBorders>
              <w:left w:val="single" w:sz="4" w:space="0" w:color="000000"/>
              <w:right w:val="single" w:sz="4" w:space="0" w:color="000000"/>
            </w:tcBorders>
            <w:shd w:val="clear" w:color="auto" w:fill="D2D2D2"/>
          </w:tcPr>
          <w:p>
            <w:pPr/>
          </w:p>
        </w:tc>
        <w:tc>
          <w:tcPr>
            <w:tcW w:w="831" w:type="dxa"/>
            <w:vMerge/>
            <w:tcBorders>
              <w:left w:val="single" w:sz="4" w:space="0" w:color="000000"/>
              <w:bottom w:val="nil" w:sz="6" w:space="0" w:color="auto"/>
              <w:right w:val="single" w:sz="4" w:space="0" w:color="000000"/>
            </w:tcBorders>
            <w:shd w:val="clear" w:color="auto" w:fill="D2D2D2"/>
          </w:tcPr>
          <w:p>
            <w:pPr/>
          </w:p>
        </w:tc>
        <w:tc>
          <w:tcPr>
            <w:tcW w:w="901" w:type="dxa"/>
            <w:vMerge/>
            <w:tcBorders>
              <w:left w:val="single" w:sz="4" w:space="0" w:color="000000"/>
              <w:bottom w:val="nil" w:sz="6" w:space="0" w:color="auto"/>
              <w:right w:val="single" w:sz="4" w:space="0" w:color="000000"/>
            </w:tcBorders>
            <w:shd w:val="clear" w:color="auto" w:fill="D2D2D2"/>
          </w:tcPr>
          <w:p>
            <w:pPr/>
          </w:p>
        </w:tc>
        <w:tc>
          <w:tcPr>
            <w:tcW w:w="1343" w:type="dxa"/>
            <w:gridSpan w:val="2"/>
            <w:vMerge w:val="restart"/>
            <w:tcBorders>
              <w:top w:val="nil" w:sz="6" w:space="0" w:color="auto"/>
              <w:left w:val="single" w:sz="4" w:space="0" w:color="000000"/>
              <w:right w:val="single" w:sz="4" w:space="0" w:color="000000"/>
            </w:tcBorders>
            <w:shd w:val="clear" w:color="auto" w:fill="D2D2D2"/>
          </w:tcPr>
          <w:p>
            <w:pPr/>
          </w:p>
        </w:tc>
        <w:tc>
          <w:tcPr>
            <w:tcW w:w="1340" w:type="dxa"/>
            <w:gridSpan w:val="2"/>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463" w:type="dxa"/>
            <w:gridSpan w:val="2"/>
            <w:vMerge/>
            <w:tcBorders>
              <w:left w:val="single" w:sz="4" w:space="0" w:color="000000"/>
              <w:bottom w:val="single" w:sz="4" w:space="0" w:color="000000"/>
              <w:right w:val="single" w:sz="4" w:space="0" w:color="000000"/>
            </w:tcBorders>
            <w:shd w:val="clear" w:color="auto" w:fill="D2D2D2"/>
          </w:tcPr>
          <w:p>
            <w:pPr/>
          </w:p>
        </w:tc>
        <w:tc>
          <w:tcPr>
            <w:tcW w:w="1405" w:type="dxa"/>
            <w:gridSpan w:val="2"/>
            <w:vMerge/>
            <w:tcBorders>
              <w:left w:val="single" w:sz="4" w:space="0" w:color="000000"/>
              <w:bottom w:val="single" w:sz="4" w:space="0" w:color="000000"/>
              <w:right w:val="single" w:sz="4" w:space="0" w:color="000000"/>
            </w:tcBorders>
            <w:shd w:val="clear" w:color="auto" w:fill="D2D2D2"/>
          </w:tcPr>
          <w:p>
            <w:pPr/>
          </w:p>
        </w:tc>
        <w:tc>
          <w:tcPr>
            <w:tcW w:w="731" w:type="dxa"/>
            <w:vMerge/>
            <w:tcBorders>
              <w:left w:val="single" w:sz="4" w:space="0" w:color="000000"/>
              <w:bottom w:val="single" w:sz="4" w:space="0" w:color="000000"/>
              <w:right w:val="single" w:sz="4" w:space="0" w:color="000000"/>
            </w:tcBorders>
            <w:shd w:val="clear" w:color="auto" w:fill="D2D2D2"/>
          </w:tcPr>
          <w:p>
            <w:pPr/>
          </w:p>
        </w:tc>
        <w:tc>
          <w:tcPr>
            <w:tcW w:w="908" w:type="dxa"/>
            <w:vMerge/>
            <w:tcBorders>
              <w:left w:val="single" w:sz="4" w:space="0" w:color="000000"/>
              <w:bottom w:val="single" w:sz="4" w:space="0" w:color="000000"/>
              <w:right w:val="single" w:sz="4" w:space="0" w:color="000000"/>
            </w:tcBorders>
            <w:shd w:val="clear" w:color="auto" w:fill="D2D2D2"/>
          </w:tcPr>
          <w:p>
            <w:pPr/>
          </w:p>
        </w:tc>
        <w:tc>
          <w:tcPr>
            <w:tcW w:w="773" w:type="dxa"/>
            <w:gridSpan w:val="2"/>
            <w:vMerge/>
            <w:tcBorders>
              <w:left w:val="single" w:sz="4" w:space="0" w:color="000000"/>
              <w:bottom w:val="single" w:sz="4" w:space="0" w:color="000000"/>
              <w:right w:val="single" w:sz="4" w:space="0" w:color="000000"/>
            </w:tcBorders>
            <w:shd w:val="clear" w:color="auto" w:fill="D2D2D2"/>
          </w:tcPr>
          <w:p>
            <w:pPr/>
          </w:p>
        </w:tc>
        <w:tc>
          <w:tcPr>
            <w:tcW w:w="831"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3" w:type="dxa"/>
            <w:gridSpan w:val="2"/>
            <w:vMerge/>
            <w:tcBorders>
              <w:left w:val="single" w:sz="4" w:space="0" w:color="000000"/>
              <w:bottom w:val="single" w:sz="4" w:space="0" w:color="000000"/>
              <w:right w:val="single" w:sz="4" w:space="0" w:color="000000"/>
            </w:tcBorders>
            <w:shd w:val="clear" w:color="auto" w:fill="D2D2D2"/>
          </w:tcPr>
          <w:p>
            <w:pPr/>
          </w:p>
        </w:tc>
        <w:tc>
          <w:tcPr>
            <w:tcW w:w="1340"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8"/>
              <w:jc w:val="left"/>
              <w:rPr>
                <w:rFonts w:ascii="宋体" w:hAnsi="宋体" w:cs="宋体" w:eastAsia="宋体" w:hint="default"/>
                <w:sz w:val="18"/>
                <w:szCs w:val="18"/>
              </w:rPr>
            </w:pPr>
            <w:r>
              <w:rPr>
                <w:rFonts w:ascii="宋体" w:hAnsi="宋体" w:cs="宋体" w:eastAsia="宋体" w:hint="default"/>
                <w:sz w:val="18"/>
                <w:szCs w:val="18"/>
              </w:rPr>
              <w:t>陕西医药控股集 团有限责任公司</w:t>
            </w:r>
          </w:p>
        </w:tc>
        <w:tc>
          <w:tcPr>
            <w:tcW w:w="1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46.25%</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69,375,000</w:t>
            </w:r>
          </w:p>
        </w:tc>
        <w:tc>
          <w:tcPr>
            <w:tcW w:w="773" w:type="dxa"/>
            <w:gridSpan w:val="2"/>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12"/>
              <w:jc w:val="center"/>
              <w:rPr>
                <w:rFonts w:ascii="Times New Roman" w:hAnsi="Times New Roman" w:cs="Times New Roman" w:eastAsia="Times New Roman" w:hint="default"/>
                <w:sz w:val="18"/>
                <w:szCs w:val="18"/>
              </w:rPr>
            </w:pPr>
            <w:r>
              <w:rPr>
                <w:rFonts w:ascii="Times New Roman"/>
                <w:sz w:val="18"/>
              </w:rPr>
              <w:t>69,375,000</w:t>
            </w:r>
          </w:p>
        </w:tc>
        <w:tc>
          <w:tcPr>
            <w:tcW w:w="901" w:type="dxa"/>
            <w:tcBorders>
              <w:top w:val="single" w:sz="4" w:space="0" w:color="000000"/>
              <w:left w:val="single" w:sz="4" w:space="0" w:color="000000"/>
              <w:bottom w:val="single" w:sz="4" w:space="0" w:color="000000"/>
              <w:right w:val="single" w:sz="4" w:space="0" w:color="000000"/>
            </w:tcBorders>
          </w:tcPr>
          <w:p>
            <w:pPr/>
          </w:p>
        </w:tc>
        <w:tc>
          <w:tcPr>
            <w:tcW w:w="1343" w:type="dxa"/>
            <w:gridSpan w:val="2"/>
            <w:tcBorders>
              <w:top w:val="single" w:sz="4" w:space="0" w:color="000000"/>
              <w:left w:val="single" w:sz="4" w:space="0" w:color="000000"/>
              <w:bottom w:val="single" w:sz="4" w:space="0" w:color="000000"/>
              <w:right w:val="single" w:sz="4" w:space="0" w:color="000000"/>
            </w:tcBorders>
          </w:tcPr>
          <w:p>
            <w:pPr/>
          </w:p>
        </w:tc>
        <w:tc>
          <w:tcPr>
            <w:tcW w:w="1340"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8"/>
              <w:jc w:val="left"/>
              <w:rPr>
                <w:rFonts w:ascii="宋体" w:hAnsi="宋体" w:cs="宋体" w:eastAsia="宋体" w:hint="default"/>
                <w:sz w:val="18"/>
                <w:szCs w:val="18"/>
              </w:rPr>
            </w:pPr>
            <w:r>
              <w:rPr>
                <w:rFonts w:ascii="宋体" w:hAnsi="宋体" w:cs="宋体" w:eastAsia="宋体" w:hint="default"/>
                <w:sz w:val="18"/>
                <w:szCs w:val="18"/>
              </w:rPr>
              <w:t>香港原石国际有 限公司</w:t>
            </w:r>
          </w:p>
        </w:tc>
        <w:tc>
          <w:tcPr>
            <w:tcW w:w="1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18.75%</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28,125,000</w:t>
            </w:r>
          </w:p>
        </w:tc>
        <w:tc>
          <w:tcPr>
            <w:tcW w:w="773" w:type="dxa"/>
            <w:gridSpan w:val="2"/>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28,125,000</w:t>
            </w:r>
          </w:p>
        </w:tc>
        <w:tc>
          <w:tcPr>
            <w:tcW w:w="1343" w:type="dxa"/>
            <w:gridSpan w:val="2"/>
            <w:tcBorders>
              <w:top w:val="single" w:sz="4" w:space="0" w:color="000000"/>
              <w:left w:val="single" w:sz="4" w:space="0" w:color="000000"/>
              <w:bottom w:val="single" w:sz="4" w:space="0" w:color="000000"/>
              <w:right w:val="single" w:sz="4" w:space="0" w:color="000000"/>
            </w:tcBorders>
          </w:tcPr>
          <w:p>
            <w:pPr/>
          </w:p>
        </w:tc>
        <w:tc>
          <w:tcPr>
            <w:tcW w:w="1340"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5"/>
                <w:sz w:val="18"/>
                <w:szCs w:val="18"/>
              </w:rPr>
              <w:t>比特（香港）投资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11,250,000</w:t>
            </w:r>
          </w:p>
        </w:tc>
        <w:tc>
          <w:tcPr>
            <w:tcW w:w="773" w:type="dxa"/>
            <w:gridSpan w:val="2"/>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11,250,000</w:t>
            </w:r>
          </w:p>
        </w:tc>
        <w:tc>
          <w:tcPr>
            <w:tcW w:w="1343" w:type="dxa"/>
            <w:gridSpan w:val="2"/>
            <w:tcBorders>
              <w:top w:val="single" w:sz="4" w:space="0" w:color="000000"/>
              <w:left w:val="single" w:sz="4" w:space="0" w:color="000000"/>
              <w:bottom w:val="single" w:sz="4" w:space="0" w:color="000000"/>
              <w:right w:val="single" w:sz="4" w:space="0" w:color="000000"/>
            </w:tcBorders>
          </w:tcPr>
          <w:p>
            <w:pPr/>
          </w:p>
        </w:tc>
        <w:tc>
          <w:tcPr>
            <w:tcW w:w="1340"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8"/>
              <w:jc w:val="both"/>
              <w:rPr>
                <w:rFonts w:ascii="宋体" w:hAnsi="宋体" w:cs="宋体" w:eastAsia="宋体" w:hint="default"/>
                <w:sz w:val="18"/>
                <w:szCs w:val="18"/>
              </w:rPr>
            </w:pPr>
            <w:r>
              <w:rPr>
                <w:rFonts w:ascii="宋体" w:hAnsi="宋体" w:cs="宋体" w:eastAsia="宋体" w:hint="default"/>
                <w:sz w:val="18"/>
                <w:szCs w:val="18"/>
              </w:rPr>
              <w:t>全国社会保障基 金理事会转持二 户</w:t>
            </w:r>
          </w:p>
        </w:tc>
        <w:tc>
          <w:tcPr>
            <w:tcW w:w="1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3,750,000</w:t>
            </w:r>
          </w:p>
        </w:tc>
        <w:tc>
          <w:tcPr>
            <w:tcW w:w="773" w:type="dxa"/>
            <w:gridSpan w:val="2"/>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2" w:right="-12"/>
              <w:jc w:val="center"/>
              <w:rPr>
                <w:rFonts w:ascii="Times New Roman" w:hAnsi="Times New Roman" w:cs="Times New Roman" w:eastAsia="Times New Roman" w:hint="default"/>
                <w:sz w:val="18"/>
                <w:szCs w:val="18"/>
              </w:rPr>
            </w:pPr>
            <w:r>
              <w:rPr>
                <w:rFonts w:ascii="Times New Roman"/>
                <w:sz w:val="18"/>
              </w:rPr>
              <w:t>3,750,000</w:t>
            </w:r>
          </w:p>
        </w:tc>
        <w:tc>
          <w:tcPr>
            <w:tcW w:w="901" w:type="dxa"/>
            <w:tcBorders>
              <w:top w:val="single" w:sz="4" w:space="0" w:color="000000"/>
              <w:left w:val="single" w:sz="4" w:space="0" w:color="000000"/>
              <w:bottom w:val="single" w:sz="4" w:space="0" w:color="000000"/>
              <w:right w:val="single" w:sz="4" w:space="0" w:color="000000"/>
            </w:tcBorders>
          </w:tcPr>
          <w:p>
            <w:pPr/>
          </w:p>
        </w:tc>
        <w:tc>
          <w:tcPr>
            <w:tcW w:w="1343" w:type="dxa"/>
            <w:gridSpan w:val="2"/>
            <w:tcBorders>
              <w:top w:val="single" w:sz="4" w:space="0" w:color="000000"/>
              <w:left w:val="single" w:sz="4" w:space="0" w:color="000000"/>
              <w:bottom w:val="single" w:sz="4" w:space="0" w:color="000000"/>
              <w:right w:val="single" w:sz="4" w:space="0" w:color="000000"/>
            </w:tcBorders>
          </w:tcPr>
          <w:p>
            <w:pPr/>
          </w:p>
        </w:tc>
        <w:tc>
          <w:tcPr>
            <w:tcW w:w="1340"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李仁东</w:t>
            </w:r>
          </w:p>
        </w:tc>
        <w:tc>
          <w:tcPr>
            <w:tcW w:w="1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0.82%</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1,234,650</w:t>
            </w:r>
          </w:p>
        </w:tc>
        <w:tc>
          <w:tcPr>
            <w:tcW w:w="773" w:type="dxa"/>
            <w:gridSpan w:val="2"/>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1,234,650</w:t>
            </w:r>
          </w:p>
        </w:tc>
        <w:tc>
          <w:tcPr>
            <w:tcW w:w="1343" w:type="dxa"/>
            <w:gridSpan w:val="2"/>
            <w:tcBorders>
              <w:top w:val="single" w:sz="4" w:space="0" w:color="000000"/>
              <w:left w:val="single" w:sz="4" w:space="0" w:color="000000"/>
              <w:bottom w:val="single" w:sz="4" w:space="0" w:color="000000"/>
              <w:right w:val="single" w:sz="4" w:space="0" w:color="000000"/>
            </w:tcBorders>
          </w:tcPr>
          <w:p>
            <w:pPr/>
          </w:p>
        </w:tc>
        <w:tc>
          <w:tcPr>
            <w:tcW w:w="1340" w:type="dxa"/>
            <w:gridSpan w:val="2"/>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6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8"/>
              <w:jc w:val="left"/>
              <w:rPr>
                <w:rFonts w:ascii="宋体" w:hAnsi="宋体" w:cs="宋体" w:eastAsia="宋体" w:hint="default"/>
                <w:sz w:val="18"/>
                <w:szCs w:val="18"/>
              </w:rPr>
            </w:pPr>
            <w:r>
              <w:rPr>
                <w:rFonts w:ascii="宋体" w:hAnsi="宋体" w:cs="宋体" w:eastAsia="宋体" w:hint="default"/>
                <w:sz w:val="18"/>
                <w:szCs w:val="18"/>
              </w:rPr>
              <w:t>西安环球印务股 份有限公司－第</w:t>
            </w:r>
          </w:p>
        </w:tc>
        <w:tc>
          <w:tcPr>
            <w:tcW w:w="1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1,057,150</w:t>
            </w:r>
          </w:p>
        </w:tc>
        <w:tc>
          <w:tcPr>
            <w:tcW w:w="773" w:type="dxa"/>
            <w:gridSpan w:val="2"/>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1,057,150</w:t>
            </w:r>
          </w:p>
        </w:tc>
        <w:tc>
          <w:tcPr>
            <w:tcW w:w="1343" w:type="dxa"/>
            <w:gridSpan w:val="2"/>
            <w:tcBorders>
              <w:top w:val="single" w:sz="4" w:space="0" w:color="000000"/>
              <w:left w:val="single" w:sz="4" w:space="0" w:color="000000"/>
              <w:bottom w:val="single" w:sz="4" w:space="0" w:color="000000"/>
              <w:right w:val="single" w:sz="4" w:space="0" w:color="000000"/>
            </w:tcBorders>
          </w:tcPr>
          <w:p>
            <w:pPr/>
          </w:p>
        </w:tc>
        <w:tc>
          <w:tcPr>
            <w:tcW w:w="1340"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500" w:bottom="1160" w:left="980" w:right="0"/>
        </w:sectPr>
      </w:pPr>
    </w:p>
    <w:tbl>
      <w:tblPr>
        <w:tblW w:w="0" w:type="auto"/>
        <w:jc w:val="left"/>
        <w:tblInd w:w="101" w:type="dxa"/>
        <w:tblLayout w:type="fixed"/>
        <w:tblCellMar>
          <w:top w:w="0" w:type="dxa"/>
          <w:left w:w="0" w:type="dxa"/>
          <w:bottom w:w="0" w:type="dxa"/>
          <w:right w:w="0" w:type="dxa"/>
        </w:tblCellMar>
        <w:tblLook w:val="01E0"/>
      </w:tblPr>
      <w:tblGrid>
        <w:gridCol w:w="1463"/>
        <w:gridCol w:w="1405"/>
        <w:gridCol w:w="772"/>
        <w:gridCol w:w="867"/>
        <w:gridCol w:w="773"/>
        <w:gridCol w:w="866"/>
        <w:gridCol w:w="865"/>
        <w:gridCol w:w="1343"/>
        <w:gridCol w:w="1340"/>
      </w:tblGrid>
      <w:tr>
        <w:trPr>
          <w:trHeight w:val="685" w:hRule="exact"/>
        </w:trPr>
        <w:tc>
          <w:tcPr>
            <w:tcW w:w="1463" w:type="dxa"/>
            <w:tcBorders>
              <w:top w:val="single" w:sz="10" w:space="0" w:color="000000"/>
              <w:left w:val="single" w:sz="4" w:space="0" w:color="000000"/>
              <w:bottom w:val="single" w:sz="4" w:space="0" w:color="000000"/>
              <w:right w:val="single" w:sz="4" w:space="0" w:color="000000"/>
            </w:tcBorders>
          </w:tcPr>
          <w:p>
            <w:pPr>
              <w:pStyle w:val="TableParagraph"/>
              <w:spacing w:line="319" w:lineRule="auto" w:before="10"/>
              <w:ind w:left="22" w:right="168"/>
              <w:jc w:val="left"/>
              <w:rPr>
                <w:rFonts w:ascii="宋体" w:hAnsi="宋体" w:cs="宋体" w:eastAsia="宋体" w:hint="default"/>
                <w:sz w:val="18"/>
                <w:szCs w:val="18"/>
              </w:rPr>
            </w:pPr>
            <w:r>
              <w:rPr>
                <w:rFonts w:ascii="宋体" w:hAnsi="宋体" w:cs="宋体" w:eastAsia="宋体" w:hint="default"/>
                <w:sz w:val="18"/>
                <w:szCs w:val="18"/>
              </w:rPr>
              <w:t>一期员工持股计 划</w:t>
            </w:r>
          </w:p>
        </w:tc>
        <w:tc>
          <w:tcPr>
            <w:tcW w:w="1405" w:type="dxa"/>
            <w:tcBorders>
              <w:top w:val="single" w:sz="10" w:space="0" w:color="000000"/>
              <w:left w:val="single" w:sz="4" w:space="0" w:color="000000"/>
              <w:bottom w:val="single" w:sz="4" w:space="0" w:color="000000"/>
              <w:right w:val="single" w:sz="4" w:space="0" w:color="000000"/>
            </w:tcBorders>
          </w:tcPr>
          <w:p>
            <w:pPr/>
          </w:p>
        </w:tc>
        <w:tc>
          <w:tcPr>
            <w:tcW w:w="772" w:type="dxa"/>
            <w:tcBorders>
              <w:top w:val="single" w:sz="10" w:space="0" w:color="000000"/>
              <w:left w:val="single" w:sz="4" w:space="0" w:color="000000"/>
              <w:bottom w:val="single" w:sz="4" w:space="0" w:color="000000"/>
              <w:right w:val="single" w:sz="4" w:space="0" w:color="000000"/>
            </w:tcBorders>
          </w:tcPr>
          <w:p>
            <w:pPr/>
          </w:p>
        </w:tc>
        <w:tc>
          <w:tcPr>
            <w:tcW w:w="867" w:type="dxa"/>
            <w:tcBorders>
              <w:top w:val="single" w:sz="10" w:space="0" w:color="000000"/>
              <w:left w:val="single" w:sz="4" w:space="0" w:color="000000"/>
              <w:bottom w:val="single" w:sz="4" w:space="0" w:color="000000"/>
              <w:right w:val="single" w:sz="4" w:space="0" w:color="000000"/>
            </w:tcBorders>
          </w:tcPr>
          <w:p>
            <w:pPr/>
          </w:p>
        </w:tc>
        <w:tc>
          <w:tcPr>
            <w:tcW w:w="773" w:type="dxa"/>
            <w:tcBorders>
              <w:top w:val="single" w:sz="10" w:space="0" w:color="000000"/>
              <w:left w:val="single" w:sz="4" w:space="0" w:color="000000"/>
              <w:bottom w:val="single" w:sz="4" w:space="0" w:color="000000"/>
              <w:right w:val="single" w:sz="4" w:space="0" w:color="000000"/>
            </w:tcBorders>
          </w:tcPr>
          <w:p>
            <w:pPr/>
          </w:p>
        </w:tc>
        <w:tc>
          <w:tcPr>
            <w:tcW w:w="866" w:type="dxa"/>
            <w:tcBorders>
              <w:top w:val="single" w:sz="10" w:space="0" w:color="000000"/>
              <w:left w:val="single" w:sz="4" w:space="0" w:color="000000"/>
              <w:bottom w:val="single" w:sz="4" w:space="0" w:color="000000"/>
              <w:right w:val="single" w:sz="4" w:space="0" w:color="000000"/>
            </w:tcBorders>
          </w:tcPr>
          <w:p>
            <w:pPr/>
          </w:p>
        </w:tc>
        <w:tc>
          <w:tcPr>
            <w:tcW w:w="865" w:type="dxa"/>
            <w:tcBorders>
              <w:top w:val="single" w:sz="10" w:space="0" w:color="000000"/>
              <w:left w:val="single" w:sz="4" w:space="0" w:color="000000"/>
              <w:bottom w:val="single" w:sz="4" w:space="0" w:color="000000"/>
              <w:right w:val="single" w:sz="4" w:space="0" w:color="000000"/>
            </w:tcBorders>
          </w:tcPr>
          <w:p>
            <w:pPr/>
          </w:p>
        </w:tc>
        <w:tc>
          <w:tcPr>
            <w:tcW w:w="1343" w:type="dxa"/>
            <w:tcBorders>
              <w:top w:val="single" w:sz="10" w:space="0" w:color="000000"/>
              <w:left w:val="single" w:sz="4" w:space="0" w:color="000000"/>
              <w:bottom w:val="single" w:sz="4" w:space="0" w:color="000000"/>
              <w:right w:val="single" w:sz="4" w:space="0" w:color="000000"/>
            </w:tcBorders>
          </w:tcPr>
          <w:p>
            <w:pPr/>
          </w:p>
        </w:tc>
        <w:tc>
          <w:tcPr>
            <w:tcW w:w="1340"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马海燕</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0.51%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757,950</w:t>
            </w:r>
          </w:p>
        </w:tc>
        <w:tc>
          <w:tcPr>
            <w:tcW w:w="773"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757,950</w:t>
            </w:r>
          </w:p>
        </w:tc>
        <w:tc>
          <w:tcPr>
            <w:tcW w:w="134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李远东</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z w:val="18"/>
              </w:rPr>
              <w:t>0.44%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z w:val="18"/>
              </w:rPr>
              <w:t>657,250</w:t>
            </w:r>
          </w:p>
        </w:tc>
        <w:tc>
          <w:tcPr>
            <w:tcW w:w="773"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z w:val="18"/>
              </w:rPr>
              <w:t>657,250</w:t>
            </w:r>
          </w:p>
        </w:tc>
        <w:tc>
          <w:tcPr>
            <w:tcW w:w="134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赵志欣</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0.14%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217,250</w:t>
            </w:r>
          </w:p>
        </w:tc>
        <w:tc>
          <w:tcPr>
            <w:tcW w:w="773"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217,250</w:t>
            </w:r>
          </w:p>
        </w:tc>
        <w:tc>
          <w:tcPr>
            <w:tcW w:w="134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陈成宗</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0.14%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205,750</w:t>
            </w:r>
          </w:p>
        </w:tc>
        <w:tc>
          <w:tcPr>
            <w:tcW w:w="773"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205,750</w:t>
            </w:r>
          </w:p>
        </w:tc>
        <w:tc>
          <w:tcPr>
            <w:tcW w:w="134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7"/>
              <w:ind w:left="22"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4"/>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26"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2" w:hRule="exact"/>
        </w:trPr>
        <w:tc>
          <w:tcPr>
            <w:tcW w:w="28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826" w:type="dxa"/>
            <w:gridSpan w:val="7"/>
            <w:vMerge w:val="restart"/>
            <w:tcBorders>
              <w:top w:val="single" w:sz="4" w:space="0" w:color="000000"/>
              <w:left w:val="single" w:sz="9" w:space="0" w:color="D2D2D2"/>
              <w:right w:val="single" w:sz="4" w:space="0" w:color="000000"/>
            </w:tcBorders>
          </w:tcPr>
          <w:p>
            <w:pPr>
              <w:pStyle w:val="TableParagraph"/>
              <w:spacing w:line="309" w:lineRule="auto" w:before="47"/>
              <w:ind w:left="16" w:right="21"/>
              <w:jc w:val="both"/>
              <w:rPr>
                <w:rFonts w:ascii="宋体" w:hAnsi="宋体" w:cs="宋体" w:eastAsia="宋体" w:hint="default"/>
                <w:sz w:val="18"/>
                <w:szCs w:val="18"/>
              </w:rPr>
            </w:pPr>
            <w:r>
              <w:rPr>
                <w:rFonts w:ascii="宋体" w:hAnsi="宋体" w:cs="宋体" w:eastAsia="宋体" w:hint="default"/>
                <w:spacing w:val="-2"/>
                <w:sz w:val="18"/>
                <w:szCs w:val="18"/>
              </w:rPr>
              <w:t>陕药集团、全国社会保障基金理事会转持二户等两名限售股股东不存在关联关系或一致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行动关系。此外，公司未获知其他前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名普通股股东之间，是否存在关联关系或一致 行动关系。</w:t>
            </w:r>
          </w:p>
        </w:tc>
      </w:tr>
      <w:tr>
        <w:trPr>
          <w:trHeight w:val="703" w:hRule="exact"/>
        </w:trPr>
        <w:tc>
          <w:tcPr>
            <w:tcW w:w="286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6"/>
              <w:ind w:left="22" w:right="13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826" w:type="dxa"/>
            <w:gridSpan w:val="7"/>
            <w:vMerge/>
            <w:tcBorders>
              <w:left w:val="single" w:sz="9" w:space="0" w:color="D2D2D2"/>
              <w:right w:val="single" w:sz="4" w:space="0" w:color="000000"/>
            </w:tcBorders>
          </w:tcPr>
          <w:p>
            <w:pPr/>
          </w:p>
        </w:tc>
      </w:tr>
      <w:tr>
        <w:trPr>
          <w:trHeight w:val="161" w:hRule="exact"/>
        </w:trPr>
        <w:tc>
          <w:tcPr>
            <w:tcW w:w="28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826" w:type="dxa"/>
            <w:gridSpan w:val="7"/>
            <w:vMerge/>
            <w:tcBorders>
              <w:left w:val="single" w:sz="9" w:space="0" w:color="D2D2D2"/>
              <w:bottom w:val="single" w:sz="4" w:space="0" w:color="000000"/>
              <w:right w:val="single" w:sz="4" w:space="0" w:color="000000"/>
            </w:tcBorders>
          </w:tcPr>
          <w:p>
            <w:pPr/>
          </w:p>
        </w:tc>
      </w:tr>
      <w:tr>
        <w:trPr>
          <w:trHeight w:val="402" w:hRule="exact"/>
        </w:trPr>
        <w:tc>
          <w:tcPr>
            <w:tcW w:w="969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43"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8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43"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6"/>
              <w:ind w:left="71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8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68" w:type="dxa"/>
            <w:gridSpan w:val="2"/>
            <w:vMerge/>
            <w:tcBorders>
              <w:left w:val="single" w:sz="4" w:space="0" w:color="000000"/>
              <w:bottom w:val="nil" w:sz="6" w:space="0" w:color="auto"/>
              <w:right w:val="single" w:sz="4" w:space="0" w:color="000000"/>
            </w:tcBorders>
            <w:shd w:val="clear" w:color="auto" w:fill="D2D2D2"/>
          </w:tcPr>
          <w:p>
            <w:pPr/>
          </w:p>
        </w:tc>
        <w:tc>
          <w:tcPr>
            <w:tcW w:w="4143" w:type="dxa"/>
            <w:gridSpan w:val="5"/>
            <w:vMerge/>
            <w:tcBorders>
              <w:left w:val="single" w:sz="4" w:space="0" w:color="000000"/>
              <w:bottom w:val="nil" w:sz="6" w:space="0" w:color="auto"/>
              <w:right w:val="single" w:sz="4" w:space="0" w:color="000000"/>
            </w:tcBorders>
            <w:shd w:val="clear" w:color="auto" w:fill="D2D2D2"/>
          </w:tcPr>
          <w:p>
            <w:pPr/>
          </w:p>
        </w:tc>
        <w:tc>
          <w:tcPr>
            <w:tcW w:w="13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06"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5" w:hRule="exact"/>
        </w:trPr>
        <w:tc>
          <w:tcPr>
            <w:tcW w:w="28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43"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3" w:type="dxa"/>
            <w:vMerge/>
            <w:tcBorders>
              <w:left w:val="single" w:sz="4" w:space="0" w:color="000000"/>
              <w:bottom w:val="single" w:sz="4" w:space="0" w:color="000000"/>
              <w:right w:val="single" w:sz="4" w:space="0" w:color="000000"/>
            </w:tcBorders>
            <w:shd w:val="clear" w:color="auto" w:fill="D2D2D2"/>
          </w:tcPr>
          <w:p>
            <w:pPr/>
          </w:p>
        </w:tc>
        <w:tc>
          <w:tcPr>
            <w:tcW w:w="134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香港原石国际有限公司</w:t>
            </w:r>
          </w:p>
        </w:tc>
        <w:tc>
          <w:tcPr>
            <w:tcW w:w="41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z w:val="18"/>
              </w:rPr>
              <w:t>28,125,000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z w:val="18"/>
              </w:rPr>
              <w:t>28,125,000</w:t>
            </w:r>
          </w:p>
        </w:tc>
      </w:tr>
      <w:tr>
        <w:trPr>
          <w:trHeight w:val="402" w:hRule="exact"/>
        </w:trPr>
        <w:tc>
          <w:tcPr>
            <w:tcW w:w="2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比特（香港）投资有限公司</w:t>
            </w:r>
          </w:p>
        </w:tc>
        <w:tc>
          <w:tcPr>
            <w:tcW w:w="41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pacing w:val="-1"/>
                <w:sz w:val="18"/>
              </w:rPr>
              <w:t>11,250,000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pacing w:val="-1"/>
                <w:sz w:val="18"/>
              </w:rPr>
              <w:t>11,250,000</w:t>
            </w:r>
          </w:p>
        </w:tc>
      </w:tr>
      <w:tr>
        <w:trPr>
          <w:trHeight w:val="402" w:hRule="exact"/>
        </w:trPr>
        <w:tc>
          <w:tcPr>
            <w:tcW w:w="2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李仁东</w:t>
            </w:r>
          </w:p>
        </w:tc>
        <w:tc>
          <w:tcPr>
            <w:tcW w:w="41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z w:val="18"/>
              </w:rPr>
              <w:t>1,234,650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z w:val="18"/>
              </w:rPr>
              <w:t>1,234,650</w:t>
            </w:r>
          </w:p>
        </w:tc>
      </w:tr>
      <w:tr>
        <w:trPr>
          <w:trHeight w:val="714" w:hRule="exact"/>
        </w:trPr>
        <w:tc>
          <w:tcPr>
            <w:tcW w:w="2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8"/>
              <w:ind w:left="22" w:right="135"/>
              <w:jc w:val="left"/>
              <w:rPr>
                <w:rFonts w:ascii="宋体" w:hAnsi="宋体" w:cs="宋体" w:eastAsia="宋体" w:hint="default"/>
                <w:sz w:val="18"/>
                <w:szCs w:val="18"/>
              </w:rPr>
            </w:pPr>
            <w:r>
              <w:rPr>
                <w:rFonts w:ascii="宋体" w:hAnsi="宋体" w:cs="宋体" w:eastAsia="宋体" w:hint="default"/>
                <w:sz w:val="18"/>
                <w:szCs w:val="18"/>
              </w:rPr>
              <w:t>西安环球印务股份有限公司－第一 期员工持股计划</w:t>
            </w:r>
          </w:p>
        </w:tc>
        <w:tc>
          <w:tcPr>
            <w:tcW w:w="41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1,057,150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1,057,150</w:t>
            </w:r>
          </w:p>
        </w:tc>
      </w:tr>
      <w:tr>
        <w:trPr>
          <w:trHeight w:val="402" w:hRule="exact"/>
        </w:trPr>
        <w:tc>
          <w:tcPr>
            <w:tcW w:w="2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马海燕</w:t>
            </w:r>
          </w:p>
        </w:tc>
        <w:tc>
          <w:tcPr>
            <w:tcW w:w="41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757,950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757,950</w:t>
            </w:r>
          </w:p>
        </w:tc>
      </w:tr>
      <w:tr>
        <w:trPr>
          <w:trHeight w:val="402" w:hRule="exact"/>
        </w:trPr>
        <w:tc>
          <w:tcPr>
            <w:tcW w:w="2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李远东</w:t>
            </w:r>
          </w:p>
        </w:tc>
        <w:tc>
          <w:tcPr>
            <w:tcW w:w="41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657,250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657,250</w:t>
            </w:r>
          </w:p>
        </w:tc>
      </w:tr>
      <w:tr>
        <w:trPr>
          <w:trHeight w:val="402" w:hRule="exact"/>
        </w:trPr>
        <w:tc>
          <w:tcPr>
            <w:tcW w:w="2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赵志欣</w:t>
            </w:r>
          </w:p>
        </w:tc>
        <w:tc>
          <w:tcPr>
            <w:tcW w:w="41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217,250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217,250</w:t>
            </w:r>
          </w:p>
        </w:tc>
      </w:tr>
      <w:tr>
        <w:trPr>
          <w:trHeight w:val="402" w:hRule="exact"/>
        </w:trPr>
        <w:tc>
          <w:tcPr>
            <w:tcW w:w="2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陈成宗</w:t>
            </w:r>
          </w:p>
        </w:tc>
        <w:tc>
          <w:tcPr>
            <w:tcW w:w="41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205,750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205,750</w:t>
            </w:r>
          </w:p>
        </w:tc>
      </w:tr>
      <w:tr>
        <w:trPr>
          <w:trHeight w:val="402" w:hRule="exact"/>
        </w:trPr>
        <w:tc>
          <w:tcPr>
            <w:tcW w:w="2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郭婉霞</w:t>
            </w:r>
          </w:p>
        </w:tc>
        <w:tc>
          <w:tcPr>
            <w:tcW w:w="41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200,000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200,000</w:t>
            </w:r>
          </w:p>
        </w:tc>
      </w:tr>
      <w:tr>
        <w:trPr>
          <w:trHeight w:val="402" w:hRule="exact"/>
        </w:trPr>
        <w:tc>
          <w:tcPr>
            <w:tcW w:w="2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邢本涛</w:t>
            </w:r>
          </w:p>
        </w:tc>
        <w:tc>
          <w:tcPr>
            <w:tcW w:w="41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175,400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175,400</w:t>
            </w:r>
          </w:p>
        </w:tc>
      </w:tr>
      <w:tr>
        <w:trPr>
          <w:trHeight w:val="1338" w:hRule="exact"/>
        </w:trPr>
        <w:tc>
          <w:tcPr>
            <w:tcW w:w="28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82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4"/>
              <w:ind w:left="22" w:right="43"/>
              <w:jc w:val="left"/>
              <w:rPr>
                <w:rFonts w:ascii="宋体" w:hAnsi="宋体" w:cs="宋体" w:eastAsia="宋体" w:hint="default"/>
                <w:sz w:val="18"/>
                <w:szCs w:val="18"/>
              </w:rPr>
            </w:pPr>
            <w:r>
              <w:rPr>
                <w:rFonts w:ascii="宋体" w:hAnsi="宋体" w:cs="宋体" w:eastAsia="宋体" w:hint="default"/>
                <w:sz w:val="18"/>
                <w:szCs w:val="18"/>
              </w:rPr>
              <w:t>公司未获知前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名无限售流通股股东与前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股东之间是否存在关联关系或一致行动关系。</w:t>
            </w:r>
          </w:p>
        </w:tc>
      </w:tr>
      <w:tr>
        <w:trPr>
          <w:trHeight w:val="715" w:hRule="exact"/>
        </w:trPr>
        <w:tc>
          <w:tcPr>
            <w:tcW w:w="28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7"/>
              <w:ind w:left="22" w:right="4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2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319" w:lineRule="auto" w:before="46"/>
        <w:ind w:left="134" w:right="1132"/>
        <w:jc w:val="left"/>
      </w:pPr>
      <w:r>
        <w:rPr>
          <w:spacing w:val="-2"/>
        </w:rPr>
        <w:t>说明：根据公司第一期员工持股计划（草案）的规定，“西安环球印务股份有限公司－第一期员工持股计划”所购买的股票</w:t>
      </w:r>
      <w:r>
        <w:rPr>
          <w:spacing w:val="-72"/>
        </w:rPr>
        <w:t> </w:t>
      </w:r>
      <w:r>
        <w:rPr>
          <w:spacing w:val="-72"/>
        </w:rPr>
      </w:r>
      <w:r>
        <w:rPr/>
        <w:t>锁定期为</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日起至</w:t>
      </w:r>
      <w:r>
        <w:rPr>
          <w:spacing w:val="-45"/>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30 </w:t>
      </w:r>
      <w:r>
        <w:rPr/>
        <w:t>日。</w:t>
      </w:r>
    </w:p>
    <w:p>
      <w:pPr>
        <w:spacing w:line="240" w:lineRule="auto" w:before="0"/>
        <w:rPr>
          <w:rFonts w:ascii="宋体" w:hAnsi="宋体" w:cs="宋体" w:eastAsia="宋体" w:hint="default"/>
          <w:sz w:val="18"/>
          <w:szCs w:val="18"/>
        </w:rPr>
      </w:pPr>
    </w:p>
    <w:p>
      <w:pPr>
        <w:pStyle w:val="BodyText"/>
        <w:spacing w:line="240" w:lineRule="auto" w:before="154"/>
        <w:ind w:left="134" w:right="113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2"/>
        <w:ind w:left="134" w:right="11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0" w:footer="979" w:top="1540" w:bottom="1160" w:left="100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6"/>
        <w:ind w:right="94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2、公司控股股东情况" w:id="120"/>
      <w:bookmarkEnd w:id="120"/>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控股股东性质：地方国有控股 控股股东类型：法人</w:t>
      </w:r>
    </w:p>
    <w:tbl>
      <w:tblPr>
        <w:tblW w:w="0" w:type="auto"/>
        <w:jc w:val="left"/>
        <w:tblInd w:w="149" w:type="dxa"/>
        <w:tblLayout w:type="fixed"/>
        <w:tblCellMar>
          <w:top w:w="0" w:type="dxa"/>
          <w:left w:w="0" w:type="dxa"/>
          <w:bottom w:w="0" w:type="dxa"/>
          <w:right w:w="0" w:type="dxa"/>
        </w:tblCellMar>
        <w:tblLook w:val="01E0"/>
      </w:tblPr>
      <w:tblGrid>
        <w:gridCol w:w="1997"/>
        <w:gridCol w:w="1829"/>
        <w:gridCol w:w="1894"/>
        <w:gridCol w:w="1935"/>
        <w:gridCol w:w="1914"/>
      </w:tblGrid>
      <w:tr>
        <w:trPr>
          <w:trHeight w:val="71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818" w:right="75"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8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2"/>
              <w:jc w:val="left"/>
              <w:rPr>
                <w:rFonts w:ascii="宋体" w:hAnsi="宋体" w:cs="宋体" w:eastAsia="宋体" w:hint="default"/>
                <w:sz w:val="18"/>
                <w:szCs w:val="18"/>
              </w:rPr>
            </w:pPr>
            <w:r>
              <w:rPr>
                <w:rFonts w:ascii="宋体" w:hAnsi="宋体" w:cs="宋体" w:eastAsia="宋体" w:hint="default"/>
                <w:sz w:val="18"/>
                <w:szCs w:val="18"/>
              </w:rPr>
              <w:t>陕西医药控股集团有限 责任公司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翟日强</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91610000220575738M</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8"/>
              <w:jc w:val="left"/>
              <w:rPr>
                <w:rFonts w:ascii="宋体" w:hAnsi="宋体" w:cs="宋体" w:eastAsia="宋体" w:hint="default"/>
                <w:sz w:val="18"/>
                <w:szCs w:val="18"/>
              </w:rPr>
            </w:pPr>
            <w:r>
              <w:rPr>
                <w:rFonts w:ascii="宋体" w:hAnsi="宋体" w:cs="宋体" w:eastAsia="宋体" w:hint="default"/>
                <w:sz w:val="18"/>
                <w:szCs w:val="18"/>
              </w:rPr>
              <w:t>授权范围内国有资产的 经营管理和监督</w:t>
            </w:r>
          </w:p>
        </w:tc>
      </w:tr>
      <w:tr>
        <w:trPr>
          <w:trHeight w:val="1027"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2"/>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940"/>
        <w:jc w:val="left"/>
      </w:pPr>
      <w:r>
        <w:rPr/>
        <w:t>控股股东报告期内变更</w:t>
      </w:r>
    </w:p>
    <w:p>
      <w:pPr>
        <w:pStyle w:val="BodyText"/>
        <w:spacing w:line="340" w:lineRule="auto" w:before="116"/>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2"/>
        <w:rPr>
          <w:rFonts w:ascii="宋体" w:hAnsi="宋体" w:cs="宋体" w:eastAsia="宋体" w:hint="default"/>
          <w:sz w:val="20"/>
          <w:szCs w:val="20"/>
        </w:rPr>
      </w:pPr>
    </w:p>
    <w:p>
      <w:pPr>
        <w:pStyle w:val="Heading4"/>
        <w:spacing w:line="240" w:lineRule="auto"/>
        <w:ind w:right="940"/>
        <w:jc w:val="left"/>
        <w:rPr>
          <w:b w:val="0"/>
          <w:bCs w:val="0"/>
        </w:rPr>
      </w:pPr>
      <w:bookmarkStart w:name="3、公司实际控制人及其一致行动人" w:id="121"/>
      <w:bookmarkEnd w:id="121"/>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872"/>
        <w:jc w:val="left"/>
      </w:pPr>
      <w:r>
        <w:rPr/>
        <w:t>实际控制人性质：地方国资管理机构 实际控制人类型：法人</w:t>
      </w:r>
    </w:p>
    <w:tbl>
      <w:tblPr>
        <w:tblW w:w="0" w:type="auto"/>
        <w:jc w:val="left"/>
        <w:tblInd w:w="149" w:type="dxa"/>
        <w:tblLayout w:type="fixed"/>
        <w:tblCellMar>
          <w:top w:w="0" w:type="dxa"/>
          <w:left w:w="0" w:type="dxa"/>
          <w:bottom w:w="0" w:type="dxa"/>
          <w:right w:w="0" w:type="dxa"/>
        </w:tblCellMar>
        <w:tblLook w:val="01E0"/>
      </w:tblPr>
      <w:tblGrid>
        <w:gridCol w:w="1998"/>
        <w:gridCol w:w="1832"/>
        <w:gridCol w:w="1891"/>
        <w:gridCol w:w="1936"/>
        <w:gridCol w:w="1912"/>
      </w:tblGrid>
      <w:tr>
        <w:trPr>
          <w:trHeight w:val="71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819" w:right="75"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5"/>
              <w:jc w:val="left"/>
              <w:rPr>
                <w:rFonts w:ascii="宋体" w:hAnsi="宋体" w:cs="宋体" w:eastAsia="宋体" w:hint="default"/>
                <w:sz w:val="18"/>
                <w:szCs w:val="18"/>
              </w:rPr>
            </w:pPr>
            <w:r>
              <w:rPr>
                <w:rFonts w:ascii="宋体" w:hAnsi="宋体" w:cs="宋体" w:eastAsia="宋体" w:hint="default"/>
                <w:sz w:val="18"/>
                <w:szCs w:val="18"/>
              </w:rPr>
              <w:t>陕西省人民政府国有资 产监督管理委员会</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7"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5"/>
              <w:jc w:val="both"/>
              <w:rPr>
                <w:rFonts w:ascii="宋体" w:hAnsi="宋体" w:cs="宋体" w:eastAsia="宋体" w:hint="default"/>
                <w:sz w:val="18"/>
                <w:szCs w:val="18"/>
              </w:rPr>
            </w:pPr>
            <w:r>
              <w:rPr>
                <w:rFonts w:ascii="宋体" w:hAnsi="宋体" w:cs="宋体" w:eastAsia="宋体" w:hint="default"/>
                <w:sz w:val="18"/>
                <w:szCs w:val="18"/>
              </w:rPr>
              <w:t>实际控制人报告期内控 制的其他境内外上市公 司的股权情况</w:t>
            </w:r>
          </w:p>
        </w:tc>
        <w:tc>
          <w:tcPr>
            <w:tcW w:w="75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8"/>
        <w:ind w:right="940"/>
        <w:jc w:val="left"/>
      </w:pPr>
      <w:r>
        <w:rPr/>
        <w:t>实际控制人报告期内变更</w:t>
      </w:r>
    </w:p>
    <w:p>
      <w:pPr>
        <w:pStyle w:val="BodyText"/>
        <w:spacing w:line="348" w:lineRule="auto" w:before="11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0"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0"/>
          <w:szCs w:val="10"/>
        </w:rPr>
      </w:pPr>
    </w:p>
    <w:p>
      <w:pPr>
        <w:spacing w:line="5010" w:lineRule="exact"/>
        <w:ind w:left="1358" w:right="0" w:firstLine="0"/>
        <w:rPr>
          <w:rFonts w:ascii="宋体" w:hAnsi="宋体" w:cs="宋体" w:eastAsia="宋体" w:hint="default"/>
          <w:sz w:val="20"/>
          <w:szCs w:val="20"/>
        </w:rPr>
      </w:pPr>
      <w:r>
        <w:rPr>
          <w:rFonts w:ascii="宋体" w:hAnsi="宋体" w:cs="宋体" w:eastAsia="宋体" w:hint="default"/>
          <w:position w:val="-99"/>
          <w:sz w:val="20"/>
          <w:szCs w:val="20"/>
        </w:rPr>
        <w:drawing>
          <wp:inline distT="0" distB="0" distL="0" distR="0">
            <wp:extent cx="4591049" cy="3181350"/>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8" cstate="print"/>
                    <a:stretch>
                      <a:fillRect/>
                    </a:stretch>
                  </pic:blipFill>
                  <pic:spPr>
                    <a:xfrm>
                      <a:off x="0" y="0"/>
                      <a:ext cx="4591049" cy="3181350"/>
                    </a:xfrm>
                    <a:prstGeom prst="rect">
                      <a:avLst/>
                    </a:prstGeom>
                  </pic:spPr>
                </pic:pic>
              </a:graphicData>
            </a:graphic>
          </wp:inline>
        </w:drawing>
      </w:r>
      <w:r>
        <w:rPr>
          <w:rFonts w:ascii="宋体" w:hAnsi="宋体" w:cs="宋体" w:eastAsia="宋体" w:hint="default"/>
          <w:position w:val="-99"/>
          <w:sz w:val="20"/>
          <w:szCs w:val="20"/>
        </w:rPr>
      </w:r>
    </w:p>
    <w:p>
      <w:pPr>
        <w:spacing w:line="240" w:lineRule="auto" w:before="7"/>
        <w:rPr>
          <w:rFonts w:ascii="宋体" w:hAnsi="宋体" w:cs="宋体" w:eastAsia="宋体" w:hint="default"/>
          <w:sz w:val="21"/>
          <w:szCs w:val="21"/>
        </w:rPr>
      </w:pPr>
    </w:p>
    <w:p>
      <w:pPr>
        <w:pStyle w:val="Heading3"/>
        <w:spacing w:line="240" w:lineRule="auto" w:before="26"/>
        <w:ind w:right="940"/>
        <w:jc w:val="left"/>
      </w:pPr>
      <w:r>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4、其他持股在10%以上的法人股东" w:id="122"/>
      <w:bookmarkEnd w:id="122"/>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579"/>
        <w:gridCol w:w="1674"/>
        <w:gridCol w:w="1554"/>
        <w:gridCol w:w="1637"/>
        <w:gridCol w:w="2124"/>
      </w:tblGrid>
      <w:tr>
        <w:trPr>
          <w:trHeight w:val="713"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43"/>
              <w:jc w:val="right"/>
              <w:rPr>
                <w:rFonts w:ascii="宋体" w:hAnsi="宋体" w:cs="宋体" w:eastAsia="宋体" w:hint="default"/>
                <w:sz w:val="18"/>
                <w:szCs w:val="18"/>
              </w:rPr>
            </w:pPr>
            <w:r>
              <w:rPr>
                <w:rFonts w:ascii="宋体" w:hAnsi="宋体" w:cs="宋体" w:eastAsia="宋体" w:hint="default"/>
                <w:sz w:val="18"/>
                <w:szCs w:val="18"/>
              </w:rPr>
              <w:t>法人股东名称</w:t>
            </w:r>
          </w:p>
        </w:tc>
        <w:tc>
          <w:tcPr>
            <w:tcW w:w="1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651" w:right="87"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403"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44"/>
              <w:jc w:val="right"/>
              <w:rPr>
                <w:rFonts w:ascii="宋体" w:hAnsi="宋体" w:cs="宋体" w:eastAsia="宋体" w:hint="default"/>
                <w:sz w:val="18"/>
                <w:szCs w:val="18"/>
              </w:rPr>
            </w:pPr>
            <w:r>
              <w:rPr>
                <w:rFonts w:ascii="宋体" w:hAnsi="宋体" w:cs="宋体" w:eastAsia="宋体" w:hint="default"/>
                <w:sz w:val="18"/>
                <w:szCs w:val="18"/>
              </w:rPr>
              <w:t>香港原石国际有限公司</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蔡红军</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港元</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对外股权投资</w:t>
            </w:r>
          </w:p>
        </w:tc>
      </w:tr>
    </w:tbl>
    <w:p>
      <w:pPr>
        <w:spacing w:line="240" w:lineRule="auto" w:before="2"/>
        <w:rPr>
          <w:rFonts w:ascii="宋体" w:hAnsi="宋体" w:cs="宋体" w:eastAsia="宋体" w:hint="default"/>
          <w:sz w:val="19"/>
          <w:szCs w:val="19"/>
        </w:rPr>
      </w:pPr>
    </w:p>
    <w:p>
      <w:pPr>
        <w:pStyle w:val="Heading4"/>
        <w:spacing w:line="240" w:lineRule="auto" w:before="35"/>
        <w:ind w:right="940"/>
        <w:jc w:val="left"/>
        <w:rPr>
          <w:b w:val="0"/>
          <w:bCs w:val="0"/>
        </w:rPr>
      </w:pPr>
      <w:bookmarkStart w:name="5、控股股东、实际控制人、重组方及其他承诺主体股份限制减持情况" w:id="123"/>
      <w:bookmarkEnd w:id="123"/>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0" w:footer="979" w:top="150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left="3286" w:right="940"/>
        <w:jc w:val="left"/>
        <w:rPr>
          <w:b w:val="0"/>
          <w:bCs w:val="0"/>
        </w:rPr>
      </w:pPr>
      <w:bookmarkStart w:name="第七节 优先股相关情况" w:id="124"/>
      <w:bookmarkEnd w:id="124"/>
      <w:r>
        <w:rPr>
          <w:b w:val="0"/>
          <w:bCs w:val="0"/>
        </w:rPr>
      </w:r>
      <w:bookmarkStart w:name="_bookmark6" w:id="125"/>
      <w:bookmarkEnd w:id="125"/>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0" w:footer="979" w:top="150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left="1680" w:right="940"/>
        <w:jc w:val="left"/>
        <w:rPr>
          <w:b w:val="0"/>
          <w:bCs w:val="0"/>
        </w:rPr>
      </w:pPr>
      <w:bookmarkStart w:name="第八节 董事、监事、高级管理人员和员工情况" w:id="126"/>
      <w:bookmarkEnd w:id="126"/>
      <w:r>
        <w:rPr>
          <w:b w:val="0"/>
          <w:bCs w:val="0"/>
        </w:rPr>
      </w:r>
      <w:bookmarkStart w:name="_bookmark7" w:id="127"/>
      <w:bookmarkEnd w:id="127"/>
      <w:r>
        <w:rPr>
          <w:b w:val="0"/>
          <w:bCs w:val="0"/>
        </w:rPr>
      </w:r>
      <w:r>
        <w:rPr/>
        <w:t>第八节</w:t>
      </w:r>
      <w:r>
        <w:rPr>
          <w:spacing w:val="-17"/>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940"/>
        <w:jc w:val="left"/>
        <w:rPr>
          <w:b w:val="0"/>
          <w:bCs w:val="0"/>
        </w:rPr>
      </w:pPr>
      <w:bookmarkStart w:name="一、 董事、监事和高级管理人员持股变动" w:id="128"/>
      <w:bookmarkEnd w:id="128"/>
      <w:r>
        <w:rPr>
          <w:b w:val="0"/>
          <w:bCs w:val="0"/>
        </w:rPr>
      </w:r>
      <w:r>
        <w:rPr/>
        <w:t>一、</w:t>
      </w:r>
      <w:r>
        <w:rPr>
          <w:spacing w:val="-108"/>
        </w:rPr>
        <w:t> </w:t>
      </w:r>
      <w:r>
        <w:rPr/>
        <w:t>董事、监事和高级管理人员持股变动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40"/>
        <w:jc w:val="left"/>
        <w:rPr>
          <w:b w:val="0"/>
          <w:bCs w:val="0"/>
        </w:rPr>
      </w:pPr>
      <w:bookmarkStart w:name="二、公司董事、监事、高级管理人员变动情况" w:id="129"/>
      <w:bookmarkEnd w:id="129"/>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540"/>
        <w:gridCol w:w="403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杨军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解聘</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工作变动</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冯杰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解聘</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工作变动</w:t>
            </w:r>
          </w:p>
        </w:tc>
      </w:tr>
    </w:tbl>
    <w:p>
      <w:pPr>
        <w:spacing w:line="240" w:lineRule="auto" w:before="2"/>
        <w:rPr>
          <w:rFonts w:ascii="宋体" w:hAnsi="宋体" w:cs="宋体" w:eastAsia="宋体" w:hint="default"/>
          <w:sz w:val="18"/>
          <w:szCs w:val="18"/>
        </w:rPr>
      </w:pPr>
    </w:p>
    <w:p>
      <w:pPr>
        <w:pStyle w:val="Heading2"/>
        <w:spacing w:line="240" w:lineRule="auto" w:before="26"/>
        <w:ind w:right="940"/>
        <w:jc w:val="left"/>
        <w:rPr>
          <w:b w:val="0"/>
          <w:bCs w:val="0"/>
        </w:rPr>
      </w:pPr>
      <w:bookmarkStart w:name="三、任职情况" w:id="130"/>
      <w:bookmarkEnd w:id="130"/>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0"/>
        <w:jc w:val="left"/>
      </w:pPr>
      <w:r>
        <w:rPr/>
        <w:t>公司现任董事、监事、高级管理人员专业背景、主要工作经历以及目前在公司的主要职责</w:t>
      </w:r>
    </w:p>
    <w:p>
      <w:pPr>
        <w:pStyle w:val="BodyText"/>
        <w:spacing w:line="364" w:lineRule="auto" w:before="137"/>
        <w:ind w:left="514" w:right="940" w:hanging="360"/>
        <w:jc w:val="left"/>
      </w:pPr>
      <w:r>
        <w:rPr>
          <w:rFonts w:ascii="宋体" w:hAnsi="宋体" w:cs="宋体" w:eastAsia="宋体" w:hint="default"/>
          <w:b/>
          <w:bCs/>
        </w:rPr>
        <w:t>（一）公司董事任职情况</w:t>
      </w:r>
      <w:r>
        <w:rPr>
          <w:rFonts w:ascii="宋体" w:hAnsi="宋体" w:cs="宋体" w:eastAsia="宋体" w:hint="default"/>
          <w:b/>
          <w:bCs/>
          <w:w w:val="99"/>
        </w:rPr>
        <w:t> </w:t>
      </w:r>
      <w:r>
        <w:rPr>
          <w:spacing w:val="-5"/>
        </w:rPr>
        <w:t>李移岭，男，</w:t>
      </w:r>
      <w:r>
        <w:rPr>
          <w:rFonts w:ascii="宋体" w:hAnsi="宋体" w:cs="宋体" w:eastAsia="宋体" w:hint="default"/>
          <w:spacing w:val="-5"/>
        </w:rPr>
        <w:t>1962</w:t>
      </w:r>
      <w:r>
        <w:rPr>
          <w:spacing w:val="-5"/>
        </w:rPr>
        <w:t>年</w:t>
      </w:r>
      <w:r>
        <w:rPr>
          <w:rFonts w:ascii="宋体" w:hAnsi="宋体" w:cs="宋体" w:eastAsia="宋体" w:hint="default"/>
          <w:spacing w:val="-5"/>
        </w:rPr>
        <w:t>2</w:t>
      </w:r>
      <w:r>
        <w:rPr>
          <w:spacing w:val="-5"/>
        </w:rPr>
        <w:t>月出生，中国国籍，工商管理硕士（</w:t>
      </w:r>
      <w:r>
        <w:rPr>
          <w:rFonts w:ascii="宋体" w:hAnsi="宋体" w:cs="宋体" w:eastAsia="宋体" w:hint="default"/>
          <w:spacing w:val="-5"/>
        </w:rPr>
        <w:t>MBA</w:t>
      </w:r>
      <w:r>
        <w:rPr>
          <w:spacing w:val="-5"/>
        </w:rPr>
        <w:t>），会计师，中共党员，无境外居留权。现任公司董事长、</w:t>
      </w:r>
    </w:p>
    <w:p>
      <w:pPr>
        <w:pStyle w:val="BodyText"/>
        <w:spacing w:line="364" w:lineRule="auto" w:before="30"/>
        <w:ind w:left="0" w:right="1129"/>
        <w:jc w:val="right"/>
      </w:pPr>
      <w:r>
        <w:rPr>
          <w:spacing w:val="-5"/>
        </w:rPr>
        <w:t>党委书记，西安德宝董事长，领凯网络科技董事长。主要工作经历：</w:t>
      </w:r>
      <w:r>
        <w:rPr>
          <w:rFonts w:ascii="宋体" w:hAnsi="宋体" w:cs="宋体" w:eastAsia="宋体" w:hint="default"/>
          <w:spacing w:val="-5"/>
        </w:rPr>
        <w:t>2001</w:t>
      </w:r>
      <w:r>
        <w:rPr>
          <w:spacing w:val="-5"/>
        </w:rPr>
        <w:t>年至今，历任本公司副总经理、总经理、副董事长、</w:t>
      </w:r>
      <w:r>
        <w:rPr>
          <w:spacing w:val="-82"/>
        </w:rPr>
        <w:t> </w:t>
      </w:r>
      <w:r>
        <w:rPr>
          <w:spacing w:val="-82"/>
        </w:rPr>
      </w:r>
      <w:r>
        <w:rPr>
          <w:spacing w:val="-2"/>
        </w:rPr>
        <w:t>董事长；</w:t>
      </w:r>
      <w:r>
        <w:rPr>
          <w:rFonts w:ascii="宋体" w:hAnsi="宋体" w:cs="宋体" w:eastAsia="宋体" w:hint="default"/>
          <w:spacing w:val="-2"/>
        </w:rPr>
        <w:t>2008</w:t>
      </w:r>
      <w:r>
        <w:rPr>
          <w:spacing w:val="-2"/>
        </w:rPr>
        <w:t>年至今，任陕药集团董事，西安德宝董事长。曾获“陕西省优秀企业家”、“西安市劳动模范”、“西安市科</w:t>
      </w:r>
      <w:r>
        <w:rPr>
          <w:spacing w:val="-77"/>
        </w:rPr>
        <w:t> </w:t>
      </w:r>
      <w:r>
        <w:rPr>
          <w:spacing w:val="-77"/>
        </w:rPr>
      </w:r>
      <w:r>
        <w:rPr>
          <w:spacing w:val="-5"/>
        </w:rPr>
        <w:t>技创新企业家”、“高新区年度经济创新人物”、“陕西省总工会优秀工会之友”、“陕药集团十大经济人物”等荣誉称号。</w:t>
      </w:r>
      <w:r>
        <w:rPr/>
        <w:t> 孙学军，男，</w:t>
      </w:r>
      <w:r>
        <w:rPr>
          <w:rFonts w:ascii="宋体" w:hAnsi="宋体" w:cs="宋体" w:eastAsia="宋体" w:hint="default"/>
        </w:rPr>
        <w:t>1969</w:t>
      </w:r>
      <w:r>
        <w:rPr/>
        <w:t>年</w:t>
      </w:r>
      <w:r>
        <w:rPr>
          <w:rFonts w:ascii="宋体" w:hAnsi="宋体" w:cs="宋体" w:eastAsia="宋体" w:hint="default"/>
        </w:rPr>
        <w:t>7</w:t>
      </w:r>
      <w:r>
        <w:rPr/>
        <w:t>月出生，中国国籍，大学本科学历，助理工程师，无境外居留权。现任公司董事、总经理，天津 </w:t>
      </w:r>
      <w:r>
        <w:rPr>
          <w:spacing w:val="-2"/>
        </w:rPr>
        <w:t>环球董事长，永旭创新执行董事，领凯网络科技董事。主要工作经历：</w:t>
      </w:r>
      <w:r>
        <w:rPr>
          <w:rFonts w:ascii="宋体" w:hAnsi="宋体" w:cs="宋体" w:eastAsia="宋体" w:hint="default"/>
          <w:spacing w:val="-2"/>
        </w:rPr>
        <w:t>2001</w:t>
      </w:r>
      <w:r>
        <w:rPr>
          <w:spacing w:val="-2"/>
        </w:rPr>
        <w:t>年至今，历任公司销售部经理、销售总监、常务</w:t>
      </w:r>
    </w:p>
    <w:p>
      <w:pPr>
        <w:pStyle w:val="BodyText"/>
        <w:spacing w:line="364" w:lineRule="auto" w:before="29"/>
        <w:ind w:left="514" w:right="1122" w:hanging="360"/>
        <w:jc w:val="left"/>
      </w:pPr>
      <w:r>
        <w:rPr/>
        <w:t>副总经理、总经理、董事，天津环球总经理、董事、董事长，永旭创新执行董事。 冯杰，男，</w:t>
      </w:r>
      <w:r>
        <w:rPr>
          <w:rFonts w:ascii="宋体" w:hAnsi="宋体" w:cs="宋体" w:eastAsia="宋体" w:hint="default"/>
        </w:rPr>
        <w:t>1968</w:t>
      </w:r>
      <w:r>
        <w:rPr/>
        <w:t>年</w:t>
      </w:r>
      <w:r>
        <w:rPr>
          <w:rFonts w:ascii="宋体" w:hAnsi="宋体" w:cs="宋体" w:eastAsia="宋体" w:hint="default"/>
        </w:rPr>
        <w:t>6</w:t>
      </w:r>
      <w:r>
        <w:rPr/>
        <w:t>月出生，中国国籍，研究生学历，高级经济师，中共党员，无境外居留权。现任公司董事。主要工</w:t>
      </w:r>
    </w:p>
    <w:p>
      <w:pPr>
        <w:pStyle w:val="BodyText"/>
        <w:spacing w:line="364" w:lineRule="auto" w:before="29"/>
        <w:ind w:right="1131"/>
        <w:jc w:val="both"/>
      </w:pPr>
      <w:r>
        <w:rPr>
          <w:spacing w:val="-2"/>
        </w:rPr>
        <w:t>作经历：</w:t>
      </w:r>
      <w:r>
        <w:rPr>
          <w:rFonts w:ascii="宋体" w:hAnsi="宋体" w:cs="宋体" w:eastAsia="宋体" w:hint="default"/>
          <w:spacing w:val="-2"/>
        </w:rPr>
        <w:t>1999</w:t>
      </w:r>
      <w:r>
        <w:rPr>
          <w:spacing w:val="-2"/>
        </w:rPr>
        <w:t>年至</w:t>
      </w:r>
      <w:r>
        <w:rPr>
          <w:rFonts w:ascii="宋体" w:hAnsi="宋体" w:cs="宋体" w:eastAsia="宋体" w:hint="default"/>
          <w:spacing w:val="-2"/>
        </w:rPr>
        <w:t>2008</w:t>
      </w:r>
      <w:r>
        <w:rPr>
          <w:spacing w:val="-2"/>
        </w:rPr>
        <w:t>年，历任医药总公司西安医药园副主任、陕药集团财务部副经理；</w:t>
      </w:r>
      <w:r>
        <w:rPr>
          <w:rFonts w:ascii="宋体" w:hAnsi="宋体" w:cs="宋体" w:eastAsia="宋体" w:hint="default"/>
          <w:spacing w:val="-2"/>
        </w:rPr>
        <w:t>2007</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月，任公司监</w:t>
      </w:r>
      <w:r>
        <w:rPr>
          <w:spacing w:val="-48"/>
        </w:rPr>
        <w:t> </w:t>
      </w:r>
      <w:r>
        <w:rPr>
          <w:spacing w:val="-48"/>
        </w:rPr>
      </w:r>
      <w:r>
        <w:rPr>
          <w:spacing w:val="-3"/>
        </w:rPr>
        <w:t>事会副主席；</w:t>
      </w:r>
      <w:r>
        <w:rPr>
          <w:rFonts w:ascii="宋体" w:hAnsi="宋体" w:cs="宋体" w:eastAsia="宋体" w:hint="default"/>
          <w:spacing w:val="-3"/>
        </w:rPr>
        <w:t>2008</w:t>
      </w:r>
      <w:r>
        <w:rPr>
          <w:spacing w:val="-3"/>
        </w:rPr>
        <w:t>年至今，任陕药集团职工代表监事；</w:t>
      </w:r>
      <w:r>
        <w:rPr>
          <w:rFonts w:ascii="宋体" w:hAnsi="宋体" w:cs="宋体" w:eastAsia="宋体" w:hint="default"/>
          <w:spacing w:val="-3"/>
        </w:rPr>
        <w:t>2008</w:t>
      </w:r>
      <w:r>
        <w:rPr>
          <w:spacing w:val="-3"/>
        </w:rPr>
        <w:t>年至</w:t>
      </w: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月，任陕药集团对标考核部经理；</w:t>
      </w:r>
      <w:r>
        <w:rPr>
          <w:rFonts w:ascii="宋体" w:hAnsi="宋体" w:cs="宋体" w:eastAsia="宋体" w:hint="default"/>
          <w:spacing w:val="-3"/>
        </w:rPr>
        <w:t>2018</w:t>
      </w:r>
      <w:r>
        <w:rPr>
          <w:spacing w:val="-3"/>
        </w:rPr>
        <w:t>年</w:t>
      </w:r>
      <w:r>
        <w:rPr>
          <w:rFonts w:ascii="宋体" w:hAnsi="宋体" w:cs="宋体" w:eastAsia="宋体" w:hint="default"/>
          <w:spacing w:val="-3"/>
        </w:rPr>
        <w:t>1</w:t>
      </w:r>
      <w:r>
        <w:rPr>
          <w:spacing w:val="-3"/>
        </w:rPr>
        <w:t>月至今，</w:t>
      </w:r>
      <w:r>
        <w:rPr>
          <w:spacing w:val="-72"/>
        </w:rPr>
        <w:t> </w:t>
      </w:r>
      <w:r>
        <w:rPr>
          <w:spacing w:val="-72"/>
        </w:rPr>
      </w:r>
      <w:r>
        <w:rPr/>
        <w:t>任陕药集团董事会办公室主任；</w:t>
      </w:r>
      <w:r>
        <w:rPr>
          <w:rFonts w:ascii="宋体" w:hAnsi="宋体" w:cs="宋体" w:eastAsia="宋体" w:hint="default"/>
        </w:rPr>
        <w:t>2018</w:t>
      </w:r>
      <w:r>
        <w:rPr/>
        <w:t>年</w:t>
      </w:r>
      <w:r>
        <w:rPr>
          <w:rFonts w:ascii="宋体" w:hAnsi="宋体" w:cs="宋体" w:eastAsia="宋体" w:hint="default"/>
        </w:rPr>
        <w:t>2</w:t>
      </w:r>
      <w:r>
        <w:rPr/>
        <w:t>月至今，任陕药集团中药产业投资有限责任公司董事、陕药集团天宁制药有限责任</w:t>
      </w:r>
      <w:r>
        <w:rPr>
          <w:spacing w:val="-83"/>
        </w:rPr>
        <w:t> </w:t>
      </w:r>
      <w:r>
        <w:rPr>
          <w:spacing w:val="-83"/>
        </w:rPr>
      </w:r>
      <w:r>
        <w:rPr/>
        <w:t>公司董事；</w:t>
      </w:r>
      <w:r>
        <w:rPr>
          <w:rFonts w:ascii="宋体" w:hAnsi="宋体" w:cs="宋体" w:eastAsia="宋体" w:hint="default"/>
        </w:rPr>
        <w:t>2018</w:t>
      </w:r>
      <w:r>
        <w:rPr/>
        <w:t>年</w:t>
      </w:r>
      <w:r>
        <w:rPr>
          <w:rFonts w:ascii="宋体" w:hAnsi="宋体" w:cs="宋体" w:eastAsia="宋体" w:hint="default"/>
        </w:rPr>
        <w:t>3</w:t>
      </w:r>
      <w:r>
        <w:rPr/>
        <w:t>月至今，任陕西医药控股医药研究院有限公司董事。</w:t>
      </w:r>
    </w:p>
    <w:p>
      <w:pPr>
        <w:pStyle w:val="BodyText"/>
        <w:spacing w:line="364" w:lineRule="auto" w:before="29"/>
        <w:ind w:right="1129" w:firstLine="360"/>
        <w:jc w:val="both"/>
      </w:pPr>
      <w:r>
        <w:rPr>
          <w:spacing w:val="-2"/>
        </w:rPr>
        <w:t>蔡红军，男，</w:t>
      </w:r>
      <w:r>
        <w:rPr>
          <w:rFonts w:ascii="宋体" w:hAnsi="宋体" w:cs="宋体" w:eastAsia="宋体" w:hint="default"/>
          <w:spacing w:val="-2"/>
        </w:rPr>
        <w:t>1970</w:t>
      </w:r>
      <w:r>
        <w:rPr>
          <w:spacing w:val="-2"/>
        </w:rPr>
        <w:t>年</w:t>
      </w:r>
      <w:r>
        <w:rPr>
          <w:rFonts w:ascii="宋体" w:hAnsi="宋体" w:cs="宋体" w:eastAsia="宋体" w:hint="default"/>
          <w:spacing w:val="-2"/>
        </w:rPr>
        <w:t>11</w:t>
      </w:r>
      <w:r>
        <w:rPr>
          <w:spacing w:val="-2"/>
        </w:rPr>
        <w:t>月出生，中国国籍，研究生学历，拥有几内亚比绍居留权。现任公司董事。主要工作经历：</w:t>
      </w:r>
      <w:r>
        <w:rPr>
          <w:rFonts w:ascii="宋体" w:hAnsi="宋体" w:cs="宋体" w:eastAsia="宋体" w:hint="default"/>
          <w:spacing w:val="-2"/>
        </w:rPr>
        <w:t>2002</w:t>
      </w:r>
      <w:r>
        <w:rPr>
          <w:rFonts w:ascii="宋体" w:hAnsi="宋体" w:cs="宋体" w:eastAsia="宋体" w:hint="default"/>
        </w:rPr>
        <w:t> </w:t>
      </w:r>
      <w:r>
        <w:rPr/>
        <w:t>年</w:t>
      </w:r>
      <w:r>
        <w:rPr>
          <w:rFonts w:ascii="宋体" w:hAnsi="宋体" w:cs="宋体" w:eastAsia="宋体" w:hint="default"/>
        </w:rPr>
        <w:t>6</w:t>
      </w:r>
      <w:r>
        <w:rPr/>
        <w:t>月至今，任上海包装物资有限公司董事、总经理；</w:t>
      </w:r>
      <w:r>
        <w:rPr>
          <w:rFonts w:ascii="宋体" w:hAnsi="宋体" w:cs="宋体" w:eastAsia="宋体" w:hint="default"/>
        </w:rPr>
        <w:t>2009</w:t>
      </w:r>
      <w:r>
        <w:rPr/>
        <w:t>年</w:t>
      </w:r>
      <w:r>
        <w:rPr>
          <w:rFonts w:ascii="宋体" w:hAnsi="宋体" w:cs="宋体" w:eastAsia="宋体" w:hint="default"/>
        </w:rPr>
        <w:t>3</w:t>
      </w:r>
      <w:r>
        <w:rPr/>
        <w:t>月至今，任香港原石国际有限公司董事长、总经理；</w:t>
      </w:r>
      <w:r>
        <w:rPr>
          <w:rFonts w:ascii="宋体" w:hAnsi="宋体" w:cs="宋体" w:eastAsia="宋体" w:hint="default"/>
        </w:rPr>
        <w:t>2009</w:t>
      </w:r>
      <w:r>
        <w:rPr/>
        <w:t>年</w:t>
      </w:r>
      <w:r>
        <w:rPr>
          <w:rFonts w:ascii="宋体" w:hAnsi="宋体" w:cs="宋体" w:eastAsia="宋体" w:hint="default"/>
        </w:rPr>
        <w:t>3</w:t>
      </w:r>
      <w:r>
        <w:rPr>
          <w:rFonts w:ascii="宋体" w:hAnsi="宋体" w:cs="宋体" w:eastAsia="宋体" w:hint="default"/>
          <w:spacing w:val="-82"/>
        </w:rPr>
        <w:t> </w:t>
      </w:r>
      <w:r>
        <w:rPr/>
        <w:t>月至今，任公司董事；</w:t>
      </w:r>
      <w:r>
        <w:rPr>
          <w:rFonts w:ascii="宋体" w:hAnsi="宋体" w:cs="宋体" w:eastAsia="宋体" w:hint="default"/>
        </w:rPr>
        <w:t>2013</w:t>
      </w:r>
      <w:r>
        <w:rPr/>
        <w:t>年</w:t>
      </w:r>
      <w:r>
        <w:rPr>
          <w:rFonts w:ascii="宋体" w:hAnsi="宋体" w:cs="宋体" w:eastAsia="宋体" w:hint="default"/>
        </w:rPr>
        <w:t>6</w:t>
      </w:r>
      <w:r>
        <w:rPr/>
        <w:t>月至今，任永丽造纸合营会社董事长；</w:t>
      </w:r>
      <w:r>
        <w:rPr>
          <w:rFonts w:ascii="宋体" w:hAnsi="宋体" w:cs="宋体" w:eastAsia="宋体" w:hint="default"/>
        </w:rPr>
        <w:t>2015</w:t>
      </w:r>
      <w:r>
        <w:rPr/>
        <w:t>年</w:t>
      </w:r>
      <w:r>
        <w:rPr>
          <w:rFonts w:ascii="宋体" w:hAnsi="宋体" w:cs="宋体" w:eastAsia="宋体" w:hint="default"/>
        </w:rPr>
        <w:t>11</w:t>
      </w:r>
      <w:r>
        <w:rPr/>
        <w:t>月至今，任上海久日投资管理有限公司董事</w:t>
      </w:r>
      <w:r>
        <w:rPr>
          <w:spacing w:val="-83"/>
        </w:rPr>
        <w:t> </w:t>
      </w:r>
      <w:r>
        <w:rPr>
          <w:spacing w:val="-83"/>
        </w:rPr>
      </w:r>
      <w:r>
        <w:rPr/>
        <w:t>长；</w:t>
      </w:r>
      <w:r>
        <w:rPr>
          <w:rFonts w:ascii="宋体" w:hAnsi="宋体" w:cs="宋体" w:eastAsia="宋体" w:hint="default"/>
        </w:rPr>
        <w:t>2015</w:t>
      </w:r>
      <w:r>
        <w:rPr/>
        <w:t>年</w:t>
      </w:r>
      <w:r>
        <w:rPr>
          <w:rFonts w:ascii="宋体" w:hAnsi="宋体" w:cs="宋体" w:eastAsia="宋体" w:hint="default"/>
        </w:rPr>
        <w:t>11</w:t>
      </w:r>
      <w:r>
        <w:rPr/>
        <w:t>月至今，任上海中科久日置业有限公司董事。</w:t>
      </w:r>
    </w:p>
    <w:p>
      <w:pPr>
        <w:pStyle w:val="BodyText"/>
        <w:spacing w:line="364" w:lineRule="auto" w:before="29"/>
        <w:ind w:right="1129" w:firstLine="360"/>
        <w:jc w:val="both"/>
      </w:pPr>
      <w:r>
        <w:rPr>
          <w:spacing w:val="-5"/>
        </w:rPr>
        <w:t>张明禹，男，</w:t>
      </w:r>
      <w:r>
        <w:rPr>
          <w:rFonts w:ascii="宋体" w:hAnsi="宋体" w:cs="宋体" w:eastAsia="宋体" w:hint="default"/>
          <w:spacing w:val="-5"/>
        </w:rPr>
        <w:t>1950</w:t>
      </w:r>
      <w:r>
        <w:rPr>
          <w:spacing w:val="-5"/>
        </w:rPr>
        <w:t>年出生，大学本科学历，中国国籍，中共党员。现任公司独立董事。主要工作经历：</w:t>
      </w:r>
      <w:r>
        <w:rPr>
          <w:rFonts w:ascii="宋体" w:hAnsi="宋体" w:cs="宋体" w:eastAsia="宋体" w:hint="default"/>
          <w:spacing w:val="-5"/>
        </w:rPr>
        <w:t>2000</w:t>
      </w:r>
      <w:r>
        <w:rPr>
          <w:spacing w:val="-5"/>
        </w:rPr>
        <w:t>年</w:t>
      </w:r>
      <w:r>
        <w:rPr>
          <w:rFonts w:ascii="宋体" w:hAnsi="宋体" w:cs="宋体" w:eastAsia="宋体" w:hint="default"/>
          <w:spacing w:val="-5"/>
        </w:rPr>
        <w:t>12</w:t>
      </w:r>
      <w:r>
        <w:rPr>
          <w:spacing w:val="-5"/>
        </w:rPr>
        <w:t>月至</w:t>
      </w:r>
      <w:r>
        <w:rPr>
          <w:rFonts w:ascii="宋体" w:hAnsi="宋体" w:cs="宋体" w:eastAsia="宋体" w:hint="default"/>
          <w:spacing w:val="-5"/>
        </w:rPr>
        <w:t>2004</w:t>
      </w:r>
      <w:r>
        <w:rPr>
          <w:rFonts w:ascii="宋体" w:hAnsi="宋体" w:cs="宋体" w:eastAsia="宋体" w:hint="default"/>
        </w:rPr>
        <w:t> </w:t>
      </w:r>
      <w:r>
        <w:rPr>
          <w:spacing w:val="-3"/>
        </w:rPr>
        <w:t>年</w:t>
      </w:r>
      <w:r>
        <w:rPr>
          <w:rFonts w:ascii="宋体" w:hAnsi="宋体" w:cs="宋体" w:eastAsia="宋体" w:hint="default"/>
          <w:spacing w:val="-3"/>
        </w:rPr>
        <w:t>6</w:t>
      </w:r>
      <w:r>
        <w:rPr>
          <w:spacing w:val="-3"/>
        </w:rPr>
        <w:t>月，任中国医药工业公司总经理；</w:t>
      </w:r>
      <w:r>
        <w:rPr>
          <w:rFonts w:ascii="宋体" w:hAnsi="宋体" w:cs="宋体" w:eastAsia="宋体" w:hint="default"/>
          <w:spacing w:val="-3"/>
        </w:rPr>
        <w:t>2004</w:t>
      </w:r>
      <w:r>
        <w:rPr>
          <w:spacing w:val="-3"/>
        </w:rPr>
        <w:t>年</w:t>
      </w:r>
      <w:r>
        <w:rPr>
          <w:rFonts w:ascii="宋体" w:hAnsi="宋体" w:cs="宋体" w:eastAsia="宋体" w:hint="default"/>
          <w:spacing w:val="-3"/>
        </w:rPr>
        <w:t>6</w:t>
      </w:r>
      <w:r>
        <w:rPr>
          <w:spacing w:val="-3"/>
        </w:rPr>
        <w:t>月至</w:t>
      </w:r>
      <w:r>
        <w:rPr>
          <w:rFonts w:ascii="宋体" w:hAnsi="宋体" w:cs="宋体" w:eastAsia="宋体" w:hint="default"/>
          <w:spacing w:val="-3"/>
        </w:rPr>
        <w:t>2010</w:t>
      </w:r>
      <w:r>
        <w:rPr>
          <w:spacing w:val="-3"/>
        </w:rPr>
        <w:t>年</w:t>
      </w:r>
      <w:r>
        <w:rPr>
          <w:rFonts w:ascii="宋体" w:hAnsi="宋体" w:cs="宋体" w:eastAsia="宋体" w:hint="default"/>
          <w:spacing w:val="-3"/>
        </w:rPr>
        <w:t>10</w:t>
      </w:r>
      <w:r>
        <w:rPr>
          <w:spacing w:val="-3"/>
        </w:rPr>
        <w:t>月，任国药集团工业有限公司董事长；</w:t>
      </w:r>
      <w:r>
        <w:rPr>
          <w:rFonts w:ascii="宋体" w:hAnsi="宋体" w:cs="宋体" w:eastAsia="宋体" w:hint="default"/>
          <w:spacing w:val="-3"/>
        </w:rPr>
        <w:t>2010</w:t>
      </w:r>
      <w:r>
        <w:rPr>
          <w:spacing w:val="-3"/>
        </w:rPr>
        <w:t>年</w:t>
      </w:r>
      <w:r>
        <w:rPr>
          <w:rFonts w:ascii="宋体" w:hAnsi="宋体" w:cs="宋体" w:eastAsia="宋体" w:hint="default"/>
          <w:spacing w:val="-3"/>
        </w:rPr>
        <w:t>10</w:t>
      </w:r>
      <w:r>
        <w:rPr>
          <w:spacing w:val="-3"/>
        </w:rPr>
        <w:t>月至</w:t>
      </w:r>
      <w:r>
        <w:rPr>
          <w:rFonts w:ascii="宋体" w:hAnsi="宋体" w:cs="宋体" w:eastAsia="宋体" w:hint="default"/>
          <w:spacing w:val="-3"/>
        </w:rPr>
        <w:t>2018</w:t>
      </w:r>
      <w:r>
        <w:rPr>
          <w:spacing w:val="-3"/>
        </w:rPr>
        <w:t>年</w:t>
      </w:r>
      <w:r>
        <w:rPr>
          <w:rFonts w:ascii="宋体" w:hAnsi="宋体" w:cs="宋体" w:eastAsia="宋体" w:hint="default"/>
          <w:spacing w:val="-3"/>
        </w:rPr>
        <w:t>2</w:t>
      </w:r>
      <w:r>
        <w:rPr>
          <w:spacing w:val="-3"/>
        </w:rPr>
        <w:t>月，</w:t>
      </w:r>
      <w:r>
        <w:rPr>
          <w:spacing w:val="-66"/>
        </w:rPr>
        <w:t> </w:t>
      </w:r>
      <w:r>
        <w:rPr/>
        <w:t>任中国化学制药工业协会资深副会长。</w:t>
      </w:r>
    </w:p>
    <w:p>
      <w:pPr>
        <w:spacing w:after="0" w:line="364" w:lineRule="auto"/>
        <w:jc w:val="both"/>
        <w:sectPr>
          <w:pgSz w:w="11910" w:h="16840"/>
          <w:pgMar w:header="0"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64" w:lineRule="auto" w:before="27"/>
        <w:ind w:right="1129" w:firstLine="360"/>
        <w:jc w:val="both"/>
      </w:pPr>
      <w:r>
        <w:rPr/>
        <w:t>冯均科，男，</w:t>
      </w:r>
      <w:r>
        <w:rPr>
          <w:rFonts w:ascii="宋体" w:hAnsi="宋体" w:cs="宋体" w:eastAsia="宋体" w:hint="default"/>
        </w:rPr>
        <w:t>1958</w:t>
      </w:r>
      <w:r>
        <w:rPr/>
        <w:t>年出生，中国国籍，研究生学历，中共党员。现任公司独立董事。主要工作经历：</w:t>
      </w:r>
      <w:r>
        <w:rPr>
          <w:rFonts w:ascii="宋体" w:hAnsi="宋体" w:cs="宋体" w:eastAsia="宋体" w:hint="default"/>
        </w:rPr>
        <w:t>1982</w:t>
      </w:r>
      <w:r>
        <w:rPr/>
        <w:t>年</w:t>
      </w:r>
      <w:r>
        <w:rPr>
          <w:rFonts w:ascii="宋体" w:hAnsi="宋体" w:cs="宋体" w:eastAsia="宋体" w:hint="default"/>
        </w:rPr>
        <w:t>8</w:t>
      </w:r>
      <w:r>
        <w:rPr/>
        <w:t>月至</w:t>
      </w:r>
      <w:r>
        <w:rPr>
          <w:rFonts w:ascii="宋体" w:hAnsi="宋体" w:cs="宋体" w:eastAsia="宋体" w:hint="default"/>
        </w:rPr>
        <w:t>2000 </w:t>
      </w:r>
      <w:r>
        <w:rPr>
          <w:spacing w:val="-2"/>
        </w:rPr>
        <w:t>年</w:t>
      </w:r>
      <w:r>
        <w:rPr>
          <w:rFonts w:ascii="宋体" w:hAnsi="宋体" w:cs="宋体" w:eastAsia="宋体" w:hint="default"/>
          <w:spacing w:val="-2"/>
        </w:rPr>
        <w:t>4</w:t>
      </w:r>
      <w:r>
        <w:rPr>
          <w:spacing w:val="-2"/>
        </w:rPr>
        <w:t>月，陕西财经学院任教；</w:t>
      </w:r>
      <w:r>
        <w:rPr>
          <w:rFonts w:ascii="宋体" w:hAnsi="宋体" w:cs="宋体" w:eastAsia="宋体" w:hint="default"/>
          <w:spacing w:val="-2"/>
        </w:rPr>
        <w:t>2000</w:t>
      </w:r>
      <w:r>
        <w:rPr>
          <w:spacing w:val="-2"/>
        </w:rPr>
        <w:t>年</w:t>
      </w:r>
      <w:r>
        <w:rPr>
          <w:rFonts w:ascii="宋体" w:hAnsi="宋体" w:cs="宋体" w:eastAsia="宋体" w:hint="default"/>
          <w:spacing w:val="-2"/>
        </w:rPr>
        <w:t>5</w:t>
      </w:r>
      <w:r>
        <w:rPr>
          <w:spacing w:val="-2"/>
        </w:rPr>
        <w:t>月至</w:t>
      </w:r>
      <w:r>
        <w:rPr>
          <w:rFonts w:ascii="宋体" w:hAnsi="宋体" w:cs="宋体" w:eastAsia="宋体" w:hint="default"/>
          <w:spacing w:val="-2"/>
        </w:rPr>
        <w:t>2006</w:t>
      </w:r>
      <w:r>
        <w:rPr>
          <w:spacing w:val="-2"/>
        </w:rPr>
        <w:t>年</w:t>
      </w:r>
      <w:r>
        <w:rPr>
          <w:rFonts w:ascii="宋体" w:hAnsi="宋体" w:cs="宋体" w:eastAsia="宋体" w:hint="default"/>
          <w:spacing w:val="-2"/>
        </w:rPr>
        <w:t>10</w:t>
      </w:r>
      <w:r>
        <w:rPr>
          <w:spacing w:val="-2"/>
        </w:rPr>
        <w:t>月，西安交通大学任教，</w:t>
      </w:r>
      <w:r>
        <w:rPr>
          <w:rFonts w:ascii="宋体" w:hAnsi="宋体" w:cs="宋体" w:eastAsia="宋体" w:hint="default"/>
          <w:spacing w:val="-2"/>
        </w:rPr>
        <w:t>2006</w:t>
      </w:r>
      <w:r>
        <w:rPr>
          <w:spacing w:val="-2"/>
        </w:rPr>
        <w:t>年</w:t>
      </w:r>
      <w:r>
        <w:rPr>
          <w:rFonts w:ascii="宋体" w:hAnsi="宋体" w:cs="宋体" w:eastAsia="宋体" w:hint="default"/>
          <w:spacing w:val="-2"/>
        </w:rPr>
        <w:t>11</w:t>
      </w:r>
      <w:r>
        <w:rPr>
          <w:spacing w:val="-2"/>
        </w:rPr>
        <w:t>月至今，西北大学经济管理学院会计系</w:t>
      </w:r>
      <w:r>
        <w:rPr>
          <w:spacing w:val="-48"/>
        </w:rPr>
        <w:t> </w:t>
      </w:r>
      <w:r>
        <w:rPr>
          <w:spacing w:val="-48"/>
        </w:rPr>
      </w:r>
      <w:r>
        <w:rPr/>
        <w:t>任教授、主任、博士生导师。</w:t>
      </w:r>
    </w:p>
    <w:p>
      <w:pPr>
        <w:pStyle w:val="BodyText"/>
        <w:spacing w:line="364" w:lineRule="auto" w:before="30"/>
        <w:ind w:right="1129" w:firstLine="360"/>
        <w:jc w:val="both"/>
      </w:pPr>
      <w:r>
        <w:rPr/>
        <w:t>宋林，男，</w:t>
      </w:r>
      <w:r>
        <w:rPr>
          <w:rFonts w:ascii="宋体" w:hAnsi="宋体" w:cs="宋体" w:eastAsia="宋体" w:hint="default"/>
        </w:rPr>
        <w:t>1969</w:t>
      </w:r>
      <w:r>
        <w:rPr/>
        <w:t>年</w:t>
      </w:r>
      <w:r>
        <w:rPr>
          <w:rFonts w:ascii="宋体" w:hAnsi="宋体" w:cs="宋体" w:eastAsia="宋体" w:hint="default"/>
        </w:rPr>
        <w:t>12</w:t>
      </w:r>
      <w:r>
        <w:rPr/>
        <w:t>月出生，中国国籍，博士生学历，中共党员。现任公司独立董事。主要工作经历：</w:t>
      </w:r>
      <w:r>
        <w:rPr>
          <w:rFonts w:ascii="宋体" w:hAnsi="宋体" w:cs="宋体" w:eastAsia="宋体" w:hint="default"/>
        </w:rPr>
        <w:t>2000</w:t>
      </w:r>
      <w:r>
        <w:rPr/>
        <w:t>年至</w:t>
      </w:r>
      <w:r>
        <w:rPr>
          <w:rFonts w:ascii="宋体" w:hAnsi="宋体" w:cs="宋体" w:eastAsia="宋体" w:hint="default"/>
        </w:rPr>
        <w:t>2013 </w:t>
      </w:r>
      <w:r>
        <w:rPr>
          <w:spacing w:val="-2"/>
        </w:rPr>
        <w:t>年，历任西安交通大学讲师、副教授；</w:t>
      </w:r>
      <w:r>
        <w:rPr>
          <w:rFonts w:ascii="宋体" w:hAnsi="宋体" w:cs="宋体" w:eastAsia="宋体" w:hint="default"/>
          <w:spacing w:val="-2"/>
        </w:rPr>
        <w:t>2013</w:t>
      </w:r>
      <w:r>
        <w:rPr>
          <w:spacing w:val="-2"/>
        </w:rPr>
        <w:t>年至今，任西安交通大学经济与金融学院产业经济专业教授、博士生导师；</w:t>
      </w:r>
      <w:r>
        <w:rPr>
          <w:rFonts w:ascii="宋体" w:hAnsi="宋体" w:cs="宋体" w:eastAsia="宋体" w:hint="default"/>
          <w:spacing w:val="-2"/>
        </w:rPr>
        <w:t>2014</w:t>
      </w:r>
      <w:r>
        <w:rPr>
          <w:rFonts w:ascii="宋体" w:hAnsi="宋体" w:cs="宋体" w:eastAsia="宋体" w:hint="default"/>
          <w:spacing w:val="-58"/>
        </w:rPr>
        <w:t> </w:t>
      </w:r>
      <w:r>
        <w:rPr/>
        <w:t>年</w:t>
      </w:r>
      <w:r>
        <w:rPr>
          <w:rFonts w:ascii="宋体" w:hAnsi="宋体" w:cs="宋体" w:eastAsia="宋体" w:hint="default"/>
        </w:rPr>
        <w:t>9</w:t>
      </w:r>
      <w:r>
        <w:rPr/>
        <w:t>月至今，任陕西航天动力高科技股份有限公司独立董事；</w:t>
      </w:r>
      <w:r>
        <w:rPr>
          <w:rFonts w:ascii="宋体" w:hAnsi="宋体" w:cs="宋体" w:eastAsia="宋体" w:hint="default"/>
        </w:rPr>
        <w:t>2014</w:t>
      </w:r>
      <w:r>
        <w:rPr/>
        <w:t>年</w:t>
      </w:r>
      <w:r>
        <w:rPr>
          <w:rFonts w:ascii="宋体" w:hAnsi="宋体" w:cs="宋体" w:eastAsia="宋体" w:hint="default"/>
        </w:rPr>
        <w:t>10</w:t>
      </w:r>
      <w:r>
        <w:rPr/>
        <w:t>月至今，任陕西建设机械股份有限公司独立董事。</w:t>
      </w:r>
    </w:p>
    <w:p>
      <w:pPr>
        <w:spacing w:line="240" w:lineRule="auto" w:before="0"/>
        <w:rPr>
          <w:rFonts w:ascii="宋体" w:hAnsi="宋体" w:cs="宋体" w:eastAsia="宋体" w:hint="default"/>
          <w:sz w:val="18"/>
          <w:szCs w:val="18"/>
        </w:rPr>
      </w:pPr>
    </w:p>
    <w:p>
      <w:pPr>
        <w:pStyle w:val="BodyText"/>
        <w:spacing w:line="364" w:lineRule="auto" w:before="153"/>
        <w:ind w:left="514" w:right="940" w:hanging="360"/>
        <w:jc w:val="left"/>
      </w:pPr>
      <w:r>
        <w:rPr>
          <w:rFonts w:ascii="宋体" w:hAnsi="宋体" w:cs="宋体" w:eastAsia="宋体" w:hint="default"/>
          <w:b/>
          <w:bCs/>
        </w:rPr>
        <w:t>（二）公司监事任职情况</w:t>
      </w:r>
      <w:r>
        <w:rPr>
          <w:rFonts w:ascii="宋体" w:hAnsi="宋体" w:cs="宋体" w:eastAsia="宋体" w:hint="default"/>
          <w:b/>
          <w:bCs/>
          <w:w w:val="99"/>
        </w:rPr>
        <w:t> </w:t>
      </w:r>
      <w:r>
        <w:rPr>
          <w:spacing w:val="-2"/>
        </w:rPr>
        <w:t>张兴才，男，</w:t>
      </w:r>
      <w:r>
        <w:rPr>
          <w:rFonts w:ascii="宋体" w:hAnsi="宋体" w:cs="宋体" w:eastAsia="宋体" w:hint="default"/>
          <w:spacing w:val="-2"/>
        </w:rPr>
        <w:t>1964</w:t>
      </w:r>
      <w:r>
        <w:rPr>
          <w:spacing w:val="-2"/>
        </w:rPr>
        <w:t>年</w:t>
      </w:r>
      <w:r>
        <w:rPr>
          <w:rFonts w:ascii="宋体" w:hAnsi="宋体" w:cs="宋体" w:eastAsia="宋体" w:hint="default"/>
          <w:spacing w:val="-2"/>
        </w:rPr>
        <w:t>8</w:t>
      </w:r>
      <w:r>
        <w:rPr>
          <w:spacing w:val="-2"/>
        </w:rPr>
        <w:t>月出生，中国国籍，大学本科学历，高级审计师</w:t>
      </w:r>
      <w:r>
        <w:rPr>
          <w:rFonts w:ascii="宋体" w:hAnsi="宋体" w:cs="宋体" w:eastAsia="宋体" w:hint="default"/>
          <w:spacing w:val="-2"/>
        </w:rPr>
        <w:t>,</w:t>
      </w:r>
      <w:r>
        <w:rPr>
          <w:spacing w:val="-2"/>
        </w:rPr>
        <w:t>会计师，中共党员，无境外居留权。现任公司监</w:t>
      </w:r>
    </w:p>
    <w:p>
      <w:pPr>
        <w:pStyle w:val="BodyText"/>
        <w:spacing w:line="364" w:lineRule="auto" w:before="29"/>
        <w:ind w:right="1122"/>
        <w:jc w:val="left"/>
      </w:pPr>
      <w:r>
        <w:rPr/>
        <w:t>事会主席。主要工作经历：</w:t>
      </w:r>
      <w:r>
        <w:rPr>
          <w:rFonts w:ascii="宋体" w:hAnsi="宋体" w:cs="宋体" w:eastAsia="宋体" w:hint="default"/>
        </w:rPr>
        <w:t>2009</w:t>
      </w:r>
      <w:r>
        <w:rPr/>
        <w:t>年</w:t>
      </w:r>
      <w:r>
        <w:rPr>
          <w:rFonts w:ascii="宋体" w:hAnsi="宋体" w:cs="宋体" w:eastAsia="宋体" w:hint="default"/>
        </w:rPr>
        <w:t>12</w:t>
      </w:r>
      <w:r>
        <w:rPr/>
        <w:t>月至</w:t>
      </w:r>
      <w:r>
        <w:rPr>
          <w:rFonts w:ascii="宋体" w:hAnsi="宋体" w:cs="宋体" w:eastAsia="宋体" w:hint="default"/>
        </w:rPr>
        <w:t>2013</w:t>
      </w:r>
      <w:r>
        <w:rPr/>
        <w:t>年</w:t>
      </w:r>
      <w:r>
        <w:rPr>
          <w:rFonts w:ascii="宋体" w:hAnsi="宋体" w:cs="宋体" w:eastAsia="宋体" w:hint="default"/>
        </w:rPr>
        <w:t>3</w:t>
      </w:r>
      <w:r>
        <w:rPr/>
        <w:t>月，任陕药集团财务管理部副经理；</w:t>
      </w:r>
      <w:r>
        <w:rPr>
          <w:rFonts w:ascii="宋体" w:hAnsi="宋体" w:cs="宋体" w:eastAsia="宋体" w:hint="default"/>
        </w:rPr>
        <w:t>2013</w:t>
      </w:r>
      <w:r>
        <w:rPr/>
        <w:t>年</w:t>
      </w:r>
      <w:r>
        <w:rPr>
          <w:rFonts w:ascii="宋体" w:hAnsi="宋体" w:cs="宋体" w:eastAsia="宋体" w:hint="default"/>
        </w:rPr>
        <w:t>4</w:t>
      </w:r>
      <w:r>
        <w:rPr/>
        <w:t>月至</w:t>
      </w:r>
      <w:r>
        <w:rPr>
          <w:rFonts w:ascii="宋体" w:hAnsi="宋体" w:cs="宋体" w:eastAsia="宋体" w:hint="default"/>
        </w:rPr>
        <w:t>2016</w:t>
      </w:r>
      <w:r>
        <w:rPr/>
        <w:t>年</w:t>
      </w:r>
      <w:r>
        <w:rPr>
          <w:rFonts w:ascii="宋体" w:hAnsi="宋体" w:cs="宋体" w:eastAsia="宋体" w:hint="default"/>
        </w:rPr>
        <w:t>3</w:t>
      </w:r>
      <w:r>
        <w:rPr/>
        <w:t>月，任陕药集团</w:t>
      </w:r>
      <w:r>
        <w:rPr>
          <w:spacing w:val="-83"/>
        </w:rPr>
        <w:t> </w:t>
      </w:r>
      <w:r>
        <w:rPr>
          <w:spacing w:val="-83"/>
        </w:rPr>
      </w:r>
      <w:r>
        <w:rPr/>
        <w:t>审计部经理；</w:t>
      </w:r>
      <w:r>
        <w:rPr>
          <w:rFonts w:ascii="宋体" w:hAnsi="宋体" w:cs="宋体" w:eastAsia="宋体" w:hint="default"/>
        </w:rPr>
        <w:t>2016</w:t>
      </w:r>
      <w:r>
        <w:rPr/>
        <w:t>年</w:t>
      </w:r>
      <w:r>
        <w:rPr>
          <w:rFonts w:ascii="宋体" w:hAnsi="宋体" w:cs="宋体" w:eastAsia="宋体" w:hint="default"/>
        </w:rPr>
        <w:t>3</w:t>
      </w:r>
      <w:r>
        <w:rPr/>
        <w:t>月至今，任陕药集团财务管理部经理；</w:t>
      </w:r>
      <w:r>
        <w:rPr>
          <w:rFonts w:ascii="宋体" w:hAnsi="宋体" w:cs="宋体" w:eastAsia="宋体" w:hint="default"/>
        </w:rPr>
        <w:t>2013</w:t>
      </w:r>
      <w:r>
        <w:rPr/>
        <w:t>年</w:t>
      </w:r>
      <w:r>
        <w:rPr>
          <w:rFonts w:ascii="宋体" w:hAnsi="宋体" w:cs="宋体" w:eastAsia="宋体" w:hint="default"/>
        </w:rPr>
        <w:t>11</w:t>
      </w:r>
      <w:r>
        <w:rPr/>
        <w:t>月至今，任公司监事会主席。</w:t>
      </w:r>
    </w:p>
    <w:p>
      <w:pPr>
        <w:pStyle w:val="BodyText"/>
        <w:spacing w:line="364" w:lineRule="auto" w:before="29"/>
        <w:ind w:right="1129" w:firstLine="360"/>
        <w:jc w:val="both"/>
      </w:pPr>
      <w:r>
        <w:rPr/>
        <w:t>贾亚乐，男，</w:t>
      </w:r>
      <w:r>
        <w:rPr>
          <w:rFonts w:ascii="宋体" w:hAnsi="宋体" w:cs="宋体" w:eastAsia="宋体" w:hint="default"/>
        </w:rPr>
        <w:t>1969</w:t>
      </w:r>
      <w:r>
        <w:rPr/>
        <w:t>年</w:t>
      </w:r>
      <w:r>
        <w:rPr>
          <w:rFonts w:ascii="宋体" w:hAnsi="宋体" w:cs="宋体" w:eastAsia="宋体" w:hint="default"/>
        </w:rPr>
        <w:t>1</w:t>
      </w:r>
      <w:r>
        <w:rPr/>
        <w:t>月出生，中国国籍，大学本科学历，会计师，中共党员，无境外居留权。现任公司监事。主要工 作经历：</w:t>
      </w:r>
      <w:r>
        <w:rPr>
          <w:rFonts w:ascii="宋体" w:hAnsi="宋体" w:cs="宋体" w:eastAsia="宋体" w:hint="default"/>
        </w:rPr>
        <w:t>1993</w:t>
      </w:r>
      <w:r>
        <w:rPr/>
        <w:t>年</w:t>
      </w:r>
      <w:r>
        <w:rPr>
          <w:rFonts w:ascii="宋体" w:hAnsi="宋体" w:cs="宋体" w:eastAsia="宋体" w:hint="default"/>
        </w:rPr>
        <w:t>9</w:t>
      </w:r>
      <w:r>
        <w:rPr/>
        <w:t>月至</w:t>
      </w:r>
      <w:r>
        <w:rPr>
          <w:rFonts w:ascii="宋体" w:hAnsi="宋体" w:cs="宋体" w:eastAsia="宋体" w:hint="default"/>
        </w:rPr>
        <w:t>1997</w:t>
      </w:r>
      <w:r>
        <w:rPr/>
        <w:t>年</w:t>
      </w:r>
      <w:r>
        <w:rPr>
          <w:rFonts w:ascii="宋体" w:hAnsi="宋体" w:cs="宋体" w:eastAsia="宋体" w:hint="default"/>
        </w:rPr>
        <w:t>9</w:t>
      </w:r>
      <w:r>
        <w:rPr/>
        <w:t>月，任陕西省医药总公司财务科会计；</w:t>
      </w:r>
      <w:r>
        <w:rPr>
          <w:spacing w:val="7"/>
        </w:rPr>
        <w:t> </w:t>
      </w:r>
      <w:r>
        <w:rPr>
          <w:rFonts w:ascii="宋体" w:hAnsi="宋体" w:cs="宋体" w:eastAsia="宋体" w:hint="default"/>
        </w:rPr>
        <w:t>1997</w:t>
      </w:r>
      <w:r>
        <w:rPr/>
        <w:t>年</w:t>
      </w:r>
      <w:r>
        <w:rPr>
          <w:rFonts w:ascii="宋体" w:hAnsi="宋体" w:cs="宋体" w:eastAsia="宋体" w:hint="default"/>
        </w:rPr>
        <w:t>9</w:t>
      </w:r>
      <w:r>
        <w:rPr/>
        <w:t>月至</w:t>
      </w:r>
      <w:r>
        <w:rPr>
          <w:rFonts w:ascii="宋体" w:hAnsi="宋体" w:cs="宋体" w:eastAsia="宋体" w:hint="default"/>
        </w:rPr>
        <w:t>2007</w:t>
      </w:r>
      <w:r>
        <w:rPr/>
        <w:t>年</w:t>
      </w:r>
      <w:r>
        <w:rPr>
          <w:rFonts w:ascii="宋体" w:hAnsi="宋体" w:cs="宋体" w:eastAsia="宋体" w:hint="default"/>
        </w:rPr>
        <w:t>3</w:t>
      </w:r>
      <w:r>
        <w:rPr/>
        <w:t>月，在陕西省医药总公司审计处 </w:t>
      </w:r>
      <w:r>
        <w:rPr>
          <w:spacing w:val="-3"/>
        </w:rPr>
        <w:t>工作；</w:t>
      </w:r>
      <w:r>
        <w:rPr>
          <w:rFonts w:ascii="宋体" w:hAnsi="宋体" w:cs="宋体" w:eastAsia="宋体" w:hint="default"/>
          <w:spacing w:val="-3"/>
        </w:rPr>
        <w:t>2007</w:t>
      </w:r>
      <w:r>
        <w:rPr>
          <w:spacing w:val="-3"/>
        </w:rPr>
        <w:t>年</w:t>
      </w:r>
      <w:r>
        <w:rPr>
          <w:rFonts w:ascii="宋体" w:hAnsi="宋体" w:cs="宋体" w:eastAsia="宋体" w:hint="default"/>
          <w:spacing w:val="-3"/>
        </w:rPr>
        <w:t>3</w:t>
      </w:r>
      <w:r>
        <w:rPr>
          <w:spacing w:val="-3"/>
        </w:rPr>
        <w:t>月至</w:t>
      </w:r>
      <w:r>
        <w:rPr>
          <w:rFonts w:ascii="宋体" w:hAnsi="宋体" w:cs="宋体" w:eastAsia="宋体" w:hint="default"/>
          <w:spacing w:val="-3"/>
        </w:rPr>
        <w:t>2008</w:t>
      </w:r>
      <w:r>
        <w:rPr>
          <w:spacing w:val="-3"/>
        </w:rPr>
        <w:t>年</w:t>
      </w:r>
      <w:r>
        <w:rPr>
          <w:rFonts w:ascii="宋体" w:hAnsi="宋体" w:cs="宋体" w:eastAsia="宋体" w:hint="default"/>
          <w:spacing w:val="-3"/>
        </w:rPr>
        <w:t>5</w:t>
      </w:r>
      <w:r>
        <w:rPr>
          <w:spacing w:val="-3"/>
        </w:rPr>
        <w:t>月，在陕药集团人力资源部工作；</w:t>
      </w:r>
      <w:r>
        <w:rPr>
          <w:rFonts w:ascii="宋体" w:hAnsi="宋体" w:cs="宋体" w:eastAsia="宋体" w:hint="default"/>
          <w:spacing w:val="-3"/>
        </w:rPr>
        <w:t>2008</w:t>
      </w:r>
      <w:r>
        <w:rPr>
          <w:spacing w:val="-3"/>
        </w:rPr>
        <w:t>年</w:t>
      </w:r>
      <w:r>
        <w:rPr>
          <w:rFonts w:ascii="宋体" w:hAnsi="宋体" w:cs="宋体" w:eastAsia="宋体" w:hint="default"/>
          <w:spacing w:val="-3"/>
        </w:rPr>
        <w:t>5</w:t>
      </w:r>
      <w:r>
        <w:rPr>
          <w:spacing w:val="-3"/>
        </w:rPr>
        <w:t>月至</w:t>
      </w:r>
      <w:r>
        <w:rPr>
          <w:rFonts w:ascii="宋体" w:hAnsi="宋体" w:cs="宋体" w:eastAsia="宋体" w:hint="default"/>
          <w:spacing w:val="-3"/>
        </w:rPr>
        <w:t>2009</w:t>
      </w:r>
      <w:r>
        <w:rPr>
          <w:spacing w:val="-3"/>
        </w:rPr>
        <w:t>年</w:t>
      </w:r>
      <w:r>
        <w:rPr>
          <w:rFonts w:ascii="宋体" w:hAnsi="宋体" w:cs="宋体" w:eastAsia="宋体" w:hint="default"/>
          <w:spacing w:val="-3"/>
        </w:rPr>
        <w:t>11</w:t>
      </w:r>
      <w:r>
        <w:rPr>
          <w:spacing w:val="-3"/>
        </w:rPr>
        <w:t>月，任西安黄河制药有限公司总会计师；</w:t>
      </w:r>
      <w:r>
        <w:rPr>
          <w:spacing w:val="-69"/>
        </w:rPr>
        <w:t> </w:t>
      </w:r>
      <w:r>
        <w:rPr>
          <w:spacing w:val="-69"/>
        </w:rPr>
      </w:r>
      <w:r>
        <w:rPr>
          <w:rFonts w:ascii="宋体" w:hAnsi="宋体" w:cs="宋体" w:eastAsia="宋体" w:hint="default"/>
        </w:rPr>
        <w:t>2009</w:t>
      </w:r>
      <w:r>
        <w:rPr/>
        <w:t>年</w:t>
      </w:r>
      <w:r>
        <w:rPr>
          <w:rFonts w:ascii="宋体" w:hAnsi="宋体" w:cs="宋体" w:eastAsia="宋体" w:hint="default"/>
        </w:rPr>
        <w:t>11</w:t>
      </w:r>
      <w:r>
        <w:rPr/>
        <w:t>月至</w:t>
      </w:r>
      <w:r>
        <w:rPr>
          <w:rFonts w:ascii="宋体" w:hAnsi="宋体" w:cs="宋体" w:eastAsia="宋体" w:hint="default"/>
        </w:rPr>
        <w:t>2013</w:t>
      </w:r>
      <w:r>
        <w:rPr/>
        <w:t>年</w:t>
      </w:r>
      <w:r>
        <w:rPr>
          <w:rFonts w:ascii="宋体" w:hAnsi="宋体" w:cs="宋体" w:eastAsia="宋体" w:hint="default"/>
        </w:rPr>
        <w:t>3</w:t>
      </w:r>
      <w:r>
        <w:rPr/>
        <w:t>月，任陕西医药控股集团山海丹药业有限责任公司总会计师；</w:t>
      </w:r>
      <w:r>
        <w:rPr>
          <w:rFonts w:ascii="宋体" w:hAnsi="宋体" w:cs="宋体" w:eastAsia="宋体" w:hint="default"/>
        </w:rPr>
        <w:t>2013</w:t>
      </w:r>
      <w:r>
        <w:rPr/>
        <w:t>年</w:t>
      </w:r>
      <w:r>
        <w:rPr>
          <w:rFonts w:ascii="宋体" w:hAnsi="宋体" w:cs="宋体" w:eastAsia="宋体" w:hint="default"/>
        </w:rPr>
        <w:t>3</w:t>
      </w:r>
      <w:r>
        <w:rPr/>
        <w:t>月至</w:t>
      </w:r>
      <w:r>
        <w:rPr>
          <w:rFonts w:ascii="宋体" w:hAnsi="宋体" w:cs="宋体" w:eastAsia="宋体" w:hint="default"/>
        </w:rPr>
        <w:t>2016</w:t>
      </w:r>
      <w:r>
        <w:rPr/>
        <w:t>年</w:t>
      </w:r>
      <w:r>
        <w:rPr>
          <w:rFonts w:ascii="宋体" w:hAnsi="宋体" w:cs="宋体" w:eastAsia="宋体" w:hint="default"/>
        </w:rPr>
        <w:t>2</w:t>
      </w:r>
      <w:r>
        <w:rPr/>
        <w:t>月，任陕药集团财</w:t>
      </w:r>
      <w:r>
        <w:rPr>
          <w:spacing w:val="-83"/>
        </w:rPr>
        <w:t> </w:t>
      </w:r>
      <w:r>
        <w:rPr>
          <w:spacing w:val="-83"/>
        </w:rPr>
      </w:r>
      <w:r>
        <w:rPr/>
        <w:t>务管理部经理；</w:t>
      </w:r>
      <w:r>
        <w:rPr>
          <w:rFonts w:ascii="宋体" w:hAnsi="宋体" w:cs="宋体" w:eastAsia="宋体" w:hint="default"/>
        </w:rPr>
        <w:t>2016</w:t>
      </w:r>
      <w:r>
        <w:rPr/>
        <w:t>年</w:t>
      </w:r>
      <w:r>
        <w:rPr>
          <w:rFonts w:ascii="宋体" w:hAnsi="宋体" w:cs="宋体" w:eastAsia="宋体" w:hint="default"/>
        </w:rPr>
        <w:t>2</w:t>
      </w:r>
      <w:r>
        <w:rPr/>
        <w:t>月至今，任陕药集团审计部经理。</w:t>
      </w:r>
    </w:p>
    <w:p>
      <w:pPr>
        <w:pStyle w:val="BodyText"/>
        <w:spacing w:line="364" w:lineRule="auto" w:before="29"/>
        <w:ind w:right="1130" w:firstLine="360"/>
        <w:jc w:val="both"/>
      </w:pPr>
      <w:r>
        <w:rPr/>
        <w:t>惠俊玉，男，</w:t>
      </w:r>
      <w:r>
        <w:rPr>
          <w:rFonts w:ascii="宋体" w:hAnsi="宋体" w:cs="宋体" w:eastAsia="宋体" w:hint="default"/>
        </w:rPr>
        <w:t>1971</w:t>
      </w:r>
      <w:r>
        <w:rPr/>
        <w:t>年</w:t>
      </w:r>
      <w:r>
        <w:rPr>
          <w:rFonts w:ascii="宋体" w:hAnsi="宋体" w:cs="宋体" w:eastAsia="宋体" w:hint="default"/>
        </w:rPr>
        <w:t>5</w:t>
      </w:r>
      <w:r>
        <w:rPr/>
        <w:t>月出生，中国国籍，大学本科学历，工业自动化专业，工程师，中共党员，无境外居留权。现任 </w:t>
      </w:r>
      <w:r>
        <w:rPr>
          <w:spacing w:val="-5"/>
        </w:rPr>
        <w:t>公司生产总监、职工监事，天津环球董事、总经理。主要工作经历：</w:t>
      </w:r>
      <w:r>
        <w:rPr>
          <w:rFonts w:ascii="宋体" w:hAnsi="宋体" w:cs="宋体" w:eastAsia="宋体" w:hint="default"/>
          <w:spacing w:val="-5"/>
        </w:rPr>
        <w:t>2001</w:t>
      </w:r>
      <w:r>
        <w:rPr>
          <w:spacing w:val="-5"/>
        </w:rPr>
        <w:t>年至今，历任公司工程设备管理部经理、研发总监、</w:t>
      </w:r>
      <w:r>
        <w:rPr>
          <w:spacing w:val="-70"/>
        </w:rPr>
        <w:t> </w:t>
      </w:r>
      <w:r>
        <w:rPr>
          <w:spacing w:val="-70"/>
        </w:rPr>
      </w:r>
      <w:r>
        <w:rPr/>
        <w:t>职工监事、生产总监；</w:t>
      </w:r>
      <w:r>
        <w:rPr>
          <w:rFonts w:ascii="宋体" w:hAnsi="宋体" w:cs="宋体" w:eastAsia="宋体" w:hint="default"/>
        </w:rPr>
        <w:t>2009</w:t>
      </w:r>
      <w:r>
        <w:rPr/>
        <w:t>年至今，历任天津环球副总经理、常务副总经理、总经理。</w:t>
      </w:r>
    </w:p>
    <w:p>
      <w:pPr>
        <w:spacing w:line="240" w:lineRule="auto" w:before="0"/>
        <w:rPr>
          <w:rFonts w:ascii="宋体" w:hAnsi="宋体" w:cs="宋体" w:eastAsia="宋体" w:hint="default"/>
          <w:sz w:val="18"/>
          <w:szCs w:val="18"/>
        </w:rPr>
      </w:pPr>
    </w:p>
    <w:p>
      <w:pPr>
        <w:spacing w:line="364" w:lineRule="auto" w:before="153"/>
        <w:ind w:left="514" w:right="6972" w:hanging="360"/>
        <w:jc w:val="left"/>
        <w:rPr>
          <w:rFonts w:ascii="宋体" w:hAnsi="宋体" w:cs="宋体" w:eastAsia="宋体" w:hint="default"/>
          <w:sz w:val="18"/>
          <w:szCs w:val="18"/>
        </w:rPr>
      </w:pPr>
      <w:r>
        <w:rPr>
          <w:rFonts w:ascii="宋体" w:hAnsi="宋体" w:cs="宋体" w:eastAsia="宋体" w:hint="default"/>
          <w:b/>
          <w:bCs/>
          <w:sz w:val="18"/>
          <w:szCs w:val="18"/>
        </w:rPr>
        <w:t>（三）公司高级管理人员任职情况</w:t>
      </w:r>
      <w:r>
        <w:rPr>
          <w:rFonts w:ascii="宋体" w:hAnsi="宋体" w:cs="宋体" w:eastAsia="宋体" w:hint="default"/>
          <w:b/>
          <w:bCs/>
          <w:w w:val="99"/>
          <w:sz w:val="18"/>
          <w:szCs w:val="18"/>
        </w:rPr>
        <w:t> </w:t>
      </w:r>
      <w:r>
        <w:rPr>
          <w:rFonts w:ascii="宋体" w:hAnsi="宋体" w:cs="宋体" w:eastAsia="宋体" w:hint="default"/>
          <w:sz w:val="18"/>
          <w:szCs w:val="18"/>
        </w:rPr>
        <w:t>孙学军，详见“（一）公司董事任职情况”</w:t>
      </w:r>
    </w:p>
    <w:p>
      <w:pPr>
        <w:pStyle w:val="BodyText"/>
        <w:spacing w:line="364" w:lineRule="auto" w:before="29"/>
        <w:ind w:right="1129" w:firstLine="360"/>
        <w:jc w:val="both"/>
      </w:pPr>
      <w:r>
        <w:rPr/>
        <w:t>夏顺伟，男，</w:t>
      </w:r>
      <w:r>
        <w:rPr>
          <w:rFonts w:ascii="宋体" w:hAnsi="宋体" w:cs="宋体" w:eastAsia="宋体" w:hint="default"/>
        </w:rPr>
        <w:t>1964</w:t>
      </w:r>
      <w:r>
        <w:rPr/>
        <w:t>年</w:t>
      </w:r>
      <w:r>
        <w:rPr>
          <w:rFonts w:ascii="宋体" w:hAnsi="宋体" w:cs="宋体" w:eastAsia="宋体" w:hint="default"/>
        </w:rPr>
        <w:t>8</w:t>
      </w:r>
      <w:r>
        <w:rPr/>
        <w:t>月出生，中国国籍，研究生学历，高级工程师，九三学社社员，无境外居留权。现任公司执行总 </w:t>
      </w:r>
      <w:r>
        <w:rPr>
          <w:spacing w:val="-2"/>
        </w:rPr>
        <w:t>经理，副总经理，西安德宝董事、总经理。主要工作经历：</w:t>
      </w:r>
      <w:r>
        <w:rPr>
          <w:rFonts w:ascii="宋体" w:hAnsi="宋体" w:cs="宋体" w:eastAsia="宋体" w:hint="default"/>
          <w:spacing w:val="-2"/>
        </w:rPr>
        <w:t>2000</w:t>
      </w:r>
      <w:r>
        <w:rPr>
          <w:spacing w:val="-2"/>
        </w:rPr>
        <w:t>年</w:t>
      </w:r>
      <w:r>
        <w:rPr>
          <w:rFonts w:ascii="宋体" w:hAnsi="宋体" w:cs="宋体" w:eastAsia="宋体" w:hint="default"/>
          <w:spacing w:val="-2"/>
        </w:rPr>
        <w:t>7</w:t>
      </w:r>
      <w:r>
        <w:rPr>
          <w:spacing w:val="-2"/>
        </w:rPr>
        <w:t>月至今，任西安德宝总经理；</w:t>
      </w:r>
      <w:r>
        <w:rPr>
          <w:rFonts w:ascii="宋体" w:hAnsi="宋体" w:cs="宋体" w:eastAsia="宋体" w:hint="default"/>
          <w:spacing w:val="-2"/>
        </w:rPr>
        <w:t>2007</w:t>
      </w:r>
      <w:r>
        <w:rPr>
          <w:spacing w:val="-2"/>
        </w:rPr>
        <w:t>年</w:t>
      </w:r>
      <w:r>
        <w:rPr>
          <w:rFonts w:ascii="宋体" w:hAnsi="宋体" w:cs="宋体" w:eastAsia="宋体" w:hint="default"/>
          <w:spacing w:val="-2"/>
        </w:rPr>
        <w:t>7</w:t>
      </w:r>
      <w:r>
        <w:rPr>
          <w:spacing w:val="-2"/>
        </w:rPr>
        <w:t>月至今，任西安德</w:t>
      </w:r>
      <w:r>
        <w:rPr>
          <w:spacing w:val="-57"/>
        </w:rPr>
        <w:t> </w:t>
      </w:r>
      <w:r>
        <w:rPr>
          <w:spacing w:val="-57"/>
        </w:rPr>
      </w:r>
      <w:r>
        <w:rPr>
          <w:spacing w:val="-2"/>
        </w:rPr>
        <w:t>宝董事；</w:t>
      </w:r>
      <w:r>
        <w:rPr>
          <w:rFonts w:ascii="宋体" w:hAnsi="宋体" w:cs="宋体" w:eastAsia="宋体" w:hint="default"/>
          <w:spacing w:val="-2"/>
        </w:rPr>
        <w:t>2016</w:t>
      </w:r>
      <w:r>
        <w:rPr>
          <w:spacing w:val="-2"/>
        </w:rPr>
        <w:t>年</w:t>
      </w:r>
      <w:r>
        <w:rPr>
          <w:rFonts w:ascii="宋体" w:hAnsi="宋体" w:cs="宋体" w:eastAsia="宋体" w:hint="default"/>
          <w:spacing w:val="-2"/>
        </w:rPr>
        <w:t>7</w:t>
      </w:r>
      <w:r>
        <w:rPr>
          <w:spacing w:val="-2"/>
        </w:rPr>
        <w:t>月至今，任公司副总经理，分管西安德宝公司。曾获</w:t>
      </w:r>
      <w:r>
        <w:rPr>
          <w:spacing w:val="25"/>
        </w:rPr>
        <w:t> </w:t>
      </w:r>
      <w:r>
        <w:rPr>
          <w:spacing w:val="-2"/>
        </w:rPr>
        <w:t>“西部开发优秀创业者”、“</w:t>
      </w:r>
      <w:r>
        <w:rPr>
          <w:rFonts w:ascii="宋体" w:hAnsi="宋体" w:cs="宋体" w:eastAsia="宋体" w:hint="default"/>
          <w:spacing w:val="-2"/>
        </w:rPr>
        <w:t>2011</w:t>
      </w:r>
      <w:r>
        <w:rPr>
          <w:spacing w:val="-2"/>
        </w:rPr>
        <w:t>中国优秀创新企业</w:t>
      </w:r>
      <w:r>
        <w:rPr>
          <w:spacing w:val="-85"/>
        </w:rPr>
        <w:t> </w:t>
      </w:r>
      <w:r>
        <w:rPr>
          <w:spacing w:val="-85"/>
        </w:rPr>
      </w:r>
      <w:r>
        <w:rPr>
          <w:spacing w:val="-2"/>
        </w:rPr>
        <w:t>家”、“陕西省医药系统先进工作者”、第五届陕西省优秀企业家”、“西安市改革开放四十周年十大杰出企业家”、“陕</w:t>
      </w:r>
      <w:r>
        <w:rPr>
          <w:spacing w:val="-68"/>
        </w:rPr>
        <w:t> </w:t>
      </w:r>
      <w:r>
        <w:rPr>
          <w:spacing w:val="-68"/>
        </w:rPr>
      </w:r>
      <w:r>
        <w:rPr/>
        <w:t>药集团二十年有突出贡献人物”等荣誉称号。</w:t>
      </w:r>
    </w:p>
    <w:p>
      <w:pPr>
        <w:pStyle w:val="BodyText"/>
        <w:spacing w:line="364" w:lineRule="auto" w:before="29"/>
        <w:ind w:right="1032" w:firstLine="360"/>
        <w:jc w:val="left"/>
      </w:pPr>
      <w:r>
        <w:rPr/>
        <w:t>林蔚，女，</w:t>
      </w:r>
      <w:r>
        <w:rPr>
          <w:rFonts w:ascii="宋体" w:hAnsi="宋体" w:cs="宋体" w:eastAsia="宋体" w:hint="default"/>
        </w:rPr>
        <w:t>1970</w:t>
      </w:r>
      <w:r>
        <w:rPr/>
        <w:t>年</w:t>
      </w:r>
      <w:r>
        <w:rPr>
          <w:rFonts w:ascii="宋体" w:hAnsi="宋体" w:cs="宋体" w:eastAsia="宋体" w:hint="default"/>
        </w:rPr>
        <w:t>2</w:t>
      </w:r>
      <w:r>
        <w:rPr/>
        <w:t>月出生，中国国籍，大专学历，会计师、高级国际财务管理师，中共党员，无境外居留权。现任公 司副总经理、总会计师（财务负责人）、董事会秘书，天津环球董事，西安德宝董事，领凯网络科技董事。主要工作经历：</w:t>
      </w:r>
      <w:r>
        <w:rPr>
          <w:spacing w:val="-85"/>
        </w:rPr>
        <w:t> </w:t>
      </w:r>
      <w:r>
        <w:rPr>
          <w:spacing w:val="-85"/>
        </w:rPr>
      </w:r>
      <w:r>
        <w:rPr>
          <w:rFonts w:ascii="宋体" w:hAnsi="宋体" w:cs="宋体" w:eastAsia="宋体" w:hint="default"/>
          <w:spacing w:val="-2"/>
        </w:rPr>
        <w:t>2001</w:t>
      </w:r>
      <w:r>
        <w:rPr>
          <w:spacing w:val="-2"/>
        </w:rPr>
        <w:t>年至今，历任公司会计主管、经理助理、财务部经理、总会计师（财务负责人）、董事会秘书，天津环球董事，西安德</w:t>
      </w:r>
      <w:r>
        <w:rPr>
          <w:spacing w:val="-65"/>
        </w:rPr>
        <w:t> </w:t>
      </w:r>
      <w:r>
        <w:rPr>
          <w:spacing w:val="-65"/>
        </w:rPr>
      </w:r>
      <w:r>
        <w:rPr>
          <w:spacing w:val="-2"/>
        </w:rPr>
        <w:t>宝董事。曾获“陕西省国资委先进工作者”、“陕西省财贸系统五一巾帼标兵”、“陕西省总工会五一巾帼标兵”、“陕药</w:t>
      </w:r>
      <w:r>
        <w:rPr>
          <w:spacing w:val="-68"/>
        </w:rPr>
        <w:t> </w:t>
      </w:r>
      <w:r>
        <w:rPr>
          <w:spacing w:val="-68"/>
        </w:rPr>
      </w:r>
      <w:r>
        <w:rPr/>
        <w:t>集团十大经济人物”等荣誉称号。</w:t>
      </w:r>
    </w:p>
    <w:p>
      <w:pPr>
        <w:pStyle w:val="BodyText"/>
        <w:spacing w:line="364" w:lineRule="auto" w:before="29"/>
        <w:ind w:right="1032" w:firstLine="360"/>
        <w:jc w:val="left"/>
      </w:pPr>
      <w:r>
        <w:rPr/>
        <w:t>赵建平，男，</w:t>
      </w:r>
      <w:r>
        <w:rPr>
          <w:rFonts w:ascii="宋体" w:hAnsi="宋体" w:cs="宋体" w:eastAsia="宋体" w:hint="default"/>
        </w:rPr>
        <w:t>1968</w:t>
      </w:r>
      <w:r>
        <w:rPr/>
        <w:t>年</w:t>
      </w:r>
      <w:r>
        <w:rPr>
          <w:rFonts w:ascii="宋体" w:hAnsi="宋体" w:cs="宋体" w:eastAsia="宋体" w:hint="default"/>
        </w:rPr>
        <w:t>11</w:t>
      </w:r>
      <w:r>
        <w:rPr/>
        <w:t>月出生，中国国籍，大学本科学历，工程师，高级生产运作管理师，中共党员，无境外居留权。 </w:t>
      </w:r>
      <w:r>
        <w:rPr>
          <w:spacing w:val="-2"/>
        </w:rPr>
        <w:t>现任公司副总经理，永鑫包装董事长，天津环球董事，西安德宝代总经理。主要工作经历：</w:t>
      </w:r>
      <w:r>
        <w:rPr>
          <w:rFonts w:ascii="宋体" w:hAnsi="宋体" w:cs="宋体" w:eastAsia="宋体" w:hint="default"/>
          <w:spacing w:val="-2"/>
        </w:rPr>
        <w:t>2001</w:t>
      </w:r>
      <w:r>
        <w:rPr>
          <w:spacing w:val="-2"/>
        </w:rPr>
        <w:t>年至</w:t>
      </w:r>
      <w:r>
        <w:rPr>
          <w:rFonts w:ascii="宋体" w:hAnsi="宋体" w:cs="宋体" w:eastAsia="宋体" w:hint="default"/>
          <w:spacing w:val="-2"/>
        </w:rPr>
        <w:t>2004</w:t>
      </w:r>
      <w:r>
        <w:rPr>
          <w:spacing w:val="-2"/>
        </w:rPr>
        <w:t>年，任公司生产部</w:t>
      </w:r>
      <w:r>
        <w:rPr>
          <w:spacing w:val="-59"/>
        </w:rPr>
        <w:t> </w:t>
      </w:r>
      <w:r>
        <w:rPr>
          <w:spacing w:val="-59"/>
        </w:rPr>
      </w:r>
      <w:r>
        <w:rPr>
          <w:spacing w:val="-5"/>
        </w:rPr>
        <w:t>经理；</w:t>
      </w:r>
      <w:r>
        <w:rPr>
          <w:rFonts w:ascii="宋体" w:hAnsi="宋体" w:cs="宋体" w:eastAsia="宋体" w:hint="default"/>
          <w:spacing w:val="-5"/>
        </w:rPr>
        <w:t>2004</w:t>
      </w:r>
      <w:r>
        <w:rPr>
          <w:spacing w:val="-5"/>
        </w:rPr>
        <w:t>年至</w:t>
      </w:r>
      <w:r>
        <w:rPr>
          <w:rFonts w:ascii="宋体" w:hAnsi="宋体" w:cs="宋体" w:eastAsia="宋体" w:hint="default"/>
          <w:spacing w:val="-5"/>
        </w:rPr>
        <w:t>2010</w:t>
      </w:r>
      <w:r>
        <w:rPr>
          <w:spacing w:val="-5"/>
        </w:rPr>
        <w:t>年，任永鑫包装副总经理、总经理；</w:t>
      </w:r>
      <w:r>
        <w:rPr>
          <w:rFonts w:ascii="宋体" w:hAnsi="宋体" w:cs="宋体" w:eastAsia="宋体" w:hint="default"/>
          <w:spacing w:val="-5"/>
        </w:rPr>
        <w:t>2010</w:t>
      </w:r>
      <w:r>
        <w:rPr>
          <w:spacing w:val="-5"/>
        </w:rPr>
        <w:t>年至今，历任公司总经理助理、副总经理，永鑫包装执行董事，</w:t>
      </w:r>
      <w:r>
        <w:rPr>
          <w:spacing w:val="-49"/>
        </w:rPr>
        <w:t> </w:t>
      </w:r>
      <w:r>
        <w:rPr>
          <w:spacing w:val="-49"/>
        </w:rPr>
      </w:r>
      <w:r>
        <w:rPr/>
        <w:t>天津环球董事、总经理；</w:t>
      </w:r>
      <w:r>
        <w:rPr>
          <w:rFonts w:ascii="宋体" w:hAnsi="宋体" w:cs="宋体" w:eastAsia="宋体" w:hint="default"/>
        </w:rPr>
        <w:t>2019</w:t>
      </w:r>
      <w:r>
        <w:rPr/>
        <w:t>年</w:t>
      </w:r>
      <w:r>
        <w:rPr>
          <w:rFonts w:ascii="宋体" w:hAnsi="宋体" w:cs="宋体" w:eastAsia="宋体" w:hint="default"/>
        </w:rPr>
        <w:t>1</w:t>
      </w:r>
      <w:r>
        <w:rPr/>
        <w:t>月至今，任西安德宝代总经理。</w:t>
      </w:r>
    </w:p>
    <w:p>
      <w:pPr>
        <w:spacing w:after="0" w:line="364" w:lineRule="auto"/>
        <w:jc w:val="left"/>
        <w:sectPr>
          <w:pgSz w:w="11910" w:h="16840"/>
          <w:pgMar w:header="0"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6"/>
        <w:ind w:right="940"/>
        <w:jc w:val="left"/>
      </w:pPr>
      <w:r>
        <w:rPr/>
        <w:t>在股东单位任职情况</w:t>
      </w:r>
    </w:p>
    <w:p>
      <w:pPr>
        <w:pStyle w:val="BodyText"/>
        <w:spacing w:line="338" w:lineRule="auto" w:before="116"/>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338" w:lineRule="auto" w:before="44"/>
        <w:ind w:right="40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公司现任及报告期内离任董事、监事和高级管理人员近三年证券监管机构处罚的情况</w:t>
      </w:r>
    </w:p>
    <w:p>
      <w:pPr>
        <w:pStyle w:val="BodyText"/>
        <w:spacing w:line="240" w:lineRule="auto" w:before="42"/>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0"/>
        <w:jc w:val="left"/>
        <w:rPr>
          <w:b w:val="0"/>
          <w:bCs w:val="0"/>
        </w:rPr>
      </w:pPr>
      <w:bookmarkStart w:name="四、董事、监事、高级管理人员报酬情况" w:id="131"/>
      <w:bookmarkEnd w:id="131"/>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381" w:lineRule="auto"/>
        <w:ind w:left="514" w:right="940" w:hanging="360"/>
        <w:jc w:val="left"/>
      </w:pPr>
      <w:r>
        <w:rPr/>
        <w:t>董事、监事、高级管理人员报酬的决策程序、确定依据、实际支付情况 </w:t>
      </w:r>
      <w:r>
        <w:rPr>
          <w:spacing w:val="-2"/>
        </w:rPr>
        <w:t>公司董事（非独立董事）、监事及高级管理人员的年度薪酬根据公司审议通过的绩效考核方案执行，结合年度经营业绩</w:t>
      </w:r>
    </w:p>
    <w:p>
      <w:pPr>
        <w:pStyle w:val="BodyText"/>
        <w:spacing w:line="364" w:lineRule="auto" w:before="17"/>
        <w:ind w:right="1032"/>
        <w:jc w:val="left"/>
      </w:pPr>
      <w:r>
        <w:rPr/>
        <w:t>及个人考核情况进行核定。董事会薪酬与考核委员会对公司董事（非独立董事）及高级管理人员的年度工作情况进行评定，</w:t>
      </w:r>
      <w:r>
        <w:rPr>
          <w:spacing w:val="-85"/>
        </w:rPr>
        <w:t> </w:t>
      </w:r>
      <w:r>
        <w:rPr>
          <w:spacing w:val="-85"/>
        </w:rPr>
      </w:r>
      <w:r>
        <w:rPr/>
        <w:t>年度考核采取工作汇报与综合评议的方式进行。</w:t>
      </w:r>
      <w:r>
        <w:rPr>
          <w:rFonts w:ascii="宋体" w:hAnsi="宋体" w:cs="宋体" w:eastAsia="宋体" w:hint="default"/>
        </w:rPr>
        <w:t>2018</w:t>
      </w:r>
      <w:r>
        <w:rPr/>
        <w:t>年度独立董事年薪标准为每人</w:t>
      </w:r>
      <w:r>
        <w:rPr>
          <w:rFonts w:ascii="宋体" w:hAnsi="宋体" w:cs="宋体" w:eastAsia="宋体" w:hint="default"/>
        </w:rPr>
        <w:t>5</w:t>
      </w:r>
      <w:r>
        <w:rPr/>
        <w:t>万元（含税）。</w:t>
      </w:r>
    </w:p>
    <w:p>
      <w:pPr>
        <w:pStyle w:val="Heading6"/>
        <w:spacing w:line="240" w:lineRule="auto" w:before="47"/>
        <w:ind w:right="940"/>
        <w:jc w:val="left"/>
        <w:rPr>
          <w:b w:val="0"/>
          <w:bCs w:val="0"/>
        </w:rPr>
      </w:pPr>
      <w:r>
        <w:rPr/>
        <w:t>公司报告期内董事、监事和高级管理人员报酬情况</w:t>
      </w:r>
      <w:r>
        <w:rPr>
          <w:b w:val="0"/>
          <w:bCs w:val="0"/>
        </w:rPr>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370"/>
        <w:gridCol w:w="1494"/>
        <w:gridCol w:w="1240"/>
        <w:gridCol w:w="1367"/>
        <w:gridCol w:w="1367"/>
        <w:gridCol w:w="1367"/>
        <w:gridCol w:w="1368"/>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9"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李移岭</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74.89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孙学军</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73.42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杨军</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冯杰</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张明禹</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冯均科</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宋林</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张兴才</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贾亚乐</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惠俊玉</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39.91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夏顺伟</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61" w:right="21" w:hanging="539"/>
              <w:jc w:val="left"/>
              <w:rPr>
                <w:rFonts w:ascii="宋体" w:hAnsi="宋体" w:cs="宋体" w:eastAsia="宋体" w:hint="default"/>
                <w:sz w:val="18"/>
                <w:szCs w:val="18"/>
              </w:rPr>
            </w:pPr>
            <w:r>
              <w:rPr>
                <w:rFonts w:ascii="宋体" w:hAnsi="宋体" w:cs="宋体" w:eastAsia="宋体" w:hint="default"/>
                <w:sz w:val="18"/>
                <w:szCs w:val="18"/>
              </w:rPr>
              <w:t>执行总经理、副总 经理</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林蔚</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1" w:right="23" w:hanging="89"/>
              <w:jc w:val="left"/>
              <w:rPr>
                <w:rFonts w:ascii="宋体" w:hAnsi="宋体" w:cs="宋体" w:eastAsia="宋体" w:hint="default"/>
                <w:sz w:val="18"/>
                <w:szCs w:val="18"/>
              </w:rPr>
            </w:pPr>
            <w:r>
              <w:rPr>
                <w:rFonts w:ascii="宋体" w:hAnsi="宋体" w:cs="宋体" w:eastAsia="宋体" w:hint="default"/>
                <w:sz w:val="18"/>
                <w:szCs w:val="18"/>
              </w:rPr>
              <w:t>副总经理、董事会 秘书、总会计师</w:t>
            </w:r>
          </w:p>
          <w:p>
            <w:pPr>
              <w:pStyle w:val="TableParagraph"/>
              <w:spacing w:line="240" w:lineRule="auto" w:before="20"/>
              <w:ind w:left="111"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62.15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赵建平</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58.42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323.79</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40"/>
        <w:jc w:val="left"/>
      </w:pPr>
      <w:r>
        <w:rPr/>
        <w:t>公司董事、高级管理人员报告期内被授予的股权激励情况</w:t>
      </w:r>
    </w:p>
    <w:p>
      <w:pPr>
        <w:pStyle w:val="BodyText"/>
        <w:spacing w:line="240" w:lineRule="auto" w:before="117"/>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0" w:footer="979" w:top="1500" w:bottom="1160" w:left="980" w:right="0"/>
        </w:sectPr>
      </w:pPr>
    </w:p>
    <w:p>
      <w:pPr>
        <w:pStyle w:val="Heading2"/>
        <w:spacing w:line="240" w:lineRule="auto" w:before="14"/>
        <w:ind w:right="940"/>
        <w:jc w:val="left"/>
        <w:rPr>
          <w:b w:val="0"/>
          <w:bCs w:val="0"/>
        </w:rPr>
      </w:pPr>
      <w:r>
        <w:rPr/>
        <w:pict>
          <v:group style="position:absolute;margin-left:55.200001pt;margin-top:2.23563pt;width:485pt;height:.1pt;mso-position-horizontal-relative:page;mso-position-vertical-relative:paragraph;z-index:-800296" coordorigin="1104,45" coordsize="9700,2">
            <v:shape style="position:absolute;left:1104;top:45;width:9700;height:2" coordorigin="1104,45" coordsize="9700,0" path="m1104,45l10804,45e" filled="false" stroked="true" strokeweight=".72pt" strokecolor="#000000">
              <v:path arrowok="t"/>
            </v:shape>
            <w10:wrap type="none"/>
          </v:group>
        </w:pict>
      </w:r>
      <w:bookmarkStart w:name="五、公司员工情况" w:id="132"/>
      <w:bookmarkEnd w:id="132"/>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0"/>
        <w:jc w:val="left"/>
        <w:rPr>
          <w:b w:val="0"/>
          <w:bCs w:val="0"/>
        </w:rPr>
      </w:pPr>
      <w:bookmarkStart w:name="1、员工数量、专业构成及教育程度" w:id="133"/>
      <w:bookmarkEnd w:id="133"/>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568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342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910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910</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2</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229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553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56</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910</w:t>
            </w:r>
          </w:p>
        </w:tc>
      </w:tr>
      <w:tr>
        <w:trPr>
          <w:trHeight w:val="39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大学（含大专）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329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高中或中专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428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高中以下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910</w:t>
            </w:r>
          </w:p>
        </w:tc>
      </w:tr>
    </w:tbl>
    <w:p>
      <w:pPr>
        <w:spacing w:line="240" w:lineRule="auto" w:before="2"/>
        <w:rPr>
          <w:rFonts w:ascii="宋体" w:hAnsi="宋体" w:cs="宋体" w:eastAsia="宋体" w:hint="default"/>
          <w:b/>
          <w:bCs/>
          <w:sz w:val="19"/>
          <w:szCs w:val="19"/>
        </w:rPr>
      </w:pPr>
    </w:p>
    <w:p>
      <w:pPr>
        <w:pStyle w:val="Heading4"/>
        <w:spacing w:line="240" w:lineRule="auto" w:before="35"/>
        <w:ind w:right="940"/>
        <w:jc w:val="left"/>
        <w:rPr>
          <w:b w:val="0"/>
          <w:bCs w:val="0"/>
        </w:rPr>
      </w:pPr>
      <w:bookmarkStart w:name="2、薪酬政策" w:id="134"/>
      <w:bookmarkEnd w:id="134"/>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3"/>
        <w:rPr>
          <w:rFonts w:ascii="宋体" w:hAnsi="宋体" w:cs="宋体" w:eastAsia="宋体" w:hint="default"/>
          <w:b/>
          <w:bCs/>
          <w:sz w:val="28"/>
          <w:szCs w:val="28"/>
        </w:rPr>
      </w:pPr>
    </w:p>
    <w:p>
      <w:pPr>
        <w:pStyle w:val="BodyText"/>
        <w:spacing w:line="364" w:lineRule="auto"/>
        <w:ind w:right="1131" w:firstLine="360"/>
        <w:jc w:val="both"/>
      </w:pPr>
      <w:r>
        <w:rPr>
          <w:spacing w:val="-2"/>
        </w:rPr>
        <w:t>公司实行以绩效为导向的薪酬与绩效管理制度，为充分调动员工工作积极性、提升员工工作技能、增强员工凝聚力、向</w:t>
      </w:r>
      <w:r>
        <w:rPr/>
        <w:t> </w:t>
      </w:r>
      <w:r>
        <w:rPr>
          <w:spacing w:val="-2"/>
        </w:rPr>
        <w:t>心力，公司制定了《公司领导班子成员薪酬绩效考核实施细则》、《中层管理人员薪酬与绩效管理办法》、《员工薪酬与绩</w:t>
      </w:r>
      <w:r>
        <w:rPr>
          <w:spacing w:val="-67"/>
        </w:rPr>
        <w:t> </w:t>
      </w:r>
      <w:r>
        <w:rPr>
          <w:spacing w:val="-67"/>
        </w:rPr>
      </w:r>
      <w:r>
        <w:rPr>
          <w:spacing w:val="-2"/>
        </w:rPr>
        <w:t>效管理办法》，薪酬计发充分体现员工的岗位价值、技能水平。同时，依照政策为员工提供五险一金、带薪休假和培训、福</w:t>
      </w:r>
      <w:r>
        <w:rPr>
          <w:spacing w:val="-71"/>
        </w:rPr>
        <w:t> </w:t>
      </w:r>
      <w:r>
        <w:rPr>
          <w:spacing w:val="-71"/>
        </w:rPr>
      </w:r>
      <w:r>
        <w:rPr>
          <w:spacing w:val="-2"/>
        </w:rPr>
        <w:t>利用餐、住宿等待遇，并以行业市场为导向，结合地区差异和物价水平的变化，对不同岗位员工的薪酬标准进行了调整，使</w:t>
      </w:r>
      <w:r>
        <w:rPr>
          <w:spacing w:val="-66"/>
        </w:rPr>
        <w:t> </w:t>
      </w:r>
      <w:r>
        <w:rPr>
          <w:spacing w:val="-66"/>
        </w:rPr>
      </w:r>
      <w:r>
        <w:rPr/>
        <w:t>企业薪酬结构与体系更趋合理，进一步完善了企业积极型薪酬政策。</w:t>
      </w:r>
    </w:p>
    <w:p>
      <w:pPr>
        <w:pStyle w:val="BodyText"/>
        <w:spacing w:line="364" w:lineRule="auto" w:before="29"/>
        <w:ind w:right="1132" w:firstLine="360"/>
        <w:jc w:val="both"/>
      </w:pPr>
      <w:r>
        <w:rPr>
          <w:spacing w:val="-2"/>
        </w:rPr>
        <w:t>为建立和完善劳动者与所有者的利益共享机制，改善公司治理水平，提高员工的凝聚力和公司竞争力，吸引和保留优秀</w:t>
      </w:r>
      <w:r>
        <w:rPr/>
        <w:t> </w:t>
      </w:r>
      <w:r>
        <w:rPr>
          <w:spacing w:val="-2"/>
        </w:rPr>
        <w:t>人才，促进公司长期、持续、健康发展，促进公司、股东和员工三方的利益最大化。报告期内，公司实施了第一期员工持股</w:t>
      </w:r>
      <w:r>
        <w:rPr>
          <w:spacing w:val="-72"/>
        </w:rPr>
        <w:t> </w:t>
      </w:r>
      <w:r>
        <w:rPr>
          <w:spacing w:val="-72"/>
        </w:rPr>
      </w:r>
      <w:r>
        <w:rPr/>
        <w:t>计划，参与人数</w:t>
      </w:r>
      <w:r>
        <w:rPr>
          <w:rFonts w:ascii="宋体" w:hAnsi="宋体" w:cs="宋体" w:eastAsia="宋体" w:hint="default"/>
        </w:rPr>
        <w:t>91</w:t>
      </w:r>
      <w:r>
        <w:rPr/>
        <w:t>人，主要是公司中层以上管理人员及各岗位骨干员工，金额</w:t>
      </w:r>
      <w:r>
        <w:rPr>
          <w:rFonts w:ascii="宋体" w:hAnsi="宋体" w:cs="宋体" w:eastAsia="宋体" w:hint="default"/>
        </w:rPr>
        <w:t>1,750.00</w:t>
      </w:r>
      <w:r>
        <w:rPr/>
        <w:t>万元。</w:t>
      </w:r>
    </w:p>
    <w:p>
      <w:pPr>
        <w:spacing w:after="0" w:line="364" w:lineRule="auto"/>
        <w:jc w:val="both"/>
        <w:sectPr>
          <w:pgSz w:w="11910" w:h="16840"/>
          <w:pgMar w:header="0"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3、培训计划" w:id="135"/>
      <w:bookmarkEnd w:id="135"/>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3"/>
        <w:rPr>
          <w:rFonts w:ascii="宋体" w:hAnsi="宋体" w:cs="宋体" w:eastAsia="宋体" w:hint="default"/>
          <w:b/>
          <w:bCs/>
          <w:sz w:val="28"/>
          <w:szCs w:val="28"/>
        </w:rPr>
      </w:pPr>
    </w:p>
    <w:p>
      <w:pPr>
        <w:pStyle w:val="BodyText"/>
        <w:spacing w:line="364" w:lineRule="auto"/>
        <w:ind w:right="1131" w:firstLine="360"/>
        <w:jc w:val="both"/>
      </w:pPr>
      <w:r>
        <w:rPr>
          <w:spacing w:val="-2"/>
        </w:rPr>
        <w:t>公司一贯重视员工培训，认为培训是促进人才培养和绩效进步的重要途径，人力资源部按年度收集和分析管理需求、制</w:t>
      </w:r>
      <w:r>
        <w:rPr/>
        <w:t> </w:t>
      </w:r>
      <w:r>
        <w:rPr>
          <w:spacing w:val="-5"/>
        </w:rPr>
        <w:t>定和执行培训计划，从环境安全、管理改善、专业技术、企业文化、精益生产、特殊工种技能、新员工应知应会等多个维度，</w:t>
      </w:r>
      <w:r>
        <w:rPr>
          <w:spacing w:val="-81"/>
        </w:rPr>
        <w:t> </w:t>
      </w:r>
      <w:r>
        <w:rPr>
          <w:spacing w:val="-81"/>
        </w:rPr>
      </w:r>
      <w:r>
        <w:rPr>
          <w:spacing w:val="-5"/>
        </w:rPr>
        <w:t>合理筹划课程，多层次选择培训方式，以员工成长和企业发展并重为落脚点，推动员工自我提升与团队绩效改善的有机结合，</w:t>
      </w:r>
      <w:r>
        <w:rPr>
          <w:spacing w:val="-79"/>
        </w:rPr>
        <w:t> </w:t>
      </w:r>
      <w:r>
        <w:rPr>
          <w:spacing w:val="-79"/>
        </w:rPr>
      </w:r>
      <w:r>
        <w:rPr/>
        <w:t>有力地促进了各岗位工作绩效和企业经营业绩的同步提升。</w:t>
      </w:r>
    </w:p>
    <w:p>
      <w:pPr>
        <w:spacing w:line="240" w:lineRule="auto" w:before="8"/>
        <w:rPr>
          <w:rFonts w:ascii="宋体" w:hAnsi="宋体" w:cs="宋体" w:eastAsia="宋体" w:hint="default"/>
          <w:sz w:val="21"/>
          <w:szCs w:val="21"/>
        </w:rPr>
      </w:pPr>
    </w:p>
    <w:p>
      <w:pPr>
        <w:pStyle w:val="Heading4"/>
        <w:spacing w:line="240" w:lineRule="auto"/>
        <w:ind w:right="940"/>
        <w:jc w:val="left"/>
        <w:rPr>
          <w:b w:val="0"/>
          <w:bCs w:val="0"/>
        </w:rPr>
      </w:pPr>
      <w:bookmarkStart w:name="4、劳务外包情况" w:id="136"/>
      <w:bookmarkEnd w:id="136"/>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0"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49"/>
        <w:ind w:right="1018"/>
        <w:jc w:val="center"/>
        <w:rPr>
          <w:b w:val="0"/>
          <w:bCs w:val="0"/>
        </w:rPr>
      </w:pPr>
      <w:bookmarkStart w:name="第九节 公司治理" w:id="137"/>
      <w:bookmarkEnd w:id="137"/>
      <w:r>
        <w:rPr>
          <w:b w:val="0"/>
          <w:bCs w:val="0"/>
        </w:rPr>
      </w:r>
      <w:bookmarkStart w:name="_bookmark8" w:id="138"/>
      <w:bookmarkEnd w:id="138"/>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40"/>
        <w:jc w:val="left"/>
        <w:rPr>
          <w:b w:val="0"/>
          <w:bCs w:val="0"/>
        </w:rPr>
      </w:pPr>
      <w:bookmarkStart w:name="一、公司治理的基本状况" w:id="139"/>
      <w:bookmarkEnd w:id="139"/>
      <w:r>
        <w:rPr>
          <w:b w:val="0"/>
          <w:bCs w:val="0"/>
        </w:rPr>
      </w:r>
      <w:r>
        <w:rPr/>
        <w:t>一、公司治理的基本状况</w:t>
      </w:r>
      <w:r>
        <w:rPr>
          <w:b w:val="0"/>
          <w:bCs w:val="0"/>
        </w:rPr>
      </w:r>
    </w:p>
    <w:p>
      <w:pPr>
        <w:spacing w:line="240" w:lineRule="auto" w:before="3"/>
        <w:rPr>
          <w:rFonts w:ascii="宋体" w:hAnsi="宋体" w:cs="宋体" w:eastAsia="宋体" w:hint="default"/>
          <w:b/>
          <w:bCs/>
          <w:sz w:val="28"/>
          <w:szCs w:val="28"/>
        </w:rPr>
      </w:pPr>
    </w:p>
    <w:p>
      <w:pPr>
        <w:pStyle w:val="BodyText"/>
        <w:spacing w:line="364" w:lineRule="auto"/>
        <w:ind w:right="1132" w:firstLine="360"/>
        <w:jc w:val="both"/>
      </w:pPr>
      <w:r>
        <w:rPr>
          <w:spacing w:val="-2"/>
        </w:rPr>
        <w:t>报告期内，公司严格按照《公司法》、《证券法》、《上市公司治理准则》、《深圳证券交易所股票上市规则》、《深</w:t>
      </w:r>
      <w:r>
        <w:rPr/>
        <w:t> </w:t>
      </w:r>
      <w:r>
        <w:rPr>
          <w:spacing w:val="-2"/>
        </w:rPr>
        <w:t>圳证券交易所中小企业板上市公司规范运作指引》和中国证监会及深圳证券交易所其他有关法律法规的要求，不断完善公司</w:t>
      </w:r>
      <w:r>
        <w:rPr>
          <w:spacing w:val="-64"/>
        </w:rPr>
        <w:t> </w:t>
      </w:r>
      <w:r>
        <w:rPr>
          <w:spacing w:val="-64"/>
        </w:rPr>
      </w:r>
      <w:r>
        <w:rPr>
          <w:spacing w:val="-5"/>
        </w:rPr>
        <w:t>的法人治理结构，建立健全公司内控制度，股东大会、董事会和监事会运作规范，独立董事、董事会各专门委员会各司其职，</w:t>
      </w:r>
      <w:r>
        <w:rPr>
          <w:spacing w:val="-79"/>
        </w:rPr>
        <w:t> </w:t>
      </w:r>
      <w:r>
        <w:rPr>
          <w:spacing w:val="-79"/>
        </w:rPr>
      </w:r>
      <w:r>
        <w:rPr/>
        <w:t>不断加强公司管理，控制防范风险，规范公司运作，提高运行效率。</w:t>
      </w:r>
    </w:p>
    <w:p>
      <w:pPr>
        <w:pStyle w:val="BodyText"/>
        <w:spacing w:line="364" w:lineRule="auto" w:before="29"/>
        <w:ind w:left="514" w:right="1122" w:firstLine="1"/>
        <w:jc w:val="left"/>
      </w:pPr>
      <w:r>
        <w:rPr>
          <w:rFonts w:ascii="宋体" w:hAnsi="宋体" w:cs="宋体" w:eastAsia="宋体" w:hint="default"/>
          <w:b/>
          <w:bCs/>
        </w:rPr>
        <w:t>（一）关于股东与股东大会</w:t>
      </w:r>
      <w:r>
        <w:rPr>
          <w:rFonts w:ascii="宋体" w:hAnsi="宋体" w:cs="宋体" w:eastAsia="宋体" w:hint="default"/>
          <w:b/>
          <w:bCs/>
          <w:w w:val="99"/>
        </w:rPr>
        <w:t> </w:t>
      </w:r>
      <w:r>
        <w:rPr/>
        <w:t>报告期内，公司共召开</w:t>
      </w:r>
      <w:r>
        <w:rPr>
          <w:rFonts w:ascii="宋体" w:hAnsi="宋体" w:cs="宋体" w:eastAsia="宋体" w:hint="default"/>
        </w:rPr>
        <w:t>2</w:t>
      </w:r>
      <w:r>
        <w:rPr/>
        <w:t>次股东大会。股东大会的召集召开程序、提案审议程序、决策程序均符合相关规定，保证全体</w:t>
      </w:r>
    </w:p>
    <w:p>
      <w:pPr>
        <w:pStyle w:val="BodyText"/>
        <w:spacing w:line="364" w:lineRule="auto" w:before="29"/>
        <w:ind w:right="1131"/>
        <w:jc w:val="both"/>
      </w:pPr>
      <w:r>
        <w:rPr>
          <w:spacing w:val="-2"/>
        </w:rPr>
        <w:t>股东，尤其是中小股东能按其所持股份享有平等权利，并能充分行使其相应的权利。同时，公司严格执行《深圳证券交易所</w:t>
      </w:r>
      <w:r>
        <w:rPr>
          <w:spacing w:val="-66"/>
        </w:rPr>
        <w:t> </w:t>
      </w:r>
      <w:r>
        <w:rPr>
          <w:spacing w:val="-66"/>
        </w:rPr>
      </w:r>
      <w:r>
        <w:rPr>
          <w:spacing w:val="-2"/>
        </w:rPr>
        <w:t>上市公司股东大会网络投票实施细则》，保证了全体股东对公司重大事项的知情权、参与权及表决权，切实维护了全体股东</w:t>
      </w:r>
      <w:r>
        <w:rPr>
          <w:spacing w:val="-66"/>
        </w:rPr>
        <w:t> </w:t>
      </w:r>
      <w:r>
        <w:rPr>
          <w:spacing w:val="-66"/>
        </w:rPr>
      </w:r>
      <w:r>
        <w:rPr/>
        <w:t>的合法权益，尤其是中小投资者的权益。</w:t>
      </w:r>
    </w:p>
    <w:p>
      <w:pPr>
        <w:spacing w:line="364" w:lineRule="auto" w:before="29"/>
        <w:ind w:left="514" w:right="940" w:firstLine="1"/>
        <w:jc w:val="left"/>
        <w:rPr>
          <w:rFonts w:ascii="宋体" w:hAnsi="宋体" w:cs="宋体" w:eastAsia="宋体" w:hint="default"/>
          <w:sz w:val="18"/>
          <w:szCs w:val="18"/>
        </w:rPr>
      </w:pPr>
      <w:r>
        <w:rPr>
          <w:rFonts w:ascii="宋体" w:hAnsi="宋体" w:cs="宋体" w:eastAsia="宋体" w:hint="default"/>
          <w:b/>
          <w:bCs/>
          <w:sz w:val="18"/>
          <w:szCs w:val="18"/>
        </w:rPr>
        <w:t>（二）关于控股股东与公司的关系</w:t>
      </w:r>
      <w:r>
        <w:rPr>
          <w:rFonts w:ascii="宋体" w:hAnsi="宋体" w:cs="宋体" w:eastAsia="宋体" w:hint="default"/>
          <w:b/>
          <w:bCs/>
          <w:w w:val="99"/>
          <w:sz w:val="18"/>
          <w:szCs w:val="18"/>
        </w:rPr>
        <w:t> </w:t>
      </w:r>
      <w:r>
        <w:rPr>
          <w:rFonts w:ascii="宋体" w:hAnsi="宋体" w:cs="宋体" w:eastAsia="宋体" w:hint="default"/>
          <w:spacing w:val="-2"/>
          <w:sz w:val="18"/>
          <w:szCs w:val="18"/>
        </w:rPr>
        <w:t>公司拥有独立的业务和经营自主能力，在业务、人员、资产、机构、财务等方面与控股股东做到“五独立”。公司董事</w:t>
      </w:r>
    </w:p>
    <w:p>
      <w:pPr>
        <w:pStyle w:val="BodyText"/>
        <w:spacing w:line="364" w:lineRule="auto" w:before="29"/>
        <w:ind w:right="940"/>
        <w:jc w:val="left"/>
      </w:pPr>
      <w:r>
        <w:rPr>
          <w:spacing w:val="-2"/>
        </w:rPr>
        <w:t>会、监事会和内部机构能够独立运作。报告期内，公司与控股股东及其他关联方不存在非经营性资金往来的情况，亦不存在</w:t>
      </w:r>
      <w:r>
        <w:rPr>
          <w:spacing w:val="-66"/>
        </w:rPr>
        <w:t> </w:t>
      </w:r>
      <w:r>
        <w:rPr>
          <w:spacing w:val="-66"/>
        </w:rPr>
      </w:r>
      <w:r>
        <w:rPr/>
        <w:t>控股股东及其他关联方以其他方式变相资金占用的情形。</w:t>
      </w:r>
    </w:p>
    <w:p>
      <w:pPr>
        <w:pStyle w:val="BodyText"/>
        <w:spacing w:line="364" w:lineRule="auto" w:before="30"/>
        <w:ind w:left="514" w:right="940" w:firstLine="1"/>
        <w:jc w:val="left"/>
      </w:pPr>
      <w:r>
        <w:rPr>
          <w:rFonts w:ascii="宋体" w:hAnsi="宋体" w:cs="宋体" w:eastAsia="宋体" w:hint="default"/>
          <w:b/>
          <w:bCs/>
        </w:rPr>
        <w:t>（三）关于董事与董事会</w:t>
      </w:r>
      <w:r>
        <w:rPr>
          <w:rFonts w:ascii="宋体" w:hAnsi="宋体" w:cs="宋体" w:eastAsia="宋体" w:hint="default"/>
          <w:b/>
          <w:bCs/>
          <w:w w:val="99"/>
        </w:rPr>
        <w:t> </w:t>
      </w:r>
      <w:r>
        <w:rPr>
          <w:spacing w:val="-4"/>
        </w:rPr>
        <w:t>报告期内，公司共召开</w:t>
      </w:r>
      <w:r>
        <w:rPr>
          <w:rFonts w:ascii="宋体" w:hAnsi="宋体" w:cs="宋体" w:eastAsia="宋体" w:hint="default"/>
          <w:spacing w:val="-4"/>
        </w:rPr>
        <w:t>8</w:t>
      </w:r>
      <w:r>
        <w:rPr>
          <w:spacing w:val="-4"/>
        </w:rPr>
        <w:t>次董事会会议。公司董事会人数和人员结构符合有关法律法规的要求。公司董事会能够按照《公</w:t>
      </w:r>
    </w:p>
    <w:p>
      <w:pPr>
        <w:pStyle w:val="BodyText"/>
        <w:spacing w:line="364" w:lineRule="auto" w:before="29"/>
        <w:ind w:right="1032"/>
        <w:jc w:val="left"/>
      </w:pPr>
      <w:r>
        <w:rPr>
          <w:spacing w:val="-2"/>
        </w:rPr>
        <w:t>司法》等法律法规及《公司章程》、《董事会议事规则》等内控制度的要求召集、召开董事会。公司全体董事均能认真履行</w:t>
      </w:r>
      <w:r>
        <w:rPr>
          <w:spacing w:val="-67"/>
        </w:rPr>
        <w:t> </w:t>
      </w:r>
      <w:r>
        <w:rPr>
          <w:spacing w:val="-67"/>
        </w:rPr>
      </w:r>
      <w:r>
        <w:rPr/>
        <w:t>董事职责，诚实守信、勤勉尽责。公司独立董事独立履行职责，维护公司整体利益，尤其关注中小股东合法权益不受侵害，</w:t>
      </w:r>
      <w:r>
        <w:rPr>
          <w:spacing w:val="-85"/>
        </w:rPr>
        <w:t> </w:t>
      </w:r>
      <w:r>
        <w:rPr>
          <w:spacing w:val="-85"/>
        </w:rPr>
      </w:r>
      <w:r>
        <w:rPr/>
        <w:t>对重大及重要事项发表独立意见。</w:t>
      </w:r>
    </w:p>
    <w:p>
      <w:pPr>
        <w:pStyle w:val="BodyText"/>
        <w:spacing w:line="364" w:lineRule="auto" w:before="29"/>
        <w:ind w:left="514" w:right="1122" w:firstLine="1"/>
        <w:jc w:val="left"/>
      </w:pPr>
      <w:r>
        <w:rPr>
          <w:rFonts w:ascii="宋体" w:hAnsi="宋体" w:cs="宋体" w:eastAsia="宋体" w:hint="default"/>
          <w:b/>
          <w:bCs/>
        </w:rPr>
        <w:t>（四）关于监事和监事会</w:t>
      </w:r>
      <w:r>
        <w:rPr>
          <w:rFonts w:ascii="宋体" w:hAnsi="宋体" w:cs="宋体" w:eastAsia="宋体" w:hint="default"/>
          <w:b/>
          <w:bCs/>
          <w:w w:val="99"/>
        </w:rPr>
        <w:t> </w:t>
      </w:r>
      <w:r>
        <w:rPr/>
        <w:t>报告期内，公司共召开</w:t>
      </w:r>
      <w:r>
        <w:rPr>
          <w:rFonts w:ascii="宋体" w:hAnsi="宋体" w:cs="宋体" w:eastAsia="宋体" w:hint="default"/>
        </w:rPr>
        <w:t>5</w:t>
      </w:r>
      <w:r>
        <w:rPr/>
        <w:t>次监事会会议。公司监事会人数和人员结构符合有关法律法规的要求，公司全体监事严格按照</w:t>
      </w:r>
    </w:p>
    <w:p>
      <w:pPr>
        <w:pStyle w:val="BodyText"/>
        <w:spacing w:line="364" w:lineRule="auto" w:before="29"/>
        <w:ind w:right="940"/>
        <w:jc w:val="left"/>
      </w:pPr>
      <w:r>
        <w:rPr>
          <w:spacing w:val="-2"/>
        </w:rPr>
        <w:t>《公司法》、《监事会议事规则》以及《公司章程》的相关规定，规范监事会的召集、召开和表决。公司监事在日常工作中</w:t>
      </w:r>
      <w:r>
        <w:rPr>
          <w:spacing w:val="-68"/>
        </w:rPr>
        <w:t> </w:t>
      </w:r>
      <w:r>
        <w:rPr>
          <w:spacing w:val="-68"/>
        </w:rPr>
      </w:r>
      <w:r>
        <w:rPr/>
        <w:t>本着对股东负责的态度，勤勉尽责的履行监督职责，对公司的财务和公司董事、高级管理人员履行职责情况进行监督。</w:t>
      </w:r>
    </w:p>
    <w:p>
      <w:pPr>
        <w:pStyle w:val="BodyText"/>
        <w:spacing w:line="364" w:lineRule="auto" w:before="29"/>
        <w:ind w:left="514" w:right="940" w:firstLine="1"/>
        <w:jc w:val="left"/>
      </w:pPr>
      <w:r>
        <w:rPr>
          <w:rFonts w:ascii="宋体" w:hAnsi="宋体" w:cs="宋体" w:eastAsia="宋体" w:hint="default"/>
          <w:b/>
          <w:bCs/>
        </w:rPr>
        <w:t>（五）关于利益相关者</w:t>
      </w:r>
      <w:r>
        <w:rPr>
          <w:rFonts w:ascii="宋体" w:hAnsi="宋体" w:cs="宋体" w:eastAsia="宋体" w:hint="default"/>
          <w:b/>
          <w:bCs/>
          <w:w w:val="99"/>
        </w:rPr>
        <w:t> </w:t>
      </w:r>
      <w:r>
        <w:rPr>
          <w:spacing w:val="-2"/>
        </w:rPr>
        <w:t>公司能够充分尊重和维护相关利益者的合法权益，加强与各方的沟通、交流和合作，实现股东、员工、社会等各方利益</w:t>
      </w:r>
    </w:p>
    <w:p>
      <w:pPr>
        <w:pStyle w:val="BodyText"/>
        <w:spacing w:line="240" w:lineRule="auto" w:before="29"/>
        <w:ind w:right="940"/>
        <w:jc w:val="left"/>
      </w:pPr>
      <w:r>
        <w:rPr/>
        <w:t>的协调平衡，共同推动公司持续、稳定、健康地发展。</w:t>
      </w:r>
    </w:p>
    <w:p>
      <w:pPr>
        <w:spacing w:line="364" w:lineRule="auto" w:before="123"/>
        <w:ind w:left="514" w:right="1032" w:firstLine="1"/>
        <w:jc w:val="left"/>
        <w:rPr>
          <w:rFonts w:ascii="宋体" w:hAnsi="宋体" w:cs="宋体" w:eastAsia="宋体" w:hint="default"/>
          <w:sz w:val="18"/>
          <w:szCs w:val="18"/>
        </w:rPr>
      </w:pPr>
      <w:r>
        <w:rPr>
          <w:rFonts w:ascii="宋体" w:hAnsi="宋体" w:cs="宋体" w:eastAsia="宋体" w:hint="default"/>
          <w:b/>
          <w:bCs/>
          <w:sz w:val="18"/>
          <w:szCs w:val="18"/>
        </w:rPr>
        <w:t>（六）关于信息披露与透明度</w:t>
      </w:r>
      <w:r>
        <w:rPr>
          <w:rFonts w:ascii="宋体" w:hAnsi="宋体" w:cs="宋体" w:eastAsia="宋体" w:hint="default"/>
          <w:b/>
          <w:bCs/>
          <w:w w:val="99"/>
          <w:sz w:val="18"/>
          <w:szCs w:val="18"/>
        </w:rPr>
        <w:t> </w:t>
      </w:r>
      <w:r>
        <w:rPr>
          <w:rFonts w:ascii="宋体" w:hAnsi="宋体" w:cs="宋体" w:eastAsia="宋体" w:hint="default"/>
          <w:sz w:val="18"/>
          <w:szCs w:val="18"/>
        </w:rPr>
        <w:t>报告期内，公司严格按照有关法律法规的要求，公平对待所有股东，真实、准确、完整、及时地向股东提供相关信息，</w:t>
      </w:r>
    </w:p>
    <w:p>
      <w:pPr>
        <w:pStyle w:val="BodyText"/>
        <w:spacing w:line="240" w:lineRule="auto" w:before="29"/>
        <w:ind w:right="940"/>
        <w:jc w:val="left"/>
      </w:pPr>
      <w:r>
        <w:rPr/>
        <w:t>提高公司透明度，保障全体股东的合法权益。</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BodyText"/>
        <w:spacing w:line="240" w:lineRule="auto"/>
        <w:ind w:right="940"/>
        <w:jc w:val="left"/>
      </w:pPr>
      <w:r>
        <w:rPr/>
        <w:t>公司治理的实际状况与中国证监会发布的有关上市公司治理的规范性文件是否存在重大差异</w:t>
      </w:r>
    </w:p>
    <w:p>
      <w:pPr>
        <w:pStyle w:val="BodyText"/>
        <w:spacing w:line="338" w:lineRule="auto" w:before="117"/>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after="0" w:line="338" w:lineRule="auto"/>
        <w:jc w:val="left"/>
        <w:sectPr>
          <w:pgSz w:w="11910" w:h="16840"/>
          <w:pgMar w:header="0" w:footer="979" w:top="1500" w:bottom="1160" w:left="980" w:right="0"/>
        </w:sectPr>
      </w:pPr>
    </w:p>
    <w:p>
      <w:pPr>
        <w:pStyle w:val="Heading2"/>
        <w:spacing w:line="240" w:lineRule="auto" w:before="15"/>
        <w:ind w:left="374" w:right="0"/>
        <w:jc w:val="both"/>
        <w:rPr>
          <w:b w:val="0"/>
          <w:bCs w:val="0"/>
        </w:rPr>
      </w:pPr>
      <w:r>
        <w:rPr/>
        <w:pict>
          <v:group style="position:absolute;margin-left:55.200001pt;margin-top:2.225632pt;width:485pt;height:.1pt;mso-position-horizontal-relative:page;mso-position-vertical-relative:paragraph;z-index:-800224" coordorigin="1104,45" coordsize="9700,2">
            <v:shape style="position:absolute;left:1104;top:45;width:9700;height:2" coordorigin="1104,45" coordsize="9700,0" path="m1104,45l10804,45e" filled="false" stroked="true" strokeweight=".72pt" strokecolor="#000000">
              <v:path arrowok="t"/>
            </v:shape>
            <w10:wrap type="none"/>
          </v:group>
        </w:pict>
      </w:r>
      <w:bookmarkStart w:name="二、公司相对于控股股东在业务、人员、资产、机构、财务等方面的独立情况" w:id="140"/>
      <w:bookmarkEnd w:id="140"/>
      <w:r>
        <w:rPr>
          <w:b w:val="0"/>
          <w:bCs w:val="0"/>
        </w:rPr>
      </w:r>
      <w:r>
        <w:rPr/>
        <w:t>二、公司相对于控股股东在业务、人员、资产、机构、财务等方面的独立情况</w:t>
      </w:r>
      <w:r>
        <w:rPr>
          <w:b w:val="0"/>
          <w:bCs w:val="0"/>
        </w:rPr>
      </w:r>
    </w:p>
    <w:p>
      <w:pPr>
        <w:spacing w:line="240" w:lineRule="auto" w:before="3"/>
        <w:rPr>
          <w:rFonts w:ascii="宋体" w:hAnsi="宋体" w:cs="宋体" w:eastAsia="宋体" w:hint="default"/>
          <w:b/>
          <w:bCs/>
          <w:sz w:val="28"/>
          <w:szCs w:val="28"/>
        </w:rPr>
      </w:pPr>
    </w:p>
    <w:p>
      <w:pPr>
        <w:pStyle w:val="BodyText"/>
        <w:spacing w:line="364" w:lineRule="auto"/>
        <w:ind w:left="374" w:right="1032" w:firstLine="360"/>
        <w:jc w:val="left"/>
      </w:pPr>
      <w:r>
        <w:rPr>
          <w:spacing w:val="-2"/>
        </w:rPr>
        <w:t>报告期内，公司在业务、人员、资产、机构、财务等方面均与控股股东保持独立，不存在不能保证独立性或不能保持自</w:t>
      </w:r>
      <w:r>
        <w:rPr/>
        <w:t> 主经营能力的情况。</w:t>
      </w:r>
    </w:p>
    <w:p>
      <w:pPr>
        <w:pStyle w:val="BodyText"/>
        <w:spacing w:line="364" w:lineRule="auto" w:before="30"/>
        <w:ind w:left="734" w:right="1032" w:firstLine="1"/>
        <w:jc w:val="left"/>
      </w:pPr>
      <w:r>
        <w:rPr>
          <w:rFonts w:ascii="宋体" w:hAnsi="宋体" w:cs="宋体" w:eastAsia="宋体" w:hint="default"/>
          <w:b/>
          <w:bCs/>
        </w:rPr>
        <w:t>（一）业务独立情况</w:t>
      </w:r>
      <w:r>
        <w:rPr>
          <w:rFonts w:ascii="宋体" w:hAnsi="宋体" w:cs="宋体" w:eastAsia="宋体" w:hint="default"/>
          <w:b/>
          <w:bCs/>
          <w:w w:val="99"/>
        </w:rPr>
        <w:t> </w:t>
      </w:r>
      <w:r>
        <w:rPr>
          <w:spacing w:val="-2"/>
        </w:rPr>
        <w:t>公司具备独立完整的业务，拥有独立的经营场所，独立对外签订合同，开展业务，不存在对股东单位及其他关联方的业</w:t>
      </w:r>
    </w:p>
    <w:p>
      <w:pPr>
        <w:pStyle w:val="BodyText"/>
        <w:spacing w:line="240" w:lineRule="auto" w:before="29"/>
        <w:ind w:left="374" w:right="0"/>
        <w:jc w:val="both"/>
      </w:pPr>
      <w:r>
        <w:rPr/>
        <w:t>务依赖。本公司控股股东和实际控制人均出具了避免同业竞争的承诺函。</w:t>
      </w:r>
    </w:p>
    <w:p>
      <w:pPr>
        <w:pStyle w:val="BodyText"/>
        <w:spacing w:line="364" w:lineRule="auto" w:before="123"/>
        <w:ind w:left="734" w:right="1032" w:firstLine="1"/>
        <w:jc w:val="left"/>
      </w:pPr>
      <w:r>
        <w:rPr>
          <w:rFonts w:ascii="宋体" w:hAnsi="宋体" w:cs="宋体" w:eastAsia="宋体" w:hint="default"/>
          <w:b/>
          <w:bCs/>
        </w:rPr>
        <w:t>（二）资产完整情况</w:t>
      </w:r>
      <w:r>
        <w:rPr>
          <w:rFonts w:ascii="宋体" w:hAnsi="宋体" w:cs="宋体" w:eastAsia="宋体" w:hint="default"/>
          <w:b/>
          <w:bCs/>
          <w:w w:val="99"/>
        </w:rPr>
        <w:t> </w:t>
      </w:r>
      <w:r>
        <w:rPr>
          <w:spacing w:val="-2"/>
        </w:rPr>
        <w:t>公司拥有独立完整的房屋、土地、配套设施等经营性资产以及商标。公司对所有资产拥有完全的控制和支配权，报告期</w:t>
      </w:r>
    </w:p>
    <w:p>
      <w:pPr>
        <w:pStyle w:val="BodyText"/>
        <w:spacing w:line="240" w:lineRule="auto" w:before="29"/>
        <w:ind w:left="374" w:right="0"/>
        <w:jc w:val="both"/>
      </w:pPr>
      <w:r>
        <w:rPr/>
        <w:t>内，不存在资产、资金被股东占用而损害公司利益的情况。</w:t>
      </w:r>
    </w:p>
    <w:p>
      <w:pPr>
        <w:pStyle w:val="BodyText"/>
        <w:spacing w:line="364" w:lineRule="auto" w:before="123"/>
        <w:ind w:left="734" w:right="1032" w:firstLine="1"/>
        <w:jc w:val="left"/>
      </w:pPr>
      <w:r>
        <w:rPr>
          <w:rFonts w:ascii="宋体" w:hAnsi="宋体" w:cs="宋体" w:eastAsia="宋体" w:hint="default"/>
          <w:b/>
          <w:bCs/>
        </w:rPr>
        <w:t>（三）人员独立情况</w:t>
      </w:r>
      <w:r>
        <w:rPr>
          <w:rFonts w:ascii="宋体" w:hAnsi="宋体" w:cs="宋体" w:eastAsia="宋体" w:hint="default"/>
          <w:b/>
          <w:bCs/>
          <w:w w:val="99"/>
        </w:rPr>
        <w:t> </w:t>
      </w:r>
      <w:r>
        <w:rPr>
          <w:spacing w:val="-2"/>
        </w:rPr>
        <w:t>公司设立了人力资源部门，有独立且完整的包括人事、劳动关系、培训、招聘、薪酬及绩效考核等在内的人力体系管理</w:t>
      </w:r>
    </w:p>
    <w:p>
      <w:pPr>
        <w:pStyle w:val="BodyText"/>
        <w:spacing w:line="364" w:lineRule="auto" w:before="29"/>
        <w:ind w:left="374" w:right="1133"/>
        <w:jc w:val="both"/>
      </w:pPr>
      <w:r>
        <w:rPr>
          <w:spacing w:val="-2"/>
        </w:rPr>
        <w:t>模块，完全独立于公司股东。公司董事、监事及高级管理人员的选任均严格按照《公司法》、《公司章程》及其他相关法律</w:t>
      </w:r>
      <w:r>
        <w:rPr>
          <w:spacing w:val="-67"/>
        </w:rPr>
        <w:t> </w:t>
      </w:r>
      <w:r>
        <w:rPr>
          <w:spacing w:val="-67"/>
        </w:rPr>
      </w:r>
      <w:r>
        <w:rPr>
          <w:spacing w:val="-2"/>
        </w:rPr>
        <w:t>法规规定的程序，不存在超越公司股东大会和董事会的人事任免决定。公司总经理、副总经理、财务负责人、董事会秘书等</w:t>
      </w:r>
      <w:r>
        <w:rPr>
          <w:spacing w:val="-66"/>
        </w:rPr>
        <w:t> </w:t>
      </w:r>
      <w:r>
        <w:rPr>
          <w:spacing w:val="-66"/>
        </w:rPr>
      </w:r>
      <w:r>
        <w:rPr/>
        <w:t>高级管理人员和核心技术人员均没有在与本公司业务相同或相近的其他企业任职。</w:t>
      </w:r>
    </w:p>
    <w:p>
      <w:pPr>
        <w:pStyle w:val="BodyText"/>
        <w:spacing w:line="364" w:lineRule="auto" w:before="29"/>
        <w:ind w:left="734" w:right="1032" w:firstLine="1"/>
        <w:jc w:val="left"/>
      </w:pPr>
      <w:r>
        <w:rPr>
          <w:rFonts w:ascii="宋体" w:hAnsi="宋体" w:cs="宋体" w:eastAsia="宋体" w:hint="default"/>
          <w:b/>
          <w:bCs/>
        </w:rPr>
        <w:t>（四）机构独立情况</w:t>
      </w:r>
      <w:r>
        <w:rPr>
          <w:rFonts w:ascii="宋体" w:hAnsi="宋体" w:cs="宋体" w:eastAsia="宋体" w:hint="default"/>
          <w:b/>
          <w:bCs/>
          <w:w w:val="99"/>
        </w:rPr>
        <w:t> </w:t>
      </w:r>
      <w:r>
        <w:rPr>
          <w:spacing w:val="-2"/>
        </w:rPr>
        <w:t>公司机构设置方案不存在受控股股东及其他任何单位或个人干预的情形。公司按照《公司法》的要求，建立健全了股东</w:t>
      </w:r>
    </w:p>
    <w:p>
      <w:pPr>
        <w:pStyle w:val="BodyText"/>
        <w:spacing w:line="364" w:lineRule="auto" w:before="29"/>
        <w:ind w:left="374" w:right="1032"/>
        <w:jc w:val="left"/>
      </w:pPr>
      <w:r>
        <w:rPr>
          <w:spacing w:val="-2"/>
        </w:rPr>
        <w:t>大会、董事会、监事会和经营管理层的组织结构体系，与关联企业在机构上完全独立。股东依照《公司法》和公司章程的规</w:t>
      </w:r>
      <w:r>
        <w:rPr>
          <w:spacing w:val="-68"/>
        </w:rPr>
        <w:t> </w:t>
      </w:r>
      <w:r>
        <w:rPr>
          <w:spacing w:val="-68"/>
        </w:rPr>
      </w:r>
      <w:r>
        <w:rPr/>
        <w:t>定提名董事、监事参与公司的管理，并不直接干预公司的生产经营活动。</w:t>
      </w:r>
    </w:p>
    <w:p>
      <w:pPr>
        <w:pStyle w:val="BodyText"/>
        <w:spacing w:line="364" w:lineRule="auto" w:before="30"/>
        <w:ind w:left="734" w:right="1032" w:firstLine="1"/>
        <w:jc w:val="left"/>
      </w:pPr>
      <w:r>
        <w:rPr>
          <w:rFonts w:ascii="宋体" w:hAnsi="宋体" w:cs="宋体" w:eastAsia="宋体" w:hint="default"/>
          <w:b/>
          <w:bCs/>
        </w:rPr>
        <w:t>（五）财务独立情况</w:t>
      </w:r>
      <w:r>
        <w:rPr>
          <w:rFonts w:ascii="宋体" w:hAnsi="宋体" w:cs="宋体" w:eastAsia="宋体" w:hint="default"/>
          <w:b/>
          <w:bCs/>
          <w:w w:val="99"/>
        </w:rPr>
        <w:t> </w:t>
      </w:r>
      <w:r>
        <w:rPr>
          <w:spacing w:val="-2"/>
        </w:rPr>
        <w:t>公司开设了独立的银行账户。公司作为独立的纳税人，依法独立纳税。公司设有独立的财务会计部门，制定了《财务管</w:t>
      </w:r>
    </w:p>
    <w:p>
      <w:pPr>
        <w:pStyle w:val="BodyText"/>
        <w:spacing w:line="240" w:lineRule="auto" w:before="29"/>
        <w:ind w:left="374" w:right="0"/>
        <w:jc w:val="both"/>
      </w:pPr>
      <w:r>
        <w:rPr>
          <w:spacing w:val="-5"/>
        </w:rPr>
        <w:t>理制度》等规章制度，建立了独立的财务核算体系及规范、独立的财务会计制度，独立进行财务决策，财务人员无兼职情况。</w:t>
      </w:r>
    </w:p>
    <w:p>
      <w:pPr>
        <w:spacing w:line="240" w:lineRule="auto" w:before="13"/>
        <w:rPr>
          <w:rFonts w:ascii="宋体" w:hAnsi="宋体" w:cs="宋体" w:eastAsia="宋体" w:hint="default"/>
          <w:sz w:val="26"/>
          <w:szCs w:val="26"/>
        </w:rPr>
      </w:pPr>
    </w:p>
    <w:p>
      <w:pPr>
        <w:pStyle w:val="Heading2"/>
        <w:spacing w:line="240" w:lineRule="auto"/>
        <w:ind w:left="374" w:right="0"/>
        <w:jc w:val="both"/>
        <w:rPr>
          <w:b w:val="0"/>
          <w:bCs w:val="0"/>
        </w:rPr>
      </w:pPr>
      <w:bookmarkStart w:name="三、同业竞争情况" w:id="141"/>
      <w:bookmarkEnd w:id="141"/>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7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2"/>
        <w:spacing w:line="240" w:lineRule="auto"/>
        <w:ind w:left="374" w:right="0"/>
        <w:jc w:val="both"/>
        <w:rPr>
          <w:b w:val="0"/>
          <w:bCs w:val="0"/>
        </w:rPr>
      </w:pPr>
      <w:bookmarkStart w:name="四、报告期内召开的年度股东大会和临时股东大会的有关情况" w:id="142"/>
      <w:bookmarkEnd w:id="142"/>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374" w:right="0"/>
        <w:jc w:val="both"/>
        <w:rPr>
          <w:b w:val="0"/>
          <w:bCs w:val="0"/>
        </w:rPr>
      </w:pPr>
      <w:bookmarkStart w:name="1、本报告期股东大会情况" w:id="143"/>
      <w:bookmarkEnd w:id="143"/>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2" w:type="dxa"/>
        <w:tblLayout w:type="fixed"/>
        <w:tblCellMar>
          <w:top w:w="0" w:type="dxa"/>
          <w:left w:w="0" w:type="dxa"/>
          <w:bottom w:w="0" w:type="dxa"/>
          <w:right w:w="0" w:type="dxa"/>
        </w:tblCellMar>
        <w:tblLook w:val="01E0"/>
      </w:tblPr>
      <w:tblGrid>
        <w:gridCol w:w="1702"/>
        <w:gridCol w:w="1489"/>
        <w:gridCol w:w="1594"/>
        <w:gridCol w:w="1594"/>
        <w:gridCol w:w="1595"/>
        <w:gridCol w:w="2197"/>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年年度股东大会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37"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http://www.cninfo.com.cn/</w:t>
              </w:r>
            </w:hyperlink>
          </w:p>
          <w:p>
            <w:pPr>
              <w:pStyle w:val="TableParagraph"/>
              <w:spacing w:line="309" w:lineRule="auto" w:before="63"/>
              <w:ind w:left="58" w:right="56"/>
              <w:jc w:val="both"/>
              <w:rPr>
                <w:rFonts w:ascii="宋体" w:hAnsi="宋体" w:cs="宋体" w:eastAsia="宋体" w:hint="default"/>
                <w:sz w:val="18"/>
                <w:szCs w:val="18"/>
              </w:rPr>
            </w:pPr>
            <w:r>
              <w:rPr>
                <w:rFonts w:ascii="宋体" w:hAnsi="宋体" w:cs="宋体" w:eastAsia="宋体" w:hint="default"/>
                <w:spacing w:val="-8"/>
                <w:sz w:val="18"/>
                <w:szCs w:val="18"/>
              </w:rPr>
              <w:t>）《西安环球印务股份有限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年度股东大 </w:t>
            </w:r>
            <w:r>
              <w:rPr>
                <w:rFonts w:ascii="宋体" w:hAnsi="宋体" w:cs="宋体" w:eastAsia="宋体" w:hint="default"/>
                <w:spacing w:val="-6"/>
                <w:sz w:val="18"/>
                <w:szCs w:val="18"/>
              </w:rPr>
              <w:t>会决议公告》（</w:t>
            </w:r>
            <w:r>
              <w:rPr>
                <w:rFonts w:ascii="Times New Roman" w:hAnsi="Times New Roman" w:cs="Times New Roman" w:eastAsia="Times New Roman" w:hint="default"/>
                <w:spacing w:val="-6"/>
                <w:sz w:val="18"/>
                <w:szCs w:val="18"/>
              </w:rPr>
              <w:t>2018-043</w:t>
            </w:r>
            <w:r>
              <w:rPr>
                <w:rFonts w:ascii="宋体" w:hAnsi="宋体" w:cs="宋体" w:eastAsia="宋体" w:hint="default"/>
                <w:spacing w:val="-6"/>
                <w:sz w:val="18"/>
                <w:szCs w:val="18"/>
              </w:rPr>
              <w:t>）</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576" w:right="21" w:hanging="55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年第一次临时股 东大会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http://www.cninfo.com.cn/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500" w:bottom="1160" w:left="760" w:right="0"/>
        </w:sectPr>
      </w:pPr>
    </w:p>
    <w:p>
      <w:pPr>
        <w:spacing w:line="240" w:lineRule="auto" w:before="7"/>
        <w:rPr>
          <w:rFonts w:ascii="宋体" w:hAnsi="宋体" w:cs="宋体" w:eastAsia="宋体" w:hint="default"/>
          <w:b/>
          <w:bCs/>
          <w:sz w:val="2"/>
          <w:szCs w:val="2"/>
        </w:rPr>
      </w:pPr>
    </w:p>
    <w:tbl>
      <w:tblPr>
        <w:tblW w:w="0" w:type="auto"/>
        <w:jc w:val="left"/>
        <w:tblInd w:w="102" w:type="dxa"/>
        <w:tblLayout w:type="fixed"/>
        <w:tblCellMar>
          <w:top w:w="0" w:type="dxa"/>
          <w:left w:w="0" w:type="dxa"/>
          <w:bottom w:w="0" w:type="dxa"/>
          <w:right w:w="0" w:type="dxa"/>
        </w:tblCellMar>
        <w:tblLook w:val="01E0"/>
      </w:tblPr>
      <w:tblGrid>
        <w:gridCol w:w="1702"/>
        <w:gridCol w:w="1489"/>
        <w:gridCol w:w="1594"/>
        <w:gridCol w:w="1594"/>
        <w:gridCol w:w="1595"/>
        <w:gridCol w:w="2197"/>
      </w:tblGrid>
      <w:tr>
        <w:trPr>
          <w:trHeight w:val="1311" w:hRule="exact"/>
        </w:trPr>
        <w:tc>
          <w:tcPr>
            <w:tcW w:w="1702" w:type="dxa"/>
            <w:tcBorders>
              <w:top w:val="single" w:sz="10" w:space="0" w:color="000000"/>
              <w:left w:val="single" w:sz="4" w:space="0" w:color="000000"/>
              <w:bottom w:val="single" w:sz="4" w:space="0" w:color="000000"/>
              <w:right w:val="single" w:sz="4" w:space="0" w:color="000000"/>
            </w:tcBorders>
          </w:tcPr>
          <w:p>
            <w:pPr/>
          </w:p>
        </w:tc>
        <w:tc>
          <w:tcPr>
            <w:tcW w:w="1489" w:type="dxa"/>
            <w:tcBorders>
              <w:top w:val="single" w:sz="10" w:space="0" w:color="000000"/>
              <w:left w:val="single" w:sz="4" w:space="0" w:color="000000"/>
              <w:bottom w:val="single" w:sz="4" w:space="0" w:color="000000"/>
              <w:right w:val="single" w:sz="4" w:space="0" w:color="000000"/>
            </w:tcBorders>
          </w:tcPr>
          <w:p>
            <w:pPr/>
          </w:p>
        </w:tc>
        <w:tc>
          <w:tcPr>
            <w:tcW w:w="1594" w:type="dxa"/>
            <w:tcBorders>
              <w:top w:val="single" w:sz="10" w:space="0" w:color="000000"/>
              <w:left w:val="single" w:sz="4" w:space="0" w:color="000000"/>
              <w:bottom w:val="single" w:sz="4" w:space="0" w:color="000000"/>
              <w:right w:val="single" w:sz="4" w:space="0" w:color="000000"/>
            </w:tcBorders>
          </w:tcPr>
          <w:p>
            <w:pPr/>
          </w:p>
        </w:tc>
        <w:tc>
          <w:tcPr>
            <w:tcW w:w="1594" w:type="dxa"/>
            <w:tcBorders>
              <w:top w:val="single" w:sz="10" w:space="0" w:color="000000"/>
              <w:left w:val="single" w:sz="4" w:space="0" w:color="000000"/>
              <w:bottom w:val="single" w:sz="4" w:space="0" w:color="000000"/>
              <w:right w:val="single" w:sz="4" w:space="0" w:color="000000"/>
            </w:tcBorders>
          </w:tcPr>
          <w:p>
            <w:pPr/>
          </w:p>
        </w:tc>
        <w:tc>
          <w:tcPr>
            <w:tcW w:w="1595" w:type="dxa"/>
            <w:tcBorders>
              <w:top w:val="single" w:sz="10" w:space="0" w:color="000000"/>
              <w:left w:val="single" w:sz="4" w:space="0" w:color="000000"/>
              <w:bottom w:val="single" w:sz="4" w:space="0" w:color="000000"/>
              <w:right w:val="single" w:sz="4" w:space="0" w:color="000000"/>
            </w:tcBorders>
          </w:tcPr>
          <w:p>
            <w:pPr/>
          </w:p>
        </w:tc>
        <w:tc>
          <w:tcPr>
            <w:tcW w:w="2197" w:type="dxa"/>
            <w:tcBorders>
              <w:top w:val="single" w:sz="10" w:space="0" w:color="000000"/>
              <w:left w:val="single" w:sz="4" w:space="0" w:color="000000"/>
              <w:bottom w:val="single" w:sz="4" w:space="0" w:color="000000"/>
              <w:right w:val="single" w:sz="4" w:space="0" w:color="000000"/>
            </w:tcBorders>
          </w:tcPr>
          <w:p>
            <w:pPr>
              <w:pStyle w:val="TableParagraph"/>
              <w:spacing w:line="309" w:lineRule="auto" w:before="15"/>
              <w:ind w:left="58" w:right="56"/>
              <w:jc w:val="center"/>
              <w:rPr>
                <w:rFonts w:ascii="宋体" w:hAnsi="宋体" w:cs="宋体" w:eastAsia="宋体" w:hint="default"/>
                <w:sz w:val="18"/>
                <w:szCs w:val="18"/>
              </w:rPr>
            </w:pPr>
            <w:r>
              <w:rPr>
                <w:rFonts w:ascii="宋体" w:hAnsi="宋体" w:cs="宋体" w:eastAsia="宋体" w:hint="default"/>
                <w:spacing w:val="-8"/>
                <w:sz w:val="18"/>
                <w:szCs w:val="18"/>
              </w:rPr>
              <w:t>）《西安环球印务股份有限</w:t>
            </w:r>
            <w:r>
              <w:rPr>
                <w:rFonts w:ascii="宋体" w:hAnsi="宋体" w:cs="宋体" w:eastAsia="宋体" w:hint="default"/>
                <w:sz w:val="18"/>
                <w:szCs w:val="18"/>
              </w:rPr>
              <w:t> 公司关于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年第一次临 时股东大会决议公告》</w:t>
            </w:r>
          </w:p>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2018-062</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4"/>
        <w:spacing w:line="240" w:lineRule="auto" w:before="35"/>
        <w:ind w:left="374" w:right="1032"/>
        <w:jc w:val="left"/>
        <w:rPr>
          <w:b w:val="0"/>
          <w:bCs w:val="0"/>
        </w:rPr>
      </w:pPr>
      <w:bookmarkStart w:name="2、表决权恢复的优先股股东请求召开临时股东大会" w:id="144"/>
      <w:bookmarkEnd w:id="144"/>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374"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374" w:right="1032"/>
        <w:jc w:val="left"/>
        <w:rPr>
          <w:b w:val="0"/>
          <w:bCs w:val="0"/>
        </w:rPr>
      </w:pPr>
      <w:bookmarkStart w:name="五、报告期内独立董事履行职责的情况" w:id="145"/>
      <w:bookmarkEnd w:id="145"/>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374" w:right="1032"/>
        <w:jc w:val="left"/>
        <w:rPr>
          <w:b w:val="0"/>
          <w:bCs w:val="0"/>
        </w:rPr>
      </w:pPr>
      <w:bookmarkStart w:name="1、独立董事出席董事会及股东大会的情况" w:id="146"/>
      <w:bookmarkEnd w:id="14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36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张明禹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冯均科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宋林</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r>
    </w:tbl>
    <w:p>
      <w:pPr>
        <w:pStyle w:val="BodyText"/>
        <w:spacing w:line="360" w:lineRule="auto" w:before="51"/>
        <w:ind w:left="374" w:right="5352"/>
        <w:jc w:val="left"/>
      </w:pPr>
      <w:r>
        <w:rPr/>
        <w:t>连续两次未亲自出席董事会的说明 报告期内，公司不存在独立董事连续两次未亲自出席董事会的情形。</w:t>
      </w:r>
    </w:p>
    <w:p>
      <w:pPr>
        <w:spacing w:line="240" w:lineRule="auto" w:before="11"/>
        <w:rPr>
          <w:rFonts w:ascii="宋体" w:hAnsi="宋体" w:cs="宋体" w:eastAsia="宋体" w:hint="default"/>
          <w:sz w:val="19"/>
          <w:szCs w:val="19"/>
        </w:rPr>
      </w:pPr>
    </w:p>
    <w:p>
      <w:pPr>
        <w:pStyle w:val="Heading4"/>
        <w:spacing w:line="240" w:lineRule="auto"/>
        <w:ind w:left="374" w:right="1032"/>
        <w:jc w:val="left"/>
        <w:rPr>
          <w:b w:val="0"/>
          <w:bCs w:val="0"/>
        </w:rPr>
      </w:pPr>
      <w:bookmarkStart w:name="2、独立董事对公司有关事项提出异议的情况" w:id="147"/>
      <w:bookmarkEnd w:id="14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374" w:right="1032"/>
        <w:jc w:val="left"/>
      </w:pPr>
      <w:r>
        <w:rPr/>
        <w:t>独立董事对公司有关事项是否提出异议</w:t>
      </w:r>
    </w:p>
    <w:p>
      <w:pPr>
        <w:pStyle w:val="BodyText"/>
        <w:spacing w:line="340" w:lineRule="auto" w:before="116"/>
        <w:ind w:left="374"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4"/>
        <w:spacing w:line="240" w:lineRule="auto"/>
        <w:ind w:left="374" w:right="1032"/>
        <w:jc w:val="left"/>
        <w:rPr>
          <w:b w:val="0"/>
          <w:bCs w:val="0"/>
        </w:rPr>
      </w:pPr>
      <w:bookmarkStart w:name="3、独立董事履行职责的其他说明" w:id="148"/>
      <w:bookmarkEnd w:id="148"/>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374" w:right="1032"/>
        <w:jc w:val="left"/>
      </w:pPr>
      <w:r>
        <w:rPr/>
        <w:t>独立董事对公司有关建议是否被采纳</w:t>
      </w:r>
    </w:p>
    <w:p>
      <w:pPr>
        <w:pStyle w:val="BodyText"/>
        <w:spacing w:line="338" w:lineRule="auto" w:before="116"/>
        <w:ind w:left="374"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64" w:lineRule="auto" w:before="65"/>
        <w:ind w:left="374" w:right="1032" w:firstLine="360"/>
        <w:jc w:val="left"/>
      </w:pPr>
      <w:r>
        <w:rPr>
          <w:spacing w:val="-2"/>
        </w:rPr>
        <w:t>报告期内，公司独立董事积极出席相关会议，认真审阅各项议案，客观地发表自己的看法和观点，了解公司运营、经营</w:t>
      </w:r>
      <w:r>
        <w:rPr/>
        <w:t> </w:t>
      </w:r>
      <w:r>
        <w:rPr>
          <w:spacing w:val="-2"/>
        </w:rPr>
        <w:t>状况、内部控制以及董事会决议和股东大会决议的执行情况。公司独立董事利用自己的专业知识，积极地向公司提出了许多</w:t>
      </w:r>
      <w:r>
        <w:rPr>
          <w:spacing w:val="-66"/>
        </w:rPr>
        <w:t> </w:t>
      </w:r>
      <w:r>
        <w:rPr>
          <w:spacing w:val="-66"/>
        </w:rPr>
      </w:r>
      <w:r>
        <w:rPr/>
        <w:t>有建设性的宝贵意见和建议。公司董事会、高管团队认真听取了独立董事的意见，不断优化公司管理结构、明确部门职能、</w:t>
      </w:r>
      <w:r>
        <w:rPr>
          <w:spacing w:val="-85"/>
        </w:rPr>
        <w:t> </w:t>
      </w:r>
      <w:r>
        <w:rPr>
          <w:spacing w:val="-85"/>
        </w:rPr>
      </w:r>
      <w:r>
        <w:rPr>
          <w:spacing w:val="-2"/>
        </w:rPr>
        <w:t>优化业务流程，深入开展公司治理、加大公司内部审核力度和内控建设，加强对公司产业链的研究和布局，构建合理的产业</w:t>
      </w:r>
      <w:r>
        <w:rPr>
          <w:spacing w:val="-66"/>
        </w:rPr>
        <w:t> </w:t>
      </w:r>
      <w:r>
        <w:rPr>
          <w:spacing w:val="-66"/>
        </w:rPr>
      </w:r>
      <w:r>
        <w:rPr/>
        <w:t>拓展布局，不断提高公司的管理水平。</w:t>
      </w:r>
    </w:p>
    <w:p>
      <w:pPr>
        <w:spacing w:after="0" w:line="364" w:lineRule="auto"/>
        <w:jc w:val="left"/>
        <w:sectPr>
          <w:pgSz w:w="11910" w:h="16840"/>
          <w:pgMar w:header="0" w:footer="979" w:top="1500" w:bottom="1160" w:left="760" w:right="0"/>
        </w:sectPr>
      </w:pPr>
    </w:p>
    <w:p>
      <w:pPr>
        <w:pStyle w:val="Heading2"/>
        <w:spacing w:line="240" w:lineRule="auto" w:before="15"/>
        <w:ind w:right="0"/>
        <w:jc w:val="both"/>
        <w:rPr>
          <w:b w:val="0"/>
          <w:bCs w:val="0"/>
        </w:rPr>
      </w:pPr>
      <w:r>
        <w:rPr/>
        <w:pict>
          <v:group style="position:absolute;margin-left:55.200001pt;margin-top:2.225632pt;width:485pt;height:.1pt;mso-position-horizontal-relative:page;mso-position-vertical-relative:paragraph;z-index:-800200" coordorigin="1104,45" coordsize="9700,2">
            <v:shape style="position:absolute;left:1104;top:45;width:9700;height:2" coordorigin="1104,45" coordsize="9700,0" path="m1104,45l10804,45e" filled="false" stroked="true" strokeweight=".72pt" strokecolor="#000000">
              <v:path arrowok="t"/>
            </v:shape>
            <w10:wrap type="none"/>
          </v:group>
        </w:pict>
      </w:r>
      <w:bookmarkStart w:name="六、董事会下设专门委员会在报告期内履行职责情况" w:id="149"/>
      <w:bookmarkEnd w:id="149"/>
      <w:r>
        <w:rPr>
          <w:b w:val="0"/>
          <w:bCs w:val="0"/>
        </w:rPr>
      </w:r>
      <w:r>
        <w:rPr/>
        <w:t>六、董事会下设专门委员会在报告期内履行职责情况</w:t>
      </w:r>
      <w:r>
        <w:rPr>
          <w:b w:val="0"/>
          <w:bCs w:val="0"/>
        </w:rPr>
      </w:r>
    </w:p>
    <w:p>
      <w:pPr>
        <w:spacing w:line="240" w:lineRule="auto" w:before="3"/>
        <w:rPr>
          <w:rFonts w:ascii="宋体" w:hAnsi="宋体" w:cs="宋体" w:eastAsia="宋体" w:hint="default"/>
          <w:b/>
          <w:bCs/>
          <w:sz w:val="28"/>
          <w:szCs w:val="28"/>
        </w:rPr>
      </w:pPr>
    </w:p>
    <w:p>
      <w:pPr>
        <w:pStyle w:val="BodyText"/>
        <w:spacing w:line="364" w:lineRule="auto"/>
        <w:ind w:right="1132" w:firstLine="360"/>
        <w:jc w:val="both"/>
      </w:pPr>
      <w:r>
        <w:rPr>
          <w:spacing w:val="-2"/>
        </w:rPr>
        <w:t>公司董事会下设四个专门委员会，分别为战略委员会、提名委员会、审计委员会、薪酬与考核委员会。</w:t>
      </w:r>
      <w:r>
        <w:rPr>
          <w:rFonts w:ascii="宋体" w:hAnsi="宋体" w:cs="宋体" w:eastAsia="宋体" w:hint="default"/>
          <w:spacing w:val="-2"/>
        </w:rPr>
        <w:t>2018</w:t>
      </w:r>
      <w:r>
        <w:rPr>
          <w:spacing w:val="-2"/>
        </w:rPr>
        <w:t>年各专门委</w:t>
      </w:r>
      <w:r>
        <w:rPr/>
        <w:t> </w:t>
      </w:r>
      <w:r>
        <w:rPr>
          <w:spacing w:val="-2"/>
        </w:rPr>
        <w:t>员会本着勤勉尽职的原则，按照有关法律法规、规范性文件及公司各专门委员会工作制度的有关规定开展相关工作。报告期</w:t>
      </w:r>
      <w:r>
        <w:rPr>
          <w:spacing w:val="-66"/>
        </w:rPr>
        <w:t> </w:t>
      </w:r>
      <w:r>
        <w:rPr>
          <w:spacing w:val="-66"/>
        </w:rPr>
      </w:r>
      <w:r>
        <w:rPr/>
        <w:t>内，各专门委员会履职情况如下：</w:t>
      </w:r>
    </w:p>
    <w:p>
      <w:pPr>
        <w:pStyle w:val="BodyText"/>
        <w:spacing w:line="364" w:lineRule="auto" w:before="29"/>
        <w:ind w:left="514" w:right="1117" w:firstLine="1"/>
        <w:jc w:val="left"/>
      </w:pPr>
      <w:r>
        <w:rPr>
          <w:rFonts w:ascii="宋体" w:hAnsi="宋体" w:cs="宋体" w:eastAsia="宋体" w:hint="default"/>
          <w:b/>
          <w:bCs/>
        </w:rPr>
        <w:t>（一）战略委员会</w:t>
      </w:r>
      <w:r>
        <w:rPr>
          <w:rFonts w:ascii="宋体" w:hAnsi="宋体" w:cs="宋体" w:eastAsia="宋体" w:hint="default"/>
          <w:b/>
          <w:bCs/>
          <w:w w:val="99"/>
        </w:rPr>
        <w:t> </w:t>
      </w:r>
      <w:r>
        <w:rPr>
          <w:spacing w:val="-5"/>
        </w:rPr>
        <w:t>报告期内，战略委员会根据《董事会各专门委员会工作制度》及其他有关规定积极开展工作，认真履行职责。报告期内，</w:t>
      </w:r>
    </w:p>
    <w:p>
      <w:pPr>
        <w:pStyle w:val="BodyText"/>
        <w:spacing w:line="364" w:lineRule="auto" w:before="29"/>
        <w:ind w:right="1139"/>
        <w:jc w:val="both"/>
      </w:pPr>
      <w:r>
        <w:rPr/>
        <w:t>战略委员会按规定召开了</w:t>
      </w:r>
      <w:r>
        <w:rPr>
          <w:rFonts w:ascii="宋体" w:hAnsi="宋体" w:cs="宋体" w:eastAsia="宋体" w:hint="default"/>
        </w:rPr>
        <w:t>4</w:t>
      </w:r>
      <w:r>
        <w:rPr/>
        <w:t>次会议。为满足公司经营发展要求，</w:t>
      </w:r>
      <w:r>
        <w:rPr>
          <w:rFonts w:ascii="宋体" w:hAnsi="宋体" w:cs="宋体" w:eastAsia="宋体" w:hint="default"/>
        </w:rPr>
        <w:t>2018</w:t>
      </w:r>
      <w:r>
        <w:rPr/>
        <w:t>年度战略委员会对公司重大资产重组事项、未来三年股 东回报规划、公司收购领凯网络科技</w:t>
      </w:r>
      <w:r>
        <w:rPr>
          <w:rFonts w:ascii="宋体" w:hAnsi="宋体" w:cs="宋体" w:eastAsia="宋体" w:hint="default"/>
        </w:rPr>
        <w:t>70%</w:t>
      </w:r>
      <w:r>
        <w:rPr/>
        <w:t>股权事宜以及公司第一期员工持股计划事宜等，给出了具有前瞻性的专业意见，并 同意上述议案提交董事会审议，为公司持续、稳健发展提供了科学的战略决策及战略层面的支持。</w:t>
      </w:r>
    </w:p>
    <w:p>
      <w:pPr>
        <w:pStyle w:val="BodyText"/>
        <w:spacing w:line="364" w:lineRule="auto" w:before="29"/>
        <w:ind w:left="424" w:right="1122" w:firstLine="91"/>
        <w:jc w:val="left"/>
      </w:pPr>
      <w:r>
        <w:rPr>
          <w:rFonts w:ascii="宋体" w:hAnsi="宋体" w:cs="宋体" w:eastAsia="宋体" w:hint="default"/>
          <w:b/>
          <w:bCs/>
        </w:rPr>
        <w:t>（二）提名委员会</w:t>
      </w:r>
      <w:r>
        <w:rPr>
          <w:rFonts w:ascii="宋体" w:hAnsi="宋体" w:cs="宋体" w:eastAsia="宋体" w:hint="default"/>
          <w:b/>
          <w:bCs/>
          <w:w w:val="99"/>
        </w:rPr>
        <w:t> </w:t>
      </w:r>
      <w:r>
        <w:rPr/>
        <w:t>报告期内，提名委员会根据《公司章程》、《董事会各专门委员会工作制度》及其他有关规定积极开展工作，认真履行</w:t>
      </w:r>
    </w:p>
    <w:p>
      <w:pPr>
        <w:pStyle w:val="BodyText"/>
        <w:spacing w:line="364" w:lineRule="auto" w:before="29"/>
        <w:ind w:right="1141"/>
        <w:jc w:val="both"/>
      </w:pPr>
      <w:r>
        <w:rPr/>
        <w:t>职责。报告期内，提名委员会按规定召开了</w:t>
      </w:r>
      <w:r>
        <w:rPr>
          <w:rFonts w:ascii="宋体" w:hAnsi="宋体" w:cs="宋体" w:eastAsia="宋体" w:hint="default"/>
        </w:rPr>
        <w:t>1</w:t>
      </w:r>
      <w:r>
        <w:rPr/>
        <w:t>次会议，会议审议了《关于选举冯杰先生为公司董事并杨军先生不再担任公司 董事的议案》，并同意将该议案提交董事会审议。</w:t>
      </w:r>
    </w:p>
    <w:p>
      <w:pPr>
        <w:pStyle w:val="BodyText"/>
        <w:spacing w:line="364" w:lineRule="auto" w:before="29"/>
        <w:ind w:left="514" w:right="1032" w:firstLine="1"/>
        <w:jc w:val="left"/>
      </w:pPr>
      <w:r>
        <w:rPr>
          <w:rFonts w:ascii="宋体" w:hAnsi="宋体" w:cs="宋体" w:eastAsia="宋体" w:hint="default"/>
          <w:b/>
          <w:bCs/>
        </w:rPr>
        <w:t>（三）审计委员会</w:t>
      </w:r>
      <w:r>
        <w:rPr>
          <w:rFonts w:ascii="宋体" w:hAnsi="宋体" w:cs="宋体" w:eastAsia="宋体" w:hint="default"/>
          <w:b/>
          <w:bCs/>
          <w:w w:val="99"/>
        </w:rPr>
        <w:t> </w:t>
      </w:r>
      <w:r>
        <w:rPr/>
        <w:t>报告期内，审计委员会根据《董事会各专门委员会工作制度》及其他有关规定积极开展工作，认真履行职责。</w:t>
      </w:r>
      <w:r>
        <w:rPr>
          <w:rFonts w:ascii="宋体" w:hAnsi="宋体" w:cs="宋体" w:eastAsia="宋体" w:hint="default"/>
        </w:rPr>
        <w:t>2018</w:t>
      </w:r>
      <w:r>
        <w:rPr/>
        <w:t>年，</w:t>
      </w:r>
    </w:p>
    <w:p>
      <w:pPr>
        <w:pStyle w:val="BodyText"/>
        <w:spacing w:line="364" w:lineRule="auto" w:before="29"/>
        <w:ind w:right="1131"/>
        <w:jc w:val="both"/>
      </w:pPr>
      <w:r>
        <w:rPr>
          <w:spacing w:val="-4"/>
        </w:rPr>
        <w:t>审计委员会共召开了</w:t>
      </w:r>
      <w:r>
        <w:rPr>
          <w:rFonts w:ascii="宋体" w:hAnsi="宋体" w:cs="宋体" w:eastAsia="宋体" w:hint="default"/>
          <w:spacing w:val="-4"/>
        </w:rPr>
        <w:t>4</w:t>
      </w:r>
      <w:r>
        <w:rPr>
          <w:spacing w:val="-4"/>
        </w:rPr>
        <w:t>次会议，审议了公司的审计报告、日常关联交易、一季度报告、半年度报告及三季度报告等相关议案，</w:t>
      </w:r>
      <w:r>
        <w:rPr>
          <w:spacing w:val="-46"/>
        </w:rPr>
        <w:t> </w:t>
      </w:r>
      <w:r>
        <w:rPr>
          <w:spacing w:val="-46"/>
        </w:rPr>
      </w:r>
      <w:r>
        <w:rPr>
          <w:spacing w:val="-2"/>
        </w:rPr>
        <w:t>定期了解公司财务状况和经营情况，督促和指导公司内审部对公司财务管理运行情况进行定期和不定期的检查和评估；审查</w:t>
      </w:r>
      <w:r>
        <w:rPr>
          <w:spacing w:val="-64"/>
        </w:rPr>
        <w:t> </w:t>
      </w:r>
      <w:r>
        <w:rPr>
          <w:spacing w:val="-64"/>
        </w:rPr>
      </w:r>
      <w:r>
        <w:rPr>
          <w:spacing w:val="-2"/>
        </w:rPr>
        <w:t>了公司内部控制制度及执行情况，审核了公司所有重要的会计政策，委员会认为公司内控制度体系符合法律、法规及《公司</w:t>
      </w:r>
      <w:r>
        <w:rPr>
          <w:spacing w:val="-66"/>
        </w:rPr>
        <w:t> </w:t>
      </w:r>
      <w:r>
        <w:rPr>
          <w:spacing w:val="-66"/>
        </w:rPr>
      </w:r>
      <w:r>
        <w:rPr/>
        <w:t>章程》的要求，适应当前生产经营实际情况的需要。</w:t>
      </w:r>
    </w:p>
    <w:p>
      <w:pPr>
        <w:pStyle w:val="BodyText"/>
        <w:spacing w:line="364" w:lineRule="auto" w:before="29"/>
        <w:ind w:left="514" w:right="940" w:firstLine="1"/>
        <w:jc w:val="left"/>
      </w:pPr>
      <w:r>
        <w:rPr>
          <w:rFonts w:ascii="宋体" w:hAnsi="宋体" w:cs="宋体" w:eastAsia="宋体" w:hint="default"/>
          <w:b/>
          <w:bCs/>
        </w:rPr>
        <w:t>（四）薪酬与考核委员会</w:t>
      </w:r>
      <w:r>
        <w:rPr>
          <w:rFonts w:ascii="宋体" w:hAnsi="宋体" w:cs="宋体" w:eastAsia="宋体" w:hint="default"/>
          <w:b/>
          <w:bCs/>
          <w:w w:val="99"/>
        </w:rPr>
        <w:t> </w:t>
      </w:r>
      <w:r>
        <w:rPr>
          <w:spacing w:val="-2"/>
        </w:rPr>
        <w:t>报告期内，薪酬与考核委员会根据《董事会各专门委员会工作制度》及其他有关规定积极开展工作，认真履行职责，按</w:t>
      </w:r>
    </w:p>
    <w:p>
      <w:pPr>
        <w:pStyle w:val="BodyText"/>
        <w:spacing w:line="364" w:lineRule="auto" w:before="29"/>
        <w:ind w:right="1132"/>
        <w:jc w:val="both"/>
      </w:pPr>
      <w:r>
        <w:rPr/>
        <w:t>规定累计召开了</w:t>
      </w:r>
      <w:r>
        <w:rPr>
          <w:rFonts w:ascii="宋体" w:hAnsi="宋体" w:cs="宋体" w:eastAsia="宋体" w:hint="default"/>
        </w:rPr>
        <w:t>1</w:t>
      </w:r>
      <w:r>
        <w:rPr/>
        <w:t>次会议。根据中国证监会、深交所有关法律、法规和公司内部控制制度，公司董事会薪酬与考核委员会对 </w:t>
      </w:r>
      <w:r>
        <w:rPr>
          <w:spacing w:val="-2"/>
        </w:rPr>
        <w:t>公司经营管理层人员的</w:t>
      </w:r>
      <w:r>
        <w:rPr>
          <w:rFonts w:ascii="宋体" w:hAnsi="宋体" w:cs="宋体" w:eastAsia="宋体" w:hint="default"/>
          <w:spacing w:val="-2"/>
        </w:rPr>
        <w:t>2017</w:t>
      </w:r>
      <w:r>
        <w:rPr>
          <w:spacing w:val="-2"/>
        </w:rPr>
        <w:t>年奖金分配方案进行了审核，认为公司披露的考核指标及完成情况是真实的、符合实际的，高级</w:t>
      </w:r>
      <w:r>
        <w:rPr>
          <w:spacing w:val="-62"/>
        </w:rPr>
        <w:t> </w:t>
      </w:r>
      <w:r>
        <w:rPr>
          <w:spacing w:val="-62"/>
        </w:rPr>
      </w:r>
      <w:r>
        <w:rPr/>
        <w:t>管理人员奖金分配金额是合理的，并同意将</w:t>
      </w:r>
      <w:r>
        <w:rPr>
          <w:rFonts w:ascii="宋体" w:hAnsi="宋体" w:cs="宋体" w:eastAsia="宋体" w:hint="default"/>
        </w:rPr>
        <w:t>2017</w:t>
      </w:r>
      <w:r>
        <w:rPr/>
        <w:t>年奖金分配方案提交董事会审议。</w:t>
      </w: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bookmarkStart w:name="七、监事会工作情况" w:id="150"/>
      <w:bookmarkEnd w:id="150"/>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38" w:lineRule="auto" w:before="116"/>
        <w:ind w:right="7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51"/>
      <w:bookmarkEnd w:id="151"/>
      <w:r>
        <w:rPr>
          <w:b w:val="0"/>
          <w:bCs w:val="0"/>
        </w:rPr>
      </w:r>
      <w:r>
        <w:rPr/>
        <w:t>八、高级管理人员的考评及激励情况</w:t>
      </w:r>
      <w:r>
        <w:rPr>
          <w:b w:val="0"/>
          <w:bCs w:val="0"/>
        </w:rPr>
      </w:r>
    </w:p>
    <w:p>
      <w:pPr>
        <w:spacing w:line="240" w:lineRule="auto" w:before="3"/>
        <w:rPr>
          <w:rFonts w:ascii="宋体" w:hAnsi="宋体" w:cs="宋体" w:eastAsia="宋体" w:hint="default"/>
          <w:b/>
          <w:bCs/>
          <w:sz w:val="28"/>
          <w:szCs w:val="28"/>
        </w:rPr>
      </w:pPr>
    </w:p>
    <w:p>
      <w:pPr>
        <w:pStyle w:val="BodyText"/>
        <w:spacing w:line="364" w:lineRule="auto"/>
        <w:ind w:right="1131" w:firstLine="360"/>
        <w:jc w:val="both"/>
      </w:pPr>
      <w:r>
        <w:rPr>
          <w:spacing w:val="-2"/>
        </w:rPr>
        <w:t>公司董事（非独立董事）及高级管理人员的年度薪酬根据公司审议通过的绩效考核方案执行，结合年度经营业绩及个人</w:t>
      </w:r>
      <w:r>
        <w:rPr/>
        <w:t> </w:t>
      </w:r>
      <w:r>
        <w:rPr>
          <w:spacing w:val="-2"/>
        </w:rPr>
        <w:t>考核情况进行核定。董事会薪酬与考核委员会对公司董事（非独立董事）及高级管理人员的年度工作情况进行评定，年度考</w:t>
      </w:r>
      <w:r>
        <w:rPr>
          <w:spacing w:val="-66"/>
        </w:rPr>
        <w:t> </w:t>
      </w:r>
      <w:r>
        <w:rPr>
          <w:spacing w:val="-66"/>
        </w:rPr>
      </w:r>
      <w:r>
        <w:rPr/>
        <w:t>核采取工作汇报与综合评议的方式进行。</w:t>
      </w:r>
      <w:r>
        <w:rPr>
          <w:rFonts w:ascii="宋体" w:hAnsi="宋体" w:cs="宋体" w:eastAsia="宋体" w:hint="default"/>
        </w:rPr>
        <w:t>2018</w:t>
      </w:r>
      <w:r>
        <w:rPr/>
        <w:t>年度独立董事年薪标准为每人</w:t>
      </w:r>
      <w:r>
        <w:rPr>
          <w:rFonts w:ascii="宋体" w:hAnsi="宋体" w:cs="宋体" w:eastAsia="宋体" w:hint="default"/>
        </w:rPr>
        <w:t>5</w:t>
      </w:r>
      <w:r>
        <w:rPr/>
        <w:t>万元（含税）。</w:t>
      </w:r>
    </w:p>
    <w:p>
      <w:pPr>
        <w:pStyle w:val="BodyText"/>
        <w:spacing w:line="364" w:lineRule="auto" w:before="29"/>
        <w:ind w:right="1130" w:firstLine="360"/>
        <w:jc w:val="both"/>
      </w:pPr>
      <w:r>
        <w:rPr>
          <w:spacing w:val="-2"/>
        </w:rPr>
        <w:t>为促进公司长期、持续、健康发展，促进公司、股东和员工三方的利益最大化，报告期内，公司实施了第一期员工持股</w:t>
      </w:r>
      <w:r>
        <w:rPr/>
        <w:t> 计划，其中参与认购的董事、高管</w:t>
      </w:r>
      <w:r>
        <w:rPr>
          <w:rFonts w:ascii="宋体" w:hAnsi="宋体" w:cs="宋体" w:eastAsia="宋体" w:hint="default"/>
        </w:rPr>
        <w:t>3</w:t>
      </w:r>
      <w:r>
        <w:rPr/>
        <w:t>人，认购金额</w:t>
      </w:r>
      <w:r>
        <w:rPr>
          <w:rFonts w:ascii="宋体" w:hAnsi="宋体" w:cs="宋体" w:eastAsia="宋体" w:hint="default"/>
        </w:rPr>
        <w:t>700</w:t>
      </w:r>
      <w:r>
        <w:rPr/>
        <w:t>万元，占比</w:t>
      </w:r>
      <w:r>
        <w:rPr>
          <w:rFonts w:ascii="宋体" w:hAnsi="宋体" w:cs="宋体" w:eastAsia="宋体" w:hint="default"/>
        </w:rPr>
        <w:t>40%</w:t>
      </w:r>
      <w:r>
        <w:rPr/>
        <w:t>。</w:t>
      </w:r>
    </w:p>
    <w:p>
      <w:pPr>
        <w:spacing w:after="0" w:line="364" w:lineRule="auto"/>
        <w:jc w:val="both"/>
        <w:sectPr>
          <w:pgSz w:w="11910" w:h="16840"/>
          <w:pgMar w:header="0" w:footer="979" w:top="1500" w:bottom="1160" w:left="980" w:right="0"/>
        </w:sectPr>
      </w:pPr>
    </w:p>
    <w:p>
      <w:pPr>
        <w:pStyle w:val="Heading2"/>
        <w:spacing w:line="240" w:lineRule="auto" w:before="15"/>
        <w:ind w:right="940"/>
        <w:jc w:val="left"/>
        <w:rPr>
          <w:b w:val="0"/>
          <w:bCs w:val="0"/>
        </w:rPr>
      </w:pPr>
      <w:r>
        <w:rPr/>
        <w:pict>
          <v:group style="position:absolute;margin-left:55.200001pt;margin-top:2.225632pt;width:485pt;height:.1pt;mso-position-horizontal-relative:page;mso-position-vertical-relative:paragraph;z-index:-800176" coordorigin="1104,45" coordsize="9700,2">
            <v:shape style="position:absolute;left:1104;top:45;width:9700;height:2" coordorigin="1104,45" coordsize="9700,0" path="m1104,45l10804,45e" filled="false" stroked="true" strokeweight=".72pt" strokecolor="#000000">
              <v:path arrowok="t"/>
            </v:shape>
            <w10:wrap type="none"/>
          </v:group>
        </w:pict>
      </w:r>
      <w:bookmarkStart w:name="九、内部控制评价报告" w:id="152"/>
      <w:bookmarkEnd w:id="152"/>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0"/>
        <w:jc w:val="left"/>
        <w:rPr>
          <w:b w:val="0"/>
          <w:bCs w:val="0"/>
        </w:rPr>
      </w:pPr>
      <w:bookmarkStart w:name="1、报告期内发现的内部控制重大缺陷的具体情况" w:id="153"/>
      <w:bookmarkEnd w:id="153"/>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2、内控自我评价报告" w:id="154"/>
      <w:bookmarkEnd w:id="154"/>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5"/>
        <w:gridCol w:w="3323"/>
        <w:gridCol w:w="3051"/>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4" w:type="dxa"/>
            <w:gridSpan w:val="2"/>
            <w:vMerge w:val="restart"/>
            <w:tcBorders>
              <w:top w:val="single" w:sz="4" w:space="0" w:color="000000"/>
              <w:left w:val="single" w:sz="9" w:space="0" w:color="D2D2D2"/>
              <w:right w:val="single" w:sz="4" w:space="0" w:color="000000"/>
            </w:tcBorders>
          </w:tcPr>
          <w:p>
            <w:pPr>
              <w:pStyle w:val="TableParagraph"/>
              <w:spacing w:line="302" w:lineRule="auto" w:before="51"/>
              <w:ind w:left="16" w:right="21"/>
              <w:jc w:val="left"/>
              <w:rPr>
                <w:rFonts w:ascii="宋体" w:hAnsi="宋体" w:cs="宋体" w:eastAsia="宋体" w:hint="default"/>
                <w:sz w:val="18"/>
                <w:szCs w:val="18"/>
              </w:rPr>
            </w:pPr>
            <w:r>
              <w:rPr>
                <w:rFonts w:ascii="宋体" w:hAnsi="宋体" w:cs="宋体" w:eastAsia="宋体" w:hint="default"/>
                <w:spacing w:val="-3"/>
                <w:w w:val="99"/>
                <w:sz w:val="18"/>
                <w:szCs w:val="18"/>
              </w:rPr>
              <w:t>巨潮资讯网（</w:t>
            </w:r>
            <w:hyperlink r:id="rId11">
              <w:r>
                <w:rPr>
                  <w:rFonts w:ascii="Times New Roman" w:hAnsi="Times New Roman" w:cs="Times New Roman" w:eastAsia="Times New Roman" w:hint="default"/>
                  <w:spacing w:val="-3"/>
                  <w:w w:val="99"/>
                  <w:sz w:val="18"/>
                  <w:szCs w:val="18"/>
                </w:rPr>
                <w:t>http://www.cninfo.com.cn/</w:t>
              </w:r>
            </w:hyperlink>
            <w:r>
              <w:rPr>
                <w:rFonts w:ascii="宋体" w:hAnsi="宋体" w:cs="宋体" w:eastAsia="宋体" w:hint="default"/>
                <w:spacing w:val="-3"/>
                <w:w w:val="99"/>
                <w:sz w:val="18"/>
                <w:szCs w:val="18"/>
              </w:rPr>
              <w:t>）《西安环球印务股份有限公司内部控制有</w:t>
            </w:r>
            <w:r>
              <w:rPr>
                <w:rFonts w:ascii="宋体" w:hAnsi="宋体" w:cs="宋体" w:eastAsia="宋体" w:hint="default"/>
                <w:spacing w:val="-75"/>
                <w:w w:val="99"/>
                <w:sz w:val="18"/>
                <w:szCs w:val="18"/>
              </w:rPr>
              <w:t> </w:t>
            </w:r>
            <w:r>
              <w:rPr>
                <w:rFonts w:ascii="宋体" w:hAnsi="宋体" w:cs="宋体" w:eastAsia="宋体" w:hint="default"/>
                <w:spacing w:val="-75"/>
                <w:w w:val="99"/>
                <w:sz w:val="18"/>
                <w:szCs w:val="18"/>
              </w:rPr>
            </w:r>
            <w:r>
              <w:rPr>
                <w:rFonts w:ascii="宋体" w:hAnsi="宋体" w:cs="宋体" w:eastAsia="宋体" w:hint="default"/>
                <w:sz w:val="18"/>
                <w:szCs w:val="18"/>
              </w:rPr>
              <w:t>效性认定的自我评价报告》</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vMerge/>
            <w:tcBorders>
              <w:left w:val="single" w:sz="9" w:space="0" w:color="D2D2D2"/>
              <w:right w:val="single" w:sz="4" w:space="0" w:color="000000"/>
            </w:tcBorders>
          </w:tcPr>
          <w:p>
            <w:pPr/>
          </w:p>
        </w:tc>
      </w:tr>
      <w:tr>
        <w:trPr>
          <w:trHeight w:val="16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4" w:type="dxa"/>
            <w:gridSpan w:val="2"/>
            <w:vMerge/>
            <w:tcBorders>
              <w:left w:val="single" w:sz="9" w:space="0" w:color="D2D2D2"/>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877"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9" w:lineRule="auto"/>
              <w:ind w:left="16" w:right="48"/>
              <w:jc w:val="both"/>
              <w:rPr>
                <w:rFonts w:ascii="宋体" w:hAnsi="宋体" w:cs="宋体" w:eastAsia="宋体" w:hint="default"/>
                <w:sz w:val="18"/>
                <w:szCs w:val="18"/>
              </w:rPr>
            </w:pPr>
            <w:r>
              <w:rPr>
                <w:rFonts w:ascii="宋体" w:hAnsi="宋体" w:cs="宋体" w:eastAsia="宋体" w:hint="default"/>
                <w:sz w:val="18"/>
                <w:szCs w:val="18"/>
              </w:rPr>
              <w:t>财务报告相关重大缺陷的迹象包括：①控 制环境无效；②公司董事、监事和高级管 理人员的舞弊行为；③未被公司内部控制 识别的当期财务报告中的重大错报；④审 计委员会和审计部门对公司的对外财务报 告和财务报告内部控制监督无效。</w:t>
            </w:r>
          </w:p>
        </w:tc>
        <w:tc>
          <w:tcPr>
            <w:tcW w:w="3051"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非财务报告相关内部控制缺陷的认定 主要以缺陷对业务流程有效性的影响 </w:t>
            </w:r>
            <w:r>
              <w:rPr>
                <w:rFonts w:ascii="宋体" w:hAnsi="宋体" w:cs="宋体" w:eastAsia="宋体" w:hint="default"/>
                <w:spacing w:val="-4"/>
                <w:sz w:val="18"/>
                <w:szCs w:val="18"/>
              </w:rPr>
              <w:t>程度、发生的可能性作判定。如果缺陷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发生的可能性较小，会降低工作效率或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效果、或加大效果的不确定性、或使之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偏离预期目标为一般缺陷；如果缺陷发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生的可能性较高，会显著降低工作效率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或效果、或显著加大效果的不确定性、 或使之显著偏离预期目标为重要缺陷； </w:t>
            </w:r>
            <w:r>
              <w:rPr>
                <w:rFonts w:ascii="宋体" w:hAnsi="宋体" w:cs="宋体" w:eastAsia="宋体" w:hint="default"/>
                <w:spacing w:val="-4"/>
                <w:sz w:val="18"/>
                <w:szCs w:val="18"/>
              </w:rPr>
              <w:t>如果缺陷发生的可能性高，会严重降低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工作效率或效果、或严重加大效果的不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确定性、或使之严重偏离预期目标为重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大缺陷。</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877"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1702"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vMerge w:val="restart"/>
            <w:tcBorders>
              <w:top w:val="single" w:sz="4" w:space="0" w:color="000000"/>
              <w:left w:val="single" w:sz="9" w:space="0" w:color="D2D2D2"/>
              <w:right w:val="single" w:sz="4" w:space="0" w:color="000000"/>
            </w:tcBorders>
          </w:tcPr>
          <w:p>
            <w:pPr>
              <w:pStyle w:val="TableParagraph"/>
              <w:spacing w:line="312" w:lineRule="auto" w:before="51"/>
              <w:ind w:left="16" w:right="22"/>
              <w:jc w:val="both"/>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指标。①内部控制缺陷可能导致或导致的 损失与利润表相关的，以营业收入指标衡 量。如果该缺陷单独或连同其他缺陷可能 导致的财务报告错报金额小于营业收入的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，则认定为一般缺陷；如果超过营业收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，则为重要缺陷；如 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，则认定为重大缺</w:t>
            </w:r>
            <w:r>
              <w:rPr>
                <w:rFonts w:ascii="宋体" w:hAnsi="宋体" w:cs="宋体" w:eastAsia="宋体" w:hint="default"/>
                <w:sz w:val="18"/>
                <w:szCs w:val="18"/>
              </w:rPr>
              <w:t> 陷；②内部控制缺陷可能导致或导致的损 失与资产管理相关的，以资产总额指标衡 量。如果该缺陷单独或连同其他缺陷可能 导致的财务报告错报金额小于资产总额的</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316" w:lineRule="auto"/>
              <w:ind w:left="22" w:right="136"/>
              <w:jc w:val="both"/>
              <w:rPr>
                <w:rFonts w:ascii="宋体" w:hAnsi="宋体" w:cs="宋体" w:eastAsia="宋体" w:hint="default"/>
                <w:sz w:val="18"/>
                <w:szCs w:val="18"/>
              </w:rPr>
            </w:pPr>
            <w:r>
              <w:rPr>
                <w:rFonts w:ascii="宋体" w:hAnsi="宋体" w:cs="宋体" w:eastAsia="宋体" w:hint="default"/>
                <w:sz w:val="18"/>
                <w:szCs w:val="18"/>
              </w:rPr>
              <w:t>非财务报告相关内部控制缺陷评价的 定量标准参照财务报告内部控制缺陷 评价的定量标准执行。</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702"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79" w:top="1500" w:bottom="1160" w:left="980" w:right="0"/>
        </w:sectPr>
      </w:pPr>
    </w:p>
    <w:p>
      <w:pPr>
        <w:spacing w:line="240" w:lineRule="auto" w:before="7"/>
        <w:rPr>
          <w:rFonts w:ascii="宋体" w:hAnsi="宋体" w:cs="宋体" w:eastAsia="宋体"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3194"/>
        <w:gridCol w:w="3324"/>
        <w:gridCol w:w="3051"/>
      </w:tblGrid>
      <w:tr>
        <w:trPr>
          <w:trHeight w:val="997" w:hRule="exact"/>
        </w:trPr>
        <w:tc>
          <w:tcPr>
            <w:tcW w:w="3194"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10" w:space="0" w:color="000000"/>
              <w:left w:val="single" w:sz="4" w:space="0" w:color="000000"/>
              <w:bottom w:val="single" w:sz="4" w:space="0" w:color="000000"/>
              <w:right w:val="single" w:sz="4" w:space="0" w:color="000000"/>
            </w:tcBorders>
          </w:tcPr>
          <w:p>
            <w:pPr>
              <w:pStyle w:val="TableParagraph"/>
              <w:spacing w:line="300" w:lineRule="auto" w:before="15"/>
              <w:ind w:left="23" w:right="34"/>
              <w:jc w:val="both"/>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，则认定为一般缺陷；如果超过资产 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认定为重要缺陷； 如果超过资产总额的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认定为重大缺陷</w:t>
            </w:r>
          </w:p>
        </w:tc>
        <w:tc>
          <w:tcPr>
            <w:tcW w:w="305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14" w:right="1360"/>
        <w:jc w:val="left"/>
        <w:rPr>
          <w:b w:val="0"/>
          <w:bCs w:val="0"/>
        </w:rPr>
      </w:pPr>
      <w:r>
        <w:rPr/>
        <w:pict>
          <v:group style="position:absolute;margin-left:382.839996pt;margin-top:-141.604401pt;width:152.1pt;height:48.8pt;mso-position-horizontal-relative:page;mso-position-vertical-relative:paragraph;z-index:-800152" coordorigin="7657,-2832" coordsize="3042,976">
            <v:shape style="position:absolute;left:7657;top:-2832;width:3042;height:976" coordorigin="7657,-2832" coordsize="3042,976" path="m7657,-1856l10698,-1856,10698,-2832,7657,-2832,7657,-1856xe" filled="true" fillcolor="#ffffff" stroked="false">
              <v:path arrowok="t"/>
              <v:fill type="solid"/>
            </v:shape>
            <w10:wrap type="none"/>
          </v:group>
        </w:pict>
      </w:r>
      <w:bookmarkStart w:name="十、内部控制审计报告或鉴证报告" w:id="155"/>
      <w:bookmarkEnd w:id="155"/>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4" w:right="1360"/>
        <w:jc w:val="left"/>
      </w:pPr>
      <w:r>
        <w:rPr/>
        <w:t>不适用</w:t>
      </w:r>
    </w:p>
    <w:p>
      <w:pPr>
        <w:spacing w:after="0" w:line="240" w:lineRule="auto"/>
        <w:jc w:val="left"/>
        <w:sectPr>
          <w:pgSz w:w="11910" w:h="16840"/>
          <w:pgMar w:header="0" w:footer="979" w:top="1500" w:bottom="1160" w:left="102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49"/>
        <w:ind w:left="3126" w:right="940"/>
        <w:jc w:val="left"/>
        <w:rPr>
          <w:b w:val="0"/>
          <w:bCs w:val="0"/>
        </w:rPr>
      </w:pPr>
      <w:bookmarkStart w:name="第十节 公司债券相关情况" w:id="156"/>
      <w:bookmarkEnd w:id="156"/>
      <w:r>
        <w:rPr>
          <w:b w:val="0"/>
          <w:bCs w:val="0"/>
        </w:rPr>
      </w:r>
      <w:bookmarkStart w:name="_bookmark9" w:id="157"/>
      <w:bookmarkEnd w:id="157"/>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0" w:footer="979" w:top="150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left="3608" w:right="940"/>
        <w:jc w:val="left"/>
        <w:rPr>
          <w:b w:val="0"/>
          <w:bCs w:val="0"/>
        </w:rPr>
      </w:pPr>
      <w:bookmarkStart w:name="第十一节 财务报告" w:id="158"/>
      <w:bookmarkEnd w:id="158"/>
      <w:r>
        <w:rPr>
          <w:b w:val="0"/>
          <w:bCs w:val="0"/>
        </w:rPr>
      </w:r>
      <w:bookmarkStart w:name="_bookmark10" w:id="159"/>
      <w:bookmarkEnd w:id="159"/>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40"/>
        <w:jc w:val="left"/>
        <w:rPr>
          <w:b w:val="0"/>
          <w:bCs w:val="0"/>
        </w:rPr>
      </w:pPr>
      <w:bookmarkStart w:name="一、审计报告" w:id="160"/>
      <w:bookmarkEnd w:id="160"/>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希格玛会计师事务所（特殊普通合伙）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希会审字</w:t>
            </w:r>
            <w:r>
              <w:rPr>
                <w:rFonts w:ascii="Times New Roman" w:hAnsi="Times New Roman" w:cs="Times New Roman" w:eastAsia="Times New Roman" w:hint="default"/>
                <w:sz w:val="18"/>
                <w:szCs w:val="18"/>
              </w:rPr>
              <w:t>(2019)1697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王侠、杨树杰</w:t>
            </w:r>
          </w:p>
        </w:tc>
      </w:tr>
    </w:tbl>
    <w:p>
      <w:pPr>
        <w:pStyle w:val="Heading4"/>
        <w:spacing w:line="240" w:lineRule="auto" w:before="26"/>
        <w:ind w:left="40" w:right="1018"/>
        <w:jc w:val="center"/>
        <w:rPr>
          <w:b w:val="0"/>
          <w:bCs w:val="0"/>
        </w:rPr>
      </w:pPr>
      <w:r>
        <w:rPr/>
        <w:t>审计报告正文</w:t>
      </w:r>
      <w:r>
        <w:rPr>
          <w:b w:val="0"/>
          <w:bCs w:val="0"/>
        </w:rPr>
      </w:r>
    </w:p>
    <w:p>
      <w:pPr>
        <w:spacing w:line="240" w:lineRule="auto" w:before="1"/>
        <w:rPr>
          <w:rFonts w:ascii="宋体" w:hAnsi="宋体" w:cs="宋体" w:eastAsia="宋体" w:hint="default"/>
          <w:b/>
          <w:bCs/>
          <w:sz w:val="15"/>
          <w:szCs w:val="15"/>
        </w:rPr>
      </w:pPr>
    </w:p>
    <w:p>
      <w:pPr>
        <w:pStyle w:val="Heading6"/>
        <w:spacing w:line="525" w:lineRule="auto" w:before="44"/>
        <w:ind w:left="716" w:right="7680" w:hanging="562"/>
        <w:jc w:val="left"/>
        <w:rPr>
          <w:b w:val="0"/>
          <w:bCs w:val="0"/>
        </w:rPr>
      </w:pPr>
      <w:r>
        <w:rPr/>
        <w:t>西安环球印务股份有限公司全体股东：</w:t>
      </w:r>
      <w:r>
        <w:rPr>
          <w:w w:val="99"/>
        </w:rPr>
        <w:t> </w:t>
      </w:r>
      <w:r>
        <w:rPr/>
        <w:t>一、审计意见</w:t>
      </w:r>
      <w:r>
        <w:rPr>
          <w:b w:val="0"/>
          <w:bCs w:val="0"/>
        </w:rPr>
      </w:r>
    </w:p>
    <w:p>
      <w:pPr>
        <w:pStyle w:val="BodyText"/>
        <w:spacing w:line="364" w:lineRule="auto" w:before="65"/>
        <w:ind w:right="1043" w:firstLine="480"/>
        <w:jc w:val="both"/>
      </w:pPr>
      <w:r>
        <w:rPr/>
        <w:t>我们审计了西安环球股份有限公司（以下简称贵公司）财务报表，包括</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日的合并及母公司资产负债表， </w:t>
      </w:r>
      <w:r>
        <w:rPr>
          <w:rFonts w:ascii="宋体" w:hAnsi="宋体" w:cs="宋体" w:eastAsia="宋体" w:hint="default"/>
        </w:rPr>
        <w:t>2018</w:t>
      </w:r>
      <w:r>
        <w:rPr/>
        <w:t>年度的合并及母公司利润表、合并及母公司现金流量表、合并及母公司股东权益变动表以及相关财务报表附注。</w:t>
      </w:r>
    </w:p>
    <w:p>
      <w:pPr>
        <w:pStyle w:val="BodyText"/>
        <w:spacing w:line="364" w:lineRule="auto" w:before="29"/>
        <w:ind w:right="1130" w:firstLine="480"/>
        <w:jc w:val="both"/>
      </w:pPr>
      <w:r>
        <w:rPr>
          <w:spacing w:val="-1"/>
        </w:rPr>
        <w:t>我们认为，后附的财务报表在所有重大方面按照企业会计准则的规定编制，公允反映了贵公司</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日的合并</w:t>
      </w:r>
      <w:r>
        <w:rPr/>
        <w:t> 及母公司财务状况以及</w:t>
      </w:r>
      <w:r>
        <w:rPr>
          <w:rFonts w:ascii="宋体" w:hAnsi="宋体" w:cs="宋体" w:eastAsia="宋体" w:hint="default"/>
        </w:rPr>
        <w:t>2018</w:t>
      </w:r>
      <w:r>
        <w:rPr/>
        <w:t>年度的合并及母公司经营成果和现金流量。</w:t>
      </w:r>
    </w:p>
    <w:p>
      <w:pPr>
        <w:spacing w:line="240" w:lineRule="auto" w:before="2"/>
        <w:rPr>
          <w:rFonts w:ascii="宋体" w:hAnsi="宋体" w:cs="宋体" w:eastAsia="宋体" w:hint="default"/>
          <w:sz w:val="14"/>
          <w:szCs w:val="14"/>
        </w:rPr>
      </w:pPr>
    </w:p>
    <w:p>
      <w:pPr>
        <w:pStyle w:val="Heading6"/>
        <w:spacing w:line="240" w:lineRule="auto"/>
        <w:ind w:left="716" w:right="940"/>
        <w:jc w:val="left"/>
        <w:rPr>
          <w:b w:val="0"/>
          <w:bCs w:val="0"/>
        </w:rPr>
      </w:pPr>
      <w:r>
        <w:rPr/>
        <w:t>二、形成审计意见的基础</w:t>
      </w:r>
      <w:r>
        <w:rPr>
          <w:b w:val="0"/>
          <w:bCs w:val="0"/>
        </w:rPr>
      </w:r>
    </w:p>
    <w:p>
      <w:pPr>
        <w:spacing w:line="240" w:lineRule="auto" w:before="4"/>
        <w:rPr>
          <w:rFonts w:ascii="宋体" w:hAnsi="宋体" w:cs="宋体" w:eastAsia="宋体" w:hint="default"/>
          <w:b/>
          <w:bCs/>
          <w:sz w:val="21"/>
          <w:szCs w:val="21"/>
        </w:rPr>
      </w:pPr>
    </w:p>
    <w:p>
      <w:pPr>
        <w:pStyle w:val="BodyText"/>
        <w:spacing w:line="364" w:lineRule="auto"/>
        <w:ind w:right="1130" w:firstLine="480"/>
        <w:jc w:val="both"/>
      </w:pPr>
      <w:r>
        <w:rPr>
          <w:spacing w:val="-1"/>
        </w:rPr>
        <w:t>我们按照中国注册会计师审计准则的规定执行了审计工作。审计报告的“注册会计师对财务报表审计的责任”部分进</w:t>
      </w:r>
      <w:r>
        <w:rPr/>
        <w:t> </w:t>
      </w:r>
      <w:r>
        <w:rPr>
          <w:spacing w:val="-2"/>
        </w:rPr>
        <w:t>一步阐述了我们在这些准则下的责任。按照中国注册会计师职业道德守则，我们独立于贵公司，并履行了职业道德方面的其</w:t>
      </w:r>
      <w:r>
        <w:rPr>
          <w:spacing w:val="-66"/>
        </w:rPr>
        <w:t> </w:t>
      </w:r>
      <w:r>
        <w:rPr>
          <w:spacing w:val="-66"/>
        </w:rPr>
      </w:r>
      <w:r>
        <w:rPr/>
        <w:t>他责任。我们相信，我们获取的审计证据是充分、适当的，为发表审计意见提供了基础。</w:t>
      </w:r>
    </w:p>
    <w:p>
      <w:pPr>
        <w:spacing w:line="240" w:lineRule="auto" w:before="2"/>
        <w:rPr>
          <w:rFonts w:ascii="宋体" w:hAnsi="宋体" w:cs="宋体" w:eastAsia="宋体" w:hint="default"/>
          <w:sz w:val="14"/>
          <w:szCs w:val="14"/>
        </w:rPr>
      </w:pPr>
    </w:p>
    <w:p>
      <w:pPr>
        <w:pStyle w:val="Heading6"/>
        <w:spacing w:line="240" w:lineRule="auto"/>
        <w:ind w:left="716" w:right="940"/>
        <w:jc w:val="left"/>
        <w:rPr>
          <w:b w:val="0"/>
          <w:bCs w:val="0"/>
        </w:rPr>
      </w:pPr>
      <w:r>
        <w:rPr/>
        <w:t>三、关键审计事项</w:t>
      </w:r>
      <w:r>
        <w:rPr>
          <w:b w:val="0"/>
          <w:bCs w:val="0"/>
        </w:rPr>
      </w:r>
    </w:p>
    <w:p>
      <w:pPr>
        <w:spacing w:line="240" w:lineRule="auto" w:before="4"/>
        <w:rPr>
          <w:rFonts w:ascii="宋体" w:hAnsi="宋体" w:cs="宋体" w:eastAsia="宋体" w:hint="default"/>
          <w:b/>
          <w:bCs/>
          <w:sz w:val="21"/>
          <w:szCs w:val="21"/>
        </w:rPr>
      </w:pPr>
    </w:p>
    <w:p>
      <w:pPr>
        <w:pStyle w:val="BodyText"/>
        <w:spacing w:line="364" w:lineRule="auto"/>
        <w:ind w:right="1130" w:firstLine="480"/>
        <w:jc w:val="both"/>
      </w:pPr>
      <w:r>
        <w:rPr>
          <w:spacing w:val="-1"/>
        </w:rPr>
        <w:t>关键审计事项是我们根据职业判断，认为对本期财务报表审计最为重要的事项。这些事项的应对以对财务报表整体进</w:t>
      </w:r>
      <w:r>
        <w:rPr/>
        <w:t> </w:t>
      </w:r>
      <w:r>
        <w:rPr>
          <w:spacing w:val="-2"/>
        </w:rPr>
        <w:t>行审计并形成审计意见为背景，我们不对这些事项单独发表意见。我们对下述每一事项在审计中是如何应对的描述也以此为</w:t>
      </w:r>
      <w:r>
        <w:rPr>
          <w:spacing w:val="-63"/>
        </w:rPr>
        <w:t> </w:t>
      </w:r>
      <w:r>
        <w:rPr>
          <w:spacing w:val="-63"/>
        </w:rPr>
      </w:r>
      <w:r>
        <w:rPr>
          <w:spacing w:val="-5"/>
        </w:rPr>
        <w:t>背景。我们已经履行了本报告“注册会计师对财务报表审计的责任”部分阐述的责任，包括与这些关键审计事项相关的责任。</w:t>
      </w:r>
      <w:r>
        <w:rPr>
          <w:spacing w:val="-80"/>
        </w:rPr>
        <w:t> </w:t>
      </w:r>
      <w:r>
        <w:rPr>
          <w:spacing w:val="-80"/>
        </w:rPr>
      </w:r>
      <w:r>
        <w:rPr>
          <w:spacing w:val="-2"/>
        </w:rPr>
        <w:t>相应地，我们的审计工作包括执行为应对评估的财务报表重大错报风险而设计的审计程序。我们执行审计程序的结果，包括</w:t>
      </w:r>
      <w:r>
        <w:rPr>
          <w:spacing w:val="-66"/>
        </w:rPr>
        <w:t> </w:t>
      </w:r>
      <w:r>
        <w:rPr>
          <w:spacing w:val="-66"/>
        </w:rPr>
      </w:r>
      <w:r>
        <w:rPr/>
        <w:t>应对下述关键审计事项所执行的程序，为财务报表整体发表审计意见提供了基础。</w:t>
      </w:r>
    </w:p>
    <w:p>
      <w:pPr>
        <w:spacing w:line="240" w:lineRule="auto" w:before="2"/>
        <w:rPr>
          <w:rFonts w:ascii="宋体" w:hAnsi="宋体" w:cs="宋体" w:eastAsia="宋体" w:hint="default"/>
          <w:sz w:val="14"/>
          <w:szCs w:val="14"/>
        </w:rPr>
      </w:pPr>
    </w:p>
    <w:p>
      <w:pPr>
        <w:pStyle w:val="Heading6"/>
        <w:spacing w:line="240" w:lineRule="auto"/>
        <w:ind w:left="636" w:right="940"/>
        <w:jc w:val="left"/>
        <w:rPr>
          <w:b w:val="0"/>
          <w:bCs w:val="0"/>
        </w:rPr>
      </w:pPr>
      <w:r>
        <w:rPr/>
        <w:t>商誉减值</w:t>
      </w:r>
      <w:r>
        <w:rPr>
          <w:b w:val="0"/>
          <w:bCs w:val="0"/>
        </w:rPr>
      </w:r>
    </w:p>
    <w:p>
      <w:pPr>
        <w:pStyle w:val="BodyText"/>
        <w:spacing w:line="516" w:lineRule="exact" w:before="76"/>
        <w:ind w:left="634" w:right="940"/>
        <w:jc w:val="left"/>
      </w:pPr>
      <w:r>
        <w:rPr/>
        <w:t>（一）事项描述 如贵公司财务报表附注“五、（十二）商誉”所述，截止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日，贵公司商誉列报金额为</w:t>
      </w:r>
      <w:r>
        <w:rPr>
          <w:rFonts w:ascii="宋体" w:hAnsi="宋体" w:cs="宋体" w:eastAsia="宋体" w:hint="default"/>
        </w:rPr>
        <w:t>10,827.94</w:t>
      </w:r>
      <w:r>
        <w:rPr/>
        <w:t>万元，</w:t>
      </w:r>
    </w:p>
    <w:p>
      <w:pPr>
        <w:pStyle w:val="BodyText"/>
        <w:spacing w:line="364" w:lineRule="auto" w:before="44"/>
        <w:ind w:right="1130"/>
        <w:jc w:val="both"/>
      </w:pPr>
      <w:r>
        <w:rPr/>
        <w:t>较上年金额增加</w:t>
      </w:r>
      <w:r>
        <w:rPr>
          <w:rFonts w:ascii="宋体" w:hAnsi="宋体" w:cs="宋体" w:eastAsia="宋体" w:hint="default"/>
        </w:rPr>
        <w:t>10,809.68</w:t>
      </w:r>
      <w:r>
        <w:rPr/>
        <w:t>万元</w:t>
      </w:r>
      <w:r>
        <w:rPr>
          <w:rFonts w:ascii="宋体" w:hAnsi="宋体" w:cs="宋体" w:eastAsia="宋体" w:hint="default"/>
        </w:rPr>
        <w:t>,</w:t>
      </w:r>
      <w:r>
        <w:rPr/>
        <w:t>为贵公司</w:t>
      </w:r>
      <w:r>
        <w:rPr>
          <w:rFonts w:ascii="宋体" w:hAnsi="宋体" w:cs="宋体" w:eastAsia="宋体" w:hint="default"/>
        </w:rPr>
        <w:t>2018</w:t>
      </w:r>
      <w:r>
        <w:rPr/>
        <w:t>年收购霍尔果斯领凯网络科技有限公司股权确认的商誉，减值准备为</w:t>
      </w:r>
      <w:r>
        <w:rPr>
          <w:rFonts w:ascii="宋体" w:hAnsi="宋体" w:cs="宋体" w:eastAsia="宋体" w:hint="default"/>
        </w:rPr>
        <w:t>0</w:t>
      </w:r>
      <w:r>
        <w:rPr/>
        <w:t>元。根</w:t>
      </w:r>
      <w:r>
        <w:rPr>
          <w:spacing w:val="-84"/>
        </w:rPr>
        <w:t> </w:t>
      </w:r>
      <w:r>
        <w:rPr>
          <w:spacing w:val="-2"/>
        </w:rPr>
        <w:t>据企业会计准则，贵公司管理层在每年年度终了对商誉进行减值测试，并根据减值测试的结果调整商誉的账面价值。因为商</w:t>
      </w:r>
      <w:r>
        <w:rPr>
          <w:spacing w:val="-66"/>
        </w:rPr>
        <w:t> </w:t>
      </w:r>
      <w:r>
        <w:rPr>
          <w:spacing w:val="-66"/>
        </w:rPr>
      </w:r>
      <w:r>
        <w:rPr>
          <w:spacing w:val="-2"/>
        </w:rPr>
        <w:t>誉减值测试的评估需要依赖管理层的判断，减值评估的过程复杂，涉及确定折现率、未来期间销售增长率、毛利率等相关参</w:t>
      </w:r>
    </w:p>
    <w:p>
      <w:pPr>
        <w:spacing w:after="0" w:line="364" w:lineRule="auto"/>
        <w:jc w:val="both"/>
        <w:sectPr>
          <w:pgSz w:w="11910" w:h="16840"/>
          <w:pgMar w:header="0"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7"/>
        <w:ind w:left="129" w:right="1018"/>
        <w:jc w:val="center"/>
      </w:pPr>
      <w:r>
        <w:rPr/>
        <w:t>数。商誉账面价值较大，对财务报表影响重大，并且涉及到重大的管理层判断，因此，我们将该事项确定为关键审计事项。</w:t>
      </w:r>
    </w:p>
    <w:p>
      <w:pPr>
        <w:spacing w:line="240" w:lineRule="auto" w:before="4"/>
        <w:rPr>
          <w:rFonts w:ascii="宋体" w:hAnsi="宋体" w:cs="宋体" w:eastAsia="宋体" w:hint="default"/>
          <w:sz w:val="21"/>
          <w:szCs w:val="21"/>
        </w:rPr>
      </w:pPr>
    </w:p>
    <w:p>
      <w:pPr>
        <w:pStyle w:val="BodyText"/>
        <w:spacing w:line="525" w:lineRule="auto"/>
        <w:ind w:left="634" w:right="4872"/>
        <w:jc w:val="left"/>
      </w:pPr>
      <w:r>
        <w:rPr/>
        <w:t>（二）审计应对 我们实施的商誉减值相关的重大错报风险的审计程序包括但不限于：</w:t>
      </w:r>
    </w:p>
    <w:p>
      <w:pPr>
        <w:pStyle w:val="BodyText"/>
        <w:spacing w:line="240" w:lineRule="auto" w:before="65"/>
        <w:ind w:left="634" w:right="940"/>
        <w:jc w:val="left"/>
      </w:pPr>
      <w:r>
        <w:rPr>
          <w:rFonts w:ascii="宋体" w:hAnsi="宋体" w:cs="宋体" w:eastAsia="宋体" w:hint="default"/>
        </w:rPr>
        <w:t>1.</w:t>
      </w:r>
      <w:r>
        <w:rPr/>
        <w:t>我们了解与商誉减值相关的关键内部控制，评价设计和执行的有效性，并测试相关内部控制运行的有效性；</w:t>
      </w:r>
    </w:p>
    <w:p>
      <w:pPr>
        <w:spacing w:line="240" w:lineRule="auto" w:before="4"/>
        <w:rPr>
          <w:rFonts w:ascii="宋体" w:hAnsi="宋体" w:cs="宋体" w:eastAsia="宋体" w:hint="default"/>
          <w:sz w:val="21"/>
          <w:szCs w:val="21"/>
        </w:rPr>
      </w:pPr>
    </w:p>
    <w:p>
      <w:pPr>
        <w:pStyle w:val="BodyText"/>
        <w:spacing w:line="240" w:lineRule="auto"/>
        <w:ind w:left="634" w:right="940"/>
        <w:jc w:val="left"/>
      </w:pPr>
      <w:r>
        <w:rPr>
          <w:rFonts w:ascii="宋体" w:hAnsi="宋体" w:cs="宋体" w:eastAsia="宋体" w:hint="default"/>
        </w:rPr>
        <w:t>2.</w:t>
      </w:r>
      <w:r>
        <w:rPr/>
        <w:t>评价管理层聘请的外部评估专家的胜任能力、专业素质和客观性；</w:t>
      </w:r>
    </w:p>
    <w:p>
      <w:pPr>
        <w:spacing w:line="240" w:lineRule="auto" w:before="4"/>
        <w:rPr>
          <w:rFonts w:ascii="宋体" w:hAnsi="宋体" w:cs="宋体" w:eastAsia="宋体" w:hint="default"/>
          <w:sz w:val="21"/>
          <w:szCs w:val="21"/>
        </w:rPr>
      </w:pPr>
    </w:p>
    <w:p>
      <w:pPr>
        <w:pStyle w:val="BodyText"/>
        <w:spacing w:line="364" w:lineRule="auto"/>
        <w:ind w:right="940" w:firstLine="480"/>
        <w:jc w:val="left"/>
      </w:pPr>
      <w:r>
        <w:rPr>
          <w:rFonts w:ascii="宋体" w:hAnsi="宋体" w:cs="宋体" w:eastAsia="宋体" w:hint="default"/>
          <w:spacing w:val="-1"/>
        </w:rPr>
        <w:t>3.</w:t>
      </w:r>
      <w:r>
        <w:rPr>
          <w:spacing w:val="-1"/>
        </w:rPr>
        <w:t>复核管理层、外部评估专家商誉减值测试时使用的方法、关键性假设，评价使用的方法、关键性假设的合理性；复</w:t>
      </w:r>
      <w:r>
        <w:rPr/>
        <w:t> 核外部评估专家出具的评估报告；</w:t>
      </w:r>
    </w:p>
    <w:p>
      <w:pPr>
        <w:spacing w:line="240" w:lineRule="auto" w:before="2"/>
        <w:rPr>
          <w:rFonts w:ascii="宋体" w:hAnsi="宋体" w:cs="宋体" w:eastAsia="宋体" w:hint="default"/>
          <w:sz w:val="14"/>
          <w:szCs w:val="14"/>
        </w:rPr>
      </w:pPr>
    </w:p>
    <w:p>
      <w:pPr>
        <w:pStyle w:val="BodyText"/>
        <w:spacing w:line="525" w:lineRule="auto"/>
        <w:ind w:left="634" w:right="4512"/>
        <w:jc w:val="left"/>
        <w:rPr>
          <w:rFonts w:ascii="宋体" w:hAnsi="宋体" w:cs="宋体" w:eastAsia="宋体" w:hint="default"/>
        </w:rPr>
      </w:pPr>
      <w:r>
        <w:rPr>
          <w:rFonts w:ascii="宋体" w:hAnsi="宋体" w:cs="宋体" w:eastAsia="宋体" w:hint="default"/>
        </w:rPr>
        <w:t>4.</w:t>
      </w:r>
      <w:r>
        <w:rPr/>
        <w:t>检查与商誉减值相关的信息是否已在财务报表中作出恰当列报和披露。 </w:t>
      </w:r>
      <w:r>
        <w:rPr>
          <w:rFonts w:ascii="宋体" w:hAnsi="宋体" w:cs="宋体" w:eastAsia="宋体" w:hint="default"/>
          <w:b/>
          <w:bCs/>
        </w:rPr>
        <w:t>四、其他信息</w:t>
      </w:r>
      <w:r>
        <w:rPr>
          <w:rFonts w:ascii="宋体" w:hAnsi="宋体" w:cs="宋体" w:eastAsia="宋体" w:hint="default"/>
        </w:rPr>
      </w:r>
    </w:p>
    <w:p>
      <w:pPr>
        <w:pStyle w:val="BodyText"/>
        <w:spacing w:line="364" w:lineRule="auto" w:before="65"/>
        <w:ind w:right="940" w:firstLine="480"/>
        <w:jc w:val="left"/>
      </w:pPr>
      <w:r>
        <w:rPr>
          <w:spacing w:val="-1"/>
        </w:rPr>
        <w:t>贵公司管理层（以下简称“管理层”）对其他信息负责。其他信息包括年度报告中涵盖的信息，但不包括财务报表和</w:t>
      </w:r>
      <w:r>
        <w:rPr/>
        <w:t> 我们的审计报告。</w:t>
      </w:r>
    </w:p>
    <w:p>
      <w:pPr>
        <w:spacing w:line="240" w:lineRule="auto" w:before="2"/>
        <w:rPr>
          <w:rFonts w:ascii="宋体" w:hAnsi="宋体" w:cs="宋体" w:eastAsia="宋体" w:hint="default"/>
          <w:sz w:val="14"/>
          <w:szCs w:val="14"/>
        </w:rPr>
      </w:pPr>
    </w:p>
    <w:p>
      <w:pPr>
        <w:pStyle w:val="BodyText"/>
        <w:spacing w:line="240" w:lineRule="auto"/>
        <w:ind w:left="634" w:right="940"/>
        <w:jc w:val="left"/>
      </w:pPr>
      <w:r>
        <w:rPr/>
        <w:t>我们对财务报表发表的审计意见不涵盖其他信息，我们也不对其他信息发表任何形式的鉴证结论。</w:t>
      </w:r>
    </w:p>
    <w:p>
      <w:pPr>
        <w:spacing w:line="240" w:lineRule="auto" w:before="4"/>
        <w:rPr>
          <w:rFonts w:ascii="宋体" w:hAnsi="宋体" w:cs="宋体" w:eastAsia="宋体" w:hint="default"/>
          <w:sz w:val="21"/>
          <w:szCs w:val="21"/>
        </w:rPr>
      </w:pPr>
    </w:p>
    <w:p>
      <w:pPr>
        <w:pStyle w:val="BodyText"/>
        <w:spacing w:line="364" w:lineRule="auto"/>
        <w:ind w:right="940" w:firstLine="480"/>
        <w:jc w:val="left"/>
      </w:pPr>
      <w:r>
        <w:rPr>
          <w:spacing w:val="-1"/>
        </w:rPr>
        <w:t>结合我们对财务报表的审计，我们的责任是阅读其他信息，在此过程中，考虑其他信息是否与财务报表或我们在审计</w:t>
      </w:r>
      <w:r>
        <w:rPr/>
        <w:t> 过程中了解到的情况存在重大不一致或者似乎存在重大错报。</w:t>
      </w:r>
    </w:p>
    <w:p>
      <w:pPr>
        <w:spacing w:line="240" w:lineRule="auto" w:before="3"/>
        <w:rPr>
          <w:rFonts w:ascii="宋体" w:hAnsi="宋体" w:cs="宋体" w:eastAsia="宋体" w:hint="default"/>
          <w:sz w:val="14"/>
          <w:szCs w:val="14"/>
        </w:rPr>
      </w:pPr>
    </w:p>
    <w:p>
      <w:pPr>
        <w:pStyle w:val="BodyText"/>
        <w:spacing w:line="364" w:lineRule="auto"/>
        <w:ind w:right="940" w:firstLine="480"/>
        <w:jc w:val="left"/>
      </w:pPr>
      <w:r>
        <w:rPr>
          <w:spacing w:val="-1"/>
        </w:rPr>
        <w:t>基于我们已执行的工作，如果我们确定其他信息存在重大错报，我们应当报告该事实。在这方面，我们无任何事项需</w:t>
      </w:r>
      <w:r>
        <w:rPr/>
        <w:t> 要报告。</w:t>
      </w:r>
    </w:p>
    <w:p>
      <w:pPr>
        <w:spacing w:line="240" w:lineRule="auto" w:before="2"/>
        <w:rPr>
          <w:rFonts w:ascii="宋体" w:hAnsi="宋体" w:cs="宋体" w:eastAsia="宋体" w:hint="default"/>
          <w:sz w:val="14"/>
          <w:szCs w:val="14"/>
        </w:rPr>
      </w:pPr>
    </w:p>
    <w:p>
      <w:pPr>
        <w:pStyle w:val="Heading6"/>
        <w:spacing w:line="240" w:lineRule="auto"/>
        <w:ind w:left="716" w:right="940"/>
        <w:jc w:val="left"/>
        <w:rPr>
          <w:b w:val="0"/>
          <w:bCs w:val="0"/>
        </w:rPr>
      </w:pPr>
      <w:r>
        <w:rPr/>
        <w:t>五、管理层和治理层对财务报表的责任</w:t>
      </w:r>
      <w:r>
        <w:rPr>
          <w:b w:val="0"/>
          <w:bCs w:val="0"/>
        </w:rPr>
      </w:r>
    </w:p>
    <w:p>
      <w:pPr>
        <w:spacing w:line="240" w:lineRule="auto" w:before="4"/>
        <w:rPr>
          <w:rFonts w:ascii="宋体" w:hAnsi="宋体" w:cs="宋体" w:eastAsia="宋体" w:hint="default"/>
          <w:b/>
          <w:bCs/>
          <w:sz w:val="21"/>
          <w:szCs w:val="21"/>
        </w:rPr>
      </w:pPr>
    </w:p>
    <w:p>
      <w:pPr>
        <w:pStyle w:val="BodyText"/>
        <w:spacing w:line="364" w:lineRule="auto"/>
        <w:ind w:right="940" w:firstLine="480"/>
        <w:jc w:val="left"/>
      </w:pPr>
      <w:r>
        <w:rPr>
          <w:spacing w:val="-1"/>
        </w:rPr>
        <w:t>贵公司管理层（以下简称管理层）负责按照企业会计准则的规定编制财务报表，使其实现公允反映，并设计、执行和</w:t>
      </w:r>
      <w:r>
        <w:rPr/>
        <w:t> 维护必要的内部控制，以使财务报表不存在由于舞弊或错误导致的重大错报。</w:t>
      </w:r>
    </w:p>
    <w:p>
      <w:pPr>
        <w:pStyle w:val="BodyText"/>
        <w:spacing w:line="364" w:lineRule="auto" w:before="29"/>
        <w:ind w:right="940" w:firstLine="480"/>
        <w:jc w:val="left"/>
      </w:pPr>
      <w:r>
        <w:rPr>
          <w:spacing w:val="-1"/>
        </w:rPr>
        <w:t>在编制财务报表时，管理层负责评估贵公司的持续经营能力，披露与持续经营相关的事项（如适用），并运用持续经</w:t>
      </w:r>
      <w:r>
        <w:rPr/>
        <w:t> 营假设，除非管理层计划清算贵公司、终止运营或别无其他现实的选择。</w:t>
      </w:r>
    </w:p>
    <w:p>
      <w:pPr>
        <w:spacing w:line="525" w:lineRule="auto" w:before="29"/>
        <w:ind w:left="716" w:right="7032" w:hanging="82"/>
        <w:jc w:val="left"/>
        <w:rPr>
          <w:rFonts w:ascii="宋体" w:hAnsi="宋体" w:cs="宋体" w:eastAsia="宋体" w:hint="default"/>
          <w:sz w:val="18"/>
          <w:szCs w:val="18"/>
        </w:rPr>
      </w:pPr>
      <w:r>
        <w:rPr>
          <w:rFonts w:ascii="宋体" w:hAnsi="宋体" w:cs="宋体" w:eastAsia="宋体" w:hint="default"/>
          <w:sz w:val="18"/>
          <w:szCs w:val="18"/>
        </w:rPr>
        <w:t>治理层负责监督贵公司的财务报告过程。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64" w:lineRule="auto" w:before="65"/>
        <w:ind w:right="1131" w:firstLine="480"/>
        <w:jc w:val="both"/>
      </w:pPr>
      <w:r>
        <w:rPr>
          <w:spacing w:val="-1"/>
        </w:rPr>
        <w:t>我们的目标是对财务报表整体是否不存在由于舞弊或错误导致的重大错报获取合理保证，并出具包含审计意见的审计</w:t>
      </w:r>
      <w:r>
        <w:rPr/>
        <w:t> </w:t>
      </w: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spacing w:line="240" w:lineRule="auto" w:before="2"/>
        <w:rPr>
          <w:rFonts w:ascii="宋体" w:hAnsi="宋体" w:cs="宋体" w:eastAsia="宋体" w:hint="default"/>
          <w:sz w:val="14"/>
          <w:szCs w:val="14"/>
        </w:rPr>
      </w:pPr>
    </w:p>
    <w:p>
      <w:pPr>
        <w:pStyle w:val="BodyText"/>
        <w:spacing w:line="240" w:lineRule="auto"/>
        <w:ind w:left="634" w:right="940"/>
        <w:jc w:val="left"/>
      </w:pPr>
      <w:r>
        <w:rPr/>
        <w:t>在按照审计准则执行审计工作的过程中，我们运用职业判断，并保持职业怀疑。同时，我们也执行以下工作：</w:t>
      </w:r>
    </w:p>
    <w:p>
      <w:pPr>
        <w:spacing w:line="240" w:lineRule="auto" w:before="5"/>
        <w:rPr>
          <w:rFonts w:ascii="宋体" w:hAnsi="宋体" w:cs="宋体" w:eastAsia="宋体" w:hint="default"/>
          <w:sz w:val="21"/>
          <w:szCs w:val="21"/>
        </w:rPr>
      </w:pPr>
    </w:p>
    <w:p>
      <w:pPr>
        <w:pStyle w:val="BodyText"/>
        <w:spacing w:line="364" w:lineRule="auto"/>
        <w:ind w:right="1032" w:firstLine="480"/>
        <w:jc w:val="left"/>
      </w:pPr>
      <w:r>
        <w:rPr>
          <w:spacing w:val="-4"/>
        </w:rPr>
        <w:t>（一）识别和评估由于舞弊或错误导致的财务报表重大错报风险，设计和实施审计程序以应对这些风险，并获取充分、</w:t>
      </w:r>
      <w:r>
        <w:rPr/>
        <w:t> 适当的审计证据，作为发表审计意见的基础。由于舞弊可能涉及串通、伪造、故意遗漏、虚假陈述或凌驾于内部控制之上，</w:t>
      </w:r>
      <w:r>
        <w:rPr>
          <w:spacing w:val="-85"/>
        </w:rPr>
        <w:t> </w:t>
      </w:r>
      <w:r>
        <w:rPr>
          <w:spacing w:val="-85"/>
        </w:rPr>
      </w:r>
      <w:r>
        <w:rPr/>
        <w:t>未能发现由于舞弊导致的重大错报的风险高于未能发现由于错误导致的重大错报的风险。</w:t>
      </w:r>
    </w:p>
    <w:p>
      <w:pPr>
        <w:spacing w:after="0" w:line="364" w:lineRule="auto"/>
        <w:jc w:val="left"/>
        <w:sectPr>
          <w:pgSz w:w="11910" w:h="16840"/>
          <w:pgMar w:header="0"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7"/>
        <w:ind w:left="634" w:right="940"/>
        <w:jc w:val="left"/>
      </w:pPr>
      <w:r>
        <w:rPr/>
        <w:t>（二）了解与审计相关的内部控制，以设计恰当的审计程序。</w:t>
      </w:r>
    </w:p>
    <w:p>
      <w:pPr>
        <w:spacing w:line="240" w:lineRule="auto" w:before="4"/>
        <w:rPr>
          <w:rFonts w:ascii="宋体" w:hAnsi="宋体" w:cs="宋体" w:eastAsia="宋体" w:hint="default"/>
          <w:sz w:val="21"/>
          <w:szCs w:val="21"/>
        </w:rPr>
      </w:pPr>
    </w:p>
    <w:p>
      <w:pPr>
        <w:pStyle w:val="BodyText"/>
        <w:spacing w:line="240" w:lineRule="auto"/>
        <w:ind w:left="634" w:right="940"/>
        <w:jc w:val="left"/>
      </w:pPr>
      <w:r>
        <w:rPr/>
        <w:t>（三）评价管理层选用会计政策的恰当性和作出会计估计及相关披露的合理性。</w:t>
      </w:r>
    </w:p>
    <w:p>
      <w:pPr>
        <w:spacing w:line="240" w:lineRule="auto" w:before="5"/>
        <w:rPr>
          <w:rFonts w:ascii="宋体" w:hAnsi="宋体" w:cs="宋体" w:eastAsia="宋体" w:hint="default"/>
          <w:sz w:val="21"/>
          <w:szCs w:val="21"/>
        </w:rPr>
      </w:pPr>
    </w:p>
    <w:p>
      <w:pPr>
        <w:pStyle w:val="BodyText"/>
        <w:spacing w:line="364" w:lineRule="auto"/>
        <w:ind w:right="1132" w:firstLine="480"/>
        <w:jc w:val="both"/>
      </w:pPr>
      <w:r>
        <w:rPr>
          <w:spacing w:val="-1"/>
        </w:rPr>
        <w:t>（四）对管理层使用持续经营假设的恰当性得出结论。同时，根据获取的审计证据，就可能导致对贵公司持续经营能</w:t>
      </w:r>
      <w:r>
        <w:rPr/>
        <w:t>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于截至审计报告日可获得的信息。然而，未来的事项或情况可能导致贵公司不能持续经营。</w:t>
      </w:r>
    </w:p>
    <w:p>
      <w:pPr>
        <w:spacing w:line="240" w:lineRule="auto" w:before="2"/>
        <w:rPr>
          <w:rFonts w:ascii="宋体" w:hAnsi="宋体" w:cs="宋体" w:eastAsia="宋体" w:hint="default"/>
          <w:sz w:val="14"/>
          <w:szCs w:val="14"/>
        </w:rPr>
      </w:pPr>
    </w:p>
    <w:p>
      <w:pPr>
        <w:pStyle w:val="BodyText"/>
        <w:spacing w:line="240" w:lineRule="auto"/>
        <w:ind w:left="634" w:right="940"/>
        <w:jc w:val="left"/>
      </w:pPr>
      <w:r>
        <w:rPr/>
        <w:t>（五）评价财务报表的总体列报、结构和内容（包括披露），并评价财务报表是否公允反映相关交易和事项。</w:t>
      </w:r>
    </w:p>
    <w:p>
      <w:pPr>
        <w:spacing w:line="240" w:lineRule="auto" w:before="4"/>
        <w:rPr>
          <w:rFonts w:ascii="宋体" w:hAnsi="宋体" w:cs="宋体" w:eastAsia="宋体" w:hint="default"/>
          <w:sz w:val="21"/>
          <w:szCs w:val="21"/>
        </w:rPr>
      </w:pPr>
    </w:p>
    <w:p>
      <w:pPr>
        <w:pStyle w:val="BodyText"/>
        <w:spacing w:line="364" w:lineRule="auto"/>
        <w:ind w:right="1133" w:firstLine="480"/>
        <w:jc w:val="both"/>
      </w:pPr>
      <w:r>
        <w:rPr>
          <w:spacing w:val="-1"/>
        </w:rPr>
        <w:t>（六）就贵公司中实体或业务活动的财务信息获取充分、适当的审计证据，以对财务报表发表审计意见。我们负责指</w:t>
      </w:r>
      <w:r>
        <w:rPr/>
        <w:t> 导、监督和执行集团审计，并对审计意见承担全部责任。</w:t>
      </w:r>
    </w:p>
    <w:p>
      <w:pPr>
        <w:spacing w:line="240" w:lineRule="auto" w:before="2"/>
        <w:rPr>
          <w:rFonts w:ascii="宋体" w:hAnsi="宋体" w:cs="宋体" w:eastAsia="宋体" w:hint="default"/>
          <w:sz w:val="14"/>
          <w:szCs w:val="14"/>
        </w:rPr>
      </w:pPr>
    </w:p>
    <w:p>
      <w:pPr>
        <w:pStyle w:val="BodyText"/>
        <w:spacing w:line="364" w:lineRule="auto"/>
        <w:ind w:right="1133" w:firstLine="480"/>
        <w:jc w:val="both"/>
      </w:pPr>
      <w:r>
        <w:rPr>
          <w:spacing w:val="-1"/>
        </w:rPr>
        <w:t>我们与治理层就计划的审计范围、时间安排和重大审计发现等事项进行沟通，包括沟通我们在审计中识别出的值得关</w:t>
      </w:r>
      <w:r>
        <w:rPr/>
        <w:t> 注的内部控制缺陷。</w:t>
      </w:r>
    </w:p>
    <w:p>
      <w:pPr>
        <w:spacing w:line="240" w:lineRule="auto" w:before="2"/>
        <w:rPr>
          <w:rFonts w:ascii="宋体" w:hAnsi="宋体" w:cs="宋体" w:eastAsia="宋体" w:hint="default"/>
          <w:sz w:val="14"/>
          <w:szCs w:val="14"/>
        </w:rPr>
      </w:pPr>
    </w:p>
    <w:p>
      <w:pPr>
        <w:pStyle w:val="BodyText"/>
        <w:spacing w:line="364" w:lineRule="auto"/>
        <w:ind w:right="1133" w:firstLine="480"/>
        <w:jc w:val="both"/>
      </w:pPr>
      <w:r>
        <w:rPr>
          <w:spacing w:val="-1"/>
        </w:rPr>
        <w:t>我们还就已遵守与独立性相关的职业道德要求向治理层提供声明，并与治理层沟通可能被合理认为影响我们独立性的</w:t>
      </w:r>
      <w:r>
        <w:rPr/>
        <w:t> 所有关系和其他事项，以及相关的防范措施（如适用）。</w:t>
      </w:r>
    </w:p>
    <w:p>
      <w:pPr>
        <w:spacing w:line="240" w:lineRule="auto" w:before="2"/>
        <w:rPr>
          <w:rFonts w:ascii="宋体" w:hAnsi="宋体" w:cs="宋体" w:eastAsia="宋体" w:hint="default"/>
          <w:sz w:val="14"/>
          <w:szCs w:val="14"/>
        </w:rPr>
      </w:pPr>
    </w:p>
    <w:p>
      <w:pPr>
        <w:pStyle w:val="BodyText"/>
        <w:spacing w:line="364" w:lineRule="auto"/>
        <w:ind w:right="1133" w:firstLine="480"/>
        <w:jc w:val="both"/>
      </w:pPr>
      <w:r>
        <w:rPr>
          <w:spacing w:val="-1"/>
        </w:rPr>
        <w:t>从与治理层沟通过的事项中，我们确定哪些事项对本期财务报表审计最为重要，因而构成关键审计事项。我们在审计</w:t>
      </w:r>
      <w:r>
        <w:rPr/>
        <w:t> </w:t>
      </w: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525" w:lineRule="auto"/>
        <w:ind w:left="7273" w:right="1113" w:hanging="541"/>
        <w:jc w:val="left"/>
      </w:pPr>
      <w:r>
        <w:rPr/>
        <w:t>希格玛会计师事务所（特殊普通合伙） 中国注册会计师：王侠、杨树杰</w:t>
      </w:r>
    </w:p>
    <w:p>
      <w:pPr>
        <w:pStyle w:val="BodyText"/>
        <w:spacing w:line="240" w:lineRule="auto" w:before="65"/>
        <w:ind w:left="0" w:right="2030"/>
        <w:jc w:val="right"/>
      </w:pP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29</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2"/>
        <w:spacing w:line="240" w:lineRule="auto"/>
        <w:ind w:right="940"/>
        <w:jc w:val="left"/>
        <w:rPr>
          <w:b w:val="0"/>
          <w:bCs w:val="0"/>
        </w:rPr>
      </w:pPr>
      <w:bookmarkStart w:name="二、财务报表" w:id="161"/>
      <w:bookmarkEnd w:id="161"/>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0"/>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940"/>
        <w:jc w:val="left"/>
        <w:rPr>
          <w:b w:val="0"/>
          <w:bCs w:val="0"/>
        </w:rPr>
      </w:pPr>
      <w:bookmarkStart w:name="1、合并资产负债表" w:id="162"/>
      <w:bookmarkEnd w:id="16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979" w:top="1500" w:bottom="1160" w:left="980" w:right="0"/>
        </w:sectPr>
      </w:pPr>
    </w:p>
    <w:p>
      <w:pPr>
        <w:pStyle w:val="BodyText"/>
        <w:spacing w:line="240" w:lineRule="auto" w:before="44"/>
        <w:ind w:right="-20"/>
        <w:jc w:val="left"/>
      </w:pPr>
      <w:r>
        <w:rPr/>
        <w:t>编制单位：西安环球印务股份有限公司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580" w:bottom="700" w:left="980" w:right="0"/>
          <w:cols w:num="3" w:equalWidth="0">
            <w:col w:w="3215" w:space="863"/>
            <w:col w:w="1639" w:space="3203"/>
            <w:col w:w="201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83"/>
        <w:gridCol w:w="3407"/>
        <w:gridCol w:w="2957"/>
      </w:tblGrid>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37" w:right="0"/>
              <w:jc w:val="left"/>
              <w:rPr>
                <w:rFonts w:ascii="Times New Roman" w:hAnsi="Times New Roman" w:cs="Times New Roman" w:eastAsia="Times New Roman" w:hint="default"/>
                <w:sz w:val="18"/>
                <w:szCs w:val="18"/>
              </w:rPr>
            </w:pPr>
            <w:r>
              <w:rPr>
                <w:rFonts w:ascii="Times New Roman"/>
                <w:sz w:val="18"/>
              </w:rPr>
              <w:t>154,833,478.74</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1" w:right="0"/>
              <w:jc w:val="left"/>
              <w:rPr>
                <w:rFonts w:ascii="Times New Roman" w:hAnsi="Times New Roman" w:cs="Times New Roman" w:eastAsia="Times New Roman" w:hint="default"/>
                <w:sz w:val="18"/>
                <w:szCs w:val="18"/>
              </w:rPr>
            </w:pPr>
            <w:r>
              <w:rPr>
                <w:rFonts w:ascii="Times New Roman"/>
                <w:sz w:val="18"/>
              </w:rPr>
              <w:t>133,348,582.02</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5"/>
        <w:rPr>
          <w:rFonts w:ascii="Times New Roman" w:hAnsi="Times New Roman" w:cs="Times New Roman" w:eastAsia="Times New Roman" w:hint="default"/>
          <w:sz w:val="17"/>
          <w:szCs w:val="17"/>
        </w:rPr>
      </w:pPr>
      <w:r>
        <w:rPr/>
        <w:pict>
          <v:shape style="position:absolute;margin-left:57.029999pt;margin-top:77.459984pt;width:478.6pt;height:680.4pt;mso-position-horizontal-relative:page;mso-position-vertical-relative:page;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1"/>
                    <w:gridCol w:w="3418"/>
                    <w:gridCol w:w="2968"/>
                  </w:tblGrid>
                  <w:tr>
                    <w:trPr>
                      <w:trHeight w:val="414" w:hRule="exact"/>
                    </w:trPr>
                    <w:tc>
                      <w:tcPr>
                        <w:tcW w:w="3171"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10" w:space="0" w:color="000000"/>
                          <w:left w:val="single" w:sz="13" w:space="0" w:color="D2D2D2"/>
                          <w:bottom w:val="single" w:sz="4" w:space="0" w:color="000000"/>
                          <w:right w:val="single" w:sz="4" w:space="0" w:color="000000"/>
                        </w:tcBorders>
                      </w:tcPr>
                      <w:p>
                        <w:pPr/>
                      </w:p>
                    </w:tc>
                    <w:tc>
                      <w:tcPr>
                        <w:tcW w:w="2968"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211,596,134.03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155,176,662.90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54,868,744.11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30,908,516.58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156,727,389.92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124,268,146.32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27,833,550.02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1,625,282.97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1,645,343.25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3,676,830.22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2,210,308.58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74,774,130.50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86,954,430.60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1,936,688.21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9,967.44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472,619,324.75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380,791,756.15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71,907,638.55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66,133,080.25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274,538,573.54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264,271,572.23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16,807,534.38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22,915,440.57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29,594,974.30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27,188,553.21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6,141,509.20</w:t>
                        </w:r>
                      </w:p>
                    </w:tc>
                    <w:tc>
                      <w:tcPr>
                        <w:tcW w:w="296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0" w:footer="979" w:top="1560" w:bottom="1160" w:left="1040" w:right="0"/>
        </w:sectPr>
      </w:pPr>
    </w:p>
    <w:p>
      <w:pPr>
        <w:spacing w:line="240" w:lineRule="auto" w:before="5"/>
        <w:rPr>
          <w:rFonts w:ascii="Times New Roman" w:hAnsi="Times New Roman" w:cs="Times New Roman" w:eastAsia="Times New Roman" w:hint="default"/>
          <w:sz w:val="17"/>
          <w:szCs w:val="17"/>
        </w:rPr>
      </w:pPr>
      <w:r>
        <w:rPr/>
        <w:pict>
          <v:shape style="position:absolute;margin-left:57.029999pt;margin-top:77.459984pt;width:478.6pt;height:680.4pt;mso-position-horizontal-relative:page;mso-position-vertical-relative:page;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1"/>
                    <w:gridCol w:w="3418"/>
                    <w:gridCol w:w="2968"/>
                  </w:tblGrid>
                  <w:tr>
                    <w:trPr>
                      <w:trHeight w:val="414" w:hRule="exact"/>
                    </w:trPr>
                    <w:tc>
                      <w:tcPr>
                        <w:tcW w:w="3171"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10"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108,279,350.96</w:t>
                        </w:r>
                      </w:p>
                    </w:tc>
                    <w:tc>
                      <w:tcPr>
                        <w:tcW w:w="29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182,522.18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5,631,556.49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1,651,184.62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2,995,735.42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2,007,040.07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515,896,872.84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384,349,393.13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988,516,197.59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765,141,149.28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110,258,679.54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121,992,465.89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168,815,427.64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96,803,862.41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3,132,964.25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3,009,778.11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10,532,309.94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6,760,189.53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6,795,575.72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1,297,252.58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121,504,332.99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4,662,257.09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949,697.37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116,727.00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12,811,639.24</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421,039,290.08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234,525,805.61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0" w:footer="979" w:top="1560" w:bottom="1160" w:left="10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pStyle w:val="BodyText"/>
        <w:tabs>
          <w:tab w:pos="3510" w:val="left" w:leader="none"/>
          <w:tab w:pos="7561" w:val="left" w:leader="none"/>
        </w:tabs>
        <w:spacing w:line="240" w:lineRule="auto"/>
        <w:ind w:left="0" w:right="1229"/>
        <w:jc w:val="right"/>
      </w:pPr>
      <w:r>
        <w:rPr/>
        <w:pict>
          <v:shape style="position:absolute;margin-left:57.029999pt;margin-top:-539.668274pt;width:478.6pt;height:524.1pt;mso-position-horizontal-relative:page;mso-position-vertical-relative:paragraph;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1"/>
                    <w:gridCol w:w="3418"/>
                    <w:gridCol w:w="2968"/>
                  </w:tblGrid>
                  <w:tr>
                    <w:trPr>
                      <w:trHeight w:val="414" w:hRule="exact"/>
                    </w:trPr>
                    <w:tc>
                      <w:tcPr>
                        <w:tcW w:w="3171"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10" w:space="0" w:color="000000"/>
                          <w:left w:val="single" w:sz="13" w:space="0" w:color="D2D2D2"/>
                          <w:bottom w:val="single" w:sz="4" w:space="0" w:color="000000"/>
                          <w:right w:val="single" w:sz="4" w:space="0" w:color="000000"/>
                        </w:tcBorders>
                      </w:tcPr>
                      <w:p>
                        <w:pPr/>
                      </w:p>
                    </w:tc>
                    <w:tc>
                      <w:tcPr>
                        <w:tcW w:w="2968"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7,112.40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12,625.86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123,112.40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12,625.86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421,162,402.48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234,538,431.47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148,360,803.28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148,359,523.47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33,252,946.03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30,936,160.02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212,084,749.89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189,429,452.11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543,698,499.20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518,725,135.60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23,655,295.91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11,877,582.21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567,353,795.11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530,602,717.81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988,516,197.59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765,141,149.28</w:t>
                        </w:r>
                      </w:p>
                    </w:tc>
                  </w:tr>
                </w:tbl>
                <w:p>
                  <w:pPr/>
                </w:p>
              </w:txbxContent>
            </v:textbox>
            <w10:wrap type="none"/>
          </v:shape>
        </w:pict>
      </w:r>
      <w:r>
        <w:rPr/>
        <w:t>法定代表人：李移岭</w:t>
        <w:tab/>
        <w:t>主管会计工作负责人：林蔚</w:t>
        <w:tab/>
        <w:t>会计机构负责人：夏美莹</w:t>
      </w:r>
    </w:p>
    <w:p>
      <w:pPr>
        <w:spacing w:line="240" w:lineRule="auto" w:before="10"/>
        <w:rPr>
          <w:rFonts w:ascii="宋体" w:hAnsi="宋体" w:cs="宋体" w:eastAsia="宋体" w:hint="default"/>
          <w:sz w:val="26"/>
          <w:szCs w:val="26"/>
        </w:rPr>
      </w:pPr>
    </w:p>
    <w:p>
      <w:pPr>
        <w:pStyle w:val="Heading4"/>
        <w:spacing w:line="240" w:lineRule="auto"/>
        <w:ind w:left="114" w:right="1360"/>
        <w:jc w:val="left"/>
        <w:rPr>
          <w:b w:val="0"/>
          <w:bCs w:val="0"/>
        </w:rPr>
      </w:pPr>
      <w:bookmarkStart w:name="2、母公司资产负债表" w:id="163"/>
      <w:bookmarkEnd w:id="16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3290"/>
        <w:gridCol w:w="3302"/>
        <w:gridCol w:w="2955"/>
      </w:tblGrid>
      <w:tr>
        <w:trPr>
          <w:trHeight w:val="403"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99,711,569.66</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78,646,816.76</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560" w:bottom="1160" w:left="1020" w:right="0"/>
        </w:sectPr>
      </w:pPr>
    </w:p>
    <w:p>
      <w:pPr>
        <w:spacing w:line="240" w:lineRule="auto" w:before="5"/>
        <w:rPr>
          <w:rFonts w:ascii="Times New Roman" w:hAnsi="Times New Roman" w:cs="Times New Roman" w:eastAsia="Times New Roman" w:hint="default"/>
          <w:sz w:val="17"/>
          <w:szCs w:val="17"/>
        </w:rPr>
      </w:pPr>
      <w:r>
        <w:rPr/>
        <w:pict>
          <v:shape style="position:absolute;margin-left:57.029999pt;margin-top:77.459984pt;width:478.6pt;height:680.4pt;mso-position-horizontal-relative:page;mso-position-vertical-relative:page;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78"/>
                    <w:gridCol w:w="3314"/>
                    <w:gridCol w:w="2966"/>
                  </w:tblGrid>
                  <w:tr>
                    <w:trPr>
                      <w:trHeight w:val="726" w:hRule="exact"/>
                    </w:trPr>
                    <w:tc>
                      <w:tcPr>
                        <w:tcW w:w="327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10" w:space="0" w:color="000000"/>
                          <w:left w:val="single" w:sz="10" w:space="0" w:color="D2D2D2"/>
                          <w:bottom w:val="single" w:sz="4" w:space="0" w:color="000000"/>
                          <w:right w:val="single" w:sz="4" w:space="0" w:color="000000"/>
                        </w:tcBorders>
                      </w:tcPr>
                      <w:p>
                        <w:pPr/>
                      </w:p>
                    </w:tc>
                    <w:tc>
                      <w:tcPr>
                        <w:tcW w:w="2966"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164,381,634.05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130,863,480.68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50,470,224.02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28,296,885.25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113,911,410.03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102,566,595.43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10,979,221.03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14,861,552.51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7,878,303.13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10,922,593.49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2,210,308.58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39,382,739.96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54,516,559.97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322,333,467.83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289,811,003.41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402,736,464.93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265,101,906.63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110,029,782.92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115,797,235.73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8,962,084.66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7,292,157.65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12,024,656.97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12,479,926.43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4,115,438.19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422,435.34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977,192.64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859,535.34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538,845,620.31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401,953,197.12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861,179,088.14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691,764,200.53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0" w:footer="979" w:top="1560" w:bottom="1160" w:left="1040" w:right="0"/>
        </w:sectPr>
      </w:pPr>
    </w:p>
    <w:p>
      <w:pPr>
        <w:spacing w:line="240" w:lineRule="auto" w:before="5"/>
        <w:rPr>
          <w:rFonts w:ascii="Times New Roman" w:hAnsi="Times New Roman" w:cs="Times New Roman" w:eastAsia="Times New Roman" w:hint="default"/>
          <w:sz w:val="17"/>
          <w:szCs w:val="17"/>
        </w:rPr>
      </w:pPr>
      <w:r>
        <w:rPr/>
        <w:pict>
          <v:shape style="position:absolute;margin-left:57.029999pt;margin-top:77.459984pt;width:478.6pt;height:680.4pt;mso-position-horizontal-relative:page;mso-position-vertical-relative:page;z-index:2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78"/>
                    <w:gridCol w:w="3314"/>
                    <w:gridCol w:w="2966"/>
                  </w:tblGrid>
                  <w:tr>
                    <w:trPr>
                      <w:trHeight w:val="414" w:hRule="exact"/>
                    </w:trPr>
                    <w:tc>
                      <w:tcPr>
                        <w:tcW w:w="327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10" w:space="0" w:color="000000"/>
                          <w:left w:val="single" w:sz="10"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93,826,679.54</w:t>
                        </w:r>
                      </w:p>
                    </w:tc>
                    <w:tc>
                      <w:tcPr>
                        <w:tcW w:w="296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110,098,146.15</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128,149,392.11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70,444,499.09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1,407,061.15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1,362,439.97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5,736,706.87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4,561,359.25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2,295,133.57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1,452,997.10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105,884,139.75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3,132,643.93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883,208.60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116,727.00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337,299,112.99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191,052,085.49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337,299,112.99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191,052,085.49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147,940,922.48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147,940,922.48</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0" w:footer="979" w:top="1560" w:bottom="1160" w:left="1040" w:right="0"/>
        </w:sectPr>
      </w:pPr>
    </w:p>
    <w:p>
      <w:pPr>
        <w:spacing w:line="240" w:lineRule="auto" w:before="10"/>
        <w:rPr>
          <w:rFonts w:ascii="Times New Roman" w:hAnsi="Times New Roman" w:cs="Times New Roman" w:eastAsia="Times New Roman"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290"/>
        <w:gridCol w:w="3314"/>
        <w:gridCol w:w="2966"/>
      </w:tblGrid>
      <w:tr>
        <w:trPr>
          <w:trHeight w:val="414" w:hRule="exact"/>
        </w:trPr>
        <w:tc>
          <w:tcPr>
            <w:tcW w:w="329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10" w:space="0" w:color="000000"/>
              <w:left w:val="single" w:sz="10" w:space="0" w:color="D2D2D2"/>
              <w:bottom w:val="single" w:sz="4" w:space="0" w:color="000000"/>
              <w:right w:val="single" w:sz="4" w:space="0" w:color="000000"/>
            </w:tcBorders>
          </w:tcPr>
          <w:p>
            <w:pPr/>
          </w:p>
        </w:tc>
        <w:tc>
          <w:tcPr>
            <w:tcW w:w="2966"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33,252,946.03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30,936,160.02</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192,686,106.64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171,835,032.54</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523,879,975.15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500,712,115.04</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861,179,088.14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691,764,200.53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4" w:right="1360"/>
        <w:jc w:val="left"/>
        <w:rPr>
          <w:b w:val="0"/>
          <w:bCs w:val="0"/>
        </w:rPr>
      </w:pPr>
      <w:bookmarkStart w:name="3、合并利润表" w:id="164"/>
      <w:bookmarkEnd w:id="16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555,124,332.86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438,211,497.30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555,124,332.86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438,211,497.30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527,290,130.29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418,401,438.37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440,101,797.23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352,100,780.08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6,223,830.96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5,216,734.04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30,806,363.88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29,137,507.28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23,329,108.21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20,765,985.96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16,112,860.63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7,399,093.46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8,415,655.88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2,700,887.60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9,494,720.51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3,189,493.65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1,152,080.54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842,089.58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2,300,513.50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1,080,449.95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1,934,200.00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2,849,756.00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500" w:bottom="1160" w:left="1020" w:right="0"/>
        </w:sectPr>
      </w:pPr>
    </w:p>
    <w:tbl>
      <w:tblPr>
        <w:tblW w:w="0" w:type="auto"/>
        <w:jc w:val="left"/>
        <w:tblInd w:w="109" w:type="dxa"/>
        <w:tblLayout w:type="fixed"/>
        <w:tblCellMar>
          <w:top w:w="0" w:type="dxa"/>
          <w:left w:w="0" w:type="dxa"/>
          <w:bottom w:w="0" w:type="dxa"/>
          <w:right w:w="0" w:type="dxa"/>
        </w:tblCellMar>
        <w:tblLook w:val="01E0"/>
      </w:tblPr>
      <w:tblGrid>
        <w:gridCol w:w="2967"/>
        <w:gridCol w:w="3301"/>
        <w:gridCol w:w="3300"/>
      </w:tblGrid>
      <w:tr>
        <w:trPr>
          <w:trHeight w:val="726" w:hRule="exact"/>
        </w:trPr>
        <w:tc>
          <w:tcPr>
            <w:tcW w:w="296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5,774,558.30</w:t>
            </w:r>
          </w:p>
        </w:tc>
        <w:tc>
          <w:tcPr>
            <w:tcW w:w="33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5,232,540.18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5,774,558.30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5,232,540.18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-648,732.03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-1,114,287.69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34,894,228.84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26,778,067.42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66,991.47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979,326.50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53,058.01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34,714,902.34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26,792,000.88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3,663,889.68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4,374,830.01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31,051,012.66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22,417,170.87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31,051,012.66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22,417,170.87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28,112,269.71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22,608,687.67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2,938,742.95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w w:val="95"/>
                <w:sz w:val="18"/>
              </w:rPr>
              <w:t>-191,516.80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2" w:right="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2" w:right="54"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540" w:bottom="1160" w:left="1020" w:right="0"/>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2945"/>
        <w:gridCol w:w="3312"/>
        <w:gridCol w:w="3300"/>
      </w:tblGrid>
      <w:tr>
        <w:trPr>
          <w:trHeight w:val="373"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1" w:right="0"/>
              <w:jc w:val="left"/>
              <w:rPr>
                <w:rFonts w:ascii="宋体" w:hAnsi="宋体" w:cs="宋体" w:eastAsia="宋体" w:hint="default"/>
                <w:sz w:val="18"/>
                <w:szCs w:val="18"/>
              </w:rPr>
            </w:pPr>
            <w:r>
              <w:rPr>
                <w:rFonts w:ascii="宋体" w:hAnsi="宋体" w:cs="宋体" w:eastAsia="宋体" w:hint="default"/>
                <w:sz w:val="18"/>
                <w:szCs w:val="18"/>
              </w:rPr>
              <w:t>价值变动损益</w:t>
            </w:r>
          </w:p>
        </w:tc>
        <w:tc>
          <w:tcPr>
            <w:tcW w:w="3312" w:type="dxa"/>
            <w:tcBorders>
              <w:top w:val="single" w:sz="10" w:space="0" w:color="000000"/>
              <w:left w:val="single" w:sz="13" w:space="0" w:color="D2D2D2"/>
              <w:bottom w:val="single" w:sz="4" w:space="0" w:color="000000"/>
              <w:right w:val="single" w:sz="4" w:space="0" w:color="000000"/>
            </w:tcBorders>
          </w:tcPr>
          <w:p>
            <w:pPr/>
          </w:p>
        </w:tc>
        <w:tc>
          <w:tcPr>
            <w:tcW w:w="3300" w:type="dxa"/>
            <w:tcBorders>
              <w:top w:val="single" w:sz="10"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31,051,012.66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22,417,170.87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28,112,269.71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22,608,687.67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2,938,742.95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-191,516.80</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0.15</w:t>
            </w:r>
          </w:p>
        </w:tc>
      </w:tr>
    </w:tbl>
    <w:p>
      <w:pPr>
        <w:pStyle w:val="BodyText"/>
        <w:tabs>
          <w:tab w:pos="3624" w:val="left" w:leader="none"/>
          <w:tab w:pos="7675" w:val="left" w:leader="none"/>
        </w:tabs>
        <w:spacing w:line="592" w:lineRule="auto" w:before="51"/>
        <w:ind w:left="114"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法定代表人：李移岭</w:t>
        <w:tab/>
        <w:t>主管会计工作负责人：林蔚</w:t>
        <w:tab/>
        <w:t>会计机构负责人：夏美莹 </w:t>
      </w:r>
      <w:bookmarkStart w:name="4、母公司利润表" w:id="165"/>
      <w:bookmarkEnd w:id="16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384,377,246.21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355,392,271.97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305,362,074.22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290,844,381.81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3,854,686.46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2,752,140.83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24,096,744.89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22,103,634.78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15,596,488.53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13,993,367.88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11,130,648.12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5,736,497.54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4,967,530.77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2,309,808.45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61"/>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4,225,187.99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1,782,699.84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61"/>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742,342.78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527,108.61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784,382.01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150,172.50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945,200.00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2,461,300.00</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5,774,558.30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5,232,540.18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500" w:bottom="1160" w:left="1020" w:right="0"/>
        </w:sect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726" w:hRule="exact"/>
        </w:trPr>
        <w:tc>
          <w:tcPr>
            <w:tcW w:w="296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5,774,558.30</w:t>
            </w:r>
          </w:p>
        </w:tc>
        <w:tc>
          <w:tcPr>
            <w:tcW w:w="33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5,232,540.18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-491,264.17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-725,290.04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24,813,185.34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24,470,818.32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63,991.47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12,000.00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z w:val="18"/>
              </w:rPr>
              <w:t>0.01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24,801,185.34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24,534,809.78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1,633,325.23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2,492,315.02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23,167,860.11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22,042,494.76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23,167,860.11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22,042,494.76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7"/>
              <w:ind w:left="22" w:right="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2" w:right="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23,167,860.11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22,042,494.76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540" w:bottom="1160" w:left="1020" w:right="0"/>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2943"/>
        <w:gridCol w:w="3314"/>
        <w:gridCol w:w="3300"/>
      </w:tblGrid>
      <w:tr>
        <w:trPr>
          <w:trHeight w:val="414" w:hRule="exact"/>
        </w:trPr>
        <w:tc>
          <w:tcPr>
            <w:tcW w:w="294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10"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bl>
    <w:p>
      <w:pPr>
        <w:spacing w:line="240" w:lineRule="auto" w:before="3"/>
        <w:rPr>
          <w:rFonts w:ascii="宋体" w:hAnsi="宋体" w:cs="宋体" w:eastAsia="宋体" w:hint="default"/>
          <w:sz w:val="19"/>
          <w:szCs w:val="19"/>
        </w:rPr>
      </w:pPr>
    </w:p>
    <w:p>
      <w:pPr>
        <w:pStyle w:val="Heading4"/>
        <w:spacing w:line="240" w:lineRule="auto" w:before="35"/>
        <w:ind w:left="114" w:right="1360"/>
        <w:jc w:val="left"/>
        <w:rPr>
          <w:b w:val="0"/>
          <w:bCs w:val="0"/>
        </w:rPr>
      </w:pPr>
      <w:bookmarkStart w:name="5、合并现金流量表" w:id="166"/>
      <w:bookmarkEnd w:id="16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520,840,083.19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474,875,377.54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14,040,515.16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5,455,735.52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534,880,598.35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480,331,113.06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313,059,386.72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297,096,492.49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81,973,007.04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82,308,935.74</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32,046,200.62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29,049,605.86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500" w:bottom="1160" w:left="1020" w:right="0"/>
        </w:sectPr>
      </w:pPr>
    </w:p>
    <w:p>
      <w:pPr>
        <w:spacing w:line="240" w:lineRule="auto" w:before="5"/>
        <w:rPr>
          <w:rFonts w:ascii="Times New Roman" w:hAnsi="Times New Roman" w:cs="Times New Roman" w:eastAsia="Times New Roman" w:hint="default"/>
          <w:sz w:val="17"/>
          <w:szCs w:val="17"/>
        </w:rPr>
      </w:pPr>
      <w:r>
        <w:rPr/>
        <w:pict>
          <v:shape style="position:absolute;margin-left:57.029999pt;margin-top:77.459984pt;width:478.6pt;height:673.5pt;mso-position-horizontal-relative:page;mso-position-vertical-relative:page;z-index:2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3"/>
                    <w:gridCol w:w="3314"/>
                    <w:gridCol w:w="3300"/>
                  </w:tblGrid>
                  <w:tr>
                    <w:trPr>
                      <w:trHeight w:val="414" w:hRule="exact"/>
                    </w:trPr>
                    <w:tc>
                      <w:tcPr>
                        <w:tcW w:w="294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10" w:space="0" w:color="000000"/>
                          <w:left w:val="single" w:sz="13"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22,248,569.25</w:t>
                        </w:r>
                      </w:p>
                    </w:tc>
                    <w:tc>
                      <w:tcPr>
                        <w:tcW w:w="33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19,964,128.53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449,327,163.63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428,419,162.62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85,553,434.72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51,911,950.44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2,210,308.58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5,176,219.50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1,320,330.47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105,598.11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3,530,639.05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5,281,817.61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37,350,082.24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38,103,982.82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59,911,575.93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97,261,658.17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63,103,982.82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-93,731,019.12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-57,822,165.21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12,120,000.00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148,707,679.54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111,443,814.20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198,707,679.54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123,563,814.20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160,441,465.89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69,633,255.35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14,600,730.68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22,791,587.49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32,300.00</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0" w:footer="979" w:top="1560" w:bottom="1160" w:left="1040" w:right="0"/>
        </w:sectPr>
      </w:pPr>
    </w:p>
    <w:p>
      <w:pPr>
        <w:spacing w:line="240" w:lineRule="auto" w:before="10"/>
        <w:rPr>
          <w:rFonts w:ascii="Times New Roman" w:hAnsi="Times New Roman" w:cs="Times New Roman" w:eastAsia="Times New Roman"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14" w:hRule="exact"/>
        </w:trPr>
        <w:tc>
          <w:tcPr>
            <w:tcW w:w="296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175,042,196.57</w:t>
            </w:r>
          </w:p>
        </w:tc>
        <w:tc>
          <w:tcPr>
            <w:tcW w:w="33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92,457,142.84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23,665,482.97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31,106,671.36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15,487,898.57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25,196,456.59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132,774,482.64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107,578,026.05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148,262,381.21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132,774,482.64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4" w:right="1360"/>
        <w:jc w:val="left"/>
        <w:rPr>
          <w:b w:val="0"/>
          <w:bCs w:val="0"/>
        </w:rPr>
      </w:pPr>
      <w:bookmarkStart w:name="6、母公司现金流量表" w:id="167"/>
      <w:bookmarkEnd w:id="16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286,449,679.43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396,060,815.33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1,990,070.09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4,511,220.55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288,439,749.52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400,572,035.88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122,858,091.73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261,664,517.41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53,766,355.24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56,834,097.02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23,359,229.32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16,244,980.31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11,649,200.87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14,538,853.51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211,632,877.16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349,282,448.25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76,806,872.36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51,289,587.63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2,210,308.58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5,176,219.50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1,165,589.18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70,598.11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3,375,897.76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5,246,817.61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13,261,898.75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16,231,236.46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33,080,000.00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50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4"/>
        <w:spacing w:line="240" w:lineRule="auto" w:before="35"/>
        <w:ind w:left="114" w:right="1360"/>
        <w:jc w:val="left"/>
        <w:rPr>
          <w:b w:val="0"/>
          <w:bCs w:val="0"/>
        </w:rPr>
      </w:pPr>
      <w:r>
        <w:rPr/>
        <w:pict>
          <v:shape style="position:absolute;margin-left:57.029999pt;margin-top:-442.746307pt;width:478.6pt;height:430.2pt;mso-position-horizontal-relative:page;mso-position-vertical-relative:paragraph;z-index:2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3"/>
                    <w:gridCol w:w="3314"/>
                    <w:gridCol w:w="3300"/>
                  </w:tblGrid>
                  <w:tr>
                    <w:trPr>
                      <w:trHeight w:val="726" w:hRule="exact"/>
                    </w:trPr>
                    <w:tc>
                      <w:tcPr>
                        <w:tcW w:w="294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10"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3300"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93,261,898.75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49,311,236.46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-89,886,000.99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-44,064,418.85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103,826,679.54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99,549,494.46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153,826,679.54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99,549,494.46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120,098,146.15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69,633,255.35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4,784,651.86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22,617,798.23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124,882,798.01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92,251,053.58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28,943,881.53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7,298,440.88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15,864,752.90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14,523,609.66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78,646,816.76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64,123,207.10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94,511,569.66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78,646,816.76</w:t>
                        </w:r>
                      </w:p>
                    </w:tc>
                  </w:tr>
                </w:tbl>
                <w:p>
                  <w:pPr/>
                </w:p>
              </w:txbxContent>
            </v:textbox>
            <w10:wrap type="none"/>
          </v:shape>
        </w:pict>
      </w:r>
      <w:bookmarkStart w:name="7、合并所有者权益变动表" w:id="168"/>
      <w:bookmarkEnd w:id="168"/>
      <w:r>
        <w:rPr>
          <w:b w:val="0"/>
          <w:bCs w:val="0"/>
        </w:rPr>
      </w:r>
      <w:r>
        <w:rPr>
          <w:rFonts w:ascii="Times New Roman" w:hAnsi="Times New Roman" w:cs="Times New Roman" w:eastAsia="Times New Roman" w:hint="default"/>
        </w:rPr>
        <w:t>7</w:t>
      </w:r>
      <w:r>
        <w:rPr/>
        <w:t>、合并所有者权益变动表</w:t>
      </w:r>
      <w:r>
        <w:rPr>
          <w:b w:val="0"/>
          <w:bCs w:val="0"/>
        </w:rPr>
      </w:r>
    </w:p>
    <w:p>
      <w:pPr>
        <w:spacing w:after="0" w:line="240" w:lineRule="auto"/>
        <w:jc w:val="left"/>
        <w:sectPr>
          <w:pgSz w:w="11910" w:h="16840"/>
          <w:pgMar w:header="0" w:footer="979" w:top="1560" w:bottom="1160" w:left="1020" w:right="0"/>
        </w:sectPr>
      </w:pPr>
    </w:p>
    <w:p>
      <w:pPr>
        <w:spacing w:line="240" w:lineRule="auto" w:before="12"/>
        <w:rPr>
          <w:rFonts w:ascii="宋体" w:hAnsi="宋体" w:cs="宋体" w:eastAsia="宋体" w:hint="default"/>
          <w:b/>
          <w:bCs/>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140" w:right="0"/>
        <w:jc w:val="left"/>
        <w:rPr>
          <w:b w:val="0"/>
          <w:bCs w:val="0"/>
        </w:rPr>
      </w:pPr>
      <w:bookmarkStart w:name="本期金额" w:id="169"/>
      <w:bookmarkEnd w:id="169"/>
      <w:r>
        <w:rPr>
          <w:b w:val="0"/>
          <w:bCs w:val="0"/>
        </w:rPr>
      </w:r>
      <w:r>
        <w:rPr/>
        <w:t>本期金额</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235"/>
        <w:jc w:val="right"/>
      </w:pPr>
      <w:r>
        <w:rPr/>
        <w:t>单位：元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929"/>
        <w:gridCol w:w="1193"/>
        <w:gridCol w:w="623"/>
        <w:gridCol w:w="623"/>
        <w:gridCol w:w="626"/>
        <w:gridCol w:w="1181"/>
        <w:gridCol w:w="821"/>
        <w:gridCol w:w="821"/>
        <w:gridCol w:w="821"/>
        <w:gridCol w:w="1091"/>
        <w:gridCol w:w="822"/>
        <w:gridCol w:w="1181"/>
        <w:gridCol w:w="1091"/>
        <w:gridCol w:w="1181"/>
      </w:tblGrid>
      <w:tr>
        <w:trPr>
          <w:trHeight w:val="402" w:hRule="exact"/>
        </w:trPr>
        <w:tc>
          <w:tcPr>
            <w:tcW w:w="1929" w:type="dxa"/>
            <w:vMerge w:val="restart"/>
            <w:tcBorders>
              <w:top w:val="single" w:sz="4" w:space="0" w:color="000000"/>
              <w:left w:val="single" w:sz="4" w:space="0" w:color="000000"/>
              <w:right w:val="single" w:sz="4" w:space="0" w:color="000000"/>
            </w:tcBorders>
            <w:shd w:val="clear" w:color="auto" w:fill="D2D2D2"/>
          </w:tcPr>
          <w:p>
            <w:pPr/>
          </w:p>
        </w:tc>
        <w:tc>
          <w:tcPr>
            <w:tcW w:w="1207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29" w:hRule="exact"/>
        </w:trPr>
        <w:tc>
          <w:tcPr>
            <w:tcW w:w="1929" w:type="dxa"/>
            <w:vMerge/>
            <w:tcBorders>
              <w:left w:val="single" w:sz="4" w:space="0" w:color="000000"/>
              <w:bottom w:val="nil" w:sz="6" w:space="0" w:color="auto"/>
              <w:right w:val="single" w:sz="4" w:space="0" w:color="000000"/>
            </w:tcBorders>
            <w:shd w:val="clear" w:color="auto" w:fill="D2D2D2"/>
          </w:tcPr>
          <w:p>
            <w:pPr/>
          </w:p>
        </w:tc>
        <w:tc>
          <w:tcPr>
            <w:tcW w:w="9803"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9" w:hRule="exact"/>
        </w:trPr>
        <w:tc>
          <w:tcPr>
            <w:tcW w:w="19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803" w:type="dxa"/>
            <w:gridSpan w:val="11"/>
            <w:vMerge/>
            <w:tcBorders>
              <w:left w:val="single" w:sz="4" w:space="0" w:color="000000"/>
              <w:bottom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449" w:right="8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495" w:right="43"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09" w:hRule="exact"/>
        </w:trPr>
        <w:tc>
          <w:tcPr>
            <w:tcW w:w="1929" w:type="dxa"/>
            <w:vMerge/>
            <w:tcBorders>
              <w:left w:val="single" w:sz="4" w:space="0" w:color="000000"/>
              <w:bottom w:val="single" w:sz="4" w:space="0" w:color="FFFFFF"/>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18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8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15" w:right="45"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25" w:right="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26" w:right="43"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r>
      <w:tr>
        <w:trPr>
          <w:trHeight w:val="191" w:hRule="exact"/>
        </w:trPr>
        <w:tc>
          <w:tcPr>
            <w:tcW w:w="1929" w:type="dxa"/>
            <w:vMerge w:val="restart"/>
            <w:tcBorders>
              <w:top w:val="single" w:sz="4" w:space="0" w:color="FFFFFF"/>
              <w:left w:val="single" w:sz="4" w:space="0" w:color="000000"/>
              <w:right w:val="single" w:sz="4" w:space="0" w:color="000000"/>
            </w:tcBorders>
            <w:shd w:val="clear" w:color="auto" w:fill="D2D2D2"/>
          </w:tcPr>
          <w:p>
            <w:pPr/>
          </w:p>
        </w:tc>
        <w:tc>
          <w:tcPr>
            <w:tcW w:w="119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72"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21" w:type="dxa"/>
            <w:vMerge/>
            <w:tcBorders>
              <w:left w:val="single" w:sz="4" w:space="0" w:color="000000"/>
              <w:right w:val="single" w:sz="4" w:space="0" w:color="000000"/>
            </w:tcBorders>
            <w:shd w:val="clear" w:color="auto" w:fill="D2D2D2"/>
          </w:tcPr>
          <w:p>
            <w:pPr/>
          </w:p>
        </w:tc>
        <w:tc>
          <w:tcPr>
            <w:tcW w:w="821"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4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22"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9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r>
      <w:tr>
        <w:trPr>
          <w:trHeight w:val="179" w:hRule="exact"/>
        </w:trPr>
        <w:tc>
          <w:tcPr>
            <w:tcW w:w="1929"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6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right w:val="single" w:sz="4" w:space="0" w:color="000000"/>
            </w:tcBorders>
            <w:shd w:val="clear" w:color="auto" w:fill="D2D2D2"/>
          </w:tcPr>
          <w:p>
            <w:pPr/>
          </w:p>
        </w:tc>
        <w:tc>
          <w:tcPr>
            <w:tcW w:w="821"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r>
      <w:tr>
        <w:trPr>
          <w:trHeight w:val="211" w:hRule="exact"/>
        </w:trPr>
        <w:tc>
          <w:tcPr>
            <w:tcW w:w="1929"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623" w:type="dxa"/>
            <w:vMerge/>
            <w:tcBorders>
              <w:left w:val="single" w:sz="4" w:space="0" w:color="000000"/>
              <w:bottom w:val="single" w:sz="4" w:space="0" w:color="000000"/>
              <w:right w:val="single" w:sz="4" w:space="0" w:color="000000"/>
            </w:tcBorders>
            <w:shd w:val="clear" w:color="auto" w:fill="D2D2D2"/>
          </w:tcPr>
          <w:p>
            <w:pPr/>
          </w:p>
        </w:tc>
        <w:tc>
          <w:tcPr>
            <w:tcW w:w="623" w:type="dxa"/>
            <w:vMerge/>
            <w:tcBorders>
              <w:left w:val="single" w:sz="4" w:space="0" w:color="000000"/>
              <w:bottom w:val="single" w:sz="4" w:space="0" w:color="000000"/>
              <w:right w:val="single" w:sz="4" w:space="0" w:color="000000"/>
            </w:tcBorders>
            <w:shd w:val="clear" w:color="auto" w:fill="D2D2D2"/>
          </w:tcPr>
          <w:p>
            <w:pPr/>
          </w:p>
        </w:tc>
        <w:tc>
          <w:tcPr>
            <w:tcW w:w="626"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150,000,000.00</w:t>
            </w: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148,359,523.47</w:t>
            </w:r>
          </w:p>
        </w:tc>
        <w:tc>
          <w:tcPr>
            <w:tcW w:w="821" w:type="dxa"/>
            <w:tcBorders>
              <w:top w:val="single" w:sz="22" w:space="0" w:color="D2D2D2"/>
              <w:left w:val="single" w:sz="4" w:space="0" w:color="000000"/>
              <w:bottom w:val="single" w:sz="4" w:space="0" w:color="000000"/>
              <w:right w:val="single" w:sz="4" w:space="0" w:color="000000"/>
            </w:tcBorders>
          </w:tcPr>
          <w:p>
            <w:pPr/>
          </w:p>
        </w:tc>
        <w:tc>
          <w:tcPr>
            <w:tcW w:w="821" w:type="dxa"/>
            <w:tcBorders>
              <w:top w:val="single" w:sz="22" w:space="0" w:color="D2D2D2"/>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30,936,160.02</w:t>
            </w:r>
          </w:p>
        </w:tc>
        <w:tc>
          <w:tcPr>
            <w:tcW w:w="822" w:type="dxa"/>
            <w:tcBorders>
              <w:top w:val="single" w:sz="22" w:space="0" w:color="D2D2D2"/>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189,429,452.11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11,877,582.21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530,602,717.81</w:t>
            </w:r>
          </w:p>
        </w:tc>
      </w:tr>
      <w:tr>
        <w:trPr>
          <w:trHeight w:val="402"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150,000,000.00</w:t>
            </w: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148,359,523.47</w:t>
            </w: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30,936,160.02</w:t>
            </w: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189,429,452.11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11,877,582.21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530,602,717.81</w:t>
            </w:r>
          </w:p>
        </w:tc>
      </w:tr>
      <w:tr>
        <w:trPr>
          <w:trHeight w:val="714"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1,279.81</w:t>
            </w: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2,316,786.01</w:t>
            </w: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22,655,297.78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11,777,713.70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36,751,077.30</w:t>
            </w:r>
          </w:p>
        </w:tc>
      </w:tr>
      <w:tr>
        <w:trPr>
          <w:trHeight w:val="402"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28,112,269.71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2,938,742.95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31,051,012.66</w:t>
            </w:r>
          </w:p>
        </w:tc>
      </w:tr>
      <w:tr>
        <w:trPr>
          <w:trHeight w:val="714"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（二）所有者投入和减少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1,279.81</w:t>
            </w: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center"/>
              <w:rPr>
                <w:rFonts w:ascii="Times New Roman" w:hAnsi="Times New Roman" w:cs="Times New Roman" w:eastAsia="Times New Roman" w:hint="default"/>
                <w:sz w:val="18"/>
                <w:szCs w:val="18"/>
              </w:rPr>
            </w:pPr>
            <w:r>
              <w:rPr>
                <w:rFonts w:ascii="Times New Roman"/>
                <w:sz w:val="18"/>
              </w:rPr>
              <w:t>-3,140,185.92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8,838,970.75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5,700,064.64</w:t>
            </w:r>
          </w:p>
        </w:tc>
      </w:tr>
      <w:tr>
        <w:trPr>
          <w:trHeight w:val="402"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9"/>
          <w:footerReference w:type="default" r:id="rId20"/>
          <w:pgSz w:w="16840" w:h="11910" w:orient="landscape"/>
          <w:pgMar w:header="851" w:footer="959" w:top="1500" w:bottom="1140" w:left="1300" w:right="1300"/>
          <w:pgNumType w:start="83"/>
        </w:sectPr>
      </w:pPr>
    </w:p>
    <w:tbl>
      <w:tblPr>
        <w:tblW w:w="0" w:type="auto"/>
        <w:jc w:val="left"/>
        <w:tblInd w:w="107" w:type="dxa"/>
        <w:tblLayout w:type="fixed"/>
        <w:tblCellMar>
          <w:top w:w="0" w:type="dxa"/>
          <w:left w:w="0" w:type="dxa"/>
          <w:bottom w:w="0" w:type="dxa"/>
          <w:right w:w="0" w:type="dxa"/>
        </w:tblCellMar>
        <w:tblLook w:val="01E0"/>
      </w:tblPr>
      <w:tblGrid>
        <w:gridCol w:w="1952"/>
        <w:gridCol w:w="1182"/>
        <w:gridCol w:w="623"/>
        <w:gridCol w:w="623"/>
        <w:gridCol w:w="626"/>
        <w:gridCol w:w="1181"/>
        <w:gridCol w:w="821"/>
        <w:gridCol w:w="821"/>
        <w:gridCol w:w="821"/>
        <w:gridCol w:w="1091"/>
        <w:gridCol w:w="822"/>
        <w:gridCol w:w="1181"/>
        <w:gridCol w:w="1091"/>
        <w:gridCol w:w="1181"/>
      </w:tblGrid>
      <w:tr>
        <w:trPr>
          <w:trHeight w:val="414" w:hRule="exact"/>
        </w:trPr>
        <w:tc>
          <w:tcPr>
            <w:tcW w:w="195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2" w:type="dxa"/>
            <w:tcBorders>
              <w:top w:val="single" w:sz="10" w:space="0" w:color="000000"/>
              <w:left w:val="single" w:sz="4" w:space="0" w:color="000000"/>
              <w:bottom w:val="single" w:sz="4" w:space="0" w:color="000000"/>
              <w:right w:val="single" w:sz="4" w:space="0" w:color="000000"/>
            </w:tcBorders>
          </w:tcPr>
          <w:p>
            <w:pPr/>
          </w:p>
        </w:tc>
        <w:tc>
          <w:tcPr>
            <w:tcW w:w="623" w:type="dxa"/>
            <w:tcBorders>
              <w:top w:val="single" w:sz="10" w:space="0" w:color="000000"/>
              <w:left w:val="single" w:sz="4" w:space="0" w:color="000000"/>
              <w:bottom w:val="single" w:sz="4" w:space="0" w:color="000000"/>
              <w:right w:val="single" w:sz="4" w:space="0" w:color="000000"/>
            </w:tcBorders>
          </w:tcPr>
          <w:p>
            <w:pPr/>
          </w:p>
        </w:tc>
        <w:tc>
          <w:tcPr>
            <w:tcW w:w="623" w:type="dxa"/>
            <w:tcBorders>
              <w:top w:val="single" w:sz="10" w:space="0" w:color="000000"/>
              <w:left w:val="single" w:sz="4" w:space="0" w:color="000000"/>
              <w:bottom w:val="single" w:sz="4" w:space="0" w:color="000000"/>
              <w:right w:val="single" w:sz="4" w:space="0" w:color="000000"/>
            </w:tcBorders>
          </w:tcPr>
          <w:p>
            <w:pPr/>
          </w:p>
        </w:tc>
        <w:tc>
          <w:tcPr>
            <w:tcW w:w="626" w:type="dxa"/>
            <w:tcBorders>
              <w:top w:val="single" w:sz="10" w:space="0" w:color="000000"/>
              <w:left w:val="single" w:sz="4" w:space="0" w:color="000000"/>
              <w:bottom w:val="single" w:sz="4" w:space="0" w:color="000000"/>
              <w:right w:val="single" w:sz="4" w:space="0" w:color="000000"/>
            </w:tcBorders>
          </w:tcPr>
          <w:p>
            <w:pPr/>
          </w:p>
        </w:tc>
        <w:tc>
          <w:tcPr>
            <w:tcW w:w="118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1,279.81</w:t>
            </w:r>
          </w:p>
        </w:tc>
        <w:tc>
          <w:tcPr>
            <w:tcW w:w="821" w:type="dxa"/>
            <w:tcBorders>
              <w:top w:val="single" w:sz="10" w:space="0" w:color="000000"/>
              <w:left w:val="single" w:sz="4" w:space="0" w:color="000000"/>
              <w:bottom w:val="single" w:sz="4" w:space="0" w:color="000000"/>
              <w:right w:val="single" w:sz="4" w:space="0" w:color="000000"/>
            </w:tcBorders>
          </w:tcPr>
          <w:p>
            <w:pPr/>
          </w:p>
        </w:tc>
        <w:tc>
          <w:tcPr>
            <w:tcW w:w="821" w:type="dxa"/>
            <w:tcBorders>
              <w:top w:val="single" w:sz="10" w:space="0" w:color="000000"/>
              <w:left w:val="single" w:sz="4" w:space="0" w:color="000000"/>
              <w:bottom w:val="single" w:sz="4" w:space="0" w:color="000000"/>
              <w:right w:val="single" w:sz="4" w:space="0" w:color="000000"/>
            </w:tcBorders>
          </w:tcPr>
          <w:p>
            <w:pPr/>
          </w:p>
        </w:tc>
        <w:tc>
          <w:tcPr>
            <w:tcW w:w="821" w:type="dxa"/>
            <w:tcBorders>
              <w:top w:val="single" w:sz="10" w:space="0" w:color="000000"/>
              <w:left w:val="single" w:sz="4" w:space="0" w:color="000000"/>
              <w:bottom w:val="single" w:sz="4" w:space="0" w:color="000000"/>
              <w:right w:val="single" w:sz="4" w:space="0" w:color="000000"/>
            </w:tcBorders>
          </w:tcPr>
          <w:p>
            <w:pPr/>
          </w:p>
        </w:tc>
        <w:tc>
          <w:tcPr>
            <w:tcW w:w="1091" w:type="dxa"/>
            <w:tcBorders>
              <w:top w:val="single" w:sz="10" w:space="0" w:color="000000"/>
              <w:left w:val="single" w:sz="4" w:space="0" w:color="000000"/>
              <w:bottom w:val="single" w:sz="4" w:space="0" w:color="000000"/>
              <w:right w:val="single" w:sz="4" w:space="0" w:color="000000"/>
            </w:tcBorders>
          </w:tcPr>
          <w:p>
            <w:pPr/>
          </w:p>
        </w:tc>
        <w:tc>
          <w:tcPr>
            <w:tcW w:w="822" w:type="dxa"/>
            <w:tcBorders>
              <w:top w:val="single" w:sz="10" w:space="0" w:color="000000"/>
              <w:left w:val="single" w:sz="4" w:space="0" w:color="000000"/>
              <w:bottom w:val="single" w:sz="4" w:space="0" w:color="000000"/>
              <w:right w:val="single" w:sz="4" w:space="0" w:color="000000"/>
            </w:tcBorders>
          </w:tcPr>
          <w:p>
            <w:pPr/>
          </w:p>
        </w:tc>
        <w:tc>
          <w:tcPr>
            <w:tcW w:w="118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left="121" w:right="0"/>
              <w:jc w:val="center"/>
              <w:rPr>
                <w:rFonts w:ascii="Times New Roman" w:hAnsi="Times New Roman" w:cs="Times New Roman" w:eastAsia="Times New Roman" w:hint="default"/>
                <w:sz w:val="18"/>
                <w:szCs w:val="18"/>
              </w:rPr>
            </w:pPr>
            <w:r>
              <w:rPr>
                <w:rFonts w:ascii="Times New Roman"/>
                <w:sz w:val="18"/>
              </w:rPr>
              <w:t>-3,140,185.92</w:t>
            </w:r>
          </w:p>
        </w:tc>
        <w:tc>
          <w:tcPr>
            <w:tcW w:w="10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8,838,970.75</w:t>
            </w:r>
          </w:p>
        </w:tc>
        <w:tc>
          <w:tcPr>
            <w:tcW w:w="118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5,700,064.64</w:t>
            </w: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1" w:right="0"/>
              <w:jc w:val="center"/>
              <w:rPr>
                <w:rFonts w:ascii="Times New Roman" w:hAnsi="Times New Roman" w:cs="Times New Roman" w:eastAsia="Times New Roman" w:hint="default"/>
                <w:sz w:val="18"/>
                <w:szCs w:val="18"/>
              </w:rPr>
            </w:pPr>
            <w:r>
              <w:rPr>
                <w:rFonts w:ascii="Times New Roman"/>
                <w:sz w:val="18"/>
              </w:rPr>
              <w:t>2,316,786.01</w:t>
            </w: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1" w:right="0"/>
              <w:jc w:val="center"/>
              <w:rPr>
                <w:rFonts w:ascii="Times New Roman" w:hAnsi="Times New Roman" w:cs="Times New Roman" w:eastAsia="Times New Roman" w:hint="default"/>
                <w:sz w:val="18"/>
                <w:szCs w:val="18"/>
              </w:rPr>
            </w:pPr>
            <w:r>
              <w:rPr>
                <w:rFonts w:ascii="Times New Roman"/>
                <w:sz w:val="18"/>
              </w:rPr>
              <w:t>-2,316,786.01</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1" w:right="0"/>
              <w:jc w:val="center"/>
              <w:rPr>
                <w:rFonts w:ascii="Times New Roman" w:hAnsi="Times New Roman" w:cs="Times New Roman" w:eastAsia="Times New Roman" w:hint="default"/>
                <w:sz w:val="18"/>
                <w:szCs w:val="18"/>
              </w:rPr>
            </w:pPr>
            <w:r>
              <w:rPr>
                <w:rFonts w:ascii="Times New Roman"/>
                <w:sz w:val="18"/>
              </w:rPr>
              <w:t>2,316,786.01</w:t>
            </w: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1" w:right="0"/>
              <w:jc w:val="center"/>
              <w:rPr>
                <w:rFonts w:ascii="Times New Roman" w:hAnsi="Times New Roman" w:cs="Times New Roman" w:eastAsia="Times New Roman" w:hint="default"/>
                <w:sz w:val="18"/>
                <w:szCs w:val="18"/>
              </w:rPr>
            </w:pPr>
            <w:r>
              <w:rPr>
                <w:rFonts w:ascii="Times New Roman"/>
                <w:sz w:val="18"/>
              </w:rPr>
              <w:t>-2,316,786.01</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（四）所有者权益内部结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转</w:t>
            </w:r>
          </w:p>
        </w:tc>
        <w:tc>
          <w:tcPr>
            <w:tcW w:w="118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21"/>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．资本公积转增资本（或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21"/>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．盈余公积转增资本（或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 结转留存收益</w:t>
            </w:r>
          </w:p>
        </w:tc>
        <w:tc>
          <w:tcPr>
            <w:tcW w:w="118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5" w:right="0"/>
              <w:jc w:val="left"/>
              <w:rPr>
                <w:rFonts w:ascii="Times New Roman" w:hAnsi="Times New Roman" w:cs="Times New Roman" w:eastAsia="Times New Roman" w:hint="default"/>
                <w:sz w:val="18"/>
                <w:szCs w:val="18"/>
              </w:rPr>
            </w:pPr>
            <w:r>
              <w:rPr>
                <w:rFonts w:ascii="Times New Roman"/>
                <w:sz w:val="18"/>
              </w:rPr>
              <w:t>150,000,000.00</w:t>
            </w: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148,360,803.28</w:t>
            </w: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Times New Roman" w:hAnsi="Times New Roman" w:cs="Times New Roman" w:eastAsia="Times New Roman" w:hint="default"/>
                <w:sz w:val="18"/>
                <w:szCs w:val="18"/>
              </w:rPr>
            </w:pPr>
            <w:r>
              <w:rPr>
                <w:rFonts w:ascii="Times New Roman"/>
                <w:sz w:val="18"/>
              </w:rPr>
              <w:t>33,252,946.03</w:t>
            </w: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Times New Roman" w:hAnsi="Times New Roman" w:cs="Times New Roman" w:eastAsia="Times New Roman" w:hint="default"/>
                <w:sz w:val="18"/>
                <w:szCs w:val="18"/>
              </w:rPr>
            </w:pPr>
            <w:r>
              <w:rPr>
                <w:rFonts w:ascii="Times New Roman"/>
                <w:sz w:val="18"/>
              </w:rPr>
              <w:t>212,084,749.89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23,655,295.91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567,353,795.11</w:t>
            </w:r>
          </w:p>
        </w:tc>
      </w:tr>
    </w:tbl>
    <w:p>
      <w:pPr>
        <w:pStyle w:val="BodyText"/>
        <w:spacing w:line="240" w:lineRule="auto" w:before="46"/>
        <w:ind w:left="140" w:right="0"/>
        <w:jc w:val="left"/>
      </w:pPr>
      <w:r>
        <w:rPr/>
        <w:t>上期金额</w:t>
      </w:r>
    </w:p>
    <w:p>
      <w:pPr>
        <w:pStyle w:val="BodyText"/>
        <w:spacing w:line="240" w:lineRule="auto" w:before="117"/>
        <w:ind w:left="0" w:right="235"/>
        <w:jc w:val="right"/>
      </w:pPr>
      <w:r>
        <w:rPr/>
        <w:t>单位：元</w:t>
      </w:r>
    </w:p>
    <w:p>
      <w:pPr>
        <w:spacing w:after="0" w:line="240" w:lineRule="auto"/>
        <w:jc w:val="right"/>
        <w:sectPr>
          <w:pgSz w:w="16840" w:h="11910" w:orient="landscape"/>
          <w:pgMar w:header="851" w:footer="959" w:top="1540" w:bottom="1160" w:left="1300" w:right="1300"/>
        </w:sectPr>
      </w:pPr>
    </w:p>
    <w:p>
      <w:pPr>
        <w:spacing w:line="240" w:lineRule="auto" w:before="5"/>
        <w:rPr>
          <w:rFonts w:ascii="Times New Roman" w:hAnsi="Times New Roman" w:cs="Times New Roman" w:eastAsia="Times New Roman" w:hint="default"/>
          <w:sz w:val="17"/>
          <w:szCs w:val="17"/>
        </w:rPr>
      </w:pPr>
      <w:r>
        <w:rPr/>
        <w:pict>
          <v:shape style="position:absolute;margin-left:70.949997pt;margin-top:77.700005pt;width:700.9pt;height:441.1pt;mso-position-horizontal-relative:page;mso-position-vertical-relative:page;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29"/>
                    <w:gridCol w:w="1193"/>
                    <w:gridCol w:w="623"/>
                    <w:gridCol w:w="623"/>
                    <w:gridCol w:w="626"/>
                    <w:gridCol w:w="1181"/>
                    <w:gridCol w:w="821"/>
                    <w:gridCol w:w="821"/>
                    <w:gridCol w:w="821"/>
                    <w:gridCol w:w="1091"/>
                    <w:gridCol w:w="822"/>
                    <w:gridCol w:w="1181"/>
                    <w:gridCol w:w="1091"/>
                    <w:gridCol w:w="1181"/>
                  </w:tblGrid>
                  <w:tr>
                    <w:trPr>
                      <w:trHeight w:val="410" w:hRule="exact"/>
                    </w:trPr>
                    <w:tc>
                      <w:tcPr>
                        <w:tcW w:w="1929" w:type="dxa"/>
                        <w:vMerge w:val="restart"/>
                        <w:tcBorders>
                          <w:top w:val="single" w:sz="10" w:space="0" w:color="000000"/>
                          <w:left w:val="single" w:sz="4" w:space="0" w:color="000000"/>
                          <w:right w:val="single" w:sz="4" w:space="0" w:color="000000"/>
                        </w:tcBorders>
                        <w:shd w:val="clear" w:color="auto" w:fill="D2D2D2"/>
                      </w:tcPr>
                      <w:p>
                        <w:pPr/>
                      </w:p>
                    </w:tc>
                    <w:tc>
                      <w:tcPr>
                        <w:tcW w:w="12075" w:type="dxa"/>
                        <w:gridSpan w:val="13"/>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29" w:hRule="exact"/>
                    </w:trPr>
                    <w:tc>
                      <w:tcPr>
                        <w:tcW w:w="1929" w:type="dxa"/>
                        <w:vMerge/>
                        <w:tcBorders>
                          <w:left w:val="single" w:sz="4" w:space="0" w:color="000000"/>
                          <w:bottom w:val="nil" w:sz="6" w:space="0" w:color="auto"/>
                          <w:right w:val="single" w:sz="4" w:space="0" w:color="000000"/>
                        </w:tcBorders>
                        <w:shd w:val="clear" w:color="auto" w:fill="D2D2D2"/>
                      </w:tcPr>
                      <w:p>
                        <w:pPr/>
                      </w:p>
                    </w:tc>
                    <w:tc>
                      <w:tcPr>
                        <w:tcW w:w="9803"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9" w:hRule="exact"/>
                    </w:trPr>
                    <w:tc>
                      <w:tcPr>
                        <w:tcW w:w="19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803" w:type="dxa"/>
                        <w:gridSpan w:val="11"/>
                        <w:vMerge/>
                        <w:tcBorders>
                          <w:left w:val="single" w:sz="4" w:space="0" w:color="000000"/>
                          <w:bottom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449" w:right="8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495" w:right="43"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09" w:hRule="exact"/>
                    </w:trPr>
                    <w:tc>
                      <w:tcPr>
                        <w:tcW w:w="1929" w:type="dxa"/>
                        <w:vMerge/>
                        <w:tcBorders>
                          <w:left w:val="single" w:sz="4" w:space="0" w:color="000000"/>
                          <w:bottom w:val="single" w:sz="4" w:space="0" w:color="FFFFFF"/>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18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8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15" w:right="45"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25" w:right="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26" w:right="43"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r>
                  <w:tr>
                    <w:trPr>
                      <w:trHeight w:val="191" w:hRule="exact"/>
                    </w:trPr>
                    <w:tc>
                      <w:tcPr>
                        <w:tcW w:w="1929" w:type="dxa"/>
                        <w:vMerge w:val="restart"/>
                        <w:tcBorders>
                          <w:top w:val="single" w:sz="4" w:space="0" w:color="FFFFFF"/>
                          <w:left w:val="single" w:sz="4" w:space="0" w:color="000000"/>
                          <w:right w:val="single" w:sz="4" w:space="0" w:color="000000"/>
                        </w:tcBorders>
                        <w:shd w:val="clear" w:color="auto" w:fill="D2D2D2"/>
                      </w:tcPr>
                      <w:p>
                        <w:pPr/>
                      </w:p>
                    </w:tc>
                    <w:tc>
                      <w:tcPr>
                        <w:tcW w:w="119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72"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21" w:type="dxa"/>
                        <w:vMerge/>
                        <w:tcBorders>
                          <w:left w:val="single" w:sz="4" w:space="0" w:color="000000"/>
                          <w:right w:val="single" w:sz="4" w:space="0" w:color="000000"/>
                        </w:tcBorders>
                        <w:shd w:val="clear" w:color="auto" w:fill="D2D2D2"/>
                      </w:tcPr>
                      <w:p>
                        <w:pPr/>
                      </w:p>
                    </w:tc>
                    <w:tc>
                      <w:tcPr>
                        <w:tcW w:w="821"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4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22"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9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r>
                  <w:tr>
                    <w:trPr>
                      <w:trHeight w:val="178" w:hRule="exact"/>
                    </w:trPr>
                    <w:tc>
                      <w:tcPr>
                        <w:tcW w:w="1929"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6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right w:val="single" w:sz="4" w:space="0" w:color="000000"/>
                        </w:tcBorders>
                        <w:shd w:val="clear" w:color="auto" w:fill="D2D2D2"/>
                      </w:tcPr>
                      <w:p>
                        <w:pPr/>
                      </w:p>
                    </w:tc>
                    <w:tc>
                      <w:tcPr>
                        <w:tcW w:w="821"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r>
                  <w:tr>
                    <w:trPr>
                      <w:trHeight w:val="212" w:hRule="exact"/>
                    </w:trPr>
                    <w:tc>
                      <w:tcPr>
                        <w:tcW w:w="1929"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623" w:type="dxa"/>
                        <w:vMerge/>
                        <w:tcBorders>
                          <w:left w:val="single" w:sz="4" w:space="0" w:color="000000"/>
                          <w:bottom w:val="single" w:sz="4" w:space="0" w:color="000000"/>
                          <w:right w:val="single" w:sz="4" w:space="0" w:color="000000"/>
                        </w:tcBorders>
                        <w:shd w:val="clear" w:color="auto" w:fill="D2D2D2"/>
                      </w:tcPr>
                      <w:p>
                        <w:pPr/>
                      </w:p>
                    </w:tc>
                    <w:tc>
                      <w:tcPr>
                        <w:tcW w:w="623" w:type="dxa"/>
                        <w:vMerge/>
                        <w:tcBorders>
                          <w:left w:val="single" w:sz="4" w:space="0" w:color="000000"/>
                          <w:bottom w:val="single" w:sz="4" w:space="0" w:color="000000"/>
                          <w:right w:val="single" w:sz="4" w:space="0" w:color="000000"/>
                        </w:tcBorders>
                        <w:shd w:val="clear" w:color="auto" w:fill="D2D2D2"/>
                      </w:tcPr>
                      <w:p>
                        <w:pPr/>
                      </w:p>
                    </w:tc>
                    <w:tc>
                      <w:tcPr>
                        <w:tcW w:w="626"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148,340,922.48</w:t>
                        </w:r>
                      </w:p>
                    </w:tc>
                    <w:tc>
                      <w:tcPr>
                        <w:tcW w:w="821" w:type="dxa"/>
                        <w:tcBorders>
                          <w:top w:val="single" w:sz="22" w:space="0" w:color="D2D2D2"/>
                          <w:left w:val="single" w:sz="4" w:space="0" w:color="000000"/>
                          <w:bottom w:val="single" w:sz="4" w:space="0" w:color="000000"/>
                          <w:right w:val="single" w:sz="4" w:space="0" w:color="000000"/>
                        </w:tcBorders>
                      </w:tcPr>
                      <w:p>
                        <w:pPr/>
                      </w:p>
                    </w:tc>
                    <w:tc>
                      <w:tcPr>
                        <w:tcW w:w="821" w:type="dxa"/>
                        <w:tcBorders>
                          <w:top w:val="single" w:sz="22" w:space="0" w:color="D2D2D2"/>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28,731,910.54</w:t>
                        </w:r>
                      </w:p>
                    </w:tc>
                    <w:tc>
                      <w:tcPr>
                        <w:tcW w:w="822" w:type="dxa"/>
                        <w:tcBorders>
                          <w:top w:val="single" w:sz="22" w:space="0" w:color="D2D2D2"/>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239,025,013.92</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516,097,846.94</w:t>
                        </w:r>
                      </w:p>
                    </w:tc>
                  </w:tr>
                  <w:tr>
                    <w:trPr>
                      <w:trHeight w:val="402"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148,340,922.48</w:t>
                        </w: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28,731,910.54</w:t>
                        </w: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239,025,013.92</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516,097,846.94</w:t>
                        </w:r>
                      </w:p>
                    </w:tc>
                  </w:tr>
                  <w:tr>
                    <w:trPr>
                      <w:trHeight w:val="714"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18,600.99</w:t>
                        </w: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2,204,249.48</w:t>
                        </w: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-49,595,561.81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11,877,582.21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14,504,870.87</w:t>
                        </w:r>
                      </w:p>
                    </w:tc>
                  </w:tr>
                  <w:tr>
                    <w:trPr>
                      <w:trHeight w:val="402"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22,608,687.67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-191,516.80</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22,417,170.87</w:t>
                        </w:r>
                      </w:p>
                    </w:tc>
                  </w:tr>
                  <w:tr>
                    <w:trPr>
                      <w:trHeight w:val="714"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（二）所有者投入和减少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18,600.99</w:t>
                        </w: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12,069,099.01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62,087,700.00</w:t>
                        </w:r>
                      </w:p>
                    </w:tc>
                  </w:tr>
                  <w:tr>
                    <w:trPr>
                      <w:trHeight w:val="402"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12,087,700.00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62,087,700.00</w:t>
                        </w:r>
                      </w:p>
                    </w:tc>
                  </w:tr>
                  <w:tr>
                    <w:trPr>
                      <w:trHeight w:val="714"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18,600.99</w:t>
                        </w: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-18,600.99</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2,204,249.48</w:t>
                        </w: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-72,204,249.48</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6840" w:h="11910" w:orient="landscape"/>
          <w:pgMar w:header="851" w:footer="959" w:top="1560" w:bottom="1160" w:left="1300" w:right="1300"/>
        </w:sectPr>
      </w:pPr>
    </w:p>
    <w:tbl>
      <w:tblPr>
        <w:tblW w:w="0" w:type="auto"/>
        <w:jc w:val="left"/>
        <w:tblInd w:w="107" w:type="dxa"/>
        <w:tblLayout w:type="fixed"/>
        <w:tblCellMar>
          <w:top w:w="0" w:type="dxa"/>
          <w:left w:w="0" w:type="dxa"/>
          <w:bottom w:w="0" w:type="dxa"/>
          <w:right w:w="0" w:type="dxa"/>
        </w:tblCellMar>
        <w:tblLook w:val="01E0"/>
      </w:tblPr>
      <w:tblGrid>
        <w:gridCol w:w="1952"/>
        <w:gridCol w:w="1182"/>
        <w:gridCol w:w="623"/>
        <w:gridCol w:w="623"/>
        <w:gridCol w:w="626"/>
        <w:gridCol w:w="1181"/>
        <w:gridCol w:w="821"/>
        <w:gridCol w:w="821"/>
        <w:gridCol w:w="821"/>
        <w:gridCol w:w="1091"/>
        <w:gridCol w:w="822"/>
        <w:gridCol w:w="1181"/>
        <w:gridCol w:w="1091"/>
        <w:gridCol w:w="1181"/>
      </w:tblGrid>
      <w:tr>
        <w:trPr>
          <w:trHeight w:val="414" w:hRule="exact"/>
        </w:trPr>
        <w:tc>
          <w:tcPr>
            <w:tcW w:w="195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2" w:type="dxa"/>
            <w:tcBorders>
              <w:top w:val="single" w:sz="10" w:space="0" w:color="000000"/>
              <w:left w:val="single" w:sz="4" w:space="0" w:color="000000"/>
              <w:bottom w:val="single" w:sz="4" w:space="0" w:color="000000"/>
              <w:right w:val="single" w:sz="4" w:space="0" w:color="000000"/>
            </w:tcBorders>
          </w:tcPr>
          <w:p>
            <w:pPr/>
          </w:p>
        </w:tc>
        <w:tc>
          <w:tcPr>
            <w:tcW w:w="623" w:type="dxa"/>
            <w:tcBorders>
              <w:top w:val="single" w:sz="10" w:space="0" w:color="000000"/>
              <w:left w:val="single" w:sz="4" w:space="0" w:color="000000"/>
              <w:bottom w:val="single" w:sz="4" w:space="0" w:color="000000"/>
              <w:right w:val="single" w:sz="4" w:space="0" w:color="000000"/>
            </w:tcBorders>
          </w:tcPr>
          <w:p>
            <w:pPr/>
          </w:p>
        </w:tc>
        <w:tc>
          <w:tcPr>
            <w:tcW w:w="623" w:type="dxa"/>
            <w:tcBorders>
              <w:top w:val="single" w:sz="10" w:space="0" w:color="000000"/>
              <w:left w:val="single" w:sz="4" w:space="0" w:color="000000"/>
              <w:bottom w:val="single" w:sz="4" w:space="0" w:color="000000"/>
              <w:right w:val="single" w:sz="4" w:space="0" w:color="000000"/>
            </w:tcBorders>
          </w:tcPr>
          <w:p>
            <w:pPr/>
          </w:p>
        </w:tc>
        <w:tc>
          <w:tcPr>
            <w:tcW w:w="626" w:type="dxa"/>
            <w:tcBorders>
              <w:top w:val="single" w:sz="10" w:space="0" w:color="000000"/>
              <w:left w:val="single" w:sz="4" w:space="0" w:color="000000"/>
              <w:bottom w:val="single" w:sz="4" w:space="0" w:color="000000"/>
              <w:right w:val="single" w:sz="4" w:space="0" w:color="000000"/>
            </w:tcBorders>
          </w:tcPr>
          <w:p>
            <w:pPr/>
          </w:p>
        </w:tc>
        <w:tc>
          <w:tcPr>
            <w:tcW w:w="1181" w:type="dxa"/>
            <w:tcBorders>
              <w:top w:val="single" w:sz="10" w:space="0" w:color="000000"/>
              <w:left w:val="single" w:sz="4" w:space="0" w:color="000000"/>
              <w:bottom w:val="single" w:sz="4" w:space="0" w:color="000000"/>
              <w:right w:val="single" w:sz="4" w:space="0" w:color="000000"/>
            </w:tcBorders>
          </w:tcPr>
          <w:p>
            <w:pPr/>
          </w:p>
        </w:tc>
        <w:tc>
          <w:tcPr>
            <w:tcW w:w="821" w:type="dxa"/>
            <w:tcBorders>
              <w:top w:val="single" w:sz="10" w:space="0" w:color="000000"/>
              <w:left w:val="single" w:sz="4" w:space="0" w:color="000000"/>
              <w:bottom w:val="single" w:sz="4" w:space="0" w:color="000000"/>
              <w:right w:val="single" w:sz="4" w:space="0" w:color="000000"/>
            </w:tcBorders>
          </w:tcPr>
          <w:p>
            <w:pPr/>
          </w:p>
        </w:tc>
        <w:tc>
          <w:tcPr>
            <w:tcW w:w="821" w:type="dxa"/>
            <w:tcBorders>
              <w:top w:val="single" w:sz="10" w:space="0" w:color="000000"/>
              <w:left w:val="single" w:sz="4" w:space="0" w:color="000000"/>
              <w:bottom w:val="single" w:sz="4" w:space="0" w:color="000000"/>
              <w:right w:val="single" w:sz="4" w:space="0" w:color="000000"/>
            </w:tcBorders>
          </w:tcPr>
          <w:p>
            <w:pPr/>
          </w:p>
        </w:tc>
        <w:tc>
          <w:tcPr>
            <w:tcW w:w="821" w:type="dxa"/>
            <w:tcBorders>
              <w:top w:val="single" w:sz="10" w:space="0" w:color="000000"/>
              <w:left w:val="single" w:sz="4" w:space="0" w:color="000000"/>
              <w:bottom w:val="single" w:sz="4" w:space="0" w:color="000000"/>
              <w:right w:val="single" w:sz="4" w:space="0" w:color="000000"/>
            </w:tcBorders>
          </w:tcPr>
          <w:p>
            <w:pPr/>
          </w:p>
        </w:tc>
        <w:tc>
          <w:tcPr>
            <w:tcW w:w="10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2,204,249.48</w:t>
            </w:r>
          </w:p>
        </w:tc>
        <w:tc>
          <w:tcPr>
            <w:tcW w:w="822" w:type="dxa"/>
            <w:tcBorders>
              <w:top w:val="single" w:sz="10" w:space="0" w:color="000000"/>
              <w:left w:val="single" w:sz="4" w:space="0" w:color="000000"/>
              <w:bottom w:val="single" w:sz="4" w:space="0" w:color="000000"/>
              <w:right w:val="single" w:sz="4" w:space="0" w:color="000000"/>
            </w:tcBorders>
          </w:tcPr>
          <w:p>
            <w:pPr/>
          </w:p>
        </w:tc>
        <w:tc>
          <w:tcPr>
            <w:tcW w:w="118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left="121" w:right="0"/>
              <w:jc w:val="center"/>
              <w:rPr>
                <w:rFonts w:ascii="Times New Roman" w:hAnsi="Times New Roman" w:cs="Times New Roman" w:eastAsia="Times New Roman" w:hint="default"/>
                <w:sz w:val="18"/>
                <w:szCs w:val="18"/>
              </w:rPr>
            </w:pPr>
            <w:r>
              <w:rPr>
                <w:rFonts w:ascii="Times New Roman"/>
                <w:sz w:val="18"/>
              </w:rPr>
              <w:t>-2,204,249.48</w:t>
            </w:r>
          </w:p>
        </w:tc>
        <w:tc>
          <w:tcPr>
            <w:tcW w:w="1091" w:type="dxa"/>
            <w:tcBorders>
              <w:top w:val="single" w:sz="10" w:space="0" w:color="000000"/>
              <w:left w:val="single" w:sz="4" w:space="0" w:color="000000"/>
              <w:bottom w:val="single" w:sz="4" w:space="0" w:color="000000"/>
              <w:right w:val="single" w:sz="4" w:space="0" w:color="000000"/>
            </w:tcBorders>
          </w:tcPr>
          <w:p>
            <w:pPr/>
          </w:p>
        </w:tc>
        <w:tc>
          <w:tcPr>
            <w:tcW w:w="1181"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-70,000,000.00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-70,000,000.00</w:t>
            </w: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（四）所有者权益内部结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转</w:t>
            </w:r>
          </w:p>
        </w:tc>
        <w:tc>
          <w:tcPr>
            <w:tcW w:w="118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21"/>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．资本公积转增资本（或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21"/>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．盈余公积转增资本（或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 结转留存收益</w:t>
            </w:r>
          </w:p>
        </w:tc>
        <w:tc>
          <w:tcPr>
            <w:tcW w:w="118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5" w:right="0"/>
              <w:jc w:val="left"/>
              <w:rPr>
                <w:rFonts w:ascii="Times New Roman" w:hAnsi="Times New Roman" w:cs="Times New Roman" w:eastAsia="Times New Roman" w:hint="default"/>
                <w:sz w:val="18"/>
                <w:szCs w:val="18"/>
              </w:rPr>
            </w:pPr>
            <w:r>
              <w:rPr>
                <w:rFonts w:ascii="Times New Roman"/>
                <w:sz w:val="18"/>
              </w:rPr>
              <w:t>150,000,000.00</w:t>
            </w: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0"/>
              <w:jc w:val="left"/>
              <w:rPr>
                <w:rFonts w:ascii="Times New Roman" w:hAnsi="Times New Roman" w:cs="Times New Roman" w:eastAsia="Times New Roman" w:hint="default"/>
                <w:sz w:val="18"/>
                <w:szCs w:val="18"/>
              </w:rPr>
            </w:pPr>
            <w:r>
              <w:rPr>
                <w:rFonts w:ascii="Times New Roman"/>
                <w:sz w:val="18"/>
              </w:rPr>
              <w:t>148,359,523.47</w:t>
            </w: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Times New Roman" w:hAnsi="Times New Roman" w:cs="Times New Roman" w:eastAsia="Times New Roman" w:hint="default"/>
                <w:sz w:val="18"/>
                <w:szCs w:val="18"/>
              </w:rPr>
            </w:pPr>
            <w:r>
              <w:rPr>
                <w:rFonts w:ascii="Times New Roman"/>
                <w:sz w:val="18"/>
              </w:rPr>
              <w:t>30,936,160.02</w:t>
            </w:r>
          </w:p>
        </w:tc>
        <w:tc>
          <w:tcPr>
            <w:tcW w:w="8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 w:right="0"/>
              <w:jc w:val="center"/>
              <w:rPr>
                <w:rFonts w:ascii="Times New Roman" w:hAnsi="Times New Roman" w:cs="Times New Roman" w:eastAsia="Times New Roman" w:hint="default"/>
                <w:sz w:val="18"/>
                <w:szCs w:val="18"/>
              </w:rPr>
            </w:pPr>
            <w:r>
              <w:rPr>
                <w:rFonts w:ascii="Times New Roman"/>
                <w:sz w:val="18"/>
              </w:rPr>
              <w:t>189,429,452.11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9" w:right="0"/>
              <w:jc w:val="left"/>
              <w:rPr>
                <w:rFonts w:ascii="Times New Roman" w:hAnsi="Times New Roman" w:cs="Times New Roman" w:eastAsia="Times New Roman" w:hint="default"/>
                <w:sz w:val="18"/>
                <w:szCs w:val="18"/>
              </w:rPr>
            </w:pPr>
            <w:r>
              <w:rPr>
                <w:rFonts w:ascii="Times New Roman"/>
                <w:sz w:val="18"/>
              </w:rPr>
              <w:t>11,877,582.21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Times New Roman" w:hAnsi="Times New Roman" w:cs="Times New Roman" w:eastAsia="Times New Roman" w:hint="default"/>
                <w:sz w:val="18"/>
                <w:szCs w:val="18"/>
              </w:rPr>
            </w:pPr>
            <w:r>
              <w:rPr>
                <w:rFonts w:ascii="Times New Roman"/>
                <w:sz w:val="18"/>
              </w:rPr>
              <w:t>530,602,717.81</w:t>
            </w:r>
          </w:p>
        </w:tc>
      </w:tr>
    </w:tbl>
    <w:p>
      <w:pPr>
        <w:spacing w:line="240" w:lineRule="auto" w:before="5"/>
        <w:rPr>
          <w:rFonts w:ascii="Times New Roman" w:hAnsi="Times New Roman" w:cs="Times New Roman" w:eastAsia="Times New Roman" w:hint="default"/>
          <w:sz w:val="21"/>
          <w:szCs w:val="21"/>
        </w:rPr>
      </w:pPr>
    </w:p>
    <w:p>
      <w:pPr>
        <w:pStyle w:val="Heading4"/>
        <w:spacing w:line="240" w:lineRule="auto" w:before="35"/>
        <w:ind w:left="140" w:right="0"/>
        <w:jc w:val="left"/>
        <w:rPr>
          <w:b w:val="0"/>
          <w:bCs w:val="0"/>
        </w:rPr>
      </w:pPr>
      <w:bookmarkStart w:name="8、母公司所有者权益变动表" w:id="170"/>
      <w:bookmarkEnd w:id="170"/>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40" w:right="0"/>
        <w:jc w:val="left"/>
      </w:pPr>
      <w:r>
        <w:rPr/>
        <w:t>本期金额</w:t>
      </w:r>
    </w:p>
    <w:p>
      <w:pPr>
        <w:pStyle w:val="BodyText"/>
        <w:spacing w:line="240" w:lineRule="auto" w:before="116"/>
        <w:ind w:left="0" w:right="235"/>
        <w:jc w:val="right"/>
      </w:pPr>
      <w:r>
        <w:rPr/>
        <w:t>单位：元</w:t>
      </w:r>
    </w:p>
    <w:p>
      <w:pPr>
        <w:spacing w:after="0" w:line="240" w:lineRule="auto"/>
        <w:jc w:val="right"/>
        <w:sectPr>
          <w:pgSz w:w="16840" w:h="11910" w:orient="landscape"/>
          <w:pgMar w:header="851" w:footer="959" w:top="1540" w:bottom="1160" w:left="1300" w:right="1300"/>
        </w:sectPr>
      </w:pPr>
    </w:p>
    <w:p>
      <w:pPr>
        <w:spacing w:line="240" w:lineRule="auto" w:before="5"/>
        <w:rPr>
          <w:rFonts w:ascii="Times New Roman" w:hAnsi="Times New Roman" w:cs="Times New Roman" w:eastAsia="Times New Roman" w:hint="default"/>
          <w:sz w:val="17"/>
          <w:szCs w:val="17"/>
        </w:rPr>
      </w:pPr>
      <w:r>
        <w:rPr/>
        <w:pict>
          <v:shape style="position:absolute;margin-left:70.949997pt;margin-top:77.700005pt;width:700.9pt;height:441.1pt;mso-position-horizontal-relative:page;mso-position-vertical-relative:page;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36"/>
                    <w:gridCol w:w="1193"/>
                    <w:gridCol w:w="920"/>
                    <w:gridCol w:w="922"/>
                    <w:gridCol w:w="920"/>
                    <w:gridCol w:w="1181"/>
                    <w:gridCol w:w="1118"/>
                    <w:gridCol w:w="1116"/>
                    <w:gridCol w:w="1118"/>
                    <w:gridCol w:w="1116"/>
                    <w:gridCol w:w="1181"/>
                    <w:gridCol w:w="1181"/>
                  </w:tblGrid>
                  <w:tr>
                    <w:trPr>
                      <w:trHeight w:val="405" w:hRule="exact"/>
                    </w:trPr>
                    <w:tc>
                      <w:tcPr>
                        <w:tcW w:w="2036" w:type="dxa"/>
                        <w:tcBorders>
                          <w:top w:val="single" w:sz="10" w:space="0" w:color="000000"/>
                          <w:left w:val="single" w:sz="4" w:space="0" w:color="000000"/>
                          <w:bottom w:val="nil" w:sz="6" w:space="0" w:color="auto"/>
                          <w:right w:val="single" w:sz="4" w:space="0" w:color="000000"/>
                        </w:tcBorders>
                        <w:shd w:val="clear" w:color="auto" w:fill="D2D2D2"/>
                      </w:tcPr>
                      <w:p>
                        <w:pPr/>
                      </w:p>
                    </w:tc>
                    <w:tc>
                      <w:tcPr>
                        <w:tcW w:w="11967" w:type="dxa"/>
                        <w:gridSpan w:val="11"/>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20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76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83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462" w:right="102"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1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495" w:right="43"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1" w:hRule="exact"/>
                    </w:trPr>
                    <w:tc>
                      <w:tcPr>
                        <w:tcW w:w="2036"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762"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16" w:type="dxa"/>
                        <w:vMerge/>
                        <w:tcBorders>
                          <w:left w:val="single" w:sz="4" w:space="0" w:color="000000"/>
                          <w:right w:val="single" w:sz="4" w:space="0" w:color="000000"/>
                        </w:tcBorders>
                        <w:shd w:val="clear" w:color="auto" w:fill="D2D2D2"/>
                      </w:tcPr>
                      <w:p>
                        <w:pPr/>
                      </w:p>
                    </w:tc>
                    <w:tc>
                      <w:tcPr>
                        <w:tcW w:w="11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tcBorders>
                          <w:left w:val="single" w:sz="4" w:space="0" w:color="000000"/>
                          <w:right w:val="single" w:sz="4" w:space="0" w:color="000000"/>
                        </w:tcBorders>
                        <w:shd w:val="clear" w:color="auto" w:fill="D2D2D2"/>
                      </w:tcPr>
                      <w:p>
                        <w:pPr/>
                      </w:p>
                    </w:tc>
                  </w:tr>
                  <w:tr>
                    <w:trPr>
                      <w:trHeight w:val="200" w:hRule="exact"/>
                    </w:trPr>
                    <w:tc>
                      <w:tcPr>
                        <w:tcW w:w="2036" w:type="dxa"/>
                        <w:vMerge w:val="restart"/>
                        <w:tcBorders>
                          <w:top w:val="nil" w:sz="6" w:space="0" w:color="auto"/>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84"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8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1118" w:type="dxa"/>
                        <w:vMerge/>
                        <w:tcBorders>
                          <w:left w:val="single" w:sz="4" w:space="0" w:color="000000"/>
                          <w:bottom w:val="nil" w:sz="6" w:space="0" w:color="auto"/>
                          <w:right w:val="single" w:sz="4" w:space="0" w:color="000000"/>
                        </w:tcBorders>
                        <w:shd w:val="clear" w:color="auto" w:fill="D2D2D2"/>
                      </w:tcPr>
                      <w:p>
                        <w:pPr/>
                      </w:p>
                    </w:tc>
                    <w:tc>
                      <w:tcPr>
                        <w:tcW w:w="1116" w:type="dxa"/>
                        <w:vMerge/>
                        <w:tcBorders>
                          <w:left w:val="single" w:sz="4" w:space="0" w:color="000000"/>
                          <w:right w:val="single" w:sz="4" w:space="0" w:color="000000"/>
                        </w:tcBorders>
                        <w:shd w:val="clear" w:color="auto" w:fill="D2D2D2"/>
                      </w:tcPr>
                      <w:p>
                        <w:pPr/>
                      </w:p>
                    </w:tc>
                    <w:tc>
                      <w:tcPr>
                        <w:tcW w:w="1118" w:type="dxa"/>
                        <w:vMerge/>
                        <w:tcBorders>
                          <w:left w:val="single" w:sz="4" w:space="0" w:color="000000"/>
                          <w:bottom w:val="nil" w:sz="6" w:space="0" w:color="auto"/>
                          <w:right w:val="single" w:sz="4" w:space="0" w:color="000000"/>
                        </w:tcBorders>
                        <w:shd w:val="clear" w:color="auto" w:fill="D2D2D2"/>
                      </w:tcPr>
                      <w:p>
                        <w:pPr/>
                      </w:p>
                    </w:tc>
                    <w:tc>
                      <w:tcPr>
                        <w:tcW w:w="1116"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r>
                  <w:tr>
                    <w:trPr>
                      <w:trHeight w:val="206" w:hRule="exact"/>
                    </w:trPr>
                    <w:tc>
                      <w:tcPr>
                        <w:tcW w:w="2036"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16" w:type="dxa"/>
                        <w:vMerge/>
                        <w:tcBorders>
                          <w:left w:val="single" w:sz="4" w:space="0" w:color="000000"/>
                          <w:bottom w:val="single" w:sz="4" w:space="0" w:color="000000"/>
                          <w:right w:val="single" w:sz="4" w:space="0" w:color="000000"/>
                        </w:tcBorders>
                        <w:shd w:val="clear" w:color="auto" w:fill="D2D2D2"/>
                      </w:tcPr>
                      <w:p>
                        <w:pPr/>
                      </w:p>
                    </w:tc>
                    <w:tc>
                      <w:tcPr>
                        <w:tcW w:w="11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147,940,922.48</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18" w:space="0" w:color="D2D2D2"/>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30,936,160.02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171,835,032.54</w:t>
                        </w:r>
                      </w:p>
                    </w:tc>
                    <w:tc>
                      <w:tcPr>
                        <w:tcW w:w="1181"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73"/>
                          <w:ind w:left="7" w:right="0"/>
                          <w:jc w:val="center"/>
                          <w:rPr>
                            <w:rFonts w:ascii="Times New Roman" w:hAnsi="Times New Roman" w:cs="Times New Roman" w:eastAsia="Times New Roman" w:hint="default"/>
                            <w:sz w:val="18"/>
                            <w:szCs w:val="18"/>
                          </w:rPr>
                        </w:pPr>
                        <w:r>
                          <w:rPr>
                            <w:rFonts w:ascii="Times New Roman"/>
                            <w:sz w:val="18"/>
                          </w:rPr>
                          <w:t>500,712,115.04</w:t>
                        </w:r>
                      </w:p>
                    </w:tc>
                  </w:tr>
                  <w:tr>
                    <w:trPr>
                      <w:trHeight w:val="402"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147,940,922.48</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30,936,160.02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171,835,032.54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500,712,115.04</w:t>
                        </w:r>
                      </w:p>
                    </w:tc>
                  </w:tr>
                  <w:tr>
                    <w:trPr>
                      <w:trHeight w:val="714"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13"/>
                            <w:sz w:val="18"/>
                            <w:szCs w:val="18"/>
                          </w:rPr>
                          <w:t>三、本期增减变动金额（减</w:t>
                        </w:r>
                        <w:r>
                          <w:rPr>
                            <w:rFonts w:ascii="宋体" w:hAnsi="宋体" w:cs="宋体" w:eastAsia="宋体" w:hint="default"/>
                            <w:sz w:val="18"/>
                            <w:szCs w:val="18"/>
                          </w:rPr>
                          <w:t>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2,316,786.01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20,851,074.10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23,167,860.11</w:t>
                        </w:r>
                      </w:p>
                    </w:tc>
                  </w:tr>
                  <w:tr>
                    <w:trPr>
                      <w:trHeight w:val="402"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23,167,860.11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23,167,860.11</w:t>
                        </w:r>
                      </w:p>
                    </w:tc>
                  </w:tr>
                  <w:tr>
                    <w:trPr>
                      <w:trHeight w:val="714"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3"/>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．其他权益工具持有者投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．股份支付计入所有者权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益的金额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2,316,786.01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-2,316,786.01</w:t>
                        </w: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2,316,786.01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-2,316,786.01</w:t>
                        </w: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．对所有者（或股东）的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6840" w:h="11910" w:orient="landscape"/>
          <w:pgMar w:header="851" w:footer="959" w:top="1560" w:bottom="1160" w:left="1300" w:right="1300"/>
        </w:sectPr>
      </w:pPr>
    </w:p>
    <w:tbl>
      <w:tblPr>
        <w:tblW w:w="0" w:type="auto"/>
        <w:jc w:val="left"/>
        <w:tblInd w:w="107" w:type="dxa"/>
        <w:tblLayout w:type="fixed"/>
        <w:tblCellMar>
          <w:top w:w="0" w:type="dxa"/>
          <w:left w:w="0" w:type="dxa"/>
          <w:bottom w:w="0" w:type="dxa"/>
          <w:right w:w="0" w:type="dxa"/>
        </w:tblCellMar>
        <w:tblLook w:val="01E0"/>
      </w:tblPr>
      <w:tblGrid>
        <w:gridCol w:w="2059"/>
        <w:gridCol w:w="1181"/>
        <w:gridCol w:w="920"/>
        <w:gridCol w:w="922"/>
        <w:gridCol w:w="920"/>
        <w:gridCol w:w="1181"/>
        <w:gridCol w:w="1118"/>
        <w:gridCol w:w="1116"/>
        <w:gridCol w:w="1118"/>
        <w:gridCol w:w="1116"/>
        <w:gridCol w:w="1181"/>
        <w:gridCol w:w="1181"/>
      </w:tblGrid>
      <w:tr>
        <w:trPr>
          <w:trHeight w:val="414" w:hRule="exact"/>
        </w:trPr>
        <w:tc>
          <w:tcPr>
            <w:tcW w:w="2059"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10" w:space="0" w:color="000000"/>
              <w:left w:val="single" w:sz="4" w:space="0" w:color="000000"/>
              <w:bottom w:val="single" w:sz="4" w:space="0" w:color="000000"/>
              <w:right w:val="single" w:sz="4" w:space="0" w:color="000000"/>
            </w:tcBorders>
          </w:tcPr>
          <w:p>
            <w:pPr/>
          </w:p>
        </w:tc>
        <w:tc>
          <w:tcPr>
            <w:tcW w:w="920" w:type="dxa"/>
            <w:tcBorders>
              <w:top w:val="single" w:sz="10" w:space="0" w:color="000000"/>
              <w:left w:val="single" w:sz="4" w:space="0" w:color="000000"/>
              <w:bottom w:val="single" w:sz="4" w:space="0" w:color="000000"/>
              <w:right w:val="single" w:sz="4" w:space="0" w:color="000000"/>
            </w:tcBorders>
          </w:tcPr>
          <w:p>
            <w:pPr/>
          </w:p>
        </w:tc>
        <w:tc>
          <w:tcPr>
            <w:tcW w:w="922" w:type="dxa"/>
            <w:tcBorders>
              <w:top w:val="single" w:sz="10" w:space="0" w:color="000000"/>
              <w:left w:val="single" w:sz="4" w:space="0" w:color="000000"/>
              <w:bottom w:val="single" w:sz="4" w:space="0" w:color="000000"/>
              <w:right w:val="single" w:sz="4" w:space="0" w:color="000000"/>
            </w:tcBorders>
          </w:tcPr>
          <w:p>
            <w:pPr/>
          </w:p>
        </w:tc>
        <w:tc>
          <w:tcPr>
            <w:tcW w:w="920" w:type="dxa"/>
            <w:tcBorders>
              <w:top w:val="single" w:sz="10" w:space="0" w:color="000000"/>
              <w:left w:val="single" w:sz="4" w:space="0" w:color="000000"/>
              <w:bottom w:val="single" w:sz="4" w:space="0" w:color="000000"/>
              <w:right w:val="single" w:sz="4" w:space="0" w:color="000000"/>
            </w:tcBorders>
          </w:tcPr>
          <w:p>
            <w:pPr/>
          </w:p>
        </w:tc>
        <w:tc>
          <w:tcPr>
            <w:tcW w:w="1181" w:type="dxa"/>
            <w:tcBorders>
              <w:top w:val="single" w:sz="10" w:space="0" w:color="000000"/>
              <w:left w:val="single" w:sz="4" w:space="0" w:color="000000"/>
              <w:bottom w:val="single" w:sz="4" w:space="0" w:color="000000"/>
              <w:right w:val="single" w:sz="4" w:space="0" w:color="000000"/>
            </w:tcBorders>
          </w:tcPr>
          <w:p>
            <w:pPr/>
          </w:p>
        </w:tc>
        <w:tc>
          <w:tcPr>
            <w:tcW w:w="1118" w:type="dxa"/>
            <w:tcBorders>
              <w:top w:val="single" w:sz="10" w:space="0" w:color="000000"/>
              <w:left w:val="single" w:sz="4" w:space="0" w:color="000000"/>
              <w:bottom w:val="single" w:sz="4" w:space="0" w:color="000000"/>
              <w:right w:val="single" w:sz="4" w:space="0" w:color="000000"/>
            </w:tcBorders>
          </w:tcPr>
          <w:p>
            <w:pPr/>
          </w:p>
        </w:tc>
        <w:tc>
          <w:tcPr>
            <w:tcW w:w="1116" w:type="dxa"/>
            <w:tcBorders>
              <w:top w:val="single" w:sz="10" w:space="0" w:color="000000"/>
              <w:left w:val="single" w:sz="4" w:space="0" w:color="000000"/>
              <w:bottom w:val="single" w:sz="4" w:space="0" w:color="000000"/>
              <w:right w:val="single" w:sz="4" w:space="0" w:color="000000"/>
            </w:tcBorders>
          </w:tcPr>
          <w:p>
            <w:pPr/>
          </w:p>
        </w:tc>
        <w:tc>
          <w:tcPr>
            <w:tcW w:w="1118" w:type="dxa"/>
            <w:tcBorders>
              <w:top w:val="single" w:sz="10" w:space="0" w:color="000000"/>
              <w:left w:val="single" w:sz="4" w:space="0" w:color="000000"/>
              <w:bottom w:val="single" w:sz="4" w:space="0" w:color="000000"/>
              <w:right w:val="single" w:sz="4" w:space="0" w:color="000000"/>
            </w:tcBorders>
          </w:tcPr>
          <w:p>
            <w:pPr/>
          </w:p>
        </w:tc>
        <w:tc>
          <w:tcPr>
            <w:tcW w:w="1116" w:type="dxa"/>
            <w:tcBorders>
              <w:top w:val="single" w:sz="10" w:space="0" w:color="000000"/>
              <w:left w:val="single" w:sz="4" w:space="0" w:color="000000"/>
              <w:bottom w:val="single" w:sz="4" w:space="0" w:color="000000"/>
              <w:right w:val="single" w:sz="4" w:space="0" w:color="000000"/>
            </w:tcBorders>
          </w:tcPr>
          <w:p>
            <w:pPr/>
          </w:p>
        </w:tc>
        <w:tc>
          <w:tcPr>
            <w:tcW w:w="1181" w:type="dxa"/>
            <w:tcBorders>
              <w:top w:val="single" w:sz="10" w:space="0" w:color="000000"/>
              <w:left w:val="single" w:sz="4" w:space="0" w:color="000000"/>
              <w:bottom w:val="single" w:sz="4" w:space="0" w:color="000000"/>
              <w:right w:val="single" w:sz="4" w:space="0" w:color="000000"/>
            </w:tcBorders>
          </w:tcPr>
          <w:p>
            <w:pPr/>
          </w:p>
        </w:tc>
        <w:tc>
          <w:tcPr>
            <w:tcW w:w="1181" w:type="dxa"/>
            <w:tcBorders>
              <w:top w:val="single" w:sz="10" w:space="0" w:color="000000"/>
              <w:left w:val="single" w:sz="4" w:space="0" w:color="000000"/>
              <w:bottom w:val="single" w:sz="4" w:space="0" w:color="000000"/>
              <w:right w:val="single" w:sz="4" w:space="0" w:color="000000"/>
            </w:tcBorders>
          </w:tcPr>
          <w:p>
            <w:pPr/>
          </w:p>
        </w:tc>
      </w:tr>
      <w:tr>
        <w:trPr>
          <w:trHeight w:val="714" w:hRule="exact"/>
        </w:trPr>
        <w:tc>
          <w:tcPr>
            <w:tcW w:w="2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2" w:right="44"/>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2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2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2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．设定受益计划变动额结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0"/>
              <w:jc w:val="left"/>
              <w:rPr>
                <w:rFonts w:ascii="Times New Roman" w:hAnsi="Times New Roman" w:cs="Times New Roman" w:eastAsia="Times New Roman" w:hint="default"/>
                <w:sz w:val="18"/>
                <w:szCs w:val="18"/>
              </w:rPr>
            </w:pPr>
            <w:r>
              <w:rPr>
                <w:rFonts w:ascii="Times New Roman"/>
                <w:sz w:val="18"/>
              </w:rPr>
              <w:t>150,000,000.00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Times New Roman" w:hAnsi="Times New Roman" w:cs="Times New Roman" w:eastAsia="Times New Roman" w:hint="default"/>
                <w:sz w:val="18"/>
                <w:szCs w:val="18"/>
              </w:rPr>
            </w:pPr>
            <w:r>
              <w:rPr>
                <w:rFonts w:ascii="Times New Roman"/>
                <w:sz w:val="18"/>
              </w:rPr>
              <w:t>147,940,922.48</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7" w:right="0"/>
              <w:jc w:val="left"/>
              <w:rPr>
                <w:rFonts w:ascii="Times New Roman" w:hAnsi="Times New Roman" w:cs="Times New Roman" w:eastAsia="Times New Roman" w:hint="default"/>
                <w:sz w:val="18"/>
                <w:szCs w:val="18"/>
              </w:rPr>
            </w:pPr>
            <w:r>
              <w:rPr>
                <w:rFonts w:ascii="Times New Roman"/>
                <w:sz w:val="18"/>
              </w:rPr>
              <w:t>33,252,946.03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Times New Roman" w:hAnsi="Times New Roman" w:cs="Times New Roman" w:eastAsia="Times New Roman" w:hint="default"/>
                <w:sz w:val="18"/>
                <w:szCs w:val="18"/>
              </w:rPr>
            </w:pPr>
            <w:r>
              <w:rPr>
                <w:rFonts w:ascii="Times New Roman"/>
                <w:sz w:val="18"/>
              </w:rPr>
              <w:t>192,686,106.64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Times New Roman" w:hAnsi="Times New Roman" w:cs="Times New Roman" w:eastAsia="Times New Roman" w:hint="default"/>
                <w:sz w:val="18"/>
                <w:szCs w:val="18"/>
              </w:rPr>
            </w:pPr>
            <w:r>
              <w:rPr>
                <w:rFonts w:ascii="Times New Roman"/>
                <w:sz w:val="18"/>
              </w:rPr>
              <w:t>523,879,975.15</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51" w:footer="959" w:top="1540" w:bottom="1160" w:left="1300" w:right="1300"/>
        </w:sectPr>
      </w:pPr>
    </w:p>
    <w:tbl>
      <w:tblPr>
        <w:tblW w:w="0" w:type="auto"/>
        <w:jc w:val="left"/>
        <w:tblInd w:w="118" w:type="dxa"/>
        <w:tblLayout w:type="fixed"/>
        <w:tblCellMar>
          <w:top w:w="0" w:type="dxa"/>
          <w:left w:w="0" w:type="dxa"/>
          <w:bottom w:w="0" w:type="dxa"/>
          <w:right w:w="0" w:type="dxa"/>
        </w:tblCellMar>
        <w:tblLook w:val="01E0"/>
      </w:tblPr>
      <w:tblGrid>
        <w:gridCol w:w="2038"/>
        <w:gridCol w:w="1192"/>
        <w:gridCol w:w="922"/>
        <w:gridCol w:w="920"/>
        <w:gridCol w:w="924"/>
        <w:gridCol w:w="1181"/>
        <w:gridCol w:w="1117"/>
        <w:gridCol w:w="1114"/>
        <w:gridCol w:w="1118"/>
        <w:gridCol w:w="1115"/>
        <w:gridCol w:w="1181"/>
        <w:gridCol w:w="1181"/>
      </w:tblGrid>
      <w:tr>
        <w:trPr>
          <w:trHeight w:val="397" w:hRule="exact"/>
        </w:trPr>
        <w:tc>
          <w:tcPr>
            <w:tcW w:w="20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20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76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3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461" w:right="101"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1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495" w:right="43"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1" w:hRule="exact"/>
        </w:trPr>
        <w:tc>
          <w:tcPr>
            <w:tcW w:w="2038" w:type="dxa"/>
            <w:vMerge/>
            <w:tcBorders>
              <w:left w:val="single" w:sz="4" w:space="0" w:color="000000"/>
              <w:bottom w:val="nil" w:sz="6" w:space="0" w:color="auto"/>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766"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14" w:type="dxa"/>
            <w:vMerge/>
            <w:tcBorders>
              <w:left w:val="single" w:sz="4" w:space="0" w:color="000000"/>
              <w:right w:val="single" w:sz="4" w:space="0" w:color="000000"/>
            </w:tcBorders>
            <w:shd w:val="clear" w:color="auto" w:fill="D2D2D2"/>
          </w:tcPr>
          <w:p>
            <w:pPr/>
          </w:p>
        </w:tc>
        <w:tc>
          <w:tcPr>
            <w:tcW w:w="11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19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19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tcBorders>
              <w:left w:val="single" w:sz="4" w:space="0" w:color="000000"/>
              <w:right w:val="single" w:sz="4" w:space="0" w:color="000000"/>
            </w:tcBorders>
            <w:shd w:val="clear" w:color="auto" w:fill="D2D2D2"/>
          </w:tcPr>
          <w:p>
            <w:pPr/>
          </w:p>
        </w:tc>
      </w:tr>
      <w:tr>
        <w:trPr>
          <w:trHeight w:val="200" w:hRule="exact"/>
        </w:trPr>
        <w:tc>
          <w:tcPr>
            <w:tcW w:w="2038" w:type="dxa"/>
            <w:vMerge w:val="restart"/>
            <w:tcBorders>
              <w:top w:val="nil" w:sz="6" w:space="0" w:color="auto"/>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8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1117" w:type="dxa"/>
            <w:vMerge/>
            <w:tcBorders>
              <w:left w:val="single" w:sz="4" w:space="0" w:color="000000"/>
              <w:bottom w:val="nil" w:sz="6" w:space="0" w:color="auto"/>
              <w:right w:val="single" w:sz="4" w:space="0" w:color="000000"/>
            </w:tcBorders>
            <w:shd w:val="clear" w:color="auto" w:fill="D2D2D2"/>
          </w:tcPr>
          <w:p>
            <w:pPr/>
          </w:p>
        </w:tc>
        <w:tc>
          <w:tcPr>
            <w:tcW w:w="1114" w:type="dxa"/>
            <w:vMerge/>
            <w:tcBorders>
              <w:left w:val="single" w:sz="4" w:space="0" w:color="000000"/>
              <w:right w:val="single" w:sz="4" w:space="0" w:color="000000"/>
            </w:tcBorders>
            <w:shd w:val="clear" w:color="auto" w:fill="D2D2D2"/>
          </w:tcPr>
          <w:p>
            <w:pPr/>
          </w:p>
        </w:tc>
        <w:tc>
          <w:tcPr>
            <w:tcW w:w="1118" w:type="dxa"/>
            <w:vMerge/>
            <w:tcBorders>
              <w:left w:val="single" w:sz="4" w:space="0" w:color="000000"/>
              <w:bottom w:val="nil" w:sz="6" w:space="0" w:color="auto"/>
              <w:right w:val="single" w:sz="4" w:space="0" w:color="000000"/>
            </w:tcBorders>
            <w:shd w:val="clear" w:color="auto" w:fill="D2D2D2"/>
          </w:tcPr>
          <w:p>
            <w:pPr/>
          </w:p>
        </w:tc>
        <w:tc>
          <w:tcPr>
            <w:tcW w:w="1115"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r>
      <w:tr>
        <w:trPr>
          <w:trHeight w:val="206" w:hRule="exact"/>
        </w:trPr>
        <w:tc>
          <w:tcPr>
            <w:tcW w:w="2038" w:type="dxa"/>
            <w:vMerge/>
            <w:tcBorders>
              <w:left w:val="single" w:sz="4" w:space="0" w:color="000000"/>
              <w:bottom w:val="single" w:sz="4" w:space="0" w:color="000000"/>
              <w:right w:val="single" w:sz="4" w:space="0" w:color="000000"/>
            </w:tcBorders>
            <w:shd w:val="clear" w:color="auto" w:fill="D2D2D2"/>
          </w:tcPr>
          <w:p>
            <w:pPr/>
          </w:p>
        </w:tc>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14" w:type="dxa"/>
            <w:vMerge/>
            <w:tcBorders>
              <w:left w:val="single" w:sz="4" w:space="0" w:color="000000"/>
              <w:bottom w:val="single" w:sz="4" w:space="0" w:color="000000"/>
              <w:right w:val="single" w:sz="4" w:space="0" w:color="000000"/>
            </w:tcBorders>
            <w:shd w:val="clear" w:color="auto" w:fill="D2D2D2"/>
          </w:tcPr>
          <w:p>
            <w:pPr/>
          </w:p>
        </w:tc>
        <w:tc>
          <w:tcPr>
            <w:tcW w:w="11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38"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5"/>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2" w:type="dxa"/>
            <w:tcBorders>
              <w:top w:val="single" w:sz="4" w:space="0" w:color="000000"/>
              <w:left w:val="single" w:sz="22" w:space="0" w:color="FFFFFF"/>
              <w:bottom w:val="single" w:sz="4" w:space="0" w:color="000000"/>
              <w:right w:val="single" w:sz="10" w:space="0" w:color="FFFFFF"/>
            </w:tcBorders>
          </w:tcPr>
          <w:p>
            <w:pPr>
              <w:pStyle w:val="TableParagraph"/>
              <w:spacing w:line="240" w:lineRule="auto" w:before="84"/>
              <w:ind w:right="13"/>
              <w:jc w:val="right"/>
              <w:rPr>
                <w:rFonts w:ascii="Times New Roman" w:hAnsi="Times New Roman" w:cs="Times New Roman" w:eastAsia="Times New Roman" w:hint="default"/>
                <w:sz w:val="18"/>
                <w:szCs w:val="18"/>
              </w:rPr>
            </w:pPr>
            <w:r>
              <w:rPr>
                <w:rFonts w:ascii="Times New Roman"/>
                <w:spacing w:val="-1"/>
                <w:sz w:val="18"/>
              </w:rPr>
              <w:t>100,000,000.00</w:t>
            </w:r>
          </w:p>
        </w:tc>
        <w:tc>
          <w:tcPr>
            <w:tcW w:w="922" w:type="dxa"/>
            <w:tcBorders>
              <w:top w:val="single" w:sz="4" w:space="0" w:color="000000"/>
              <w:left w:val="single" w:sz="10" w:space="0" w:color="FFFFFF"/>
              <w:bottom w:val="single" w:sz="4" w:space="0" w:color="000000"/>
              <w:right w:val="single" w:sz="9" w:space="0" w:color="FFFFFF"/>
            </w:tcBorders>
          </w:tcPr>
          <w:p>
            <w:pPr/>
          </w:p>
        </w:tc>
        <w:tc>
          <w:tcPr>
            <w:tcW w:w="920" w:type="dxa"/>
            <w:tcBorders>
              <w:top w:val="single" w:sz="4" w:space="0" w:color="000000"/>
              <w:left w:val="single" w:sz="9" w:space="0" w:color="FFFFFF"/>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23" w:space="0" w:color="FFFFFF"/>
            </w:tcBorders>
          </w:tcPr>
          <w:p>
            <w:pPr>
              <w:pStyle w:val="TableParagraph"/>
              <w:spacing w:line="240" w:lineRule="auto" w:before="84"/>
              <w:ind w:left="23" w:right="-1"/>
              <w:jc w:val="left"/>
              <w:rPr>
                <w:rFonts w:ascii="Times New Roman" w:hAnsi="Times New Roman" w:cs="Times New Roman" w:eastAsia="Times New Roman" w:hint="default"/>
                <w:sz w:val="18"/>
                <w:szCs w:val="18"/>
              </w:rPr>
            </w:pPr>
            <w:r>
              <w:rPr>
                <w:rFonts w:ascii="Times New Roman"/>
                <w:sz w:val="18"/>
              </w:rPr>
              <w:t>147,940,922.48</w:t>
            </w:r>
          </w:p>
        </w:tc>
        <w:tc>
          <w:tcPr>
            <w:tcW w:w="1117" w:type="dxa"/>
            <w:tcBorders>
              <w:top w:val="single" w:sz="4" w:space="0" w:color="000000"/>
              <w:left w:val="single" w:sz="23" w:space="0" w:color="FFFFFF"/>
              <w:bottom w:val="single" w:sz="4" w:space="0" w:color="000000"/>
              <w:right w:val="single" w:sz="23" w:space="0" w:color="FFFFFF"/>
            </w:tcBorders>
          </w:tcPr>
          <w:p>
            <w:pPr/>
          </w:p>
        </w:tc>
        <w:tc>
          <w:tcPr>
            <w:tcW w:w="1114" w:type="dxa"/>
            <w:tcBorders>
              <w:top w:val="single" w:sz="22" w:space="0" w:color="D2D2D2"/>
              <w:left w:val="single" w:sz="23" w:space="0" w:color="FFFFFF"/>
              <w:bottom w:val="single" w:sz="4" w:space="0" w:color="000000"/>
              <w:right w:val="single" w:sz="10" w:space="0" w:color="FFFFFF"/>
            </w:tcBorders>
          </w:tcPr>
          <w:p>
            <w:pPr/>
          </w:p>
        </w:tc>
        <w:tc>
          <w:tcPr>
            <w:tcW w:w="1118" w:type="dxa"/>
            <w:tcBorders>
              <w:top w:val="single" w:sz="4" w:space="0" w:color="000000"/>
              <w:left w:val="single" w:sz="10" w:space="0" w:color="FFFFFF"/>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34"/>
              <w:jc w:val="left"/>
              <w:rPr>
                <w:rFonts w:ascii="宋体" w:hAnsi="宋体" w:cs="宋体" w:eastAsia="宋体" w:hint="default"/>
                <w:sz w:val="18"/>
                <w:szCs w:val="18"/>
              </w:rPr>
            </w:pPr>
            <w:r>
              <w:rPr>
                <w:rFonts w:ascii="宋体" w:hAnsi="宋体" w:cs="宋体" w:eastAsia="宋体" w:hint="default"/>
                <w:spacing w:val="-137"/>
                <w:sz w:val="18"/>
                <w:szCs w:val="18"/>
              </w:rPr>
              <w:t>环</w:t>
            </w:r>
            <w:r>
              <w:rPr>
                <w:rFonts w:ascii="Times New Roman" w:hAnsi="Times New Roman" w:cs="Times New Roman" w:eastAsia="Times New Roman" w:hint="default"/>
                <w:position w:val="1"/>
                <w:sz w:val="18"/>
                <w:szCs w:val="18"/>
              </w:rPr>
              <w:t>28,731,91</w:t>
            </w:r>
            <w:r>
              <w:rPr>
                <w:rFonts w:ascii="Times New Roman" w:hAnsi="Times New Roman" w:cs="Times New Roman" w:eastAsia="Times New Roman" w:hint="default"/>
                <w:spacing w:val="-2"/>
                <w:position w:val="1"/>
                <w:sz w:val="18"/>
                <w:szCs w:val="18"/>
              </w:rPr>
              <w:t>0</w:t>
            </w:r>
            <w:r>
              <w:rPr>
                <w:rFonts w:ascii="Times New Roman" w:hAnsi="Times New Roman" w:cs="Times New Roman" w:eastAsia="Times New Roman" w:hint="default"/>
                <w:position w:val="1"/>
                <w:sz w:val="18"/>
                <w:szCs w:val="18"/>
              </w:rPr>
              <w:t>.5</w:t>
            </w:r>
            <w:r>
              <w:rPr>
                <w:rFonts w:ascii="Times New Roman" w:hAnsi="Times New Roman" w:cs="Times New Roman" w:eastAsia="Times New Roman" w:hint="default"/>
                <w:spacing w:val="-67"/>
                <w:position w:val="1"/>
                <w:sz w:val="18"/>
                <w:szCs w:val="18"/>
              </w:rPr>
              <w:t>4</w:t>
            </w:r>
            <w:r>
              <w:rPr>
                <w:rFonts w:ascii="宋体" w:hAnsi="宋体" w:cs="宋体" w:eastAsia="宋体" w:hint="default"/>
                <w:spacing w:val="-57"/>
                <w:sz w:val="18"/>
                <w:szCs w:val="18"/>
              </w:rPr>
              <w:t>有</w:t>
            </w:r>
            <w:r>
              <w:rPr>
                <w:rFonts w:ascii="宋体" w:hAnsi="宋体" w:cs="宋体" w:eastAsia="宋体" w:hint="default"/>
                <w:sz w:val="18"/>
                <w:szCs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221,996,787.26</w:t>
            </w:r>
          </w:p>
        </w:tc>
        <w:tc>
          <w:tcPr>
            <w:tcW w:w="1181"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498,669,620.28</w:t>
            </w:r>
          </w:p>
        </w:tc>
      </w:tr>
      <w:tr>
        <w:trPr>
          <w:trHeight w:val="402" w:hRule="exact"/>
        </w:trPr>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2" w:type="dxa"/>
            <w:tcBorders>
              <w:top w:val="single" w:sz="4" w:space="0" w:color="000000"/>
              <w:left w:val="single" w:sz="9" w:space="0" w:color="D2D2D2"/>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2" w:type="dxa"/>
            <w:tcBorders>
              <w:top w:val="single" w:sz="4" w:space="0" w:color="000000"/>
              <w:left w:val="single" w:sz="9" w:space="0" w:color="D2D2D2"/>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203"/>
              <w:jc w:val="center"/>
              <w:rPr>
                <w:rFonts w:ascii="宋体" w:hAnsi="宋体" w:cs="宋体" w:eastAsia="宋体" w:hint="default"/>
                <w:sz w:val="18"/>
                <w:szCs w:val="18"/>
              </w:rPr>
            </w:pPr>
            <w:r>
              <w:rPr>
                <w:rFonts w:ascii="宋体" w:hAnsi="宋体" w:cs="宋体" w:eastAsia="宋体" w:hint="default"/>
                <w:sz w:val="18"/>
                <w:szCs w:val="18"/>
              </w:rPr>
              <w:t>其他</w:t>
            </w:r>
          </w:p>
        </w:tc>
        <w:tc>
          <w:tcPr>
            <w:tcW w:w="1192" w:type="dxa"/>
            <w:tcBorders>
              <w:top w:val="single" w:sz="4" w:space="0" w:color="000000"/>
              <w:left w:val="single" w:sz="9" w:space="0" w:color="D2D2D2"/>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Times New Roman" w:hAnsi="Times New Roman" w:cs="Times New Roman" w:eastAsia="Times New Roman" w:hint="default"/>
                <w:sz w:val="18"/>
                <w:szCs w:val="18"/>
              </w:rPr>
            </w:pPr>
            <w:r>
              <w:rPr>
                <w:rFonts w:ascii="Times New Roman"/>
                <w:sz w:val="18"/>
              </w:rPr>
              <w:t>147,940,922.48</w:t>
            </w:r>
          </w:p>
        </w:tc>
        <w:tc>
          <w:tcPr>
            <w:tcW w:w="111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6" w:right="0"/>
              <w:jc w:val="left"/>
              <w:rPr>
                <w:rFonts w:ascii="Times New Roman" w:hAnsi="Times New Roman" w:cs="Times New Roman" w:eastAsia="Times New Roman" w:hint="default"/>
                <w:sz w:val="18"/>
                <w:szCs w:val="18"/>
              </w:rPr>
            </w:pPr>
            <w:r>
              <w:rPr>
                <w:rFonts w:ascii="Times New Roman"/>
                <w:sz w:val="18"/>
              </w:rPr>
              <w:t>28,731,910.54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221,996,787.26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498,669,620.28</w:t>
            </w:r>
          </w:p>
        </w:tc>
      </w:tr>
      <w:tr>
        <w:trPr>
          <w:trHeight w:val="714" w:hRule="exact"/>
        </w:trPr>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5"/>
              <w:ind w:left="11" w:right="10"/>
              <w:jc w:val="left"/>
              <w:rPr>
                <w:rFonts w:ascii="宋体" w:hAnsi="宋体" w:cs="宋体" w:eastAsia="宋体" w:hint="default"/>
                <w:sz w:val="18"/>
                <w:szCs w:val="18"/>
              </w:rPr>
            </w:pPr>
            <w:r>
              <w:rPr>
                <w:rFonts w:ascii="宋体" w:hAnsi="宋体" w:cs="宋体" w:eastAsia="宋体" w:hint="default"/>
                <w:spacing w:val="-13"/>
                <w:sz w:val="18"/>
                <w:szCs w:val="18"/>
              </w:rPr>
              <w:t>三、本期增减变动金额（减</w:t>
            </w:r>
            <w:r>
              <w:rPr>
                <w:rFonts w:ascii="宋体" w:hAnsi="宋体" w:cs="宋体" w:eastAsia="宋体" w:hint="default"/>
                <w:sz w:val="18"/>
                <w:szCs w:val="18"/>
              </w:rPr>
              <w:t>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2,204,249.48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-50,161,754.72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2,042,494.76</w:t>
            </w:r>
          </w:p>
        </w:tc>
      </w:tr>
      <w:tr>
        <w:trPr>
          <w:trHeight w:val="402" w:hRule="exact"/>
        </w:trPr>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2" w:type="dxa"/>
            <w:tcBorders>
              <w:top w:val="single" w:sz="4" w:space="0" w:color="000000"/>
              <w:left w:val="single" w:sz="9" w:space="0" w:color="D2D2D2"/>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22,042,494.76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22,042,494.76</w:t>
            </w:r>
          </w:p>
        </w:tc>
      </w:tr>
      <w:tr>
        <w:trPr>
          <w:trHeight w:val="714" w:hRule="exact"/>
        </w:trPr>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5"/>
              <w:ind w:left="11" w:right="36"/>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714" w:hRule="exact"/>
        </w:trPr>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5"/>
              <w:ind w:left="11" w:right="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．其他权益工具持有者投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入资本</w:t>
            </w:r>
          </w:p>
        </w:tc>
        <w:tc>
          <w:tcPr>
            <w:tcW w:w="1192" w:type="dxa"/>
            <w:tcBorders>
              <w:top w:val="single" w:sz="4" w:space="0" w:color="000000"/>
              <w:left w:val="single" w:sz="9" w:space="0" w:color="D2D2D2"/>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5"/>
              <w:ind w:left="11" w:right="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．股份支付计入所有者权</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益的金额</w:t>
            </w:r>
          </w:p>
        </w:tc>
        <w:tc>
          <w:tcPr>
            <w:tcW w:w="1192" w:type="dxa"/>
            <w:tcBorders>
              <w:top w:val="single" w:sz="4" w:space="0" w:color="000000"/>
              <w:left w:val="single" w:sz="9" w:space="0" w:color="D2D2D2"/>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2" w:type="dxa"/>
            <w:tcBorders>
              <w:top w:val="single" w:sz="4" w:space="0" w:color="000000"/>
              <w:left w:val="single" w:sz="9" w:space="0" w:color="D2D2D2"/>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2" w:type="dxa"/>
            <w:tcBorders>
              <w:top w:val="single" w:sz="4" w:space="0" w:color="000000"/>
              <w:left w:val="single" w:sz="9" w:space="0" w:color="D2D2D2"/>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36" w:right="0"/>
              <w:jc w:val="left"/>
              <w:rPr>
                <w:rFonts w:ascii="Times New Roman" w:hAnsi="Times New Roman" w:cs="Times New Roman" w:eastAsia="Times New Roman" w:hint="default"/>
                <w:sz w:val="18"/>
                <w:szCs w:val="18"/>
              </w:rPr>
            </w:pPr>
            <w:r>
              <w:rPr>
                <w:rFonts w:ascii="Times New Roman"/>
                <w:sz w:val="18"/>
              </w:rPr>
              <w:t>2,204,249.48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-72,204,249.48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2" w:type="dxa"/>
            <w:tcBorders>
              <w:top w:val="single" w:sz="4" w:space="0" w:color="000000"/>
              <w:left w:val="single" w:sz="9" w:space="0" w:color="D2D2D2"/>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36" w:right="0"/>
              <w:jc w:val="left"/>
              <w:rPr>
                <w:rFonts w:ascii="Times New Roman" w:hAnsi="Times New Roman" w:cs="Times New Roman" w:eastAsia="Times New Roman" w:hint="default"/>
                <w:sz w:val="18"/>
                <w:szCs w:val="18"/>
              </w:rPr>
            </w:pPr>
            <w:r>
              <w:rPr>
                <w:rFonts w:ascii="Times New Roman"/>
                <w:sz w:val="18"/>
              </w:rPr>
              <w:t>2,204,249.48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-2,204,249.48</w:t>
            </w: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5"/>
              <w:ind w:left="11" w:right="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．对所有者（或股东）的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分配</w:t>
            </w:r>
          </w:p>
        </w:tc>
        <w:tc>
          <w:tcPr>
            <w:tcW w:w="1192" w:type="dxa"/>
            <w:tcBorders>
              <w:top w:val="single" w:sz="4" w:space="0" w:color="000000"/>
              <w:left w:val="single" w:sz="9" w:space="0" w:color="D2D2D2"/>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92" w:type="dxa"/>
            <w:tcBorders>
              <w:top w:val="single" w:sz="4" w:space="0" w:color="000000"/>
              <w:left w:val="single" w:sz="9" w:space="0" w:color="D2D2D2"/>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5"/>
              <w:ind w:left="11" w:right="36"/>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192" w:type="dxa"/>
            <w:tcBorders>
              <w:top w:val="single" w:sz="4" w:space="0" w:color="000000"/>
              <w:left w:val="single" w:sz="9" w:space="0" w:color="D2D2D2"/>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5"/>
              <w:ind w:left="11" w:right="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股本）</w:t>
            </w:r>
          </w:p>
        </w:tc>
        <w:tc>
          <w:tcPr>
            <w:tcW w:w="1192" w:type="dxa"/>
            <w:tcBorders>
              <w:top w:val="single" w:sz="4" w:space="0" w:color="000000"/>
              <w:left w:val="single" w:sz="9" w:space="0" w:color="D2D2D2"/>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bl>
    <w:p>
      <w:pPr>
        <w:rPr>
          <w:sz w:val="2"/>
          <w:szCs w:val="2"/>
        </w:rPr>
      </w:pPr>
      <w:r>
        <w:rPr/>
        <w:pict>
          <v:shape style="position:absolute;margin-left:542.979980pt;margin-top:60.780006pt;width:53.1pt;height:19.650pt;mso-position-horizontal-relative:page;mso-position-vertical-relative:page;z-index:-799816" type="#_x0000_t202" filled="false" stroked="false">
            <v:textbox inset="0,0,0,0">
              <w:txbxContent>
                <w:p>
                  <w:pPr>
                    <w:pStyle w:val="BodyText"/>
                    <w:spacing w:line="240" w:lineRule="auto" w:before="55"/>
                    <w:ind w:left="670" w:right="0"/>
                    <w:jc w:val="left"/>
                  </w:pPr>
                  <w:r>
                    <w:rPr/>
                    <w:t>西安</w:t>
                  </w:r>
                </w:p>
              </w:txbxContent>
            </v:textbox>
            <w10:wrap type="none"/>
          </v:shape>
        </w:pict>
      </w:r>
      <w:r>
        <w:rPr/>
        <w:pict>
          <v:shape style="position:absolute;margin-left:598.900024pt;margin-top:60.780006pt;width:52.95pt;height:19.650pt;mso-position-horizontal-relative:page;mso-position-vertical-relative:page;z-index:-799792" type="#_x0000_t202" filled="false" stroked="false">
            <v:textbox inset="0,0,0,0">
              <w:txbxContent>
                <w:p>
                  <w:pPr>
                    <w:pStyle w:val="BodyText"/>
                    <w:spacing w:line="240" w:lineRule="auto" w:before="55"/>
                    <w:ind w:left="92" w:right="0"/>
                    <w:jc w:val="left"/>
                  </w:pPr>
                  <w:r>
                    <w:rPr/>
                    <w:t>球印务股份</w:t>
                  </w:r>
                </w:p>
              </w:txbxContent>
            </v:textbox>
            <w10:wrap type="none"/>
          </v:shape>
        </w:pict>
      </w:r>
      <w:r>
        <w:rPr/>
        <w:pict>
          <v:shape style="position:absolute;margin-left:654.640015pt;margin-top:60.780006pt;width:61.35pt;height:19.650pt;mso-position-horizontal-relative:page;mso-position-vertical-relative:page;z-index:-799768" type="#_x0000_t202" filled="false" stroked="false">
            <v:textbox inset="0,0,0,0">
              <w:txbxContent>
                <w:p>
                  <w:pPr>
                    <w:pStyle w:val="BodyText"/>
                    <w:spacing w:line="240" w:lineRule="auto" w:before="55"/>
                    <w:ind w:left="57" w:right="0"/>
                    <w:jc w:val="left"/>
                  </w:pPr>
                  <w:r>
                    <w:rPr/>
                    <w:t>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p>
              </w:txbxContent>
            </v:textbox>
            <w10:wrap type="none"/>
          </v:shape>
        </w:pict>
      </w:r>
      <w:r>
        <w:rPr/>
        <w:pict>
          <v:shape style="position:absolute;margin-left:713.700012pt;margin-top:60.780006pt;width:56.3pt;height:19.650pt;mso-position-horizontal-relative:page;mso-position-vertical-relative:page;z-index:-799744" type="#_x0000_t202" filled="false" stroked="false">
            <v:textbox inset="0,0,0,0">
              <w:txbxContent>
                <w:p>
                  <w:pPr>
                    <w:pStyle w:val="BodyText"/>
                    <w:spacing w:line="240" w:lineRule="auto" w:before="55"/>
                    <w:ind w:left="45" w:right="0"/>
                    <w:jc w:val="left"/>
                  </w:pPr>
                  <w:r>
                    <w:rPr/>
                    <w:t>年度报告全文</w:t>
                  </w:r>
                </w:p>
              </w:txbxContent>
            </v:textbox>
            <w10:wrap type="none"/>
          </v:shape>
        </w:pict>
      </w:r>
      <w:r>
        <w:rPr/>
        <w:pict>
          <v:group style="position:absolute;margin-left:280.160004pt;margin-top:42.550007pt;width:148.5pt;height:38.450pt;mso-position-horizontal-relative:page;mso-position-vertical-relative:page;z-index:-799720" coordorigin="5603,851" coordsize="2970,769">
            <v:shape style="position:absolute;left:5798;top:851;width:2310;height:615" type="#_x0000_t75" stroked="false">
              <v:imagedata r:id="rId6" o:title=""/>
            </v:shape>
            <v:group style="position:absolute;left:6480;top:1216;width:2;height:393" coordorigin="6480,1216" coordsize="2,393">
              <v:shape style="position:absolute;left:6480;top:1216;width:2;height:393" coordorigin="6480,1216" coordsize="0,393" path="m6480,1216l6480,1608e" filled="false" stroked="true" strokeweight="1.140pt" strokecolor="#ffffff">
                <v:path arrowok="t"/>
              </v:shape>
            </v:group>
            <v:group style="position:absolute;left:5603;top:1216;width:866;height:393" coordorigin="5603,1216" coordsize="866,393">
              <v:shape style="position:absolute;left:5603;top:1216;width:866;height:393" coordorigin="5603,1216" coordsize="866,393" path="m5603,1608l6468,1608,6468,1216,5603,1216,5603,1608xe" filled="true" fillcolor="#ffffff" stroked="false">
                <v:path arrowok="t"/>
                <v:fill type="solid"/>
              </v:shape>
            </v:group>
            <v:group style="position:absolute;left:6513;top:1216;width:2;height:393" coordorigin="6513,1216" coordsize="2,393">
              <v:shape style="position:absolute;left:6513;top:1216;width:2;height:393" coordorigin="6513,1216" coordsize="0,393" path="m6513,1216l6513,1608e" filled="false" stroked="true" strokeweight="1.140pt" strokecolor="#ffffff">
                <v:path arrowok="t"/>
              </v:shape>
            </v:group>
            <v:group style="position:absolute;left:7403;top:1216;width:2;height:393" coordorigin="7403,1216" coordsize="2,393">
              <v:shape style="position:absolute;left:7403;top:1216;width:2;height:393" coordorigin="7403,1216" coordsize="0,393" path="m7403,1216l7403,1608e" filled="false" stroked="true" strokeweight="1.140pt" strokecolor="#ffffff">
                <v:path arrowok="t"/>
              </v:shape>
            </v:group>
            <v:group style="position:absolute;left:6525;top:1216;width:867;height:393" coordorigin="6525,1216" coordsize="867,393">
              <v:shape style="position:absolute;left:6525;top:1216;width:867;height:393" coordorigin="6525,1216" coordsize="867,393" path="m6525,1608l7391,1608,7391,1216,6525,1216,6525,1608xe" filled="true" fillcolor="#ffffff" stroked="false">
                <v:path arrowok="t"/>
                <v:fill type="solid"/>
              </v:shape>
            </v:group>
            <v:group style="position:absolute;left:7436;top:1216;width:2;height:393" coordorigin="7436,1216" coordsize="2,393">
              <v:shape style="position:absolute;left:7436;top:1216;width:2;height:393" coordorigin="7436,1216" coordsize="0,393" path="m7436,1216l7436,1608e" filled="false" stroked="true" strokeweight="1.140pt" strokecolor="#ffffff">
                <v:path arrowok="t"/>
              </v:shape>
            </v:group>
            <v:group style="position:absolute;left:7448;top:1216;width:1125;height:393" coordorigin="7448,1216" coordsize="1125,393">
              <v:shape style="position:absolute;left:7448;top:1216;width:1125;height:393" coordorigin="7448,1216" coordsize="1125,393" path="m7448,1608l8572,1608,8572,1216,7448,1216,7448,1608xe" filled="true" fillcolor="#ffffff" stroked="false">
                <v:path arrowok="t"/>
                <v:fill type="solid"/>
              </v:shape>
            </v:group>
            <w10:wrap type="none"/>
          </v:group>
        </w:pict>
      </w:r>
      <w:r>
        <w:rPr/>
        <w:pict>
          <v:group style="position:absolute;margin-left:541.840027pt;margin-top:60.180008pt;width:229.3pt;height:20.85pt;mso-position-horizontal-relative:page;mso-position-vertical-relative:page;z-index:-799696" coordorigin="10837,1204" coordsize="4586,417">
            <v:group style="position:absolute;left:10848;top:1216;width:2;height:393" coordorigin="10848,1216" coordsize="2,393">
              <v:shape style="position:absolute;left:10848;top:1216;width:2;height:393" coordorigin="10848,1216" coordsize="0,393" path="m10848,1216l10848,1608e" filled="false" stroked="true" strokeweight="1.140pt" strokecolor="#ffffff">
                <v:path arrowok="t"/>
              </v:shape>
            </v:group>
            <v:group style="position:absolute;left:11933;top:1216;width:2;height:393" coordorigin="11933,1216" coordsize="2,393">
              <v:shape style="position:absolute;left:11933;top:1216;width:2;height:393" coordorigin="11933,1216" coordsize="0,393" path="m11933,1216l11933,1608e" filled="false" stroked="true" strokeweight="1.140pt" strokecolor="#ffffff">
                <v:path arrowok="t"/>
              </v:shape>
            </v:group>
            <v:group style="position:absolute;left:10860;top:1216;width:1062;height:393" coordorigin="10860,1216" coordsize="1062,393">
              <v:shape style="position:absolute;left:10860;top:1216;width:1062;height:393" coordorigin="10860,1216" coordsize="1062,393" path="m10860,1608l11922,1608,11922,1216,10860,1216,10860,1608xe" filled="true" fillcolor="#ffffff" stroked="false">
                <v:path arrowok="t"/>
                <v:fill type="solid"/>
              </v:shape>
            </v:group>
            <v:group style="position:absolute;left:11967;top:1216;width:2;height:393" coordorigin="11967,1216" coordsize="2,393">
              <v:shape style="position:absolute;left:11967;top:1216;width:2;height:393" coordorigin="11967,1216" coordsize="0,393" path="m11967,1216l11967,1608e" filled="false" stroked="true" strokeweight="1.140pt" strokecolor="#ffffff">
                <v:path arrowok="t"/>
              </v:shape>
            </v:group>
            <v:group style="position:absolute;left:13048;top:1216;width:2;height:393" coordorigin="13048,1216" coordsize="2,393">
              <v:shape style="position:absolute;left:13048;top:1216;width:2;height:393" coordorigin="13048,1216" coordsize="0,393" path="m13048,1216l13048,1608e" filled="false" stroked="true" strokeweight="1.140pt" strokecolor="#ffffff">
                <v:path arrowok="t"/>
              </v:shape>
            </v:group>
            <v:group style="position:absolute;left:11978;top:1216;width:1059;height:393" coordorigin="11978,1216" coordsize="1059,393">
              <v:shape style="position:absolute;left:11978;top:1216;width:1059;height:393" coordorigin="11978,1216" coordsize="1059,393" path="m11978,1608l13036,1608,13036,1216,11978,1216,11978,1608xe" filled="true" fillcolor="#ffffff" stroked="false">
                <v:path arrowok="t"/>
                <v:fill type="solid"/>
              </v:shape>
            </v:group>
            <v:group style="position:absolute;left:13081;top:1216;width:2;height:393" coordorigin="13081,1216" coordsize="2,393">
              <v:shape style="position:absolute;left:13081;top:1216;width:2;height:393" coordorigin="13081,1216" coordsize="0,393" path="m13081,1216l13081,1608e" filled="false" stroked="true" strokeweight="1.140pt" strokecolor="#ffffff">
                <v:path arrowok="t"/>
              </v:shape>
            </v:group>
            <v:group style="position:absolute;left:14230;top:1216;width:2;height:393" coordorigin="14230,1216" coordsize="2,393">
              <v:shape style="position:absolute;left:14230;top:1216;width:2;height:393" coordorigin="14230,1216" coordsize="0,393" path="m14230,1216l14230,1608e" filled="false" stroked="true" strokeweight="1.2pt" strokecolor="#ffffff">
                <v:path arrowok="t"/>
              </v:shape>
            </v:group>
            <v:group style="position:absolute;left:13093;top:1216;width:1125;height:393" coordorigin="13093,1216" coordsize="1125,393">
              <v:shape style="position:absolute;left:13093;top:1216;width:1125;height:393" coordorigin="13093,1216" coordsize="1125,393" path="m13093,1608l14218,1608,14218,1216,13093,1216,13093,1608xe" filled="true" fillcolor="#ffffff" stroked="false">
                <v:path arrowok="t"/>
                <v:fill type="solid"/>
              </v:shape>
            </v:group>
            <v:group style="position:absolute;left:14263;top:1216;width:2;height:393" coordorigin="14263,1216" coordsize="2,393">
              <v:shape style="position:absolute;left:14263;top:1216;width:2;height:393" coordorigin="14263,1216" coordsize="0,393" path="m14263,1216l14263,1608e" filled="false" stroked="true" strokeweight="1.140pt" strokecolor="#ffffff">
                <v:path arrowok="t"/>
              </v:shape>
            </v:group>
            <v:group style="position:absolute;left:15411;top:1216;width:2;height:393" coordorigin="15411,1216" coordsize="2,393">
              <v:shape style="position:absolute;left:15411;top:1216;width:2;height:393" coordorigin="15411,1216" coordsize="0,393" path="m15411,1216l15411,1608e" filled="false" stroked="true" strokeweight="1.140pt" strokecolor="#ffffff">
                <v:path arrowok="t"/>
              </v:shape>
            </v:group>
            <v:group style="position:absolute;left:14274;top:1216;width:1126;height:393" coordorigin="14274,1216" coordsize="1126,393">
              <v:shape style="position:absolute;left:14274;top:1216;width:1126;height:393" coordorigin="14274,1216" coordsize="1126,393" path="m14274,1608l15400,1608,15400,1216,14274,1216,14274,1608xe" filled="true" fillcolor="#ffffff" stroked="false">
                <v:path arrowok="t"/>
                <v:fill type="solid"/>
              </v:shape>
            </v:group>
            <w10:wrap type="none"/>
          </v:group>
        </w:pict>
      </w:r>
    </w:p>
    <w:p>
      <w:pPr>
        <w:spacing w:after="0"/>
        <w:rPr>
          <w:sz w:val="2"/>
          <w:szCs w:val="2"/>
        </w:rPr>
        <w:sectPr>
          <w:headerReference w:type="default" r:id="rId21"/>
          <w:footerReference w:type="default" r:id="rId22"/>
          <w:pgSz w:w="16840" w:h="11910" w:orient="landscape"/>
          <w:pgMar w:header="0" w:footer="959" w:top="0" w:bottom="1140" w:left="1300" w:right="1300"/>
          <w:pgNumType w:start="89"/>
        </w:sectPr>
      </w:pPr>
    </w:p>
    <w:p>
      <w:pPr>
        <w:spacing w:line="240" w:lineRule="auto" w:before="10"/>
        <w:rPr>
          <w:rFonts w:ascii="Times New Roman" w:hAnsi="Times New Roman" w:cs="Times New Roman" w:eastAsia="Times New Roman"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061"/>
        <w:gridCol w:w="1181"/>
        <w:gridCol w:w="922"/>
        <w:gridCol w:w="920"/>
        <w:gridCol w:w="924"/>
        <w:gridCol w:w="1181"/>
        <w:gridCol w:w="1117"/>
        <w:gridCol w:w="1114"/>
        <w:gridCol w:w="1118"/>
        <w:gridCol w:w="1115"/>
        <w:gridCol w:w="1181"/>
        <w:gridCol w:w="1181"/>
      </w:tblGrid>
      <w:tr>
        <w:trPr>
          <w:trHeight w:val="726" w:hRule="exact"/>
        </w:trPr>
        <w:tc>
          <w:tcPr>
            <w:tcW w:w="2061"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6"/>
              <w:ind w:left="22" w:right="2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股本）</w:t>
            </w:r>
          </w:p>
        </w:tc>
        <w:tc>
          <w:tcPr>
            <w:tcW w:w="1181" w:type="dxa"/>
            <w:tcBorders>
              <w:top w:val="single" w:sz="10" w:space="0" w:color="000000"/>
              <w:left w:val="single" w:sz="4" w:space="0" w:color="000000"/>
              <w:bottom w:val="single" w:sz="4" w:space="0" w:color="000000"/>
              <w:right w:val="single" w:sz="4" w:space="0" w:color="000000"/>
            </w:tcBorders>
          </w:tcPr>
          <w:p>
            <w:pPr/>
          </w:p>
        </w:tc>
        <w:tc>
          <w:tcPr>
            <w:tcW w:w="922" w:type="dxa"/>
            <w:tcBorders>
              <w:top w:val="single" w:sz="10" w:space="0" w:color="000000"/>
              <w:left w:val="single" w:sz="4" w:space="0" w:color="000000"/>
              <w:bottom w:val="single" w:sz="4" w:space="0" w:color="000000"/>
              <w:right w:val="single" w:sz="4" w:space="0" w:color="000000"/>
            </w:tcBorders>
          </w:tcPr>
          <w:p>
            <w:pPr/>
          </w:p>
        </w:tc>
        <w:tc>
          <w:tcPr>
            <w:tcW w:w="920" w:type="dxa"/>
            <w:tcBorders>
              <w:top w:val="single" w:sz="10" w:space="0" w:color="000000"/>
              <w:left w:val="single" w:sz="4" w:space="0" w:color="000000"/>
              <w:bottom w:val="single" w:sz="4" w:space="0" w:color="000000"/>
              <w:right w:val="single" w:sz="4" w:space="0" w:color="000000"/>
            </w:tcBorders>
          </w:tcPr>
          <w:p>
            <w:pPr/>
          </w:p>
        </w:tc>
        <w:tc>
          <w:tcPr>
            <w:tcW w:w="924" w:type="dxa"/>
            <w:tcBorders>
              <w:top w:val="single" w:sz="10" w:space="0" w:color="000000"/>
              <w:left w:val="single" w:sz="4" w:space="0" w:color="000000"/>
              <w:bottom w:val="single" w:sz="4" w:space="0" w:color="000000"/>
              <w:right w:val="single" w:sz="4" w:space="0" w:color="000000"/>
            </w:tcBorders>
          </w:tcPr>
          <w:p>
            <w:pPr/>
          </w:p>
        </w:tc>
        <w:tc>
          <w:tcPr>
            <w:tcW w:w="1181" w:type="dxa"/>
            <w:tcBorders>
              <w:top w:val="single" w:sz="10" w:space="0" w:color="000000"/>
              <w:left w:val="single" w:sz="4" w:space="0" w:color="000000"/>
              <w:bottom w:val="single" w:sz="4" w:space="0" w:color="000000"/>
              <w:right w:val="single" w:sz="4" w:space="0" w:color="000000"/>
            </w:tcBorders>
          </w:tcPr>
          <w:p>
            <w:pPr/>
          </w:p>
        </w:tc>
        <w:tc>
          <w:tcPr>
            <w:tcW w:w="1117" w:type="dxa"/>
            <w:tcBorders>
              <w:top w:val="single" w:sz="10" w:space="0" w:color="000000"/>
              <w:left w:val="single" w:sz="4" w:space="0" w:color="000000"/>
              <w:bottom w:val="single" w:sz="4" w:space="0" w:color="000000"/>
              <w:right w:val="single" w:sz="4" w:space="0" w:color="000000"/>
            </w:tcBorders>
          </w:tcPr>
          <w:p>
            <w:pPr/>
          </w:p>
        </w:tc>
        <w:tc>
          <w:tcPr>
            <w:tcW w:w="1114" w:type="dxa"/>
            <w:tcBorders>
              <w:top w:val="single" w:sz="10" w:space="0" w:color="000000"/>
              <w:left w:val="single" w:sz="4" w:space="0" w:color="000000"/>
              <w:bottom w:val="single" w:sz="4" w:space="0" w:color="000000"/>
              <w:right w:val="single" w:sz="4" w:space="0" w:color="000000"/>
            </w:tcBorders>
          </w:tcPr>
          <w:p>
            <w:pPr/>
          </w:p>
        </w:tc>
        <w:tc>
          <w:tcPr>
            <w:tcW w:w="1118" w:type="dxa"/>
            <w:tcBorders>
              <w:top w:val="single" w:sz="10" w:space="0" w:color="000000"/>
              <w:left w:val="single" w:sz="4" w:space="0" w:color="000000"/>
              <w:bottom w:val="single" w:sz="4" w:space="0" w:color="000000"/>
              <w:right w:val="single" w:sz="4" w:space="0" w:color="000000"/>
            </w:tcBorders>
          </w:tcPr>
          <w:p>
            <w:pPr/>
          </w:p>
        </w:tc>
        <w:tc>
          <w:tcPr>
            <w:tcW w:w="1115" w:type="dxa"/>
            <w:tcBorders>
              <w:top w:val="single" w:sz="10" w:space="0" w:color="000000"/>
              <w:left w:val="single" w:sz="4" w:space="0" w:color="000000"/>
              <w:bottom w:val="single" w:sz="4" w:space="0" w:color="000000"/>
              <w:right w:val="single" w:sz="4" w:space="0" w:color="000000"/>
            </w:tcBorders>
          </w:tcPr>
          <w:p>
            <w:pPr/>
          </w:p>
        </w:tc>
        <w:tc>
          <w:tcPr>
            <w:tcW w:w="1181" w:type="dxa"/>
            <w:tcBorders>
              <w:top w:val="single" w:sz="10" w:space="0" w:color="000000"/>
              <w:left w:val="single" w:sz="4" w:space="0" w:color="000000"/>
              <w:bottom w:val="single" w:sz="4" w:space="0" w:color="000000"/>
              <w:right w:val="single" w:sz="4" w:space="0" w:color="000000"/>
            </w:tcBorders>
          </w:tcPr>
          <w:p>
            <w:pPr/>
          </w:p>
        </w:tc>
        <w:tc>
          <w:tcPr>
            <w:tcW w:w="1181"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．设定受益计划变动额结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150,000,000.00</w:t>
            </w:r>
          </w:p>
        </w:tc>
        <w:tc>
          <w:tcPr>
            <w:tcW w:w="92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147,940,922.48</w:t>
            </w:r>
          </w:p>
        </w:tc>
        <w:tc>
          <w:tcPr>
            <w:tcW w:w="111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30,936,160.02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171,835,032.54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500,712,115.04</w:t>
            </w:r>
          </w:p>
        </w:tc>
      </w:tr>
    </w:tbl>
    <w:p>
      <w:pPr>
        <w:pStyle w:val="BodyText"/>
        <w:spacing w:line="240" w:lineRule="auto" w:before="51"/>
        <w:ind w:left="140" w:right="0"/>
        <w:jc w:val="left"/>
      </w:pPr>
      <w:r>
        <w:rPr/>
        <w:t>上期金额</w:t>
      </w:r>
    </w:p>
    <w:p>
      <w:pPr>
        <w:pStyle w:val="BodyText"/>
        <w:spacing w:line="240" w:lineRule="auto" w:before="117"/>
        <w:ind w:left="0" w:right="235"/>
        <w:jc w:val="right"/>
      </w:pPr>
      <w:r>
        <w:rPr/>
        <w:t>单位：元</w:t>
      </w:r>
    </w:p>
    <w:p>
      <w:pPr>
        <w:spacing w:after="0" w:line="240" w:lineRule="auto"/>
        <w:jc w:val="right"/>
        <w:sectPr>
          <w:pgSz w:w="16840" w:h="11910" w:orient="landscape"/>
          <w:pgMar w:header="0" w:footer="959" w:top="1500" w:bottom="1140" w:left="1300" w:right="130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6"/>
        <w:spacing w:line="240" w:lineRule="auto"/>
        <w:ind w:right="0"/>
        <w:jc w:val="both"/>
        <w:rPr>
          <w:b w:val="0"/>
          <w:bCs w:val="0"/>
        </w:rPr>
      </w:pPr>
      <w:bookmarkStart w:name="三、公司基本情况" w:id="171"/>
      <w:bookmarkEnd w:id="171"/>
      <w:r>
        <w:rPr>
          <w:b w:val="0"/>
          <w:bCs w:val="0"/>
        </w:rPr>
      </w:r>
      <w:r>
        <w:rPr>
          <w:sz w:val="24"/>
          <w:szCs w:val="24"/>
        </w:rPr>
        <w:t>三</w:t>
      </w:r>
      <w:r>
        <w:rPr/>
        <w:t>、公司基本情况</w:t>
      </w:r>
      <w:r>
        <w:rPr>
          <w:b w:val="0"/>
          <w:bCs w:val="0"/>
        </w:rPr>
      </w:r>
    </w:p>
    <w:p>
      <w:pPr>
        <w:spacing w:line="240" w:lineRule="auto" w:before="1"/>
        <w:rPr>
          <w:rFonts w:ascii="宋体" w:hAnsi="宋体" w:cs="宋体" w:eastAsia="宋体" w:hint="default"/>
          <w:b/>
          <w:bCs/>
          <w:sz w:val="30"/>
          <w:szCs w:val="30"/>
        </w:rPr>
      </w:pPr>
    </w:p>
    <w:p>
      <w:pPr>
        <w:spacing w:line="364" w:lineRule="auto" w:before="0"/>
        <w:ind w:left="565" w:right="940" w:firstLine="10"/>
        <w:jc w:val="left"/>
        <w:rPr>
          <w:rFonts w:ascii="宋体" w:hAnsi="宋体" w:cs="宋体" w:eastAsia="宋体" w:hint="default"/>
          <w:sz w:val="18"/>
          <w:szCs w:val="18"/>
        </w:rPr>
      </w:pPr>
      <w:r>
        <w:rPr>
          <w:rFonts w:ascii="宋体" w:hAnsi="宋体" w:cs="宋体" w:eastAsia="宋体" w:hint="default"/>
          <w:b/>
          <w:bCs/>
          <w:sz w:val="18"/>
          <w:szCs w:val="18"/>
        </w:rPr>
        <w:t>（一）公司的历史沿革和基本组织机构</w:t>
      </w:r>
      <w:r>
        <w:rPr>
          <w:rFonts w:ascii="宋体" w:hAnsi="宋体" w:cs="宋体" w:eastAsia="宋体" w:hint="default"/>
          <w:b/>
          <w:bCs/>
          <w:w w:val="99"/>
          <w:sz w:val="18"/>
          <w:szCs w:val="18"/>
        </w:rPr>
        <w:t> </w:t>
      </w:r>
      <w:r>
        <w:rPr>
          <w:rFonts w:ascii="宋体" w:hAnsi="宋体" w:cs="宋体" w:eastAsia="宋体" w:hint="default"/>
          <w:sz w:val="18"/>
          <w:szCs w:val="18"/>
        </w:rPr>
        <w:t>西安环球印务股份有限公司</w:t>
      </w:r>
      <w:r>
        <w:rPr>
          <w:rFonts w:ascii="宋体" w:hAnsi="宋体" w:cs="宋体" w:eastAsia="宋体" w:hint="default"/>
          <w:sz w:val="18"/>
          <w:szCs w:val="18"/>
        </w:rPr>
        <w:t>(</w:t>
      </w:r>
      <w:r>
        <w:rPr>
          <w:rFonts w:ascii="宋体" w:hAnsi="宋体" w:cs="宋体" w:eastAsia="宋体" w:hint="default"/>
          <w:sz w:val="18"/>
          <w:szCs w:val="18"/>
        </w:rPr>
        <w:t>以下简称“公司”或“本公司”</w:t>
      </w:r>
      <w:r>
        <w:rPr>
          <w:rFonts w:ascii="宋体" w:hAnsi="宋体" w:cs="宋体" w:eastAsia="宋体" w:hint="default"/>
          <w:sz w:val="18"/>
          <w:szCs w:val="18"/>
        </w:rPr>
        <w:t>)</w:t>
      </w:r>
      <w:r>
        <w:rPr>
          <w:rFonts w:ascii="宋体" w:hAnsi="宋体" w:cs="宋体" w:eastAsia="宋体" w:hint="default"/>
          <w:sz w:val="18"/>
          <w:szCs w:val="18"/>
        </w:rPr>
        <w:t>前身为西安永发医药包装有限公司，是依照《中华人民</w:t>
      </w:r>
    </w:p>
    <w:p>
      <w:pPr>
        <w:pStyle w:val="BodyText"/>
        <w:spacing w:line="364" w:lineRule="auto" w:before="29"/>
        <w:ind w:right="1129"/>
        <w:jc w:val="both"/>
      </w:pPr>
      <w:r>
        <w:rPr/>
        <w:t>共和国公司法》，经西安高新技术产业开发区管理委员会市管外字（</w:t>
      </w:r>
      <w:r>
        <w:rPr>
          <w:rFonts w:ascii="宋体" w:hAnsi="宋体" w:cs="宋体" w:eastAsia="宋体" w:hint="default"/>
        </w:rPr>
        <w:t>2001</w:t>
      </w:r>
      <w:r>
        <w:rPr/>
        <w:t>）</w:t>
      </w:r>
      <w:r>
        <w:rPr>
          <w:rFonts w:ascii="宋体" w:hAnsi="宋体" w:cs="宋体" w:eastAsia="宋体" w:hint="default"/>
        </w:rPr>
        <w:t>023</w:t>
      </w:r>
      <w:r>
        <w:rPr/>
        <w:t>号文件批准，由陕西医药控股集团有限责任</w:t>
      </w:r>
      <w:r>
        <w:rPr>
          <w:spacing w:val="-82"/>
        </w:rPr>
        <w:t> </w:t>
      </w:r>
      <w:r>
        <w:rPr>
          <w:spacing w:val="-82"/>
        </w:rPr>
      </w:r>
      <w:r>
        <w:rPr/>
        <w:t>公司（以下简称“陕药集团”）、永发印务有限公司（以下简称“香港永发”）于</w:t>
      </w:r>
      <w:r>
        <w:rPr>
          <w:rFonts w:ascii="宋体" w:hAnsi="宋体" w:cs="宋体" w:eastAsia="宋体" w:hint="default"/>
        </w:rPr>
        <w:t>2001</w:t>
      </w:r>
      <w:r>
        <w:rPr/>
        <w:t>年</w:t>
      </w:r>
      <w:r>
        <w:rPr>
          <w:rFonts w:ascii="宋体" w:hAnsi="宋体" w:cs="宋体" w:eastAsia="宋体" w:hint="default"/>
        </w:rPr>
        <w:t>6</w:t>
      </w:r>
      <w:r>
        <w:rPr/>
        <w:t>月</w:t>
      </w:r>
      <w:r>
        <w:rPr>
          <w:rFonts w:ascii="宋体" w:hAnsi="宋体" w:cs="宋体" w:eastAsia="宋体" w:hint="default"/>
        </w:rPr>
        <w:t>28</w:t>
      </w:r>
      <w:r>
        <w:rPr/>
        <w:t>日共同投资组建的外商投资</w:t>
      </w:r>
      <w:r>
        <w:rPr>
          <w:spacing w:val="-83"/>
        </w:rPr>
        <w:t> </w:t>
      </w:r>
      <w:r>
        <w:rPr>
          <w:spacing w:val="-83"/>
        </w:rPr>
      </w:r>
      <w:r>
        <w:rPr>
          <w:spacing w:val="-2"/>
        </w:rPr>
        <w:t>有限责任公司，并取得西安市工商行政管理局核发的【企合陕西安总字第</w:t>
      </w:r>
      <w:r>
        <w:rPr>
          <w:rFonts w:ascii="宋体" w:hAnsi="宋体" w:cs="宋体" w:eastAsia="宋体" w:hint="default"/>
          <w:spacing w:val="-2"/>
        </w:rPr>
        <w:t>001773</w:t>
      </w:r>
      <w:r>
        <w:rPr>
          <w:spacing w:val="-2"/>
        </w:rPr>
        <w:t>号】企业法人营业执照。组建时公司注册资</w:t>
      </w:r>
      <w:r>
        <w:rPr>
          <w:spacing w:val="-60"/>
        </w:rPr>
        <w:t> </w:t>
      </w:r>
      <w:r>
        <w:rPr>
          <w:spacing w:val="-60"/>
        </w:rPr>
      </w:r>
      <w:r>
        <w:rPr>
          <w:spacing w:val="-2"/>
        </w:rPr>
        <w:t>本</w:t>
      </w:r>
      <w:r>
        <w:rPr>
          <w:rFonts w:ascii="宋体" w:hAnsi="宋体" w:cs="宋体" w:eastAsia="宋体" w:hint="default"/>
          <w:spacing w:val="-2"/>
        </w:rPr>
        <w:t>2,000.00</w:t>
      </w:r>
      <w:r>
        <w:rPr>
          <w:spacing w:val="-2"/>
        </w:rPr>
        <w:t>万元人民币，其中陕药集团出资</w:t>
      </w:r>
      <w:r>
        <w:rPr>
          <w:rFonts w:ascii="宋体" w:hAnsi="宋体" w:cs="宋体" w:eastAsia="宋体" w:hint="default"/>
          <w:spacing w:val="-2"/>
        </w:rPr>
        <w:t>1,200.00</w:t>
      </w:r>
      <w:r>
        <w:rPr>
          <w:spacing w:val="-2"/>
        </w:rPr>
        <w:t>万元，占注册资本的</w:t>
      </w:r>
      <w:r>
        <w:rPr>
          <w:rFonts w:ascii="宋体" w:hAnsi="宋体" w:cs="宋体" w:eastAsia="宋体" w:hint="default"/>
          <w:spacing w:val="-2"/>
        </w:rPr>
        <w:t>60.00%</w:t>
      </w:r>
      <w:r>
        <w:rPr>
          <w:spacing w:val="-2"/>
        </w:rPr>
        <w:t>；香港永发出资</w:t>
      </w:r>
      <w:r>
        <w:rPr>
          <w:rFonts w:ascii="宋体" w:hAnsi="宋体" w:cs="宋体" w:eastAsia="宋体" w:hint="default"/>
          <w:spacing w:val="-2"/>
        </w:rPr>
        <w:t>800.00</w:t>
      </w:r>
      <w:r>
        <w:rPr>
          <w:spacing w:val="-2"/>
        </w:rPr>
        <w:t>万元，占注册资本的</w:t>
      </w:r>
      <w:r>
        <w:rPr>
          <w:spacing w:val="-40"/>
        </w:rPr>
        <w:t> </w:t>
      </w:r>
      <w:r>
        <w:rPr>
          <w:spacing w:val="-40"/>
        </w:rPr>
      </w:r>
      <w:r>
        <w:rPr>
          <w:rFonts w:ascii="宋体" w:hAnsi="宋体" w:cs="宋体" w:eastAsia="宋体" w:hint="default"/>
        </w:rPr>
        <w:t>40.00%</w:t>
      </w:r>
      <w:r>
        <w:rPr/>
        <w:t>。</w:t>
      </w:r>
    </w:p>
    <w:p>
      <w:pPr>
        <w:pStyle w:val="BodyText"/>
        <w:spacing w:line="364" w:lineRule="auto" w:before="29"/>
        <w:ind w:right="1032" w:firstLine="411"/>
        <w:jc w:val="left"/>
      </w:pPr>
      <w:r>
        <w:rPr>
          <w:rFonts w:ascii="宋体" w:hAnsi="宋体" w:cs="宋体" w:eastAsia="宋体" w:hint="default"/>
        </w:rPr>
        <w:t>2003</w:t>
      </w:r>
      <w:r>
        <w:rPr/>
        <w:t>年</w:t>
      </w:r>
      <w:r>
        <w:rPr>
          <w:rFonts w:ascii="宋体" w:hAnsi="宋体" w:cs="宋体" w:eastAsia="宋体" w:hint="default"/>
        </w:rPr>
        <w:t>3</w:t>
      </w:r>
      <w:r>
        <w:rPr/>
        <w:t>月</w:t>
      </w:r>
      <w:r>
        <w:rPr>
          <w:rFonts w:ascii="宋体" w:hAnsi="宋体" w:cs="宋体" w:eastAsia="宋体" w:hint="default"/>
        </w:rPr>
        <w:t>7</w:t>
      </w:r>
      <w:r>
        <w:rPr/>
        <w:t>日，经西安高新技术产业开发区管理委员会西高新外发</w:t>
      </w:r>
      <w:r>
        <w:rPr>
          <w:rFonts w:ascii="宋体" w:hAnsi="宋体" w:cs="宋体" w:eastAsia="宋体" w:hint="default"/>
        </w:rPr>
        <w:t>[2003]033</w:t>
      </w:r>
      <w:r>
        <w:rPr/>
        <w:t>号文批准，西安永发医药包装有限公司以 增资方式引进新股东陕西众发投资发展有限公司（以下简称“陕西众发”），注册资本由</w:t>
      </w:r>
      <w:r>
        <w:rPr>
          <w:rFonts w:ascii="宋体" w:hAnsi="宋体" w:cs="宋体" w:eastAsia="宋体" w:hint="default"/>
        </w:rPr>
        <w:t>2,000.00</w:t>
      </w:r>
      <w:r>
        <w:rPr/>
        <w:t>万元增至</w:t>
      </w:r>
      <w:r>
        <w:rPr>
          <w:rFonts w:ascii="宋体" w:hAnsi="宋体" w:cs="宋体" w:eastAsia="宋体" w:hint="default"/>
        </w:rPr>
        <w:t>4,000.00</w:t>
      </w:r>
      <w:r>
        <w:rPr/>
        <w:t>万元，</w:t>
      </w:r>
      <w:r>
        <w:rPr>
          <w:spacing w:val="-83"/>
        </w:rPr>
        <w:t> </w:t>
      </w:r>
      <w:r>
        <w:rPr>
          <w:spacing w:val="-2"/>
        </w:rPr>
        <w:t>其中陕药集团出资</w:t>
      </w:r>
      <w:r>
        <w:rPr>
          <w:rFonts w:ascii="宋体" w:hAnsi="宋体" w:cs="宋体" w:eastAsia="宋体" w:hint="default"/>
          <w:spacing w:val="-2"/>
        </w:rPr>
        <w:t>1,800.00</w:t>
      </w:r>
      <w:r>
        <w:rPr>
          <w:spacing w:val="-2"/>
        </w:rPr>
        <w:t>万元，占注册资金的</w:t>
      </w:r>
      <w:r>
        <w:rPr>
          <w:rFonts w:ascii="宋体" w:hAnsi="宋体" w:cs="宋体" w:eastAsia="宋体" w:hint="default"/>
          <w:spacing w:val="-2"/>
        </w:rPr>
        <w:t>45.00%</w:t>
      </w:r>
      <w:r>
        <w:rPr>
          <w:spacing w:val="-2"/>
        </w:rPr>
        <w:t>；香港永发出资</w:t>
      </w:r>
      <w:r>
        <w:rPr>
          <w:rFonts w:ascii="宋体" w:hAnsi="宋体" w:cs="宋体" w:eastAsia="宋体" w:hint="default"/>
          <w:spacing w:val="-2"/>
        </w:rPr>
        <w:t>1,400.00</w:t>
      </w:r>
      <w:r>
        <w:rPr>
          <w:spacing w:val="-2"/>
        </w:rPr>
        <w:t>万元，占注册资金的</w:t>
      </w:r>
      <w:r>
        <w:rPr>
          <w:rFonts w:ascii="宋体" w:hAnsi="宋体" w:cs="宋体" w:eastAsia="宋体" w:hint="default"/>
          <w:spacing w:val="-2"/>
        </w:rPr>
        <w:t>35.00%</w:t>
      </w:r>
      <w:r>
        <w:rPr>
          <w:spacing w:val="-2"/>
        </w:rPr>
        <w:t>；陕西众发出资</w:t>
      </w:r>
      <w:r>
        <w:rPr>
          <w:spacing w:val="-39"/>
        </w:rPr>
        <w:t> </w:t>
      </w:r>
      <w:r>
        <w:rPr>
          <w:spacing w:val="-39"/>
        </w:rPr>
      </w:r>
      <w:r>
        <w:rPr>
          <w:rFonts w:ascii="宋体" w:hAnsi="宋体" w:cs="宋体" w:eastAsia="宋体" w:hint="default"/>
        </w:rPr>
        <w:t>800.00</w:t>
      </w:r>
      <w:r>
        <w:rPr/>
        <w:t>万元，占注册资金的</w:t>
      </w:r>
      <w:r>
        <w:rPr>
          <w:rFonts w:ascii="宋体" w:hAnsi="宋体" w:cs="宋体" w:eastAsia="宋体" w:hint="default"/>
        </w:rPr>
        <w:t>20.00%</w:t>
      </w:r>
      <w:r>
        <w:rPr/>
        <w:t>。</w:t>
      </w:r>
      <w:r>
        <w:rPr>
          <w:rFonts w:ascii="宋体" w:hAnsi="宋体" w:cs="宋体" w:eastAsia="宋体" w:hint="default"/>
        </w:rPr>
        <w:t>2003</w:t>
      </w:r>
      <w:r>
        <w:rPr/>
        <w:t>年</w:t>
      </w:r>
      <w:r>
        <w:rPr>
          <w:rFonts w:ascii="宋体" w:hAnsi="宋体" w:cs="宋体" w:eastAsia="宋体" w:hint="default"/>
        </w:rPr>
        <w:t>7</w:t>
      </w:r>
      <w:r>
        <w:rPr/>
        <w:t>月</w:t>
      </w:r>
      <w:r>
        <w:rPr>
          <w:rFonts w:ascii="宋体" w:hAnsi="宋体" w:cs="宋体" w:eastAsia="宋体" w:hint="default"/>
        </w:rPr>
        <w:t>11</w:t>
      </w:r>
      <w:r>
        <w:rPr/>
        <w:t>日取得了变更后的《企业法人营业执照》。</w:t>
      </w:r>
    </w:p>
    <w:p>
      <w:pPr>
        <w:pStyle w:val="BodyText"/>
        <w:spacing w:line="364" w:lineRule="auto" w:before="29"/>
        <w:ind w:right="1129" w:firstLine="480"/>
        <w:jc w:val="both"/>
      </w:pPr>
      <w:r>
        <w:rPr>
          <w:rFonts w:ascii="宋体" w:hAnsi="宋体" w:cs="宋体" w:eastAsia="宋体" w:hint="default"/>
        </w:rPr>
        <w:t>2007</w:t>
      </w:r>
      <w:r>
        <w:rPr/>
        <w:t>年</w:t>
      </w:r>
      <w:r>
        <w:rPr>
          <w:rFonts w:ascii="宋体" w:hAnsi="宋体" w:cs="宋体" w:eastAsia="宋体" w:hint="default"/>
        </w:rPr>
        <w:t>4</w:t>
      </w:r>
      <w:r>
        <w:rPr/>
        <w:t>月，经发起人协议、公司董事会决议通过，并经中华人民共和国商务部（商资批</w:t>
      </w:r>
      <w:r>
        <w:rPr>
          <w:rFonts w:ascii="宋体" w:hAnsi="宋体" w:cs="宋体" w:eastAsia="宋体" w:hint="default"/>
        </w:rPr>
        <w:t>[2007]1116</w:t>
      </w:r>
      <w:r>
        <w:rPr/>
        <w:t>号）、陕西省人 民政府国有资产监督管理委员会（陕国资产权发</w:t>
      </w:r>
      <w:r>
        <w:rPr>
          <w:rFonts w:ascii="宋体" w:hAnsi="宋体" w:cs="宋体" w:eastAsia="宋体" w:hint="default"/>
        </w:rPr>
        <w:t>[2007]186</w:t>
      </w:r>
      <w:r>
        <w:rPr/>
        <w:t>号）批准，西安永发医药包装有限公司整体转制为外商投资股份</w:t>
      </w:r>
      <w:r>
        <w:rPr>
          <w:spacing w:val="-83"/>
        </w:rPr>
        <w:t> </w:t>
      </w:r>
      <w:r>
        <w:rPr>
          <w:spacing w:val="-83"/>
        </w:rPr>
      </w:r>
      <w:r>
        <w:rPr/>
        <w:t>有限公司，公司注册资本由</w:t>
      </w:r>
      <w:r>
        <w:rPr>
          <w:rFonts w:ascii="宋体" w:hAnsi="宋体" w:cs="宋体" w:eastAsia="宋体" w:hint="default"/>
        </w:rPr>
        <w:t>4,000.00</w:t>
      </w:r>
      <w:r>
        <w:rPr/>
        <w:t>万元增至</w:t>
      </w:r>
      <w:r>
        <w:rPr>
          <w:rFonts w:ascii="宋体" w:hAnsi="宋体" w:cs="宋体" w:eastAsia="宋体" w:hint="default"/>
        </w:rPr>
        <w:t>7,500.00</w:t>
      </w:r>
      <w:r>
        <w:rPr/>
        <w:t>万元，由西安永发医药包装有限公司以经审计的</w:t>
      </w:r>
      <w:r>
        <w:rPr>
          <w:rFonts w:ascii="宋体" w:hAnsi="宋体" w:cs="宋体" w:eastAsia="宋体" w:hint="default"/>
        </w:rPr>
        <w:t>2007</w:t>
      </w:r>
      <w:r>
        <w:rPr/>
        <w:t>年</w:t>
      </w:r>
      <w:r>
        <w:rPr>
          <w:rFonts w:ascii="宋体" w:hAnsi="宋体" w:cs="宋体" w:eastAsia="宋体" w:hint="default"/>
        </w:rPr>
        <w:t>3</w:t>
      </w:r>
      <w:r>
        <w:rPr/>
        <w:t>月</w:t>
      </w:r>
      <w:r>
        <w:rPr>
          <w:rFonts w:ascii="宋体" w:hAnsi="宋体" w:cs="宋体" w:eastAsia="宋体" w:hint="default"/>
        </w:rPr>
        <w:t>31</w:t>
      </w:r>
      <w:r>
        <w:rPr/>
        <w:t>日的账</w:t>
      </w:r>
      <w:r>
        <w:rPr>
          <w:spacing w:val="-84"/>
        </w:rPr>
        <w:t> </w:t>
      </w:r>
      <w:r>
        <w:rPr/>
        <w:t>面净资产</w:t>
      </w:r>
      <w:r>
        <w:rPr>
          <w:rFonts w:ascii="宋体" w:hAnsi="宋体" w:cs="宋体" w:eastAsia="宋体" w:hint="default"/>
        </w:rPr>
        <w:t>75,005,615.85</w:t>
      </w:r>
      <w:r>
        <w:rPr/>
        <w:t>元按</w:t>
      </w:r>
      <w:r>
        <w:rPr>
          <w:rFonts w:ascii="宋体" w:hAnsi="宋体" w:cs="宋体" w:eastAsia="宋体" w:hint="default"/>
        </w:rPr>
        <w:t>1</w:t>
      </w:r>
      <w:r>
        <w:rPr/>
        <w:t>：</w:t>
      </w:r>
      <w:r>
        <w:rPr>
          <w:rFonts w:ascii="宋体" w:hAnsi="宋体" w:cs="宋体" w:eastAsia="宋体" w:hint="default"/>
        </w:rPr>
        <w:t>1</w:t>
      </w:r>
      <w:r>
        <w:rPr/>
        <w:t>折合股本</w:t>
      </w:r>
      <w:r>
        <w:rPr>
          <w:rFonts w:ascii="宋体" w:hAnsi="宋体" w:cs="宋体" w:eastAsia="宋体" w:hint="default"/>
        </w:rPr>
        <w:t>7,500.00</w:t>
      </w:r>
      <w:r>
        <w:rPr/>
        <w:t>万股人民币普通股，每股面值为人民币</w:t>
      </w:r>
      <w:r>
        <w:rPr>
          <w:rFonts w:ascii="宋体" w:hAnsi="宋体" w:cs="宋体" w:eastAsia="宋体" w:hint="default"/>
        </w:rPr>
        <w:t>1.00</w:t>
      </w:r>
      <w:r>
        <w:rPr/>
        <w:t>元，西安永发医药包装有限</w:t>
      </w:r>
      <w:r>
        <w:rPr>
          <w:spacing w:val="-83"/>
        </w:rPr>
        <w:t> </w:t>
      </w:r>
      <w:r>
        <w:rPr>
          <w:spacing w:val="-83"/>
        </w:rPr>
      </w:r>
      <w:r>
        <w:rPr/>
        <w:t>公司各投资方按其对该公司的持股比例持有股份公司的股份，同时公司更名为西安环球印务股份有限公司，于</w:t>
      </w:r>
      <w:r>
        <w:rPr>
          <w:rFonts w:ascii="宋体" w:hAnsi="宋体" w:cs="宋体" w:eastAsia="宋体" w:hint="default"/>
        </w:rPr>
        <w:t>2007</w:t>
      </w:r>
      <w:r>
        <w:rPr/>
        <w:t>年</w:t>
      </w:r>
      <w:r>
        <w:rPr>
          <w:rFonts w:ascii="宋体" w:hAnsi="宋体" w:cs="宋体" w:eastAsia="宋体" w:hint="default"/>
        </w:rPr>
        <w:t>8</w:t>
      </w:r>
      <w:r>
        <w:rPr/>
        <w:t>月</w:t>
      </w:r>
      <w:r>
        <w:rPr>
          <w:rFonts w:ascii="宋体" w:hAnsi="宋体" w:cs="宋体" w:eastAsia="宋体" w:hint="default"/>
        </w:rPr>
        <w:t>8 </w:t>
      </w:r>
      <w:r>
        <w:rPr/>
        <w:t>日取得了西安市工商行政管理局【企股陕西安总字</w:t>
      </w:r>
      <w:r>
        <w:rPr>
          <w:rFonts w:ascii="宋体" w:hAnsi="宋体" w:cs="宋体" w:eastAsia="宋体" w:hint="default"/>
        </w:rPr>
        <w:t>001773</w:t>
      </w:r>
      <w:r>
        <w:rPr/>
        <w:t>号】企业法人营业执照。</w:t>
      </w:r>
    </w:p>
    <w:p>
      <w:pPr>
        <w:pStyle w:val="BodyText"/>
        <w:spacing w:line="364" w:lineRule="auto" w:before="30"/>
        <w:ind w:right="940" w:firstLine="480"/>
        <w:jc w:val="left"/>
      </w:pPr>
      <w:r>
        <w:rPr>
          <w:rFonts w:ascii="宋体" w:hAnsi="宋体" w:cs="宋体" w:eastAsia="宋体" w:hint="default"/>
        </w:rPr>
        <w:t>2009</w:t>
      </w:r>
      <w:r>
        <w:rPr/>
        <w:t>年</w:t>
      </w:r>
      <w:r>
        <w:rPr>
          <w:rFonts w:ascii="宋体" w:hAnsi="宋体" w:cs="宋体" w:eastAsia="宋体" w:hint="default"/>
        </w:rPr>
        <w:t>9</w:t>
      </w:r>
      <w:r>
        <w:rPr/>
        <w:t>月</w:t>
      </w:r>
      <w:r>
        <w:rPr>
          <w:rFonts w:ascii="宋体" w:hAnsi="宋体" w:cs="宋体" w:eastAsia="宋体" w:hint="default"/>
        </w:rPr>
        <w:t>21</w:t>
      </w:r>
      <w:r>
        <w:rPr/>
        <w:t>日，陕西省商务厅以“陕商发</w:t>
      </w:r>
      <w:r>
        <w:rPr>
          <w:rFonts w:ascii="宋体" w:hAnsi="宋体" w:cs="宋体" w:eastAsia="宋体" w:hint="default"/>
        </w:rPr>
        <w:t>[2009]455</w:t>
      </w:r>
      <w:r>
        <w:rPr/>
        <w:t>号”文《陕西省商务厅关于同意西安环球印务股份有限公司股权 变更的批复》，香港永发将其持有的本公司</w:t>
      </w:r>
      <w:r>
        <w:rPr>
          <w:rFonts w:ascii="宋体" w:hAnsi="宋体" w:cs="宋体" w:eastAsia="宋体" w:hint="default"/>
        </w:rPr>
        <w:t>2,625.00</w:t>
      </w:r>
      <w:r>
        <w:rPr/>
        <w:t>万股股份转让予香港原石国际有限公司（以下简称“香港原石”）；陕</w:t>
      </w:r>
      <w:r>
        <w:rPr>
          <w:spacing w:val="-12"/>
        </w:rPr>
        <w:t> </w:t>
      </w:r>
      <w:r>
        <w:rPr>
          <w:spacing w:val="-4"/>
        </w:rPr>
        <w:t>西众发将其持有的本公司</w:t>
      </w:r>
      <w:r>
        <w:rPr>
          <w:rFonts w:ascii="宋体" w:hAnsi="宋体" w:cs="宋体" w:eastAsia="宋体" w:hint="default"/>
          <w:spacing w:val="-4"/>
        </w:rPr>
        <w:t>1,500.00</w:t>
      </w:r>
      <w:r>
        <w:rPr>
          <w:spacing w:val="-4"/>
        </w:rPr>
        <w:t>万股股份转让给陕药集团。转让完成后，陕药集团出资</w:t>
      </w:r>
      <w:r>
        <w:rPr>
          <w:rFonts w:ascii="宋体" w:hAnsi="宋体" w:cs="宋体" w:eastAsia="宋体" w:hint="default"/>
          <w:spacing w:val="-4"/>
        </w:rPr>
        <w:t>4,875.00</w:t>
      </w:r>
      <w:r>
        <w:rPr>
          <w:spacing w:val="-4"/>
        </w:rPr>
        <w:t>万元，占注册资本的</w:t>
      </w:r>
      <w:r>
        <w:rPr>
          <w:rFonts w:ascii="宋体" w:hAnsi="宋体" w:cs="宋体" w:eastAsia="宋体" w:hint="default"/>
          <w:spacing w:val="-4"/>
        </w:rPr>
        <w:t>65.00%</w:t>
      </w:r>
      <w:r>
        <w:rPr>
          <w:spacing w:val="-4"/>
        </w:rPr>
        <w:t>；</w:t>
      </w:r>
      <w:r>
        <w:rPr>
          <w:spacing w:val="-86"/>
        </w:rPr>
        <w:t> </w:t>
      </w:r>
      <w:r>
        <w:rPr/>
        <w:t>香港原石出资</w:t>
      </w:r>
      <w:r>
        <w:rPr>
          <w:rFonts w:ascii="宋体" w:hAnsi="宋体" w:cs="宋体" w:eastAsia="宋体" w:hint="default"/>
        </w:rPr>
        <w:t>2,625.00</w:t>
      </w:r>
      <w:r>
        <w:rPr/>
        <w:t>万元，占注册资本的</w:t>
      </w:r>
      <w:r>
        <w:rPr>
          <w:rFonts w:ascii="宋体" w:hAnsi="宋体" w:cs="宋体" w:eastAsia="宋体" w:hint="default"/>
        </w:rPr>
        <w:t>35.00%</w:t>
      </w:r>
      <w:r>
        <w:rPr/>
        <w:t>。上述股权变更于</w:t>
      </w:r>
      <w:r>
        <w:rPr>
          <w:rFonts w:ascii="宋体" w:hAnsi="宋体" w:cs="宋体" w:eastAsia="宋体" w:hint="default"/>
        </w:rPr>
        <w:t>2009</w:t>
      </w:r>
      <w:r>
        <w:rPr/>
        <w:t>年</w:t>
      </w:r>
      <w:r>
        <w:rPr>
          <w:rFonts w:ascii="宋体" w:hAnsi="宋体" w:cs="宋体" w:eastAsia="宋体" w:hint="default"/>
        </w:rPr>
        <w:t>10</w:t>
      </w:r>
      <w:r>
        <w:rPr/>
        <w:t>月</w:t>
      </w:r>
      <w:r>
        <w:rPr>
          <w:rFonts w:ascii="宋体" w:hAnsi="宋体" w:cs="宋体" w:eastAsia="宋体" w:hint="default"/>
        </w:rPr>
        <w:t>20</w:t>
      </w:r>
      <w:r>
        <w:rPr/>
        <w:t>日完成工商登记变更手续。</w:t>
      </w:r>
    </w:p>
    <w:p>
      <w:pPr>
        <w:pStyle w:val="BodyText"/>
        <w:spacing w:line="364" w:lineRule="auto" w:before="29"/>
        <w:ind w:right="1130" w:firstLine="480"/>
        <w:jc w:val="both"/>
      </w:pPr>
      <w:r>
        <w:rPr>
          <w:rFonts w:ascii="宋体" w:hAnsi="宋体" w:cs="宋体" w:eastAsia="宋体" w:hint="default"/>
          <w:spacing w:val="-1"/>
        </w:rPr>
        <w:t>2010</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15</w:t>
      </w:r>
      <w:r>
        <w:rPr>
          <w:spacing w:val="-1"/>
        </w:rPr>
        <w:t>日，陕西省商务厅以“陕商发</w:t>
      </w:r>
      <w:r>
        <w:rPr>
          <w:rFonts w:ascii="宋体" w:hAnsi="宋体" w:cs="宋体" w:eastAsia="宋体" w:hint="default"/>
          <w:spacing w:val="-1"/>
        </w:rPr>
        <w:t>[2010]157</w:t>
      </w:r>
      <w:r>
        <w:rPr>
          <w:spacing w:val="-1"/>
        </w:rPr>
        <w:t>号”文《陕西省商务厅关于同意西安环球印务股份有限公司股东</w:t>
      </w:r>
      <w:r>
        <w:rPr/>
        <w:t> </w:t>
      </w:r>
      <w:r>
        <w:rPr>
          <w:spacing w:val="-2"/>
        </w:rPr>
        <w:t>股权转让的批复》，香港原石将其持有的本公司</w:t>
      </w:r>
      <w:r>
        <w:rPr>
          <w:rFonts w:ascii="宋体" w:hAnsi="宋体" w:cs="宋体" w:eastAsia="宋体" w:hint="default"/>
          <w:spacing w:val="-2"/>
        </w:rPr>
        <w:t>1,500.00</w:t>
      </w:r>
      <w:r>
        <w:rPr>
          <w:spacing w:val="-2"/>
        </w:rPr>
        <w:t>万股股份分别转让给北京晶创合创业投资有限公司（以下简称“北</w:t>
      </w:r>
      <w:r>
        <w:rPr>
          <w:spacing w:val="-58"/>
        </w:rPr>
        <w:t> </w:t>
      </w:r>
      <w:r>
        <w:rPr>
          <w:spacing w:val="-58"/>
        </w:rPr>
      </w:r>
      <w:r>
        <w:rPr>
          <w:spacing w:val="-2"/>
        </w:rPr>
        <w:t>京晶创合”）、比特（香港）投资有限公司（以下简称“香港比特”）。转让完成后，陕药集团出资</w:t>
      </w:r>
      <w:r>
        <w:rPr>
          <w:rFonts w:ascii="宋体" w:hAnsi="宋体" w:cs="宋体" w:eastAsia="宋体" w:hint="default"/>
          <w:spacing w:val="-2"/>
        </w:rPr>
        <w:t>4,875.00</w:t>
      </w:r>
      <w:r>
        <w:rPr>
          <w:spacing w:val="-2"/>
        </w:rPr>
        <w:t>万元，占注册</w:t>
      </w:r>
      <w:r>
        <w:rPr>
          <w:spacing w:val="-63"/>
        </w:rPr>
        <w:t> </w:t>
      </w:r>
      <w:r>
        <w:rPr>
          <w:spacing w:val="-63"/>
        </w:rPr>
      </w:r>
      <w:r>
        <w:rPr>
          <w:spacing w:val="-2"/>
        </w:rPr>
        <w:t>资本的</w:t>
      </w:r>
      <w:r>
        <w:rPr>
          <w:rFonts w:ascii="宋体" w:hAnsi="宋体" w:cs="宋体" w:eastAsia="宋体" w:hint="default"/>
          <w:spacing w:val="-2"/>
        </w:rPr>
        <w:t>65.00%</w:t>
      </w:r>
      <w:r>
        <w:rPr>
          <w:spacing w:val="-2"/>
        </w:rPr>
        <w:t>；香港原石出资</w:t>
      </w:r>
      <w:r>
        <w:rPr>
          <w:rFonts w:ascii="宋体" w:hAnsi="宋体" w:cs="宋体" w:eastAsia="宋体" w:hint="default"/>
          <w:spacing w:val="-2"/>
        </w:rPr>
        <w:t>1,125.00</w:t>
      </w:r>
      <w:r>
        <w:rPr>
          <w:spacing w:val="-2"/>
        </w:rPr>
        <w:t>万元，占注册资本的</w:t>
      </w:r>
      <w:r>
        <w:rPr>
          <w:rFonts w:ascii="宋体" w:hAnsi="宋体" w:cs="宋体" w:eastAsia="宋体" w:hint="default"/>
          <w:spacing w:val="-2"/>
        </w:rPr>
        <w:t>15.00%</w:t>
      </w:r>
      <w:r>
        <w:rPr>
          <w:spacing w:val="-2"/>
        </w:rPr>
        <w:t>；北京晶创合出资</w:t>
      </w:r>
      <w:r>
        <w:rPr>
          <w:rFonts w:ascii="宋体" w:hAnsi="宋体" w:cs="宋体" w:eastAsia="宋体" w:hint="default"/>
          <w:spacing w:val="-2"/>
        </w:rPr>
        <w:t>750.00</w:t>
      </w:r>
      <w:r>
        <w:rPr>
          <w:spacing w:val="-2"/>
        </w:rPr>
        <w:t>万元，占注册资本的</w:t>
      </w:r>
      <w:r>
        <w:rPr>
          <w:rFonts w:ascii="宋体" w:hAnsi="宋体" w:cs="宋体" w:eastAsia="宋体" w:hint="default"/>
          <w:spacing w:val="-2"/>
        </w:rPr>
        <w:t>10.00%</w:t>
      </w:r>
      <w:r>
        <w:rPr>
          <w:spacing w:val="-2"/>
        </w:rPr>
        <w:t>；香</w:t>
      </w:r>
      <w:r>
        <w:rPr>
          <w:spacing w:val="-53"/>
        </w:rPr>
        <w:t> </w:t>
      </w:r>
      <w:r>
        <w:rPr/>
        <w:t>港比特出资</w:t>
      </w:r>
      <w:r>
        <w:rPr>
          <w:rFonts w:ascii="宋体" w:hAnsi="宋体" w:cs="宋体" w:eastAsia="宋体" w:hint="default"/>
        </w:rPr>
        <w:t>750.00</w:t>
      </w:r>
      <w:r>
        <w:rPr/>
        <w:t>万元，占注册资本的</w:t>
      </w:r>
      <w:r>
        <w:rPr>
          <w:rFonts w:ascii="宋体" w:hAnsi="宋体" w:cs="宋体" w:eastAsia="宋体" w:hint="default"/>
        </w:rPr>
        <w:t>10.00%</w:t>
      </w:r>
      <w:r>
        <w:rPr/>
        <w:t>。上述股权变更于</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18</w:t>
      </w:r>
      <w:r>
        <w:rPr/>
        <w:t>日完成工商变更登记手续。</w:t>
      </w:r>
    </w:p>
    <w:p>
      <w:pPr>
        <w:pStyle w:val="BodyText"/>
        <w:spacing w:line="364" w:lineRule="auto" w:before="29"/>
        <w:ind w:right="1132" w:firstLine="510"/>
        <w:jc w:val="both"/>
      </w:pPr>
      <w:r>
        <w:rPr>
          <w:rFonts w:ascii="宋体" w:hAnsi="宋体" w:cs="宋体" w:eastAsia="宋体" w:hint="default"/>
          <w:spacing w:val="-1"/>
        </w:rPr>
        <w:t>2012</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26</w:t>
      </w:r>
      <w:r>
        <w:rPr>
          <w:spacing w:val="-1"/>
        </w:rPr>
        <w:t>日，陕西省商务厅以“陕商发</w:t>
      </w:r>
      <w:r>
        <w:rPr>
          <w:rFonts w:ascii="宋体" w:hAnsi="宋体" w:cs="宋体" w:eastAsia="宋体" w:hint="default"/>
          <w:spacing w:val="-1"/>
        </w:rPr>
        <w:t>[2012]296</w:t>
      </w:r>
      <w:r>
        <w:rPr>
          <w:spacing w:val="-1"/>
        </w:rPr>
        <w:t>号”文《陕西省商务厅关于同意西安环球印务股份有限公司股东</w:t>
      </w:r>
      <w:r>
        <w:rPr/>
        <w:t> 股权转让的批复》，北京晶创合将其持有的本公司</w:t>
      </w:r>
      <w:r>
        <w:rPr>
          <w:rFonts w:ascii="宋体" w:hAnsi="宋体" w:cs="宋体" w:eastAsia="宋体" w:hint="default"/>
        </w:rPr>
        <w:t>750.00</w:t>
      </w:r>
      <w:r>
        <w:rPr/>
        <w:t>万股股份转让给香港原石。转让完成后，陕药集团出资</w:t>
      </w:r>
      <w:r>
        <w:rPr>
          <w:rFonts w:ascii="宋体" w:hAnsi="宋体" w:cs="宋体" w:eastAsia="宋体" w:hint="default"/>
        </w:rPr>
        <w:t>4,875.00</w:t>
      </w:r>
      <w:r>
        <w:rPr>
          <w:rFonts w:ascii="宋体" w:hAnsi="宋体" w:cs="宋体" w:eastAsia="宋体" w:hint="default"/>
          <w:spacing w:val="-2"/>
        </w:rPr>
        <w:t> </w:t>
      </w:r>
      <w:r>
        <w:rPr>
          <w:rFonts w:ascii="宋体" w:hAnsi="宋体" w:cs="宋体" w:eastAsia="宋体" w:hint="default"/>
          <w:spacing w:val="-2"/>
        </w:rPr>
      </w:r>
      <w:r>
        <w:rPr>
          <w:spacing w:val="-2"/>
        </w:rPr>
        <w:t>万元，占注册资本的</w:t>
      </w:r>
      <w:r>
        <w:rPr>
          <w:rFonts w:ascii="宋体" w:hAnsi="宋体" w:cs="宋体" w:eastAsia="宋体" w:hint="default"/>
          <w:spacing w:val="-2"/>
        </w:rPr>
        <w:t>65.00%</w:t>
      </w:r>
      <w:r>
        <w:rPr>
          <w:spacing w:val="-2"/>
        </w:rPr>
        <w:t>；香港原石出资</w:t>
      </w:r>
      <w:r>
        <w:rPr>
          <w:rFonts w:ascii="宋体" w:hAnsi="宋体" w:cs="宋体" w:eastAsia="宋体" w:hint="default"/>
          <w:spacing w:val="-2"/>
        </w:rPr>
        <w:t>1,875.00</w:t>
      </w:r>
      <w:r>
        <w:rPr>
          <w:spacing w:val="-2"/>
        </w:rPr>
        <w:t>万元，占注册资本的</w:t>
      </w:r>
      <w:r>
        <w:rPr>
          <w:rFonts w:ascii="宋体" w:hAnsi="宋体" w:cs="宋体" w:eastAsia="宋体" w:hint="default"/>
          <w:spacing w:val="-2"/>
        </w:rPr>
        <w:t>25.00%</w:t>
      </w:r>
      <w:r>
        <w:rPr>
          <w:spacing w:val="-2"/>
        </w:rPr>
        <w:t>；香港比特出资</w:t>
      </w:r>
      <w:r>
        <w:rPr>
          <w:rFonts w:ascii="宋体" w:hAnsi="宋体" w:cs="宋体" w:eastAsia="宋体" w:hint="default"/>
          <w:spacing w:val="-2"/>
        </w:rPr>
        <w:t>750.00</w:t>
      </w:r>
      <w:r>
        <w:rPr>
          <w:spacing w:val="-2"/>
        </w:rPr>
        <w:t>万元，占注册资本的</w:t>
      </w:r>
      <w:r>
        <w:rPr>
          <w:spacing w:val="-42"/>
        </w:rPr>
        <w:t> </w:t>
      </w:r>
      <w:r>
        <w:rPr>
          <w:spacing w:val="-42"/>
        </w:rPr>
      </w:r>
      <w:r>
        <w:rPr>
          <w:rFonts w:ascii="宋体" w:hAnsi="宋体" w:cs="宋体" w:eastAsia="宋体" w:hint="default"/>
        </w:rPr>
        <w:t>10.00%</w:t>
      </w:r>
      <w:r>
        <w:rPr/>
        <w:t>。上述股权变更于</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5</w:t>
      </w:r>
      <w:r>
        <w:rPr/>
        <w:t>日完成工商登记手续。</w:t>
      </w:r>
    </w:p>
    <w:p>
      <w:pPr>
        <w:pStyle w:val="BodyText"/>
        <w:spacing w:line="364" w:lineRule="auto" w:before="29"/>
        <w:ind w:right="1129" w:firstLine="510"/>
        <w:jc w:val="both"/>
        <w:rPr>
          <w:rFonts w:ascii="宋体" w:hAnsi="宋体" w:cs="宋体" w:eastAsia="宋体" w:hint="default"/>
        </w:rPr>
      </w:pPr>
      <w:r>
        <w:rPr>
          <w:rFonts w:ascii="宋体" w:hAnsi="宋体" w:cs="宋体" w:eastAsia="宋体" w:hint="default"/>
          <w:spacing w:val="-3"/>
        </w:rPr>
        <w:t>2016</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31</w:t>
      </w:r>
      <w:r>
        <w:rPr>
          <w:spacing w:val="-3"/>
        </w:rPr>
        <w:t>日，根据本公司</w:t>
      </w:r>
      <w:r>
        <w:rPr>
          <w:rFonts w:ascii="宋体" w:hAnsi="宋体" w:cs="宋体" w:eastAsia="宋体" w:hint="default"/>
          <w:spacing w:val="-3"/>
        </w:rPr>
        <w:t>2012</w:t>
      </w:r>
      <w:r>
        <w:rPr>
          <w:spacing w:val="-3"/>
        </w:rPr>
        <w:t>年第一次临时股东大会决议、</w:t>
      </w:r>
      <w:r>
        <w:rPr>
          <w:rFonts w:ascii="宋体" w:hAnsi="宋体" w:cs="宋体" w:eastAsia="宋体" w:hint="default"/>
          <w:spacing w:val="-3"/>
        </w:rPr>
        <w:t>2013</w:t>
      </w:r>
      <w:r>
        <w:rPr>
          <w:spacing w:val="-3"/>
        </w:rPr>
        <w:t>年度股东大会决议、</w:t>
      </w:r>
      <w:r>
        <w:rPr>
          <w:rFonts w:ascii="宋体" w:hAnsi="宋体" w:cs="宋体" w:eastAsia="宋体" w:hint="default"/>
          <w:spacing w:val="-3"/>
        </w:rPr>
        <w:t>2014</w:t>
      </w:r>
      <w:r>
        <w:rPr>
          <w:spacing w:val="-3"/>
        </w:rPr>
        <w:t>年度股东大会决议及</w:t>
      </w:r>
      <w:r>
        <w:rPr>
          <w:rFonts w:ascii="宋体" w:hAnsi="宋体" w:cs="宋体" w:eastAsia="宋体" w:hint="default"/>
          <w:spacing w:val="-3"/>
        </w:rPr>
        <w:t>2015</w:t>
      </w:r>
      <w:r>
        <w:rPr>
          <w:rFonts w:ascii="宋体" w:hAnsi="宋体" w:cs="宋体" w:eastAsia="宋体" w:hint="default"/>
        </w:rPr>
        <w:t> </w:t>
      </w:r>
      <w:r>
        <w:rPr/>
        <w:t>年度股东大会决议，并经中国证券监督管理委员会“证监许可［</w:t>
      </w:r>
      <w:r>
        <w:rPr>
          <w:rFonts w:ascii="宋体" w:hAnsi="宋体" w:cs="宋体" w:eastAsia="宋体" w:hint="default"/>
        </w:rPr>
        <w:t>2016</w:t>
      </w:r>
      <w:r>
        <w:rPr/>
        <w:t>］</w:t>
      </w:r>
      <w:r>
        <w:rPr>
          <w:rFonts w:ascii="宋体" w:hAnsi="宋体" w:cs="宋体" w:eastAsia="宋体" w:hint="default"/>
        </w:rPr>
        <w:t>1012</w:t>
      </w:r>
      <w:r>
        <w:rPr/>
        <w:t>号”文核准，向社会公开发行人民币普通股（</w:t>
      </w:r>
      <w:r>
        <w:rPr>
          <w:rFonts w:ascii="宋体" w:hAnsi="宋体" w:cs="宋体" w:eastAsia="宋体" w:hint="default"/>
        </w:rPr>
        <w:t>A</w:t>
      </w:r>
      <w:r>
        <w:rPr>
          <w:rFonts w:ascii="宋体" w:hAnsi="宋体" w:cs="宋体" w:eastAsia="宋体" w:hint="default"/>
          <w:spacing w:val="-83"/>
        </w:rPr>
        <w:t> </w:t>
      </w:r>
      <w:r>
        <w:rPr>
          <w:spacing w:val="-4"/>
        </w:rPr>
        <w:t>股）</w:t>
      </w:r>
      <w:r>
        <w:rPr>
          <w:rFonts w:ascii="宋体" w:hAnsi="宋体" w:cs="宋体" w:eastAsia="宋体" w:hint="default"/>
          <w:spacing w:val="-4"/>
        </w:rPr>
        <w:t>2500.00</w:t>
      </w:r>
      <w:r>
        <w:rPr>
          <w:spacing w:val="-4"/>
        </w:rPr>
        <w:t>万股，每股发行价</w:t>
      </w:r>
      <w:r>
        <w:rPr>
          <w:rFonts w:ascii="宋体" w:hAnsi="宋体" w:cs="宋体" w:eastAsia="宋体" w:hint="default"/>
          <w:spacing w:val="-4"/>
        </w:rPr>
        <w:t>7.98</w:t>
      </w:r>
      <w:r>
        <w:rPr>
          <w:spacing w:val="-4"/>
        </w:rPr>
        <w:t>元，募集资金</w:t>
      </w:r>
      <w:r>
        <w:rPr>
          <w:rFonts w:ascii="宋体" w:hAnsi="宋体" w:cs="宋体" w:eastAsia="宋体" w:hint="default"/>
          <w:spacing w:val="-4"/>
        </w:rPr>
        <w:t>19,950.00</w:t>
      </w:r>
      <w:r>
        <w:rPr>
          <w:spacing w:val="-4"/>
        </w:rPr>
        <w:t>万元，并于</w:t>
      </w:r>
      <w:r>
        <w:rPr>
          <w:rFonts w:ascii="宋体" w:hAnsi="宋体" w:cs="宋体" w:eastAsia="宋体" w:hint="default"/>
          <w:spacing w:val="-4"/>
        </w:rPr>
        <w:t>2016</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8</w:t>
      </w:r>
      <w:r>
        <w:rPr>
          <w:spacing w:val="-4"/>
        </w:rPr>
        <w:t>日在深圳证券交易所上市交易，股票代码：</w:t>
      </w:r>
      <w:r>
        <w:rPr>
          <w:spacing w:val="-85"/>
        </w:rPr>
        <w:t> </w:t>
      </w:r>
      <w:r>
        <w:rPr>
          <w:spacing w:val="-85"/>
        </w:rPr>
      </w:r>
      <w:r>
        <w:rPr>
          <w:rFonts w:ascii="宋体" w:hAnsi="宋体" w:cs="宋体" w:eastAsia="宋体" w:hint="default"/>
        </w:rPr>
        <w:t>002799</w:t>
      </w:r>
      <w:r>
        <w:rPr/>
        <w:t>，股票简称：环球印务。公开发行后，本公司股本总额为</w:t>
      </w:r>
      <w:r>
        <w:rPr>
          <w:rFonts w:ascii="宋体" w:hAnsi="宋体" w:cs="宋体" w:eastAsia="宋体" w:hint="default"/>
        </w:rPr>
        <w:t>10,000.00</w:t>
      </w:r>
      <w:r>
        <w:rPr/>
        <w:t>万元，其中：陕药集团持股</w:t>
      </w:r>
      <w:r>
        <w:rPr>
          <w:rFonts w:ascii="宋体" w:hAnsi="宋体" w:cs="宋体" w:eastAsia="宋体" w:hint="default"/>
        </w:rPr>
        <w:t>4,625.00</w:t>
      </w:r>
      <w:r>
        <w:rPr/>
        <w:t>万元，持股</w:t>
      </w:r>
      <w:r>
        <w:rPr>
          <w:spacing w:val="-84"/>
        </w:rPr>
        <w:t> </w:t>
      </w:r>
      <w:r>
        <w:rPr>
          <w:spacing w:val="-2"/>
        </w:rPr>
        <w:t>比例</w:t>
      </w:r>
      <w:r>
        <w:rPr>
          <w:rFonts w:ascii="宋体" w:hAnsi="宋体" w:cs="宋体" w:eastAsia="宋体" w:hint="default"/>
          <w:spacing w:val="-2"/>
        </w:rPr>
        <w:t>46.25%</w:t>
      </w:r>
      <w:r>
        <w:rPr>
          <w:spacing w:val="-2"/>
        </w:rPr>
        <w:t>；非受限社会公众股持股</w:t>
      </w:r>
      <w:r>
        <w:rPr>
          <w:rFonts w:ascii="宋体" w:hAnsi="宋体" w:cs="宋体" w:eastAsia="宋体" w:hint="default"/>
          <w:spacing w:val="-2"/>
        </w:rPr>
        <w:t>2,500.00</w:t>
      </w:r>
      <w:r>
        <w:rPr>
          <w:spacing w:val="-2"/>
        </w:rPr>
        <w:t>万元，持股比例</w:t>
      </w:r>
      <w:r>
        <w:rPr>
          <w:rFonts w:ascii="宋体" w:hAnsi="宋体" w:cs="宋体" w:eastAsia="宋体" w:hint="default"/>
          <w:spacing w:val="-2"/>
        </w:rPr>
        <w:t>25.00%</w:t>
      </w:r>
      <w:r>
        <w:rPr>
          <w:spacing w:val="-2"/>
        </w:rPr>
        <w:t>；香港原石持股</w:t>
      </w:r>
      <w:r>
        <w:rPr>
          <w:rFonts w:ascii="宋体" w:hAnsi="宋体" w:cs="宋体" w:eastAsia="宋体" w:hint="default"/>
          <w:spacing w:val="-2"/>
        </w:rPr>
        <w:t>1,875.00</w:t>
      </w:r>
      <w:r>
        <w:rPr>
          <w:spacing w:val="-2"/>
        </w:rPr>
        <w:t>万元，持股比例</w:t>
      </w:r>
      <w:r>
        <w:rPr>
          <w:rFonts w:ascii="宋体" w:hAnsi="宋体" w:cs="宋体" w:eastAsia="宋体" w:hint="default"/>
          <w:spacing w:val="-2"/>
        </w:rPr>
        <w:t>18.75%</w:t>
      </w:r>
      <w:r>
        <w:rPr>
          <w:spacing w:val="-2"/>
        </w:rPr>
        <w:t>；香港</w:t>
      </w:r>
      <w:r>
        <w:rPr>
          <w:spacing w:val="-35"/>
        </w:rPr>
        <w:t> </w:t>
      </w:r>
      <w:r>
        <w:rPr>
          <w:spacing w:val="-35"/>
        </w:rPr>
      </w:r>
      <w:r>
        <w:rPr>
          <w:spacing w:val="-4"/>
        </w:rPr>
        <w:t>比特持股</w:t>
      </w:r>
      <w:r>
        <w:rPr>
          <w:rFonts w:ascii="宋体" w:hAnsi="宋体" w:cs="宋体" w:eastAsia="宋体" w:hint="default"/>
          <w:spacing w:val="-4"/>
        </w:rPr>
        <w:t>750.00</w:t>
      </w:r>
      <w:r>
        <w:rPr>
          <w:spacing w:val="-4"/>
        </w:rPr>
        <w:t>万元，持股比例</w:t>
      </w:r>
      <w:r>
        <w:rPr>
          <w:rFonts w:ascii="宋体" w:hAnsi="宋体" w:cs="宋体" w:eastAsia="宋体" w:hint="default"/>
          <w:spacing w:val="-4"/>
        </w:rPr>
        <w:t>7.50%</w:t>
      </w:r>
      <w:r>
        <w:rPr>
          <w:spacing w:val="-4"/>
        </w:rPr>
        <w:t>；全国社会保障基金理事会转持二户持股</w:t>
      </w:r>
      <w:r>
        <w:rPr>
          <w:rFonts w:ascii="宋体" w:hAnsi="宋体" w:cs="宋体" w:eastAsia="宋体" w:hint="default"/>
          <w:spacing w:val="-4"/>
        </w:rPr>
        <w:t>250.00</w:t>
      </w:r>
      <w:r>
        <w:rPr>
          <w:spacing w:val="-4"/>
        </w:rPr>
        <w:t>万元，持股比例</w:t>
      </w:r>
      <w:r>
        <w:rPr>
          <w:rFonts w:ascii="宋体" w:hAnsi="宋体" w:cs="宋体" w:eastAsia="宋体" w:hint="default"/>
          <w:spacing w:val="-4"/>
        </w:rPr>
        <w:t>2.50%</w:t>
      </w:r>
      <w:r>
        <w:rPr>
          <w:spacing w:val="-4"/>
        </w:rPr>
        <w:t>。上述变更于</w:t>
      </w:r>
      <w:r>
        <w:rPr>
          <w:rFonts w:ascii="宋体" w:hAnsi="宋体" w:cs="宋体" w:eastAsia="宋体" w:hint="default"/>
          <w:spacing w:val="-4"/>
        </w:rPr>
        <w:t>2016</w:t>
      </w:r>
    </w:p>
    <w:p>
      <w:pPr>
        <w:spacing w:after="0" w:line="364" w:lineRule="auto"/>
        <w:jc w:val="both"/>
        <w:rPr>
          <w:rFonts w:ascii="宋体" w:hAnsi="宋体" w:cs="宋体" w:eastAsia="宋体" w:hint="default"/>
        </w:rPr>
        <w:sectPr>
          <w:headerReference w:type="default" r:id="rId23"/>
          <w:footerReference w:type="default" r:id="rId24"/>
          <w:pgSz w:w="11910" w:h="16840"/>
          <w:pgMar w:header="851" w:footer="979" w:top="1500" w:bottom="1160" w:left="980" w:right="0"/>
          <w:pgNumType w:start="91"/>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64" w:lineRule="auto" w:before="27"/>
        <w:ind w:left="664" w:right="940" w:hanging="511"/>
        <w:jc w:val="left"/>
      </w:pPr>
      <w:r>
        <w:rPr/>
        <w:t>年</w:t>
      </w:r>
      <w:r>
        <w:rPr>
          <w:rFonts w:ascii="宋体" w:hAnsi="宋体" w:cs="宋体" w:eastAsia="宋体" w:hint="default"/>
        </w:rPr>
        <w:t>8</w:t>
      </w:r>
      <w:r>
        <w:rPr/>
        <w:t>月</w:t>
      </w:r>
      <w:r>
        <w:rPr>
          <w:rFonts w:ascii="宋体" w:hAnsi="宋体" w:cs="宋体" w:eastAsia="宋体" w:hint="default"/>
        </w:rPr>
        <w:t>26</w:t>
      </w:r>
      <w:r>
        <w:rPr/>
        <w:t>日完成工商登记手续，并取得统一社会信用代码</w:t>
      </w:r>
      <w:r>
        <w:rPr>
          <w:rFonts w:ascii="宋体" w:hAnsi="宋体" w:cs="宋体" w:eastAsia="宋体" w:hint="default"/>
        </w:rPr>
        <w:t>9161013172630357XM</w:t>
      </w:r>
      <w:r>
        <w:rPr/>
        <w:t>的营业执照。 </w:t>
      </w:r>
      <w:r>
        <w:rPr>
          <w:rFonts w:ascii="宋体" w:hAnsi="宋体" w:cs="宋体" w:eastAsia="宋体" w:hint="default"/>
          <w:spacing w:val="3"/>
        </w:rPr>
        <w:t>2017</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26</w:t>
      </w:r>
      <w:r>
        <w:rPr>
          <w:spacing w:val="3"/>
        </w:rPr>
        <w:t>日经本公司三届十一次董事会决议通过的《</w:t>
      </w:r>
      <w:r>
        <w:rPr>
          <w:rFonts w:ascii="宋体" w:hAnsi="宋体" w:cs="宋体" w:eastAsia="宋体" w:hint="default"/>
          <w:spacing w:val="3"/>
        </w:rPr>
        <w:t>2016</w:t>
      </w:r>
      <w:r>
        <w:rPr>
          <w:spacing w:val="3"/>
        </w:rPr>
        <w:t>年度利润分配预案》：公司以</w:t>
      </w:r>
      <w:r>
        <w:rPr>
          <w:rFonts w:ascii="宋体" w:hAnsi="宋体" w:cs="宋体" w:eastAsia="宋体" w:hint="default"/>
          <w:spacing w:val="3"/>
        </w:rPr>
        <w:t>2016</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日总股本</w:t>
      </w:r>
    </w:p>
    <w:p>
      <w:pPr>
        <w:pStyle w:val="BodyText"/>
        <w:spacing w:line="364" w:lineRule="auto" w:before="29"/>
        <w:ind w:right="1131"/>
        <w:jc w:val="both"/>
      </w:pPr>
      <w:r>
        <w:rPr>
          <w:rFonts w:ascii="宋体" w:hAnsi="宋体" w:cs="宋体" w:eastAsia="宋体" w:hint="default"/>
        </w:rPr>
        <w:t>10,000.00</w:t>
      </w:r>
      <w:r>
        <w:rPr/>
        <w:t>万股为基数，以可供股东分配的利润向全体股东每</w:t>
      </w:r>
      <w:r>
        <w:rPr>
          <w:rFonts w:ascii="宋体" w:hAnsi="宋体" w:cs="宋体" w:eastAsia="宋体" w:hint="default"/>
        </w:rPr>
        <w:t>10</w:t>
      </w:r>
      <w:r>
        <w:rPr/>
        <w:t>股派发现金红利</w:t>
      </w:r>
      <w:r>
        <w:rPr>
          <w:rFonts w:ascii="宋体" w:hAnsi="宋体" w:cs="宋体" w:eastAsia="宋体" w:hint="default"/>
        </w:rPr>
        <w:t>2.00</w:t>
      </w:r>
      <w:r>
        <w:rPr/>
        <w:t>元（含税）；同时以可供股东分配的利</w:t>
      </w:r>
      <w:r>
        <w:rPr>
          <w:spacing w:val="-84"/>
        </w:rPr>
        <w:t> </w:t>
      </w:r>
      <w:r>
        <w:rPr>
          <w:spacing w:val="-84"/>
        </w:rPr>
      </w:r>
      <w:r>
        <w:rPr/>
        <w:t>润向全体股东每</w:t>
      </w:r>
      <w:r>
        <w:rPr>
          <w:rFonts w:ascii="宋体" w:hAnsi="宋体" w:cs="宋体" w:eastAsia="宋体" w:hint="default"/>
        </w:rPr>
        <w:t>10</w:t>
      </w:r>
      <w:r>
        <w:rPr/>
        <w:t>股送</w:t>
      </w:r>
      <w:r>
        <w:rPr>
          <w:rFonts w:ascii="宋体" w:hAnsi="宋体" w:cs="宋体" w:eastAsia="宋体" w:hint="default"/>
        </w:rPr>
        <w:t>5</w:t>
      </w:r>
      <w:r>
        <w:rPr/>
        <w:t>股红股，合计红股总额为</w:t>
      </w:r>
      <w:r>
        <w:rPr>
          <w:rFonts w:ascii="宋体" w:hAnsi="宋体" w:cs="宋体" w:eastAsia="宋体" w:hint="default"/>
        </w:rPr>
        <w:t>5,000.00</w:t>
      </w:r>
      <w:r>
        <w:rPr/>
        <w:t>万股，送股后总股本增加至</w:t>
      </w:r>
      <w:r>
        <w:rPr>
          <w:rFonts w:ascii="宋体" w:hAnsi="宋体" w:cs="宋体" w:eastAsia="宋体" w:hint="default"/>
        </w:rPr>
        <w:t>15,000.00</w:t>
      </w:r>
      <w:r>
        <w:rPr/>
        <w:t>万股。上述变更于</w:t>
      </w:r>
      <w:r>
        <w:rPr>
          <w:rFonts w:ascii="宋体" w:hAnsi="宋体" w:cs="宋体" w:eastAsia="宋体" w:hint="default"/>
        </w:rPr>
        <w:t>2017</w:t>
      </w:r>
      <w:r>
        <w:rPr/>
        <w:t>年</w:t>
      </w:r>
      <w:r>
        <w:rPr>
          <w:rFonts w:ascii="宋体" w:hAnsi="宋体" w:cs="宋体" w:eastAsia="宋体" w:hint="default"/>
        </w:rPr>
        <w:t>8</w:t>
      </w:r>
      <w:r>
        <w:rPr>
          <w:rFonts w:ascii="宋体" w:hAnsi="宋体" w:cs="宋体" w:eastAsia="宋体" w:hint="default"/>
          <w:spacing w:val="-85"/>
        </w:rPr>
        <w:t> </w:t>
      </w:r>
      <w:r>
        <w:rPr/>
        <w:t>月</w:t>
      </w:r>
      <w:r>
        <w:rPr>
          <w:rFonts w:ascii="宋体" w:hAnsi="宋体" w:cs="宋体" w:eastAsia="宋体" w:hint="default"/>
        </w:rPr>
        <w:t>8</w:t>
      </w:r>
      <w:r>
        <w:rPr/>
        <w:t>日完成工商登记手续。</w:t>
      </w:r>
    </w:p>
    <w:p>
      <w:pPr>
        <w:pStyle w:val="BodyText"/>
        <w:spacing w:line="364" w:lineRule="auto" w:before="29"/>
        <w:ind w:right="1129" w:firstLine="510"/>
        <w:jc w:val="both"/>
      </w:pPr>
      <w:r>
        <w:rPr>
          <w:spacing w:val="-1"/>
        </w:rPr>
        <w:t>本公司拥有全资子公司西安永旭创新服务有限公司</w:t>
      </w:r>
      <w:r>
        <w:rPr>
          <w:rFonts w:ascii="宋体" w:hAnsi="宋体" w:cs="宋体" w:eastAsia="宋体" w:hint="default"/>
          <w:spacing w:val="-1"/>
        </w:rPr>
        <w:t>(</w:t>
      </w:r>
      <w:r>
        <w:rPr>
          <w:spacing w:val="-1"/>
        </w:rPr>
        <w:t>以下简称“永旭创新”</w:t>
      </w:r>
      <w:r>
        <w:rPr>
          <w:rFonts w:ascii="宋体" w:hAnsi="宋体" w:cs="宋体" w:eastAsia="宋体" w:hint="default"/>
          <w:spacing w:val="-1"/>
        </w:rPr>
        <w:t>)</w:t>
      </w:r>
      <w:r>
        <w:rPr>
          <w:spacing w:val="-1"/>
        </w:rPr>
        <w:t>，控股子公司陕西永鑫纸业包装有限公司</w:t>
      </w:r>
      <w:r>
        <w:rPr/>
        <w:t> </w:t>
      </w:r>
      <w:r>
        <w:rPr>
          <w:rFonts w:ascii="宋体" w:hAnsi="宋体" w:cs="宋体" w:eastAsia="宋体" w:hint="default"/>
        </w:rPr>
        <w:t>(</w:t>
      </w:r>
      <w:r>
        <w:rPr/>
        <w:t>以下简称“永鑫包装”</w:t>
      </w:r>
      <w:r>
        <w:rPr>
          <w:rFonts w:ascii="宋体" w:hAnsi="宋体" w:cs="宋体" w:eastAsia="宋体" w:hint="default"/>
        </w:rPr>
        <w:t>)</w:t>
      </w:r>
      <w:r>
        <w:rPr/>
        <w:t>，控股子公司霍尔果斯领凯网络科技有限公司（</w:t>
      </w:r>
      <w:r>
        <w:rPr>
          <w:rFonts w:ascii="宋体" w:hAnsi="宋体" w:cs="宋体" w:eastAsia="宋体" w:hint="default"/>
        </w:rPr>
        <w:t>(</w:t>
      </w:r>
      <w:r>
        <w:rPr/>
        <w:t>以下简称“霍尔果斯领凯”），控股子公司天津</w:t>
      </w:r>
      <w:r>
        <w:rPr>
          <w:spacing w:val="-83"/>
        </w:rPr>
        <w:t> </w:t>
      </w:r>
      <w:r>
        <w:rPr>
          <w:spacing w:val="-83"/>
        </w:rPr>
      </w:r>
      <w:r>
        <w:rPr/>
        <w:t>滨海环球印务有限公司</w:t>
      </w:r>
      <w:r>
        <w:rPr>
          <w:rFonts w:ascii="宋体" w:hAnsi="宋体" w:cs="宋体" w:eastAsia="宋体" w:hint="default"/>
        </w:rPr>
        <w:t>(</w:t>
      </w:r>
      <w:r>
        <w:rPr/>
        <w:t>以下简称“天津环球”</w:t>
      </w:r>
      <w:r>
        <w:rPr>
          <w:rFonts w:ascii="宋体" w:hAnsi="宋体" w:cs="宋体" w:eastAsia="宋体" w:hint="default"/>
        </w:rPr>
        <w:t>),</w:t>
      </w:r>
      <w:r>
        <w:rPr/>
        <w:t>拥有西安德宝药用包装有限公司</w:t>
      </w:r>
      <w:r>
        <w:rPr>
          <w:rFonts w:ascii="宋体" w:hAnsi="宋体" w:cs="宋体" w:eastAsia="宋体" w:hint="default"/>
        </w:rPr>
        <w:t>46.00%</w:t>
      </w:r>
      <w:r>
        <w:rPr/>
        <w:t>的股权。</w:t>
      </w:r>
    </w:p>
    <w:p>
      <w:pPr>
        <w:spacing w:line="364" w:lineRule="auto" w:before="29"/>
        <w:ind w:left="664" w:right="6822" w:hanging="88"/>
        <w:jc w:val="left"/>
        <w:rPr>
          <w:rFonts w:ascii="宋体" w:hAnsi="宋体" w:cs="宋体" w:eastAsia="宋体" w:hint="default"/>
          <w:sz w:val="18"/>
          <w:szCs w:val="18"/>
        </w:rPr>
      </w:pPr>
      <w:r>
        <w:rPr>
          <w:rFonts w:ascii="宋体" w:hAnsi="宋体" w:cs="宋体" w:eastAsia="宋体" w:hint="default"/>
          <w:b/>
          <w:bCs/>
          <w:sz w:val="18"/>
          <w:szCs w:val="18"/>
        </w:rPr>
        <w:t>（二）公司注册地址、组织形式</w:t>
      </w:r>
      <w:r>
        <w:rPr>
          <w:rFonts w:ascii="宋体" w:hAnsi="宋体" w:cs="宋体" w:eastAsia="宋体" w:hint="default"/>
          <w:b/>
          <w:bCs/>
          <w:w w:val="99"/>
          <w:sz w:val="18"/>
          <w:szCs w:val="18"/>
        </w:rPr>
        <w:t> </w:t>
      </w:r>
      <w:r>
        <w:rPr>
          <w:rFonts w:ascii="宋体" w:hAnsi="宋体" w:cs="宋体" w:eastAsia="宋体" w:hint="default"/>
          <w:sz w:val="18"/>
          <w:szCs w:val="18"/>
        </w:rPr>
        <w:t>公司注册地址：西安市高新区科技一路</w:t>
      </w:r>
      <w:r>
        <w:rPr>
          <w:rFonts w:ascii="宋体" w:hAnsi="宋体" w:cs="宋体" w:eastAsia="宋体" w:hint="default"/>
          <w:sz w:val="18"/>
          <w:szCs w:val="18"/>
        </w:rPr>
        <w:t>32</w:t>
      </w:r>
      <w:r>
        <w:rPr>
          <w:rFonts w:ascii="宋体" w:hAnsi="宋体" w:cs="宋体" w:eastAsia="宋体" w:hint="default"/>
          <w:sz w:val="18"/>
          <w:szCs w:val="18"/>
        </w:rPr>
        <w:t>号 公司组织形式：股份有限公司</w:t>
      </w:r>
    </w:p>
    <w:p>
      <w:pPr>
        <w:spacing w:line="364" w:lineRule="auto" w:before="29"/>
        <w:ind w:left="634" w:right="7800" w:hanging="58"/>
        <w:jc w:val="left"/>
        <w:rPr>
          <w:rFonts w:ascii="宋体" w:hAnsi="宋体" w:cs="宋体" w:eastAsia="宋体" w:hint="default"/>
          <w:sz w:val="18"/>
          <w:szCs w:val="18"/>
        </w:rPr>
      </w:pPr>
      <w:r>
        <w:rPr>
          <w:rFonts w:ascii="宋体" w:hAnsi="宋体" w:cs="宋体" w:eastAsia="宋体" w:hint="default"/>
          <w:b/>
          <w:bCs/>
          <w:sz w:val="18"/>
          <w:szCs w:val="18"/>
        </w:rPr>
        <w:t>（三）公司行业性质、经营范围</w:t>
      </w:r>
      <w:r>
        <w:rPr>
          <w:rFonts w:ascii="宋体" w:hAnsi="宋体" w:cs="宋体" w:eastAsia="宋体" w:hint="default"/>
          <w:b/>
          <w:bCs/>
          <w:w w:val="99"/>
          <w:sz w:val="18"/>
          <w:szCs w:val="18"/>
        </w:rPr>
        <w:t> </w:t>
      </w:r>
      <w:r>
        <w:rPr>
          <w:rFonts w:ascii="宋体" w:hAnsi="宋体" w:cs="宋体" w:eastAsia="宋体" w:hint="default"/>
          <w:sz w:val="18"/>
          <w:szCs w:val="18"/>
        </w:rPr>
        <w:t>本公司属于工业生产型企业。</w:t>
      </w:r>
    </w:p>
    <w:p>
      <w:pPr>
        <w:pStyle w:val="BodyText"/>
        <w:spacing w:line="364" w:lineRule="auto" w:before="29"/>
        <w:ind w:right="1129" w:firstLine="480"/>
        <w:jc w:val="both"/>
        <w:rPr>
          <w:rFonts w:ascii="宋体" w:hAnsi="宋体" w:cs="宋体" w:eastAsia="宋体" w:hint="default"/>
        </w:rPr>
      </w:pPr>
      <w:r>
        <w:rPr/>
        <w:t>经营范围：包装装潢设计、生产和加工各类包装材料；包装装潢印刷品印刷</w:t>
      </w:r>
      <w:r>
        <w:rPr>
          <w:rFonts w:ascii="宋体" w:hAnsi="宋体" w:cs="宋体" w:eastAsia="宋体" w:hint="default"/>
        </w:rPr>
        <w:t>(</w:t>
      </w:r>
      <w:r>
        <w:rPr/>
        <w:t>印刷许可证有效期至</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31</w:t>
      </w:r>
      <w:r>
        <w:rPr/>
        <w:t>日</w:t>
      </w:r>
      <w:r>
        <w:rPr>
          <w:rFonts w:ascii="宋体" w:hAnsi="宋体" w:cs="宋体" w:eastAsia="宋体" w:hint="default"/>
        </w:rPr>
        <w:t>)</w:t>
      </w:r>
      <w:r>
        <w:rPr/>
        <w:t>； </w:t>
      </w:r>
      <w:r>
        <w:rPr>
          <w:spacing w:val="-2"/>
        </w:rPr>
        <w:t>销售本企业产品；研究与开发在包装领域的新产品；移动网络广告的设计、制作、代理；印刷包装行业的供应链管理；计算</w:t>
      </w:r>
      <w:r>
        <w:rPr>
          <w:spacing w:val="-67"/>
        </w:rPr>
        <w:t> </w:t>
      </w:r>
      <w:r>
        <w:rPr>
          <w:spacing w:val="-67"/>
        </w:rPr>
      </w:r>
      <w:r>
        <w:rPr/>
        <w:t>机系统集成服务；软件开发；仓储服务；普通货物道路运输。</w:t>
      </w:r>
      <w:r>
        <w:rPr>
          <w:rFonts w:ascii="宋体" w:hAnsi="宋体" w:cs="宋体" w:eastAsia="宋体" w:hint="default"/>
        </w:rPr>
        <w:t>(</w:t>
      </w:r>
      <w:r>
        <w:rPr/>
        <w:t>以上经营范围不涉及自由贸易试验区外商投资准入特别管理</w:t>
      </w:r>
      <w:r>
        <w:rPr>
          <w:spacing w:val="-82"/>
        </w:rPr>
        <w:t> </w:t>
      </w:r>
      <w:r>
        <w:rPr>
          <w:spacing w:val="-82"/>
        </w:rPr>
      </w:r>
      <w:r>
        <w:rPr/>
        <w:t>措施范围内的项目</w:t>
      </w:r>
      <w:r>
        <w:rPr>
          <w:rFonts w:ascii="宋体" w:hAnsi="宋体" w:cs="宋体" w:eastAsia="宋体" w:hint="default"/>
        </w:rPr>
        <w:t>)(</w:t>
      </w:r>
      <w:r>
        <w:rPr/>
        <w:t>依法须经批准的项目</w:t>
      </w:r>
      <w:r>
        <w:rPr>
          <w:rFonts w:ascii="宋体" w:hAnsi="宋体" w:cs="宋体" w:eastAsia="宋体" w:hint="default"/>
        </w:rPr>
        <w:t>,</w:t>
      </w:r>
      <w:r>
        <w:rPr/>
        <w:t>经相关部门批准后方可开展经营活动</w:t>
      </w:r>
      <w:r>
        <w:rPr>
          <w:rFonts w:ascii="宋体" w:hAnsi="宋体" w:cs="宋体" w:eastAsia="宋体" w:hint="default"/>
        </w:rPr>
        <w:t>)</w:t>
      </w:r>
    </w:p>
    <w:p>
      <w:pPr>
        <w:pStyle w:val="BodyText"/>
        <w:spacing w:line="364" w:lineRule="auto" w:before="29"/>
        <w:ind w:right="1132" w:firstLine="510"/>
        <w:jc w:val="both"/>
      </w:pPr>
      <w:r>
        <w:rPr>
          <w:spacing w:val="-5"/>
        </w:rPr>
        <w:t>公司目前从事的主要业务为，医药纸盒及其他纸质包装产品的设计、生产及销售，移动网络广告的设计、制作、代理，</w:t>
      </w:r>
      <w:r>
        <w:rPr/>
        <w:t> 报告期内主营业务新增移动广告业务。</w:t>
      </w:r>
    </w:p>
    <w:p>
      <w:pPr>
        <w:pStyle w:val="BodyText"/>
        <w:spacing w:line="405" w:lineRule="auto" w:before="71"/>
        <w:ind w:left="574" w:right="940" w:firstLine="2"/>
        <w:jc w:val="left"/>
      </w:pPr>
      <w:r>
        <w:rPr>
          <w:rFonts w:ascii="宋体" w:hAnsi="宋体" w:cs="宋体" w:eastAsia="宋体" w:hint="default"/>
          <w:b/>
          <w:bCs/>
        </w:rPr>
        <w:t>（四）合并财务报表范围</w:t>
      </w:r>
      <w:r>
        <w:rPr>
          <w:rFonts w:ascii="宋体" w:hAnsi="宋体" w:cs="宋体" w:eastAsia="宋体" w:hint="default"/>
          <w:b/>
          <w:bCs/>
          <w:w w:val="99"/>
        </w:rPr>
        <w:t> </w:t>
      </w:r>
      <w:r>
        <w:rPr>
          <w:spacing w:val="-2"/>
        </w:rPr>
        <w:t>本公司</w:t>
      </w:r>
      <w:r>
        <w:rPr>
          <w:rFonts w:ascii="宋体" w:hAnsi="宋体" w:cs="宋体" w:eastAsia="宋体" w:hint="default"/>
          <w:spacing w:val="-2"/>
        </w:rPr>
        <w:t>2018</w:t>
      </w:r>
      <w:r>
        <w:rPr>
          <w:spacing w:val="-2"/>
        </w:rPr>
        <w:t>年度纳入合并范围的子公司共</w:t>
      </w:r>
      <w:r>
        <w:rPr>
          <w:rFonts w:ascii="宋体" w:hAnsi="宋体" w:cs="宋体" w:eastAsia="宋体" w:hint="default"/>
          <w:spacing w:val="-2"/>
        </w:rPr>
        <w:t>4</w:t>
      </w:r>
      <w:r>
        <w:rPr>
          <w:spacing w:val="-2"/>
        </w:rPr>
        <w:t>户，详见本节九“在其他主体中的权益”。本公司本年度合并范围与上年度</w:t>
      </w:r>
    </w:p>
    <w:p>
      <w:pPr>
        <w:pStyle w:val="BodyText"/>
        <w:spacing w:line="240" w:lineRule="auto"/>
        <w:ind w:right="0"/>
        <w:jc w:val="both"/>
      </w:pPr>
      <w:r>
        <w:rPr/>
        <w:t>相比发生变化。控股子公司霍尔果斯领凯网络科技有限公司纳入合并范围</w:t>
      </w:r>
    </w:p>
    <w:p>
      <w:pPr>
        <w:spacing w:line="240" w:lineRule="auto" w:before="12"/>
        <w:rPr>
          <w:rFonts w:ascii="宋体" w:hAnsi="宋体" w:cs="宋体" w:eastAsia="宋体" w:hint="default"/>
          <w:sz w:val="26"/>
          <w:szCs w:val="26"/>
        </w:rPr>
      </w:pPr>
    </w:p>
    <w:p>
      <w:pPr>
        <w:pStyle w:val="Heading2"/>
        <w:spacing w:line="240" w:lineRule="auto"/>
        <w:ind w:right="0"/>
        <w:jc w:val="both"/>
        <w:rPr>
          <w:b w:val="0"/>
          <w:bCs w:val="0"/>
        </w:rPr>
      </w:pPr>
      <w:bookmarkStart w:name="四、财务报表的编制基础" w:id="172"/>
      <w:bookmarkEnd w:id="172"/>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编制基础" w:id="173"/>
      <w:bookmarkEnd w:id="173"/>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right="1131" w:firstLine="420"/>
        <w:jc w:val="both"/>
      </w:pPr>
      <w:r>
        <w:rPr>
          <w:spacing w:val="-1"/>
        </w:rPr>
        <w:t>本公司财务报表以公司持续经营假设为基础，根据实际发生的交易和事项，按照财政部颁布的《企业</w:t>
      </w:r>
      <w:r>
        <w:rPr/>
        <w:t> </w:t>
      </w:r>
      <w:r>
        <w:rPr>
          <w:spacing w:val="-1"/>
        </w:rPr>
        <w:t>会计准则》和应用指南及准则解释的有关规定进行确认和计量，并基于以下所述重要会计政策及会计估计</w:t>
      </w:r>
      <w:r>
        <w:rPr>
          <w:spacing w:val="-81"/>
        </w:rPr>
        <w:t> </w:t>
      </w:r>
      <w:r>
        <w:rPr>
          <w:spacing w:val="-81"/>
        </w:rPr>
      </w:r>
      <w:r>
        <w:rPr/>
        <w:t>的编制方法进行编制。</w:t>
      </w:r>
    </w:p>
    <w:p>
      <w:pPr>
        <w:spacing w:line="240" w:lineRule="auto" w:before="8"/>
        <w:rPr>
          <w:rFonts w:ascii="宋体" w:hAnsi="宋体" w:cs="宋体" w:eastAsia="宋体" w:hint="default"/>
          <w:sz w:val="23"/>
          <w:szCs w:val="23"/>
        </w:rPr>
      </w:pPr>
    </w:p>
    <w:p>
      <w:pPr>
        <w:pStyle w:val="Heading4"/>
        <w:spacing w:line="240" w:lineRule="auto"/>
        <w:ind w:right="0"/>
        <w:jc w:val="both"/>
        <w:rPr>
          <w:b w:val="0"/>
          <w:bCs w:val="0"/>
        </w:rPr>
      </w:pPr>
      <w:bookmarkStart w:name="2、持续经营" w:id="174"/>
      <w:bookmarkEnd w:id="174"/>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574" w:right="940"/>
        <w:jc w:val="left"/>
      </w:pPr>
      <w:r>
        <w:rPr/>
        <w:t>公司自报告期末起</w:t>
      </w:r>
      <w:r>
        <w:rPr>
          <w:rFonts w:ascii="Times New Roman" w:hAnsi="Times New Roman" w:cs="Times New Roman" w:eastAsia="Times New Roman" w:hint="default"/>
        </w:rPr>
        <w:t>12</w:t>
      </w:r>
      <w:r>
        <w:rPr/>
        <w:t>个月将持续经营。不存在对持续经营能力产生重大怀疑的因素。</w:t>
      </w:r>
    </w:p>
    <w:p>
      <w:pPr>
        <w:spacing w:line="240" w:lineRule="auto" w:before="12"/>
        <w:rPr>
          <w:rFonts w:ascii="宋体" w:hAnsi="宋体" w:cs="宋体" w:eastAsia="宋体" w:hint="default"/>
          <w:sz w:val="22"/>
          <w:szCs w:val="22"/>
        </w:rPr>
      </w:pPr>
    </w:p>
    <w:p>
      <w:pPr>
        <w:pStyle w:val="Heading2"/>
        <w:spacing w:line="240" w:lineRule="auto"/>
        <w:ind w:right="0"/>
        <w:jc w:val="both"/>
        <w:rPr>
          <w:b w:val="0"/>
          <w:bCs w:val="0"/>
        </w:rPr>
      </w:pPr>
      <w:bookmarkStart w:name="五、重要会计政策及会计估计" w:id="175"/>
      <w:bookmarkEnd w:id="175"/>
      <w:r>
        <w:rPr>
          <w:b w:val="0"/>
          <w:bCs w:val="0"/>
        </w:rPr>
      </w:r>
      <w:r>
        <w:rPr/>
        <w:t>五、重要会计政策及会计估计</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240" w:lineRule="auto" w:before="28"/>
        <w:ind w:right="0"/>
        <w:jc w:val="both"/>
      </w:pPr>
      <w:r>
        <w:rPr/>
        <w:t>具体会计政策和会计估计提示：</w:t>
      </w:r>
    </w:p>
    <w:p>
      <w:pPr>
        <w:spacing w:after="0" w:line="240" w:lineRule="auto"/>
        <w:jc w:val="both"/>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2"/>
          <w:szCs w:val="22"/>
        </w:rPr>
      </w:pPr>
    </w:p>
    <w:p>
      <w:pPr>
        <w:pStyle w:val="Heading5"/>
        <w:spacing w:line="273" w:lineRule="auto" w:before="35"/>
        <w:ind w:right="1131" w:firstLine="420"/>
        <w:jc w:val="both"/>
      </w:pPr>
      <w:r>
        <w:rPr>
          <w:spacing w:val="-1"/>
        </w:rPr>
        <w:t>本公司下列重要会计政策、会计估计均根据企业会计准则制定，未提及的业务按企业会计准则中相关</w:t>
      </w:r>
      <w:r>
        <w:rPr/>
        <w:t> 会计政策执行。</w:t>
      </w:r>
    </w:p>
    <w:p>
      <w:pPr>
        <w:spacing w:line="590" w:lineRule="atLeast" w:before="7"/>
        <w:ind w:left="574" w:right="940" w:hanging="420"/>
        <w:jc w:val="left"/>
        <w:rPr>
          <w:rFonts w:ascii="宋体" w:hAnsi="宋体" w:cs="宋体" w:eastAsia="宋体" w:hint="default"/>
          <w:sz w:val="21"/>
          <w:szCs w:val="21"/>
        </w:rPr>
      </w:pPr>
      <w:bookmarkStart w:name="1、遵循企业会计准则的声明" w:id="176"/>
      <w:bookmarkEnd w:id="17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本公司承诺编制的财务报表符合《企业会计准则》的要求，真实、完整地反映了公司报告期间内的财</w:t>
      </w:r>
    </w:p>
    <w:p>
      <w:pPr>
        <w:pStyle w:val="Heading5"/>
        <w:spacing w:line="240" w:lineRule="auto" w:before="37"/>
        <w:ind w:right="940"/>
        <w:jc w:val="left"/>
      </w:pPr>
      <w:r>
        <w:rPr/>
        <w:t>务状况、经营成果和现金流量等有关信息。</w:t>
      </w:r>
    </w:p>
    <w:p>
      <w:pPr>
        <w:spacing w:line="240" w:lineRule="auto" w:before="11"/>
        <w:rPr>
          <w:rFonts w:ascii="宋体" w:hAnsi="宋体" w:cs="宋体" w:eastAsia="宋体" w:hint="default"/>
          <w:sz w:val="25"/>
          <w:szCs w:val="25"/>
        </w:rPr>
      </w:pPr>
    </w:p>
    <w:p>
      <w:pPr>
        <w:pStyle w:val="Heading4"/>
        <w:spacing w:line="240" w:lineRule="auto"/>
        <w:ind w:right="940"/>
        <w:jc w:val="left"/>
        <w:rPr>
          <w:b w:val="0"/>
          <w:bCs w:val="0"/>
        </w:rPr>
      </w:pPr>
      <w:bookmarkStart w:name="2、会计期间" w:id="177"/>
      <w:bookmarkEnd w:id="177"/>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574" w:right="940"/>
        <w:jc w:val="left"/>
      </w:pPr>
      <w:r>
        <w:rPr/>
        <w:t>本公司采用公历年度，即每年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8"/>
        <w:rPr>
          <w:rFonts w:ascii="宋体" w:hAnsi="宋体" w:cs="宋体" w:eastAsia="宋体" w:hint="default"/>
          <w:sz w:val="24"/>
          <w:szCs w:val="24"/>
        </w:rPr>
      </w:pPr>
    </w:p>
    <w:p>
      <w:pPr>
        <w:spacing w:line="506" w:lineRule="auto" w:before="0"/>
        <w:ind w:left="469" w:right="6447" w:hanging="316"/>
        <w:jc w:val="left"/>
        <w:rPr>
          <w:rFonts w:ascii="宋体" w:hAnsi="宋体" w:cs="宋体" w:eastAsia="宋体" w:hint="default"/>
          <w:sz w:val="21"/>
          <w:szCs w:val="21"/>
        </w:rPr>
      </w:pPr>
      <w:bookmarkStart w:name="3、营业周期" w:id="178"/>
      <w:bookmarkEnd w:id="17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21"/>
          <w:szCs w:val="21"/>
        </w:rPr>
        <w:t>本公司营业周期为正常</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个月的营业周期。</w:t>
      </w:r>
    </w:p>
    <w:p>
      <w:pPr>
        <w:pStyle w:val="Heading4"/>
        <w:spacing w:line="240" w:lineRule="auto" w:before="64"/>
        <w:ind w:right="940"/>
        <w:jc w:val="left"/>
        <w:rPr>
          <w:b w:val="0"/>
          <w:bCs w:val="0"/>
        </w:rPr>
      </w:pPr>
      <w:bookmarkStart w:name="4、记账本位币" w:id="179"/>
      <w:bookmarkEnd w:id="179"/>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574" w:right="940"/>
        <w:jc w:val="left"/>
      </w:pPr>
      <w:r>
        <w:rPr/>
        <w:t>人民币为本公司的主要交易货币，本公司以人民币为记账本位币。</w:t>
      </w:r>
    </w:p>
    <w:p>
      <w:pPr>
        <w:spacing w:line="240" w:lineRule="auto" w:before="11"/>
        <w:rPr>
          <w:rFonts w:ascii="宋体" w:hAnsi="宋体" w:cs="宋体" w:eastAsia="宋体" w:hint="default"/>
          <w:sz w:val="25"/>
          <w:szCs w:val="25"/>
        </w:rPr>
      </w:pPr>
    </w:p>
    <w:p>
      <w:pPr>
        <w:pStyle w:val="Heading4"/>
        <w:spacing w:line="240" w:lineRule="auto"/>
        <w:ind w:right="940"/>
        <w:jc w:val="left"/>
        <w:rPr>
          <w:b w:val="0"/>
          <w:bCs w:val="0"/>
        </w:rPr>
      </w:pPr>
      <w:bookmarkStart w:name="5、同一控制下和非同一控制下企业合并的会计处理方法" w:id="180"/>
      <w:bookmarkEnd w:id="180"/>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8"/>
          <w:szCs w:val="28"/>
        </w:rPr>
      </w:pPr>
    </w:p>
    <w:p>
      <w:pPr>
        <w:pStyle w:val="BodyText"/>
        <w:spacing w:line="364" w:lineRule="auto"/>
        <w:ind w:left="565" w:right="940" w:hanging="53"/>
        <w:jc w:val="left"/>
      </w:pPr>
      <w:r>
        <w:rPr/>
        <w:t>企业合并分为同一控制下的企业合并和非同一控制下的企业合并。 </w:t>
      </w:r>
      <w:r>
        <w:rPr>
          <w:rFonts w:ascii="宋体" w:hAnsi="宋体" w:cs="宋体" w:eastAsia="宋体" w:hint="default"/>
        </w:rPr>
        <w:t>1.</w:t>
      </w:r>
      <w:r>
        <w:rPr/>
        <w:t>同一控制下的企业合并，在合并中取得的资产和负债，按照合并日被合并方在最终控制方合并财务报表中的账面价</w:t>
      </w:r>
    </w:p>
    <w:p>
      <w:pPr>
        <w:pStyle w:val="BodyText"/>
        <w:spacing w:line="364" w:lineRule="auto" w:before="29"/>
        <w:ind w:right="1032"/>
        <w:jc w:val="left"/>
      </w:pPr>
      <w:r>
        <w:rPr>
          <w:spacing w:val="-2"/>
        </w:rPr>
        <w:t>值计量。合并方取得的净资产账面价值与支付的合并对价账面价值（或发行股份面值总额）的差额，调整资本公积；资本公</w:t>
      </w:r>
      <w:r>
        <w:rPr>
          <w:spacing w:val="-66"/>
        </w:rPr>
        <w:t> </w:t>
      </w:r>
      <w:r>
        <w:rPr>
          <w:spacing w:val="-66"/>
        </w:rPr>
      </w:r>
      <w:r>
        <w:rPr/>
        <w:t>积不足冲减的，调整留存收益。发行权益性证券发生的手续费、佣金等，抵减权益性证券溢价收入，溢价收入不足冲减的，</w:t>
      </w:r>
      <w:r>
        <w:rPr>
          <w:spacing w:val="-85"/>
        </w:rPr>
        <w:t> </w:t>
      </w:r>
      <w:r>
        <w:rPr>
          <w:spacing w:val="-85"/>
        </w:rPr>
      </w:r>
      <w:r>
        <w:rPr/>
        <w:t>冲减留存收益。</w:t>
      </w:r>
    </w:p>
    <w:p>
      <w:pPr>
        <w:pStyle w:val="BodyText"/>
        <w:spacing w:line="364" w:lineRule="auto" w:before="29"/>
        <w:ind w:right="1135" w:firstLine="411"/>
        <w:jc w:val="both"/>
      </w:pPr>
      <w:r>
        <w:rPr/>
        <w:t>为进行企业合并发生的各项直接相关费用，包括为进行企业合并而支付的审计费用、评估费用、法律服务费用等，于 发生时计入当期损益。</w:t>
      </w:r>
    </w:p>
    <w:p>
      <w:pPr>
        <w:pStyle w:val="BodyText"/>
        <w:spacing w:line="364" w:lineRule="auto" w:before="29"/>
        <w:ind w:right="1032" w:firstLine="411"/>
        <w:jc w:val="left"/>
      </w:pPr>
      <w:r>
        <w:rPr/>
        <w:t>被合并方采用的会计政策与本公司不一致的，在合并日按照本公司会计政策进行调整，在此基础上按照企业会计准则 规定确认，编制合并日的合并资产负债表、合并利润表和合并现金流量表。合并资产负债表中被合并方的各项资产、负债，</w:t>
      </w:r>
      <w:r>
        <w:rPr>
          <w:spacing w:val="-85"/>
        </w:rPr>
        <w:t> </w:t>
      </w:r>
      <w:r>
        <w:rPr>
          <w:spacing w:val="-85"/>
        </w:rPr>
      </w:r>
      <w:r>
        <w:rPr>
          <w:spacing w:val="-2"/>
        </w:rPr>
        <w:t>按其账面价值计量。合并利润表包括参与合并各方自合并当期期初至合并日所发生的收入、费用和利润。被合并方在合并前</w:t>
      </w:r>
      <w:r>
        <w:rPr>
          <w:spacing w:val="-66"/>
        </w:rPr>
        <w:t> </w:t>
      </w:r>
      <w:r>
        <w:rPr>
          <w:spacing w:val="-66"/>
        </w:rPr>
      </w:r>
      <w:r>
        <w:rPr/>
        <w:t>实现的净利润，在合并利润表中单列项目反映。合并现金流量表包括参与合并各方自合并当期期初至合并日的现金流量。</w:t>
      </w:r>
    </w:p>
    <w:p>
      <w:pPr>
        <w:pStyle w:val="BodyText"/>
        <w:spacing w:line="364" w:lineRule="auto" w:before="29"/>
        <w:ind w:right="1132" w:firstLine="420"/>
        <w:jc w:val="both"/>
      </w:pPr>
      <w:r>
        <w:rPr>
          <w:rFonts w:ascii="宋体" w:hAnsi="宋体" w:cs="宋体" w:eastAsia="宋体" w:hint="default"/>
        </w:rPr>
        <w:t>2.</w:t>
      </w:r>
      <w:r>
        <w:rPr/>
        <w:t>非同一控制下的企业合并，本公司以购买日为取得对被购买方的控制权而付出的资产、发生或承担的负债以及发行 </w:t>
      </w:r>
      <w:r>
        <w:rPr>
          <w:spacing w:val="-2"/>
        </w:rPr>
        <w:t>的权益性证券的公允价值作为合并成本。为进行企业合并发生的各项直接相关费用，于发生时计入当期损益；发行权益性证</w:t>
      </w:r>
      <w:r>
        <w:rPr>
          <w:spacing w:val="-66"/>
        </w:rPr>
        <w:t> </w:t>
      </w:r>
      <w:r>
        <w:rPr>
          <w:spacing w:val="-66"/>
        </w:rPr>
      </w:r>
      <w:r>
        <w:rPr>
          <w:spacing w:val="-2"/>
        </w:rPr>
        <w:t>券或债务性证券的交易费用，计入权益性证券或债务性证券的初始确认金额。对作为企业合并对价付出的资产、发生或承担</w:t>
      </w:r>
      <w:r>
        <w:rPr>
          <w:spacing w:val="-66"/>
        </w:rPr>
        <w:t> </w:t>
      </w:r>
      <w:r>
        <w:rPr>
          <w:spacing w:val="-66"/>
        </w:rPr>
      </w:r>
      <w:r>
        <w:rPr/>
        <w:t>的负债按照公允价值计量，公允价值与其账面价值的差额，计入当期损益。</w:t>
      </w:r>
    </w:p>
    <w:p>
      <w:pPr>
        <w:pStyle w:val="BodyText"/>
        <w:spacing w:line="364" w:lineRule="auto" w:before="30"/>
        <w:ind w:right="1132" w:firstLine="420"/>
        <w:jc w:val="both"/>
      </w:pPr>
      <w:r>
        <w:rPr/>
        <w:t>对合并成本大于合并中取得的被购买方可辨认净资产公允价值份额的差额，确认为商誉。对合并成本小于合并中取得 </w:t>
      </w:r>
      <w:r>
        <w:rPr>
          <w:spacing w:val="-2"/>
        </w:rPr>
        <w:t>的被购买方可辨认净资产公允价值份额，以取得的被购买方各项可辨认资产、负债及或有负债的公允价值以及合并成本的计</w:t>
      </w:r>
      <w:r>
        <w:rPr>
          <w:spacing w:val="-64"/>
        </w:rPr>
        <w:t> </w:t>
      </w:r>
      <w:r>
        <w:rPr>
          <w:spacing w:val="-64"/>
        </w:rPr>
      </w:r>
      <w:r>
        <w:rPr/>
        <w:t>量进行复核；经复核后合并成本仍小于合并中取得的被购买方可辨认净资产公允价值份额的，其差额计入当期损益。</w:t>
      </w:r>
    </w:p>
    <w:p>
      <w:pPr>
        <w:spacing w:after="0" w:line="364" w:lineRule="auto"/>
        <w:jc w:val="both"/>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64" w:lineRule="auto" w:before="27"/>
        <w:ind w:right="1131" w:firstLine="420"/>
        <w:jc w:val="both"/>
      </w:pPr>
      <w:r>
        <w:rPr/>
        <w:t>在合并中取得的被购买方除无形资产外的其他各项资产（不仅限于被购买方原已确认的资产），其所带来的经济利益 </w:t>
      </w:r>
      <w:r>
        <w:rPr>
          <w:spacing w:val="-2"/>
        </w:rPr>
        <w:t>很可能流入本公司且公允价值能够可靠计量的，单独确认并按公允价值计量；公允价值能够可靠计量的无形资产，单独确认</w:t>
      </w:r>
      <w:r>
        <w:rPr>
          <w:spacing w:val="-66"/>
        </w:rPr>
        <w:t> </w:t>
      </w:r>
      <w:r>
        <w:rPr>
          <w:spacing w:val="-66"/>
        </w:rPr>
      </w:r>
      <w:r>
        <w:rPr>
          <w:spacing w:val="-2"/>
        </w:rPr>
        <w:t>为无形资产并按公允价值计量；取得的被购买方除或有负债以外的其他各项负债，履行有关义务很可能导致经济利益流出本</w:t>
      </w:r>
      <w:r>
        <w:rPr>
          <w:spacing w:val="-64"/>
        </w:rPr>
        <w:t> </w:t>
      </w:r>
      <w:r>
        <w:rPr>
          <w:spacing w:val="-64"/>
        </w:rPr>
      </w:r>
      <w:r>
        <w:rPr>
          <w:spacing w:val="-2"/>
        </w:rPr>
        <w:t>公司且公允价值能够可靠计量的，单独确认并按照公允价值计量；取得的被购买方或有负债，其公允价值能可靠计量的，单</w:t>
      </w:r>
      <w:r>
        <w:rPr>
          <w:spacing w:val="-66"/>
        </w:rPr>
        <w:t> </w:t>
      </w:r>
      <w:r>
        <w:rPr>
          <w:spacing w:val="-66"/>
        </w:rPr>
      </w:r>
      <w:r>
        <w:rPr/>
        <w:t>独确认为负债并按照公允价值计量。</w:t>
      </w:r>
    </w:p>
    <w:p>
      <w:pPr>
        <w:pStyle w:val="BodyText"/>
        <w:spacing w:line="240" w:lineRule="auto" w:before="29"/>
        <w:ind w:left="574" w:right="940"/>
        <w:jc w:val="left"/>
      </w:pPr>
      <w:r>
        <w:rPr>
          <w:spacing w:val="-3"/>
        </w:rPr>
        <w:t>本公司编制购买日的合并资产负债表，因企业合并取得的被购买方各项可辨认资产、负债及或有负债以公允价值列示。</w:t>
      </w:r>
    </w:p>
    <w:p>
      <w:pPr>
        <w:spacing w:line="240" w:lineRule="auto" w:before="0"/>
        <w:rPr>
          <w:rFonts w:ascii="宋体" w:hAnsi="宋体" w:cs="宋体" w:eastAsia="宋体" w:hint="default"/>
          <w:sz w:val="18"/>
          <w:szCs w:val="18"/>
        </w:rPr>
      </w:pPr>
    </w:p>
    <w:p>
      <w:pPr>
        <w:pStyle w:val="Heading4"/>
        <w:spacing w:line="240" w:lineRule="auto" w:before="140"/>
        <w:ind w:right="940"/>
        <w:jc w:val="left"/>
        <w:rPr>
          <w:b w:val="0"/>
          <w:bCs w:val="0"/>
        </w:rPr>
      </w:pPr>
      <w:bookmarkStart w:name="6、合并财务报表的编制方法" w:id="181"/>
      <w:bookmarkEnd w:id="181"/>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3"/>
        <w:rPr>
          <w:rFonts w:ascii="宋体" w:hAnsi="宋体" w:cs="宋体" w:eastAsia="宋体" w:hint="default"/>
          <w:b/>
          <w:bCs/>
          <w:sz w:val="28"/>
          <w:szCs w:val="28"/>
        </w:rPr>
      </w:pPr>
    </w:p>
    <w:p>
      <w:pPr>
        <w:pStyle w:val="BodyText"/>
        <w:spacing w:line="364" w:lineRule="auto"/>
        <w:ind w:left="574" w:right="940"/>
        <w:jc w:val="left"/>
      </w:pPr>
      <w:r>
        <w:rPr>
          <w:rFonts w:ascii="宋体" w:hAnsi="宋体" w:cs="宋体" w:eastAsia="宋体" w:hint="default"/>
        </w:rPr>
        <w:t>1.</w:t>
      </w:r>
      <w:r>
        <w:rPr/>
        <w:t>合并范围的确定原则 合并财务报表的合并范围以控制为基础予以确定。控制是指投资方拥有对被投资方的权力，通过参与被投资方的相关</w:t>
      </w:r>
    </w:p>
    <w:p>
      <w:pPr>
        <w:pStyle w:val="BodyText"/>
        <w:spacing w:line="364" w:lineRule="auto" w:before="29"/>
        <w:ind w:left="574" w:right="4812" w:hanging="420"/>
        <w:jc w:val="left"/>
      </w:pPr>
      <w:r>
        <w:rPr/>
        <w:t>活动而享有可变回报，并且有能力运用对被投资方的权力影响其回报金额。 </w:t>
      </w:r>
      <w:r>
        <w:rPr>
          <w:rFonts w:ascii="宋体" w:hAnsi="宋体" w:cs="宋体" w:eastAsia="宋体" w:hint="default"/>
        </w:rPr>
        <w:t>2.</w:t>
      </w:r>
      <w:r>
        <w:rPr/>
        <w:t>合并财务报表编制的原则、程序及方法</w:t>
      </w:r>
    </w:p>
    <w:p>
      <w:pPr>
        <w:pStyle w:val="BodyText"/>
        <w:spacing w:line="364" w:lineRule="auto" w:before="29"/>
        <w:ind w:right="1032" w:firstLine="420"/>
        <w:jc w:val="left"/>
      </w:pPr>
      <w:r>
        <w:rPr/>
        <w:t>本公司合并财务报表按照《企业会计准则第</w:t>
      </w:r>
      <w:r>
        <w:rPr>
          <w:rFonts w:ascii="宋体" w:hAnsi="宋体" w:cs="宋体" w:eastAsia="宋体" w:hint="default"/>
        </w:rPr>
        <w:t>33</w:t>
      </w:r>
      <w:r>
        <w:rPr/>
        <w:t>号－合并财务报表》及相关规定的要求编制，合并时合并范围内的所有 </w:t>
      </w:r>
      <w:r>
        <w:rPr>
          <w:spacing w:val="-2"/>
        </w:rPr>
        <w:t>重大内部交易和往来业务已抵销。子公司的股东权益中不属于母公司所拥有的部分作为“少数股东权益”在合并财务报表中</w:t>
      </w:r>
      <w:r>
        <w:rPr>
          <w:spacing w:val="-66"/>
        </w:rPr>
        <w:t> </w:t>
      </w:r>
      <w:r>
        <w:rPr>
          <w:spacing w:val="-66"/>
        </w:rPr>
      </w:r>
      <w:r>
        <w:rPr/>
        <w:t>股东权益项下单独列示。子公司当期净损益中属于少数股东权益的份额，在合并利润表中净利润项目下以“少数股东损益”</w:t>
      </w:r>
      <w:r>
        <w:rPr>
          <w:spacing w:val="-83"/>
        </w:rPr>
        <w:t> </w:t>
      </w:r>
      <w:r>
        <w:rPr>
          <w:spacing w:val="-83"/>
        </w:rPr>
      </w:r>
      <w:r>
        <w:rPr>
          <w:spacing w:val="-2"/>
        </w:rPr>
        <w:t>项目列示。少数股东分担的子公司的亏损超过了少数股东在该子公司期初股东权益中所享有的份额，其余额仍冲减少数股东</w:t>
      </w:r>
      <w:r>
        <w:rPr>
          <w:spacing w:val="-64"/>
        </w:rPr>
        <w:t> </w:t>
      </w:r>
      <w:r>
        <w:rPr>
          <w:spacing w:val="-64"/>
        </w:rPr>
      </w:r>
      <w:r>
        <w:rPr/>
        <w:t>权益。</w:t>
      </w:r>
    </w:p>
    <w:p>
      <w:pPr>
        <w:pStyle w:val="BodyText"/>
        <w:spacing w:line="364" w:lineRule="auto" w:before="29"/>
        <w:ind w:right="1133" w:firstLine="420"/>
        <w:jc w:val="both"/>
      </w:pPr>
      <w:r>
        <w:rPr/>
        <w:t>子公司与本公司采用的会计政策不一致的，在编制合并财务报表时，按照本公司的会计政策对子公司财务报表进行必 要的调整。</w:t>
      </w:r>
    </w:p>
    <w:p>
      <w:pPr>
        <w:pStyle w:val="BodyText"/>
        <w:spacing w:line="364" w:lineRule="auto" w:before="29"/>
        <w:ind w:right="1043" w:firstLine="420"/>
        <w:jc w:val="both"/>
      </w:pPr>
      <w:r>
        <w:rPr/>
        <w:t>对于非同一控制下企业合并取得的子公司，在编制合并财务报表时，以购买日可辨认净资产公允价值为基础对其个别 </w:t>
      </w:r>
      <w:r>
        <w:rPr>
          <w:spacing w:val="-2"/>
        </w:rPr>
        <w:t>财务报表进行调整；对于同一控制下企业合并取得的子公司，在编制合并财务报表时，视同合并后形成的报告主体自最终控</w:t>
      </w:r>
      <w:r>
        <w:rPr>
          <w:spacing w:val="-66"/>
        </w:rPr>
        <w:t> </w:t>
      </w:r>
      <w:r>
        <w:rPr>
          <w:spacing w:val="-66"/>
        </w:rPr>
      </w:r>
      <w:r>
        <w:rPr>
          <w:spacing w:val="-4"/>
        </w:rPr>
        <w:t>制方开始实施控制时一直是一体化存续下来的，对合并资产负债表的年初数进行调整，同时对比较报表的相关项目进行调整。</w:t>
      </w:r>
    </w:p>
    <w:p>
      <w:pPr>
        <w:pStyle w:val="BodyText"/>
        <w:spacing w:line="364" w:lineRule="auto" w:before="29"/>
        <w:ind w:right="1132" w:firstLine="420"/>
        <w:jc w:val="both"/>
      </w:pPr>
      <w:r>
        <w:rPr/>
        <w:t>对于购买子公司少数股权或因处置部分股权投资但没有丧失对该子公司控制权的交易，作为权益性交易核算，调整归 属于母公司股东权益和少数股东权益的账面价值以反映其在子公司中相关权益的变化。少数股东权益的调整额与支付</w:t>
      </w:r>
      <w:r>
        <w:rPr>
          <w:rFonts w:ascii="宋体" w:hAnsi="宋体" w:cs="宋体" w:eastAsia="宋体" w:hint="default"/>
        </w:rPr>
        <w:t>/</w:t>
      </w:r>
      <w:r>
        <w:rPr/>
        <w:t>收到</w:t>
      </w:r>
      <w:r>
        <w:rPr>
          <w:spacing w:val="-85"/>
        </w:rPr>
        <w:t> </w:t>
      </w:r>
      <w:r>
        <w:rPr/>
        <w:t>对价的公允价值之间的差额调整资本公积，资本公积不足冲减的，调整留存收益。</w:t>
      </w:r>
    </w:p>
    <w:p>
      <w:pPr>
        <w:pStyle w:val="BodyText"/>
        <w:spacing w:line="364" w:lineRule="auto" w:before="29"/>
        <w:ind w:right="1132" w:firstLine="420"/>
        <w:jc w:val="both"/>
      </w:pPr>
      <w:r>
        <w:rPr/>
        <w:t>因处置部分股权投资或其他原因丧失了对原有子公司控制权的，剩余股权按照其在丧失控制权日的公允价值进行重新 </w:t>
      </w:r>
      <w:r>
        <w:rPr>
          <w:spacing w:val="-2"/>
        </w:rPr>
        <w:t>计量。处置股权取得的对价与剩余股权公允价值之和，减去按原持股比例计算应享有原子公司自购买日或合并日开始持续计</w:t>
      </w:r>
      <w:r>
        <w:rPr>
          <w:spacing w:val="-64"/>
        </w:rPr>
        <w:t> </w:t>
      </w:r>
      <w:r>
        <w:rPr>
          <w:spacing w:val="-64"/>
        </w:rPr>
      </w:r>
      <w:r>
        <w:rPr>
          <w:spacing w:val="-2"/>
        </w:rPr>
        <w:t>算的净资产的份额之间的差额，计入丧失控制权当期的投资收益，同时冲减商誉。与原有子公司股权投资相关的其他综合收</w:t>
      </w:r>
      <w:r>
        <w:rPr>
          <w:spacing w:val="-66"/>
        </w:rPr>
        <w:t> </w:t>
      </w:r>
      <w:r>
        <w:rPr>
          <w:spacing w:val="-66"/>
        </w:rPr>
      </w:r>
      <w:r>
        <w:rPr/>
        <w:t>益，在丧失控制权时转为当期投资收益。</w:t>
      </w:r>
    </w:p>
    <w:p>
      <w:pPr>
        <w:spacing w:line="240" w:lineRule="auto" w:before="8"/>
        <w:rPr>
          <w:rFonts w:ascii="宋体" w:hAnsi="宋体" w:cs="宋体" w:eastAsia="宋体" w:hint="default"/>
          <w:sz w:val="21"/>
          <w:szCs w:val="21"/>
        </w:rPr>
      </w:pPr>
    </w:p>
    <w:p>
      <w:pPr>
        <w:pStyle w:val="Heading4"/>
        <w:spacing w:line="240" w:lineRule="auto"/>
        <w:ind w:right="940"/>
        <w:jc w:val="left"/>
        <w:rPr>
          <w:b w:val="0"/>
          <w:bCs w:val="0"/>
        </w:rPr>
      </w:pPr>
      <w:bookmarkStart w:name="7、合营安排分类及共同经营会计处理方法" w:id="182"/>
      <w:bookmarkEnd w:id="182"/>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3"/>
        <w:rPr>
          <w:rFonts w:ascii="宋体" w:hAnsi="宋体" w:cs="宋体" w:eastAsia="宋体" w:hint="default"/>
          <w:b/>
          <w:bCs/>
          <w:sz w:val="28"/>
          <w:szCs w:val="28"/>
        </w:rPr>
      </w:pPr>
    </w:p>
    <w:p>
      <w:pPr>
        <w:pStyle w:val="BodyText"/>
        <w:spacing w:line="364" w:lineRule="auto"/>
        <w:ind w:right="1131" w:firstLine="420"/>
        <w:jc w:val="both"/>
      </w:pPr>
      <w:r>
        <w:rPr>
          <w:spacing w:val="-3"/>
        </w:rPr>
        <w:t>合营安排，是指一项由两个或两个以上的参与方共同控制的安排。本公司根据在合营安排中享有的权利和承担的义务，</w:t>
      </w:r>
      <w:r>
        <w:rPr/>
        <w:t>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64" w:lineRule="auto" w:before="29"/>
        <w:ind w:right="1130" w:firstLine="420"/>
        <w:jc w:val="both"/>
      </w:pPr>
      <w:r>
        <w:rPr>
          <w:spacing w:val="-1"/>
        </w:rPr>
        <w:t>本公司按照《企业会计准则第</w:t>
      </w:r>
      <w:r>
        <w:rPr>
          <w:rFonts w:ascii="宋体" w:hAnsi="宋体" w:cs="宋体" w:eastAsia="宋体" w:hint="default"/>
          <w:spacing w:val="-1"/>
        </w:rPr>
        <w:t>2</w:t>
      </w:r>
      <w:r>
        <w:rPr>
          <w:spacing w:val="-1"/>
        </w:rPr>
        <w:t>号——长期股权投资》的规定对合营企业的投资进行会计处理，对合营企业不享有共同</w:t>
      </w:r>
      <w:r>
        <w:rPr/>
        <w:t> 控制的，根据本公司对该合营企业的影响程度进行会计处理：</w:t>
      </w:r>
    </w:p>
    <w:p>
      <w:pPr>
        <w:pStyle w:val="BodyText"/>
        <w:spacing w:line="240" w:lineRule="auto" w:before="29"/>
        <w:ind w:left="574" w:right="940"/>
        <w:jc w:val="left"/>
      </w:pPr>
      <w:r>
        <w:rPr/>
        <w:t>（</w:t>
      </w:r>
      <w:r>
        <w:rPr>
          <w:rFonts w:ascii="宋体" w:hAnsi="宋体" w:cs="宋体" w:eastAsia="宋体" w:hint="default"/>
        </w:rPr>
        <w:t>1</w:t>
      </w:r>
      <w:r>
        <w:rPr/>
        <w:t>）对该合营企业具有重大影响的，按照《企业会计准则第</w:t>
      </w:r>
      <w:r>
        <w:rPr>
          <w:rFonts w:ascii="宋体" w:hAnsi="宋体" w:cs="宋体" w:eastAsia="宋体" w:hint="default"/>
        </w:rPr>
        <w:t>2</w:t>
      </w:r>
      <w:r>
        <w:rPr/>
        <w:t>号——长期股权投资》的规定进行会计处理。</w:t>
      </w:r>
    </w:p>
    <w:p>
      <w:pPr>
        <w:spacing w:after="0" w:line="240" w:lineRule="auto"/>
        <w:jc w:val="left"/>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64" w:lineRule="auto" w:before="27"/>
        <w:ind w:left="574" w:right="940"/>
        <w:jc w:val="left"/>
      </w:pPr>
      <w:r>
        <w:rPr/>
        <w:t>（</w:t>
      </w:r>
      <w:r>
        <w:rPr>
          <w:rFonts w:ascii="宋体" w:hAnsi="宋体" w:cs="宋体" w:eastAsia="宋体" w:hint="default"/>
        </w:rPr>
        <w:t>2</w:t>
      </w:r>
      <w:r>
        <w:rPr/>
        <w:t>）对该合营企业不具有重大影响的，按照《企业会计准则第</w:t>
      </w:r>
      <w:r>
        <w:rPr>
          <w:rFonts w:ascii="宋体" w:hAnsi="宋体" w:cs="宋体" w:eastAsia="宋体" w:hint="default"/>
        </w:rPr>
        <w:t>22</w:t>
      </w:r>
      <w:r>
        <w:rPr/>
        <w:t>号——金融工具确认和计量》的规定进行会计处理。</w:t>
      </w:r>
      <w:r>
        <w:rPr>
          <w:spacing w:val="-58"/>
        </w:rPr>
        <w:t> </w:t>
      </w:r>
      <w:r>
        <w:rPr/>
        <w:t>本公司作为合营方对共同经营，确认本公司单独所持有的资产，以及按份额确认共同持有的资产；确认本公司单独所</w:t>
      </w:r>
    </w:p>
    <w:p>
      <w:pPr>
        <w:pStyle w:val="BodyText"/>
        <w:spacing w:line="364" w:lineRule="auto" w:before="29"/>
        <w:ind w:right="1133"/>
        <w:jc w:val="both"/>
      </w:pPr>
      <w:r>
        <w:rPr>
          <w:spacing w:val="-2"/>
        </w:rPr>
        <w:t>承担的负债，以及按份额确认共同承担的负债；确认出售本公司享有的共同经营产出份额所产生的收入；按份额确认共同经</w:t>
      </w:r>
      <w:r>
        <w:rPr>
          <w:spacing w:val="-66"/>
        </w:rPr>
        <w:t> </w:t>
      </w:r>
      <w:r>
        <w:rPr>
          <w:spacing w:val="-66"/>
        </w:rPr>
      </w:r>
      <w:r>
        <w:rPr/>
        <w:t>营因出售产出所产生的收入；确认本公司单独所发生的费用，以及按其份额确认共同经营发生的费用。</w:t>
      </w:r>
    </w:p>
    <w:p>
      <w:pPr>
        <w:pStyle w:val="BodyText"/>
        <w:spacing w:line="364" w:lineRule="auto" w:before="29"/>
        <w:ind w:right="1131" w:firstLine="420"/>
        <w:jc w:val="both"/>
      </w:pPr>
      <w:r>
        <w:rPr/>
        <w:t>当本公司作为合营方向共同经营投出或出售资产（该资产不构成业务，下同）、或者自共同经营购买资产时，在该等 </w:t>
      </w:r>
      <w:r>
        <w:rPr>
          <w:spacing w:val="-2"/>
        </w:rPr>
        <w:t>资产出售给第三方之前，本公司仅确认因该交易产生的损益中归属于共同经营其他参与方的部分。该等资产发生符合《企业</w:t>
      </w:r>
      <w:r>
        <w:rPr>
          <w:spacing w:val="-66"/>
        </w:rPr>
        <w:t> </w:t>
      </w:r>
      <w:r>
        <w:rPr>
          <w:spacing w:val="-66"/>
        </w:rPr>
      </w:r>
      <w:r>
        <w:rPr/>
        <w:t>会计准则第</w:t>
      </w:r>
      <w:r>
        <w:rPr>
          <w:rFonts w:ascii="宋体" w:hAnsi="宋体" w:cs="宋体" w:eastAsia="宋体" w:hint="default"/>
        </w:rPr>
        <w:t>8</w:t>
      </w:r>
      <w:r>
        <w:rPr/>
        <w:t>号——资产减值》等规定的资产减值损失的，对于由本公司向共同经营投出或出售资产的情况，本公司全额确</w:t>
      </w:r>
      <w:r>
        <w:rPr>
          <w:spacing w:val="-83"/>
        </w:rPr>
        <w:t> </w:t>
      </w:r>
      <w:r>
        <w:rPr>
          <w:spacing w:val="-83"/>
        </w:rPr>
      </w:r>
      <w:r>
        <w:rPr/>
        <w:t>认该损失；对于本公司自共同经营购买资产的情况，本公司按承担的份额确认该损失。</w:t>
      </w:r>
    </w:p>
    <w:p>
      <w:pPr>
        <w:spacing w:line="240" w:lineRule="auto" w:before="8"/>
        <w:rPr>
          <w:rFonts w:ascii="宋体" w:hAnsi="宋体" w:cs="宋体" w:eastAsia="宋体" w:hint="default"/>
          <w:sz w:val="21"/>
          <w:szCs w:val="21"/>
        </w:rPr>
      </w:pPr>
    </w:p>
    <w:p>
      <w:pPr>
        <w:pStyle w:val="Heading4"/>
        <w:spacing w:line="240" w:lineRule="auto"/>
        <w:ind w:right="0"/>
        <w:jc w:val="both"/>
        <w:rPr>
          <w:b w:val="0"/>
          <w:bCs w:val="0"/>
        </w:rPr>
      </w:pPr>
      <w:bookmarkStart w:name="8、现金及现金等价物的确定标准" w:id="183"/>
      <w:bookmarkEnd w:id="183"/>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3"/>
        <w:rPr>
          <w:rFonts w:ascii="宋体" w:hAnsi="宋体" w:cs="宋体" w:eastAsia="宋体" w:hint="default"/>
          <w:b/>
          <w:bCs/>
          <w:sz w:val="28"/>
          <w:szCs w:val="28"/>
        </w:rPr>
      </w:pPr>
    </w:p>
    <w:p>
      <w:pPr>
        <w:pStyle w:val="BodyText"/>
        <w:spacing w:line="364" w:lineRule="auto"/>
        <w:ind w:right="940" w:firstLine="420"/>
        <w:jc w:val="left"/>
      </w:pPr>
      <w:r>
        <w:rPr/>
        <w:t>在编制现金流量表时，现金是指公司库存现金以及可以随时用于支付的存款；现金等价物是指持有的期限短（从购买 日起</w:t>
      </w:r>
      <w:r>
        <w:rPr>
          <w:rFonts w:ascii="宋体" w:hAnsi="宋体" w:cs="宋体" w:eastAsia="宋体" w:hint="default"/>
        </w:rPr>
        <w:t>3</w:t>
      </w:r>
      <w:r>
        <w:rPr/>
        <w:t>个月到期）、流动性强、易于转换为已知金额现金、价值变动风险很小的投资等。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3"/>
        <w:ind w:right="0"/>
        <w:jc w:val="both"/>
        <w:rPr>
          <w:b w:val="0"/>
          <w:bCs w:val="0"/>
        </w:rPr>
      </w:pPr>
      <w:bookmarkStart w:name="9、外币业务和外币报表折算" w:id="184"/>
      <w:bookmarkEnd w:id="184"/>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3"/>
        <w:rPr>
          <w:rFonts w:ascii="宋体" w:hAnsi="宋体" w:cs="宋体" w:eastAsia="宋体" w:hint="default"/>
          <w:b/>
          <w:bCs/>
          <w:sz w:val="28"/>
          <w:szCs w:val="28"/>
        </w:rPr>
      </w:pPr>
    </w:p>
    <w:p>
      <w:pPr>
        <w:pStyle w:val="BodyText"/>
        <w:spacing w:line="364" w:lineRule="auto"/>
        <w:ind w:left="574" w:right="940"/>
        <w:jc w:val="left"/>
      </w:pPr>
      <w:r>
        <w:rPr>
          <w:rFonts w:ascii="宋体" w:hAnsi="宋体" w:cs="宋体" w:eastAsia="宋体" w:hint="default"/>
        </w:rPr>
        <w:t>1.</w:t>
      </w:r>
      <w:r>
        <w:rPr/>
        <w:t>外币业务 本公司的外币交易在初始确认时，采用交易发生日的即期汇率（通常指中国人民银行公布的当日外汇牌价的中间价，</w:t>
      </w:r>
    </w:p>
    <w:p>
      <w:pPr>
        <w:pStyle w:val="BodyText"/>
        <w:spacing w:line="364" w:lineRule="auto" w:before="29"/>
        <w:ind w:left="574" w:right="940" w:hanging="420"/>
        <w:jc w:val="left"/>
      </w:pPr>
      <w:r>
        <w:rPr/>
        <w:t>下同）将外币金额折算为人民币金额记账。 在资产负债表日，对外币货币性资产和负债，采用资产负债表日即期汇率折算为人民币。因资产负债表日即期汇率与</w:t>
      </w:r>
    </w:p>
    <w:p>
      <w:pPr>
        <w:pStyle w:val="BodyText"/>
        <w:spacing w:line="364" w:lineRule="auto" w:before="29"/>
        <w:ind w:right="1130"/>
        <w:jc w:val="both"/>
      </w:pPr>
      <w:r>
        <w:rPr>
          <w:spacing w:val="-2"/>
        </w:rPr>
        <w:t>初始确认时或者前一资产负债表日即期汇率不同而产生的汇兑差额，除了按照《企业会计准则</w:t>
      </w:r>
      <w:r>
        <w:rPr>
          <w:rFonts w:ascii="宋体" w:hAnsi="宋体" w:cs="宋体" w:eastAsia="宋体" w:hint="default"/>
          <w:spacing w:val="-2"/>
        </w:rPr>
        <w:t>17</w:t>
      </w:r>
      <w:r>
        <w:rPr>
          <w:spacing w:val="-2"/>
        </w:rPr>
        <w:t>号</w:t>
      </w:r>
      <w:r>
        <w:rPr>
          <w:rFonts w:ascii="宋体" w:hAnsi="宋体" w:cs="宋体" w:eastAsia="宋体" w:hint="default"/>
          <w:spacing w:val="-2"/>
        </w:rPr>
        <w:t>--</w:t>
      </w:r>
      <w:r>
        <w:rPr>
          <w:spacing w:val="-2"/>
        </w:rPr>
        <w:t>借款费用》的规定，与</w:t>
      </w:r>
      <w:r>
        <w:rPr>
          <w:spacing w:val="-61"/>
        </w:rPr>
        <w:t> </w:t>
      </w:r>
      <w:r>
        <w:rPr>
          <w:spacing w:val="-61"/>
        </w:rPr>
      </w:r>
      <w:r>
        <w:rPr>
          <w:spacing w:val="-2"/>
        </w:rPr>
        <w:t>购建或生产符合资本化条件的资产相关的外币借款产生的汇兑差额，在资本化期间内，外币借款本金及利息的汇兑差额，予</w:t>
      </w:r>
      <w:r>
        <w:rPr>
          <w:spacing w:val="-66"/>
        </w:rPr>
        <w:t> </w:t>
      </w:r>
      <w:r>
        <w:rPr>
          <w:spacing w:val="-66"/>
        </w:rPr>
      </w:r>
      <w:r>
        <w:rPr/>
        <w:t>以资本化，计入符合资本化条件的资产的成本外，计入当期的财务费用；</w:t>
      </w:r>
    </w:p>
    <w:p>
      <w:pPr>
        <w:pStyle w:val="BodyText"/>
        <w:spacing w:line="364" w:lineRule="auto" w:before="29"/>
        <w:ind w:right="940" w:firstLine="420"/>
        <w:jc w:val="left"/>
      </w:pPr>
      <w:r>
        <w:rPr/>
        <w:t>以历史成本计量的外币非货币性项目，仍采用交易发生日的即期汇率折算，不改变其记账本位币金额；以公允价值计 量的外币非货币性项目，采用公允价值确定日的即期汇率折算，由其产生的汇兑差额，计入当期损益或其他综合收益。</w:t>
      </w:r>
    </w:p>
    <w:p>
      <w:pPr>
        <w:pStyle w:val="BodyText"/>
        <w:spacing w:line="364" w:lineRule="auto" w:before="29"/>
        <w:ind w:left="574" w:right="940"/>
        <w:jc w:val="left"/>
      </w:pPr>
      <w:r>
        <w:rPr>
          <w:rFonts w:ascii="宋体" w:hAnsi="宋体" w:cs="宋体" w:eastAsia="宋体" w:hint="default"/>
        </w:rPr>
        <w:t>2.</w:t>
      </w:r>
      <w:r>
        <w:rPr/>
        <w:t>外币财务报表的折算方法 对于境外子公司以外币表示的会计报表和境内子公司采用母公司记账本位币以外的货币编报的会计报表，按照以下规</w:t>
      </w:r>
    </w:p>
    <w:p>
      <w:pPr>
        <w:pStyle w:val="BodyText"/>
        <w:spacing w:line="364" w:lineRule="auto" w:before="29"/>
        <w:ind w:right="1132"/>
        <w:jc w:val="both"/>
      </w:pPr>
      <w:r>
        <w:rPr>
          <w:spacing w:val="-2"/>
        </w:rPr>
        <w:t>定，将其会计报表各项目的数额折算为母公司记账本位币表示的会计报表，并以折算为母公司记账本位币后的会计报表编制</w:t>
      </w:r>
      <w:r>
        <w:rPr>
          <w:spacing w:val="-64"/>
        </w:rPr>
        <w:t> </w:t>
      </w:r>
      <w:r>
        <w:rPr>
          <w:spacing w:val="-64"/>
        </w:rPr>
      </w:r>
      <w:r>
        <w:rPr/>
        <w:t>合并会计报表。</w:t>
      </w:r>
    </w:p>
    <w:p>
      <w:pPr>
        <w:pStyle w:val="BodyText"/>
        <w:spacing w:line="240" w:lineRule="auto" w:before="29"/>
        <w:ind w:left="574" w:right="940"/>
        <w:jc w:val="left"/>
      </w:pPr>
      <w:r>
        <w:rPr/>
        <w:t>（</w:t>
      </w:r>
      <w:r>
        <w:rPr>
          <w:rFonts w:ascii="宋体" w:hAnsi="宋体" w:cs="宋体" w:eastAsia="宋体" w:hint="default"/>
        </w:rPr>
        <w:t>1</w:t>
      </w:r>
      <w:r>
        <w:rPr/>
        <w:t>）所有资产、负债类项目均采用资产负债表日的即期汇率折算。</w:t>
      </w:r>
    </w:p>
    <w:p>
      <w:pPr>
        <w:pStyle w:val="BodyText"/>
        <w:spacing w:line="240" w:lineRule="auto" w:before="123"/>
        <w:ind w:left="574" w:right="940"/>
        <w:jc w:val="left"/>
      </w:pPr>
      <w:r>
        <w:rPr/>
        <w:t>（</w:t>
      </w:r>
      <w:r>
        <w:rPr>
          <w:rFonts w:ascii="宋体" w:hAnsi="宋体" w:cs="宋体" w:eastAsia="宋体" w:hint="default"/>
        </w:rPr>
        <w:t>2</w:t>
      </w:r>
      <w:r>
        <w:rPr/>
        <w:t>）所有者权益类项目除“未分配利润”项目外，均按照发生日的即期汇率折算。</w:t>
      </w:r>
    </w:p>
    <w:p>
      <w:pPr>
        <w:pStyle w:val="BodyText"/>
        <w:spacing w:line="240" w:lineRule="auto" w:before="123"/>
        <w:ind w:left="574" w:right="940"/>
        <w:jc w:val="left"/>
      </w:pPr>
      <w:r>
        <w:rPr/>
        <w:t>（</w:t>
      </w:r>
      <w:r>
        <w:rPr>
          <w:rFonts w:ascii="宋体" w:hAnsi="宋体" w:cs="宋体" w:eastAsia="宋体" w:hint="default"/>
        </w:rPr>
        <w:t>3</w:t>
      </w:r>
      <w:r>
        <w:rPr/>
        <w:t>）“未分配利润”项目以折算后的利润分配表中该项目的数额作为其数额列示。</w:t>
      </w:r>
    </w:p>
    <w:p>
      <w:pPr>
        <w:pStyle w:val="BodyText"/>
        <w:spacing w:line="240" w:lineRule="auto" w:before="123"/>
        <w:ind w:left="574" w:right="940"/>
        <w:jc w:val="left"/>
      </w:pPr>
      <w:r>
        <w:rPr/>
        <w:t>（</w:t>
      </w:r>
      <w:r>
        <w:rPr>
          <w:rFonts w:ascii="宋体" w:hAnsi="宋体" w:cs="宋体" w:eastAsia="宋体" w:hint="default"/>
        </w:rPr>
        <w:t>4</w:t>
      </w:r>
      <w:r>
        <w:rPr/>
        <w:t>）折算后资产项目与负债项目和所有者权益项目合计数的差额作为“其他综合收益”。</w:t>
      </w:r>
    </w:p>
    <w:p>
      <w:pPr>
        <w:pStyle w:val="BodyText"/>
        <w:spacing w:line="240" w:lineRule="auto" w:before="123"/>
        <w:ind w:left="574" w:right="940"/>
        <w:jc w:val="left"/>
      </w:pPr>
      <w:r>
        <w:rPr/>
        <w:t>（</w:t>
      </w:r>
      <w:r>
        <w:rPr>
          <w:rFonts w:ascii="宋体" w:hAnsi="宋体" w:cs="宋体" w:eastAsia="宋体" w:hint="default"/>
        </w:rPr>
        <w:t>5</w:t>
      </w:r>
      <w:r>
        <w:rPr/>
        <w:t>）利润表所有项目和利润分配表中的收入和费用项目，采用交易发生日的即期汇率折算。</w:t>
      </w:r>
    </w:p>
    <w:p>
      <w:pPr>
        <w:pStyle w:val="BodyText"/>
        <w:spacing w:line="240" w:lineRule="auto" w:before="123"/>
        <w:ind w:left="574" w:right="940"/>
        <w:jc w:val="left"/>
      </w:pPr>
      <w:r>
        <w:rPr/>
        <w:t>（</w:t>
      </w:r>
      <w:r>
        <w:rPr>
          <w:rFonts w:ascii="宋体" w:hAnsi="宋体" w:cs="宋体" w:eastAsia="宋体" w:hint="default"/>
        </w:rPr>
        <w:t>6</w:t>
      </w:r>
      <w:r>
        <w:rPr/>
        <w:t>）利润分配表中“未分配利润”项目，按折算后的利润分配表中的其他各项目的数额计算列示。</w:t>
      </w:r>
    </w:p>
    <w:p>
      <w:pPr>
        <w:spacing w:after="0" w:line="240" w:lineRule="auto"/>
        <w:jc w:val="left"/>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10、金融工具" w:id="185"/>
      <w:bookmarkEnd w:id="185"/>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3"/>
        <w:rPr>
          <w:rFonts w:ascii="宋体" w:hAnsi="宋体" w:cs="宋体" w:eastAsia="宋体" w:hint="default"/>
          <w:b/>
          <w:bCs/>
          <w:sz w:val="28"/>
          <w:szCs w:val="28"/>
        </w:rPr>
      </w:pPr>
    </w:p>
    <w:p>
      <w:pPr>
        <w:pStyle w:val="BodyText"/>
        <w:spacing w:line="364" w:lineRule="auto"/>
        <w:ind w:left="574" w:right="6552"/>
        <w:jc w:val="left"/>
      </w:pPr>
      <w:r>
        <w:rPr/>
        <w:t>金融工具包括金融资产、金融负债和权益工具。 </w:t>
      </w:r>
      <w:r>
        <w:rPr>
          <w:rFonts w:ascii="宋体" w:hAnsi="宋体" w:cs="宋体" w:eastAsia="宋体" w:hint="default"/>
        </w:rPr>
        <w:t>1.</w:t>
      </w:r>
      <w:r>
        <w:rPr/>
        <w:t>金融工具的分类</w:t>
      </w:r>
    </w:p>
    <w:p>
      <w:pPr>
        <w:pStyle w:val="BodyText"/>
        <w:spacing w:line="364" w:lineRule="auto" w:before="30"/>
        <w:ind w:right="1132" w:firstLine="420"/>
        <w:jc w:val="both"/>
      </w:pPr>
      <w:r>
        <w:rPr/>
        <w:t>管理层按照取得持有金融资产和承担金融负债的目的，将其划分为：以公允价值计量且其变动计入当期损益的金融资 </w:t>
      </w:r>
      <w:r>
        <w:rPr>
          <w:spacing w:val="-2"/>
        </w:rPr>
        <w:t>产或金融负债，包括交易性金融资产或金融负债（和直接指定为以公允价值计量且其变动计入当期损益的金融资产或金融负</w:t>
      </w:r>
      <w:r>
        <w:rPr>
          <w:spacing w:val="-64"/>
        </w:rPr>
        <w:t> </w:t>
      </w:r>
      <w:r>
        <w:rPr>
          <w:spacing w:val="-64"/>
        </w:rPr>
      </w:r>
      <w:r>
        <w:rPr/>
        <w:t>债）；持有至到期投资；贷款和应收款项；可供出售金融资产；其他金融负债等。</w:t>
      </w:r>
    </w:p>
    <w:p>
      <w:pPr>
        <w:pStyle w:val="BodyText"/>
        <w:spacing w:line="240" w:lineRule="auto" w:before="29"/>
        <w:ind w:left="574" w:right="940"/>
        <w:jc w:val="left"/>
      </w:pPr>
      <w:r>
        <w:rPr>
          <w:rFonts w:ascii="宋体" w:hAnsi="宋体" w:cs="宋体" w:eastAsia="宋体" w:hint="default"/>
        </w:rPr>
        <w:t>2.</w:t>
      </w:r>
      <w:r>
        <w:rPr/>
        <w:t>金融工具的确认依据和计量方法</w:t>
      </w:r>
    </w:p>
    <w:p>
      <w:pPr>
        <w:pStyle w:val="BodyText"/>
        <w:spacing w:line="364" w:lineRule="auto" w:before="123"/>
        <w:ind w:right="1131" w:firstLine="420"/>
        <w:jc w:val="both"/>
      </w:pPr>
      <w:r>
        <w:rPr>
          <w:spacing w:val="-1"/>
        </w:rPr>
        <w:t>（</w:t>
      </w:r>
      <w:r>
        <w:rPr>
          <w:rFonts w:ascii="宋体" w:hAnsi="宋体" w:cs="宋体" w:eastAsia="宋体" w:hint="default"/>
          <w:spacing w:val="-1"/>
        </w:rPr>
        <w:t>1</w:t>
      </w:r>
      <w:r>
        <w:rPr>
          <w:spacing w:val="-1"/>
        </w:rPr>
        <w:t>）以公允价值计量且其变动计入当期损益的金融资产（金融负债）包括交易性金融资产和指定为以公允价值计量且</w:t>
      </w:r>
      <w:r>
        <w:rPr/>
        <w:t> 其变动计入当期损益的金融资产，是指公司为近期内出售而持有的股票、债券、基金等。</w:t>
      </w:r>
    </w:p>
    <w:p>
      <w:pPr>
        <w:pStyle w:val="BodyText"/>
        <w:spacing w:line="364" w:lineRule="auto" w:before="29"/>
        <w:ind w:right="1133" w:firstLine="420"/>
        <w:jc w:val="both"/>
      </w:pPr>
      <w:r>
        <w:rPr/>
        <w:t>初始计量以取得时公允价值（扣除已宣告但尚未发放的现金股利或已到付息期但尚未领取的债券利息）作为初始确认 金额，相关的交易费用计入当期损益。</w:t>
      </w:r>
    </w:p>
    <w:p>
      <w:pPr>
        <w:pStyle w:val="BodyText"/>
        <w:spacing w:line="364" w:lineRule="auto" w:before="29"/>
        <w:ind w:left="574" w:right="2772"/>
        <w:jc w:val="left"/>
      </w:pPr>
      <w:r>
        <w:rPr/>
        <w:t>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64" w:lineRule="auto" w:before="29"/>
        <w:ind w:right="1132" w:firstLine="420"/>
        <w:jc w:val="both"/>
      </w:pPr>
      <w:r>
        <w:rPr>
          <w:spacing w:val="-2"/>
        </w:rPr>
        <w:t>（</w:t>
      </w:r>
      <w:r>
        <w:rPr>
          <w:rFonts w:ascii="宋体" w:hAnsi="宋体" w:cs="宋体" w:eastAsia="宋体" w:hint="default"/>
          <w:spacing w:val="-2"/>
        </w:rPr>
        <w:t>2</w:t>
      </w:r>
      <w:r>
        <w:rPr>
          <w:spacing w:val="-2"/>
        </w:rPr>
        <w:t>）持有至到期投资，是指到期日固定、回收金额固定或可确定，且公司具有明确意图和能力持有至到期的国债、公</w:t>
      </w:r>
      <w:r>
        <w:rPr/>
        <w:t> 司债券等非衍生金融资产。</w:t>
      </w:r>
    </w:p>
    <w:p>
      <w:pPr>
        <w:pStyle w:val="BodyText"/>
        <w:spacing w:line="364" w:lineRule="auto" w:before="29"/>
        <w:ind w:left="574" w:right="940"/>
        <w:jc w:val="left"/>
      </w:pPr>
      <w:r>
        <w:rPr/>
        <w:t>初始计量按取得时公允价值（扣除已到付息期但尚未领取的债券利息）和相关交易费用之和作为初始确认金额。 持有期间采用实际利率法，按照摊余成本进行后续计量，以实际利率（如实际利率与票面利率差别较小的，按票面利</w:t>
      </w:r>
    </w:p>
    <w:p>
      <w:pPr>
        <w:pStyle w:val="BodyText"/>
        <w:spacing w:line="364" w:lineRule="auto" w:before="29"/>
        <w:ind w:right="940"/>
        <w:jc w:val="left"/>
      </w:pPr>
      <w:r>
        <w:rPr>
          <w:spacing w:val="-2"/>
        </w:rPr>
        <w:t>率）计算确认利息收入，计入投资收益。实际利率在取得时确定，在该预期存续期间或适用的更短期间内保持不变。在终止</w:t>
      </w:r>
      <w:r>
        <w:rPr>
          <w:spacing w:val="-66"/>
        </w:rPr>
        <w:t> </w:t>
      </w:r>
      <w:r>
        <w:rPr>
          <w:spacing w:val="-66"/>
        </w:rPr>
      </w:r>
      <w:r>
        <w:rPr/>
        <w:t>确认、发生减值或摊销时产生的利得或损失，计入当期损益。</w:t>
      </w:r>
    </w:p>
    <w:p>
      <w:pPr>
        <w:pStyle w:val="BodyText"/>
        <w:spacing w:line="240" w:lineRule="auto" w:before="29"/>
        <w:ind w:left="574" w:right="940"/>
        <w:jc w:val="left"/>
      </w:pPr>
      <w:r>
        <w:rPr/>
        <w:t>处置时，将所取得价款与该投资账面价值之间的差额计入投资收益。</w:t>
      </w:r>
    </w:p>
    <w:p>
      <w:pPr>
        <w:pStyle w:val="BodyText"/>
        <w:spacing w:line="364" w:lineRule="auto" w:before="123"/>
        <w:ind w:right="1132" w:firstLine="420"/>
        <w:jc w:val="both"/>
      </w:pPr>
      <w:r>
        <w:rPr>
          <w:spacing w:val="-2"/>
        </w:rPr>
        <w:t>（</w:t>
      </w:r>
      <w:r>
        <w:rPr>
          <w:rFonts w:ascii="宋体" w:hAnsi="宋体" w:cs="宋体" w:eastAsia="宋体" w:hint="default"/>
          <w:spacing w:val="-2"/>
        </w:rPr>
        <w:t>3</w:t>
      </w:r>
      <w:r>
        <w:rPr>
          <w:spacing w:val="-2"/>
        </w:rPr>
        <w:t>）贷款和应收款项，是指在活跃市场中没有报价、回收金额固定或可确定的非衍生金融资产。包括应收票据、应收</w:t>
      </w:r>
      <w:r>
        <w:rPr/>
        <w:t> 账款、应收利息、应收股利及其他应收款、预付账款、长期应收款等</w:t>
      </w:r>
    </w:p>
    <w:p>
      <w:pPr>
        <w:pStyle w:val="BodyText"/>
        <w:spacing w:line="364" w:lineRule="auto" w:before="29"/>
        <w:ind w:left="574" w:right="2592"/>
        <w:jc w:val="left"/>
      </w:pPr>
      <w:r>
        <w:rPr/>
        <w:t>以向购货方应收的合同或协议价款作为初始确认金额；具有融资性质的，按其现值进行初始确认。 按摊余成本进行后续计量，在终止确认、发生减值或摊销时产生的利得或损失，计入当期损益。 收回或处置时，将取得的价款与该应收款项账面价值之间的差额计入当期损益。</w:t>
      </w:r>
    </w:p>
    <w:p>
      <w:pPr>
        <w:pStyle w:val="BodyText"/>
        <w:spacing w:line="364" w:lineRule="auto" w:before="29"/>
        <w:ind w:right="1130" w:firstLine="420"/>
        <w:jc w:val="both"/>
      </w:pPr>
      <w:r>
        <w:rPr>
          <w:spacing w:val="-1"/>
        </w:rPr>
        <w:t>（</w:t>
      </w:r>
      <w:r>
        <w:rPr>
          <w:rFonts w:ascii="宋体" w:hAnsi="宋体" w:cs="宋体" w:eastAsia="宋体" w:hint="default"/>
          <w:spacing w:val="-1"/>
        </w:rPr>
        <w:t>4</w:t>
      </w:r>
      <w:r>
        <w:rPr>
          <w:spacing w:val="-1"/>
        </w:rPr>
        <w:t>）可供出售金融资产，包括初始确认时即被指定为可供出售的非衍生金融资产，以及除了以公允价值计量且其变动</w:t>
      </w:r>
      <w:r>
        <w:rPr/>
        <w:t> 计入当期损益的金融资产、贷款和应收款项、持有至到期投资以外的金融资产。</w:t>
      </w:r>
    </w:p>
    <w:p>
      <w:pPr>
        <w:pStyle w:val="BodyText"/>
        <w:spacing w:line="364" w:lineRule="auto" w:before="29"/>
        <w:ind w:right="1133" w:firstLine="420"/>
        <w:jc w:val="both"/>
      </w:pPr>
      <w:r>
        <w:rPr/>
        <w:t>初始计量按取得时公允价值（扣除已宣告但尚未发放的现金股利或已到付息期但尚未领取的债券利息）和相关交易费 用之和作为初始确认金额。</w:t>
      </w:r>
    </w:p>
    <w:p>
      <w:pPr>
        <w:pStyle w:val="BodyText"/>
        <w:spacing w:line="364" w:lineRule="auto" w:before="29"/>
        <w:ind w:right="1043" w:firstLine="420"/>
        <w:jc w:val="both"/>
      </w:pPr>
      <w:r>
        <w:rPr/>
        <w:t>持有期间将取得的利息或及被投资单位宣告发放的现金股利确认为投资收益。年末以公允价值计量且将公允价值变动 形成的利得或损失，除减值损失和外币货币性金融资产与摊余成本相关的汇兑差额计入当期损益外，确认为其他综合收益。</w:t>
      </w:r>
    </w:p>
    <w:p>
      <w:pPr>
        <w:pStyle w:val="BodyText"/>
        <w:spacing w:line="364" w:lineRule="auto" w:before="29"/>
        <w:ind w:right="1133" w:firstLine="420"/>
        <w:jc w:val="both"/>
      </w:pPr>
      <w:r>
        <w:rPr/>
        <w:t>处置时，将取得的价款与该金融资产账面价值之间的差额，计入投资损益；同时，将原计入其他综合收益的公允价值 变动累计额对应处置部分的金额转出，计入投资损益。</w:t>
      </w:r>
    </w:p>
    <w:p>
      <w:pPr>
        <w:pStyle w:val="BodyText"/>
        <w:spacing w:line="364" w:lineRule="auto" w:before="29"/>
        <w:ind w:right="1130" w:firstLine="420"/>
        <w:jc w:val="both"/>
      </w:pPr>
      <w:r>
        <w:rPr>
          <w:spacing w:val="-1"/>
        </w:rPr>
        <w:t>（</w:t>
      </w:r>
      <w:r>
        <w:rPr>
          <w:rFonts w:ascii="宋体" w:hAnsi="宋体" w:cs="宋体" w:eastAsia="宋体" w:hint="default"/>
          <w:spacing w:val="-1"/>
        </w:rPr>
        <w:t>5</w:t>
      </w:r>
      <w:r>
        <w:rPr>
          <w:spacing w:val="-1"/>
        </w:rPr>
        <w:t>）其他金融负债，是指除以公允价值计量且其变动计入当期损益的金融负债以外的其他金融负债，一般包括企业发</w:t>
      </w:r>
      <w:r>
        <w:rPr/>
        <w:t> 行的债券、因购买商品或劳务产生的应付账款、长期应付款等。</w:t>
      </w:r>
    </w:p>
    <w:p>
      <w:pPr>
        <w:pStyle w:val="BodyText"/>
        <w:spacing w:line="364" w:lineRule="auto" w:before="29"/>
        <w:ind w:left="574" w:right="940"/>
        <w:jc w:val="left"/>
      </w:pPr>
      <w:r>
        <w:rPr/>
        <w:t>初始计量时按其公允价值和相关交易费用之和作为初始确认金额。采用摊余成本进行后续计量。 后续计量按《企业会计准则第</w:t>
      </w:r>
      <w:r>
        <w:rPr>
          <w:rFonts w:ascii="宋体" w:hAnsi="宋体" w:cs="宋体" w:eastAsia="宋体" w:hint="default"/>
        </w:rPr>
        <w:t>13</w:t>
      </w:r>
      <w:r>
        <w:rPr/>
        <w:t>号—或有事项》确定的金额，和按《企业会计准则第</w:t>
      </w:r>
      <w:r>
        <w:rPr>
          <w:rFonts w:ascii="宋体" w:hAnsi="宋体" w:cs="宋体" w:eastAsia="宋体" w:hint="default"/>
        </w:rPr>
        <w:t>14</w:t>
      </w:r>
      <w:r>
        <w:rPr/>
        <w:t>号—收入》的原则确定的累计</w:t>
      </w:r>
    </w:p>
    <w:p>
      <w:pPr>
        <w:pStyle w:val="BodyText"/>
        <w:spacing w:line="240" w:lineRule="auto" w:before="29"/>
        <w:ind w:right="940"/>
        <w:jc w:val="left"/>
      </w:pPr>
      <w:r>
        <w:rPr/>
        <w:t>摊销额后的余额两者中较高的计量。</w:t>
      </w:r>
    </w:p>
    <w:p>
      <w:pPr>
        <w:spacing w:after="0" w:line="240" w:lineRule="auto"/>
        <w:jc w:val="left"/>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64" w:lineRule="auto" w:before="27"/>
        <w:ind w:left="574" w:right="940"/>
        <w:jc w:val="left"/>
      </w:pPr>
      <w:r>
        <w:rPr>
          <w:rFonts w:ascii="宋体" w:hAnsi="宋体" w:cs="宋体" w:eastAsia="宋体" w:hint="default"/>
        </w:rPr>
        <w:t>3.</w:t>
      </w:r>
      <w:r>
        <w:rPr/>
        <w:t>金融资产转移的确认依据和计量方法 公司发生金融资产转移时，满足下列条件之一的金融资产，予以终止确认：①收取该金融资产现金流量的合同权利终</w:t>
      </w:r>
    </w:p>
    <w:p>
      <w:pPr>
        <w:pStyle w:val="BodyText"/>
        <w:spacing w:line="364" w:lineRule="auto" w:before="29"/>
        <w:ind w:right="940"/>
        <w:jc w:val="left"/>
      </w:pPr>
      <w:r>
        <w:rPr>
          <w:spacing w:val="-2"/>
        </w:rPr>
        <w:t>止；②该金融资产已转移，且将金融资产所有权上几乎所有的风险和报酬转移给转入方；③该金融资产已转移，虽然企业既</w:t>
      </w:r>
      <w:r>
        <w:rPr>
          <w:spacing w:val="-66"/>
        </w:rPr>
        <w:t> </w:t>
      </w:r>
      <w:r>
        <w:rPr>
          <w:spacing w:val="-66"/>
        </w:rPr>
      </w:r>
      <w:r>
        <w:rPr/>
        <w:t>没有转移也没有保留金融资产所有权上几乎所有的风险和报酬，但是放弃了对该金融资产控制。</w:t>
      </w:r>
    </w:p>
    <w:p>
      <w:pPr>
        <w:pStyle w:val="BodyText"/>
        <w:spacing w:line="364" w:lineRule="auto" w:before="29"/>
        <w:ind w:right="1133" w:firstLine="420"/>
        <w:jc w:val="both"/>
      </w:pPr>
      <w:r>
        <w:rPr/>
        <w:t>若企业既没有转移也没有保留金融资产所有权上几乎所有的风险和报酬，且未放弃对该金融资产的控制的，则按照继 </w:t>
      </w:r>
      <w:r>
        <w:rPr>
          <w:spacing w:val="-2"/>
        </w:rPr>
        <w:t>续涉入所转移金融资产的程度确认有关金融资产，并相应确认有关负债。继续涉入所转移金融资产的程度，是指该金融资产</w:t>
      </w:r>
      <w:r>
        <w:rPr>
          <w:spacing w:val="-66"/>
        </w:rPr>
        <w:t> </w:t>
      </w:r>
      <w:r>
        <w:rPr>
          <w:spacing w:val="-66"/>
        </w:rPr>
      </w:r>
      <w:r>
        <w:rPr/>
        <w:t>价值变动使企业面临的风险水平。</w:t>
      </w:r>
    </w:p>
    <w:p>
      <w:pPr>
        <w:pStyle w:val="BodyText"/>
        <w:spacing w:line="364" w:lineRule="auto" w:before="29"/>
        <w:ind w:right="1129" w:firstLine="420"/>
        <w:jc w:val="both"/>
      </w:pPr>
      <w:r>
        <w:rPr/>
        <w:t>在判断金融资产转移是否满足上述金融资产终止确认条件时，采用实质重于形式的原则。公司将金融资产转移区分为 </w:t>
      </w:r>
      <w:r>
        <w:rPr>
          <w:spacing w:val="-2"/>
        </w:rPr>
        <w:t>金融资产整体转移和部分转移。金融资产整体转移满足终止确认条件的，将下列两项金额的差额计入当期损益：①所转移金</w:t>
      </w:r>
      <w:r>
        <w:rPr>
          <w:spacing w:val="-66"/>
        </w:rPr>
        <w:t> </w:t>
      </w:r>
      <w:r>
        <w:rPr>
          <w:spacing w:val="-66"/>
        </w:rPr>
      </w:r>
      <w:r>
        <w:rPr>
          <w:spacing w:val="-2"/>
        </w:rPr>
        <w:t>融资产的账面价值；②因转移而收到的对价，与原计入其他综合收益的公允价值变动累计额（涉及转移的金融资产为可供出</w:t>
      </w:r>
      <w:r>
        <w:rPr>
          <w:spacing w:val="-66"/>
        </w:rPr>
        <w:t> </w:t>
      </w:r>
      <w:r>
        <w:rPr>
          <w:spacing w:val="-66"/>
        </w:rPr>
      </w:r>
      <w:r>
        <w:rPr/>
        <w:t>售金融资产的情形）之和。</w:t>
      </w:r>
    </w:p>
    <w:p>
      <w:pPr>
        <w:pStyle w:val="BodyText"/>
        <w:spacing w:line="364" w:lineRule="auto" w:before="29"/>
        <w:ind w:right="1131" w:firstLine="420"/>
        <w:jc w:val="both"/>
      </w:pPr>
      <w:r>
        <w:rPr>
          <w:spacing w:val="-3"/>
        </w:rPr>
        <w:t>金融资产部分转移满足终止确认条件的，将所转移金融资产整体的账面价值，在终止确认部分和未终止确认部分之间，</w:t>
      </w:r>
      <w:r>
        <w:rPr/>
        <w:t> </w:t>
      </w:r>
      <w:r>
        <w:rPr>
          <w:spacing w:val="-2"/>
        </w:rPr>
        <w:t>按照各自的相对公允价值进行分摊，并将下列两项金额的差额计入当期损益：①终止确认部分的账面价值；②终止确认部分</w:t>
      </w:r>
      <w:r>
        <w:rPr>
          <w:spacing w:val="-66"/>
        </w:rPr>
        <w:t> </w:t>
      </w:r>
      <w:r>
        <w:rPr>
          <w:spacing w:val="-66"/>
        </w:rPr>
      </w:r>
      <w:r>
        <w:rPr>
          <w:spacing w:val="-2"/>
        </w:rPr>
        <w:t>的对价，与原计入其他综合收益的公允价值变动累计额中对应终止确认部分的金额（涉及转移的金融资产为可供出售金融资</w:t>
      </w:r>
      <w:r>
        <w:rPr>
          <w:spacing w:val="-64"/>
        </w:rPr>
        <w:t> </w:t>
      </w:r>
      <w:r>
        <w:rPr>
          <w:spacing w:val="-64"/>
        </w:rPr>
      </w:r>
      <w:r>
        <w:rPr/>
        <w:t>产的情形）之和。</w:t>
      </w:r>
    </w:p>
    <w:p>
      <w:pPr>
        <w:pStyle w:val="BodyText"/>
        <w:spacing w:line="364" w:lineRule="auto" w:before="29"/>
        <w:ind w:left="574" w:right="940"/>
        <w:jc w:val="left"/>
      </w:pPr>
      <w:r>
        <w:rPr/>
        <w:t>金融资产转移不满足终止确认条件的，继续确认该金融资产，所收到的对价确认为一项金融负债。 </w:t>
      </w:r>
      <w:r>
        <w:rPr>
          <w:rFonts w:ascii="宋体" w:hAnsi="宋体" w:cs="宋体" w:eastAsia="宋体" w:hint="default"/>
        </w:rPr>
        <w:t>4.</w:t>
      </w:r>
      <w:r>
        <w:rPr/>
        <w:t>金融负债终止确认条件 金融负债的的现时义务全部或部分已经解除的，则终止确认该金融负债或其一部分；本公司若与债权人签定协议，以</w:t>
      </w:r>
    </w:p>
    <w:p>
      <w:pPr>
        <w:pStyle w:val="BodyText"/>
        <w:spacing w:line="364" w:lineRule="auto" w:before="29"/>
        <w:ind w:right="940"/>
        <w:jc w:val="left"/>
      </w:pPr>
      <w:r>
        <w:rPr>
          <w:spacing w:val="-4"/>
        </w:rPr>
        <w:t>承担新金融负债方式替换现存金融负债，且新金融负债与现存金融负债的合同条款实质上不同的，则终止确认现存金融负债，</w:t>
      </w:r>
      <w:r>
        <w:rPr>
          <w:spacing w:val="-44"/>
        </w:rPr>
        <w:t> </w:t>
      </w:r>
      <w:r>
        <w:rPr>
          <w:spacing w:val="-44"/>
        </w:rPr>
      </w:r>
      <w:r>
        <w:rPr/>
        <w:t>并同时确认新金融负债。</w:t>
      </w:r>
    </w:p>
    <w:p>
      <w:pPr>
        <w:pStyle w:val="BodyText"/>
        <w:spacing w:line="364" w:lineRule="auto" w:before="29"/>
        <w:ind w:right="1130" w:firstLine="420"/>
        <w:jc w:val="both"/>
      </w:pPr>
      <w:r>
        <w:rPr/>
        <w:t>对现存金融负债全部或部分合同条款作出实质性修改的，则终止确认现存金融负债或其一部分，同时将修改条款后的 金融负债确认为一项新金融负债。</w:t>
      </w:r>
    </w:p>
    <w:p>
      <w:pPr>
        <w:pStyle w:val="BodyText"/>
        <w:spacing w:line="364" w:lineRule="auto" w:before="29"/>
        <w:ind w:right="1133" w:firstLine="420"/>
        <w:jc w:val="both"/>
      </w:pPr>
      <w:r>
        <w:rPr/>
        <w:t>金融负债全部或部分终止确认时，终止确认的金融负债账面价值与支付对价（包括转出的非现金资产或承担的新金融 负债）之间的差额，计入当期损益。</w:t>
      </w:r>
    </w:p>
    <w:p>
      <w:pPr>
        <w:pStyle w:val="BodyText"/>
        <w:spacing w:line="364" w:lineRule="auto" w:before="29"/>
        <w:ind w:right="1133" w:firstLine="420"/>
        <w:jc w:val="both"/>
      </w:pPr>
      <w:r>
        <w:rPr/>
        <w:t>本公司若回购部分金融负债的，在回购日按照继续确认部分与终止确认部分的相对公允价值，将该金融负债整体的账 </w:t>
      </w:r>
      <w:r>
        <w:rPr>
          <w:spacing w:val="-5"/>
        </w:rPr>
        <w:t>面价值进行分配。分配给终止确认部分的账面价值与支付的对价（包括转出的非现金资产或承担的新金融负债）之间的差额，</w:t>
      </w:r>
      <w:r>
        <w:rPr>
          <w:spacing w:val="-79"/>
        </w:rPr>
        <w:t> </w:t>
      </w:r>
      <w:r>
        <w:rPr>
          <w:spacing w:val="-79"/>
        </w:rPr>
      </w:r>
      <w:r>
        <w:rPr/>
        <w:t>计入当期损益。</w:t>
      </w:r>
    </w:p>
    <w:p>
      <w:pPr>
        <w:pStyle w:val="BodyText"/>
        <w:spacing w:line="364" w:lineRule="auto" w:before="29"/>
        <w:ind w:left="574" w:right="940"/>
        <w:jc w:val="left"/>
      </w:pPr>
      <w:r>
        <w:rPr>
          <w:rFonts w:ascii="宋体" w:hAnsi="宋体" w:cs="宋体" w:eastAsia="宋体" w:hint="default"/>
        </w:rPr>
        <w:t>5.</w:t>
      </w:r>
      <w:r>
        <w:rPr/>
        <w:t>金融资产和金融负债公允价值的确定方法 对存在活跃市场的金融资产或金融负债，用活跃市场中的报价确定其公允价值，且不扣除将来处置该金融资产或金融</w:t>
      </w:r>
    </w:p>
    <w:p>
      <w:pPr>
        <w:pStyle w:val="BodyText"/>
        <w:spacing w:line="364" w:lineRule="auto" w:before="29"/>
        <w:ind w:right="940"/>
        <w:jc w:val="left"/>
      </w:pPr>
      <w:r>
        <w:rPr/>
        <w:t>负债时可能发生的交易费用；对金融工具不存在活跃市场的，采用估值技术确定其公允价值。所采用的估值方法包括参考熟 </w:t>
      </w:r>
      <w:r>
        <w:rPr>
          <w:spacing w:val="-2"/>
        </w:rPr>
        <w:t>悉情况并自愿交易的各方最近进行的市场交易的成交价、参照实质上相同的其他金融工具的当前市场报价和现金流量折现法。</w:t>
      </w:r>
      <w:r>
        <w:rPr>
          <w:spacing w:val="-62"/>
        </w:rPr>
        <w:t> </w:t>
      </w:r>
      <w:r>
        <w:rPr>
          <w:spacing w:val="-62"/>
        </w:rPr>
      </w:r>
      <w:r>
        <w:rPr/>
        <w:t>采用估值技术时，尽可能最大程度上使用市场参数，减少使用与公司特定相关的参数。</w:t>
      </w:r>
    </w:p>
    <w:p>
      <w:pPr>
        <w:pStyle w:val="BodyText"/>
        <w:spacing w:line="240" w:lineRule="auto" w:before="29"/>
        <w:ind w:left="574" w:right="940"/>
        <w:jc w:val="left"/>
      </w:pPr>
      <w:r>
        <w:rPr>
          <w:rFonts w:ascii="宋体" w:hAnsi="宋体" w:cs="宋体" w:eastAsia="宋体" w:hint="default"/>
        </w:rPr>
        <w:t>6.</w:t>
      </w:r>
      <w:r>
        <w:rPr/>
        <w:t>金融资产（不含应收款项）减值准备</w:t>
      </w:r>
    </w:p>
    <w:p>
      <w:pPr>
        <w:pStyle w:val="BodyText"/>
        <w:spacing w:line="364" w:lineRule="auto" w:before="123"/>
        <w:ind w:left="574" w:right="940"/>
        <w:jc w:val="left"/>
      </w:pPr>
      <w:r>
        <w:rPr/>
        <w:t>（</w:t>
      </w:r>
      <w:r>
        <w:rPr>
          <w:rFonts w:ascii="宋体" w:hAnsi="宋体" w:cs="宋体" w:eastAsia="宋体" w:hint="default"/>
        </w:rPr>
        <w:t>1</w:t>
      </w:r>
      <w:r>
        <w:rPr/>
        <w:t>）金融资产减值的判断依据 金融资产发生减值的客观证据，包括下列各项：①发行方或债务人发生严重财务困难；②债务人违反了合同条款，如</w:t>
      </w:r>
    </w:p>
    <w:p>
      <w:pPr>
        <w:pStyle w:val="BodyText"/>
        <w:spacing w:line="364" w:lineRule="auto" w:before="30"/>
        <w:ind w:right="1132"/>
        <w:jc w:val="both"/>
      </w:pPr>
      <w:r>
        <w:rPr>
          <w:spacing w:val="-2"/>
        </w:rPr>
        <w:t>偿付利息或本金发生违约或逾期等；③本公司出于经济或法律等方面因素的考虑，对发生困难的债务人作出让步；④债务人</w:t>
      </w:r>
      <w:r>
        <w:rPr>
          <w:spacing w:val="-66"/>
        </w:rPr>
        <w:t> </w:t>
      </w:r>
      <w:r>
        <w:rPr>
          <w:spacing w:val="-66"/>
        </w:rPr>
      </w:r>
      <w:r>
        <w:rPr>
          <w:spacing w:val="-2"/>
        </w:rPr>
        <w:t>很可能倒闭或进行其它财务重组；⑤因发行方发生重大财务困难，该金融资产无法在活跃市场继续交易；⑥无法辨认一组金</w:t>
      </w:r>
      <w:r>
        <w:rPr>
          <w:spacing w:val="-66"/>
        </w:rPr>
        <w:t> </w:t>
      </w:r>
      <w:r>
        <w:rPr>
          <w:spacing w:val="-66"/>
        </w:rPr>
      </w:r>
      <w:r>
        <w:rPr>
          <w:spacing w:val="-2"/>
        </w:rPr>
        <w:t>融资产中的某项资产的现金流量是否已经减少，但根据公开的数据对其进行总体评价后发现，该组金融资产自初始计量以来</w:t>
      </w:r>
    </w:p>
    <w:p>
      <w:pPr>
        <w:spacing w:after="0" w:line="364" w:lineRule="auto"/>
        <w:jc w:val="both"/>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64" w:lineRule="auto" w:before="27"/>
        <w:ind w:right="1043"/>
        <w:jc w:val="both"/>
      </w:pPr>
      <w:r>
        <w:rPr>
          <w:spacing w:val="-2"/>
        </w:rPr>
        <w:t>的预计未来现金流量确实减少且可计量；⑦债务人经营所处的技术、市场、经济和法律环境等发生重大不利变化，使本公司</w:t>
      </w:r>
      <w:r>
        <w:rPr>
          <w:spacing w:val="-65"/>
        </w:rPr>
        <w:t> </w:t>
      </w:r>
      <w:r>
        <w:rPr>
          <w:spacing w:val="-65"/>
        </w:rPr>
      </w:r>
      <w:r>
        <w:rPr/>
        <w:t>可能无法收回投资成本；⑧权益工具投资的公允价值发生严重或非暂时性下跌；⑨其它表明金融资产发生减值的客观证据。</w:t>
      </w:r>
    </w:p>
    <w:p>
      <w:pPr>
        <w:pStyle w:val="BodyText"/>
        <w:spacing w:line="240" w:lineRule="auto" w:before="29"/>
        <w:ind w:left="574" w:right="940"/>
        <w:jc w:val="left"/>
      </w:pPr>
      <w:r>
        <w:rPr/>
        <w:t>（</w:t>
      </w:r>
      <w:r>
        <w:rPr>
          <w:rFonts w:ascii="宋体" w:hAnsi="宋体" w:cs="宋体" w:eastAsia="宋体" w:hint="default"/>
        </w:rPr>
        <w:t>2</w:t>
      </w:r>
      <w:r>
        <w:rPr/>
        <w:t>）金融资产减值损失的计量（不含应收款项）</w:t>
      </w:r>
    </w:p>
    <w:p>
      <w:pPr>
        <w:pStyle w:val="BodyText"/>
        <w:spacing w:line="364" w:lineRule="auto" w:before="123"/>
        <w:ind w:left="574" w:right="940"/>
        <w:jc w:val="left"/>
      </w:pPr>
      <w:r>
        <w:rPr/>
        <w:t>①可供出售金融资产的减值准备 年末如果可供出售金融资产的公允价值发生较大幅度下降，或在综合考虑各种相关因素后，预期这种下降趋势属于非</w:t>
      </w:r>
    </w:p>
    <w:p>
      <w:pPr>
        <w:pStyle w:val="BodyText"/>
        <w:spacing w:line="364" w:lineRule="auto" w:before="29"/>
        <w:ind w:right="1130"/>
        <w:jc w:val="both"/>
      </w:pPr>
      <w:r>
        <w:rPr>
          <w:spacing w:val="-2"/>
        </w:rPr>
        <w:t>暂时性的，就认定其已发生减值，将原计入其他综合收益的公允价值下降形成的累计损失一并转出，确认减值损失。转出的</w:t>
      </w:r>
      <w:r>
        <w:rPr>
          <w:spacing w:val="-66"/>
        </w:rPr>
        <w:t> </w:t>
      </w:r>
      <w:r>
        <w:rPr>
          <w:spacing w:val="-66"/>
        </w:rPr>
      </w:r>
      <w:r>
        <w:rPr>
          <w:spacing w:val="-2"/>
        </w:rPr>
        <w:t>累积损失为可供出售金融资产的初始取得成本扣除已收回本金和已摊销金额、当期公允价值和原已计入损益的减值损失后的</w:t>
      </w:r>
      <w:r>
        <w:rPr>
          <w:spacing w:val="-63"/>
        </w:rPr>
        <w:t> </w:t>
      </w:r>
      <w:r>
        <w:rPr>
          <w:spacing w:val="-63"/>
        </w:rPr>
      </w:r>
      <w:r>
        <w:rPr/>
        <w:t>余额。</w:t>
      </w:r>
    </w:p>
    <w:p>
      <w:pPr>
        <w:pStyle w:val="BodyText"/>
        <w:spacing w:line="364" w:lineRule="auto" w:before="29"/>
        <w:ind w:right="1132" w:firstLine="420"/>
        <w:jc w:val="both"/>
      </w:pPr>
      <w:r>
        <w:rPr/>
        <w:t>在确认减值损失后，期后如有客观证据表明该金融资产价值已恢复，且客观上与确认该损失后发生的事项有关，原确 </w:t>
      </w:r>
      <w:r>
        <w:rPr>
          <w:spacing w:val="-2"/>
        </w:rPr>
        <w:t>认的减值损失予以转回，可供出售权益工具投资的减值损失转回确认为其他综合收益，可供出售债务工具的减值损失转回计</w:t>
      </w:r>
      <w:r>
        <w:rPr>
          <w:spacing w:val="-64"/>
        </w:rPr>
        <w:t> </w:t>
      </w:r>
      <w:r>
        <w:rPr>
          <w:spacing w:val="-64"/>
        </w:rPr>
      </w:r>
      <w:r>
        <w:rPr>
          <w:spacing w:val="-2"/>
        </w:rPr>
        <w:t>入当期损益。在活跃市场中没有报价且其公允价值不能可靠计量的权益工具投资，或与该权益工具挂钩并须通过交付该权益</w:t>
      </w:r>
      <w:r>
        <w:rPr>
          <w:spacing w:val="-64"/>
        </w:rPr>
        <w:t> </w:t>
      </w:r>
      <w:r>
        <w:rPr>
          <w:spacing w:val="-64"/>
        </w:rPr>
      </w:r>
      <w:r>
        <w:rPr/>
        <w:t>工具结算的衍生金融资产的减值损失，不予转回。</w:t>
      </w:r>
    </w:p>
    <w:p>
      <w:pPr>
        <w:pStyle w:val="BodyText"/>
        <w:spacing w:line="364" w:lineRule="auto" w:before="29"/>
        <w:ind w:left="574" w:right="940"/>
        <w:jc w:val="left"/>
      </w:pPr>
      <w:r>
        <w:rPr/>
        <w:t>②持有至到期投资的减值准备 以成本或摊余成本计量的持有至到期投资减值损失的计量按预计未来现金流现值低于年末账面价值的差额计提减值准</w:t>
      </w:r>
    </w:p>
    <w:p>
      <w:pPr>
        <w:pStyle w:val="BodyText"/>
        <w:spacing w:line="240" w:lineRule="auto" w:before="29"/>
        <w:ind w:right="940"/>
        <w:jc w:val="left"/>
      </w:pPr>
      <w:r>
        <w:rPr/>
        <w:t>备。</w:t>
      </w:r>
    </w:p>
    <w:p>
      <w:pPr>
        <w:pStyle w:val="BodyText"/>
        <w:spacing w:line="240" w:lineRule="auto" w:before="123"/>
        <w:ind w:left="574" w:right="940"/>
        <w:jc w:val="left"/>
      </w:pPr>
      <w:r>
        <w:rPr/>
        <w:t>在确认减值损失后，如有客观证据表明该金融资产价值已恢复，且客观上与确认该损失后发生的事项有关，原确认的</w:t>
      </w:r>
    </w:p>
    <w:p>
      <w:pPr>
        <w:pStyle w:val="BodyText"/>
        <w:spacing w:line="364" w:lineRule="auto" w:before="123"/>
        <w:ind w:right="940"/>
        <w:jc w:val="left"/>
      </w:pPr>
      <w:r>
        <w:rPr>
          <w:spacing w:val="-2"/>
        </w:rPr>
        <w:t>减值损失予以转回，该金融资产转回减值损失后的账面价值不超过假定不计提减值准备情况下该金融资产在转回日的摊余成</w:t>
      </w:r>
      <w:r>
        <w:rPr>
          <w:spacing w:val="-64"/>
        </w:rPr>
        <w:t> </w:t>
      </w:r>
      <w:r>
        <w:rPr>
          <w:spacing w:val="-64"/>
        </w:rPr>
      </w:r>
      <w:r>
        <w:rPr/>
        <w:t>本。</w:t>
      </w:r>
    </w:p>
    <w:p>
      <w:pPr>
        <w:pStyle w:val="BodyText"/>
        <w:spacing w:line="240" w:lineRule="auto" w:before="29"/>
        <w:ind w:left="574" w:right="940"/>
        <w:jc w:val="left"/>
      </w:pPr>
      <w:r>
        <w:rPr>
          <w:rFonts w:ascii="宋体" w:hAnsi="宋体" w:cs="宋体" w:eastAsia="宋体" w:hint="default"/>
        </w:rPr>
        <w:t>7.</w:t>
      </w:r>
      <w:r>
        <w:rPr/>
        <w:t>本公司无改变持有意图或能力发生改变的依据，将尚未到期的持有至到期投资重分类为可供出售金融资产的情形。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pStyle w:val="Heading4"/>
        <w:spacing w:line="240" w:lineRule="auto"/>
        <w:ind w:right="940"/>
        <w:jc w:val="left"/>
        <w:rPr>
          <w:b w:val="0"/>
          <w:bCs w:val="0"/>
        </w:rPr>
      </w:pPr>
      <w:bookmarkStart w:name="11、应收票据及应收账款" w:id="186"/>
      <w:bookmarkEnd w:id="186"/>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0"/>
        <w:jc w:val="left"/>
        <w:rPr>
          <w:b w:val="0"/>
          <w:bCs w:val="0"/>
        </w:rPr>
      </w:pPr>
      <w:bookmarkStart w:name="（1）单项金额重大并单独计提坏账准备的应收款项" w:id="187"/>
      <w:bookmarkEnd w:id="187"/>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pStyle w:val="BodyText"/>
        <w:spacing w:line="240" w:lineRule="auto" w:before="44"/>
        <w:ind w:left="0" w:right="1139"/>
        <w:jc w:val="right"/>
      </w:pPr>
      <w:r>
        <w:rPr/>
        <w:pict>
          <v:shape style="position:absolute;margin-left:56.459999pt;margin-top:-114.068298pt;width:479.2pt;height:206.85pt;mso-position-horizontal-relative:page;mso-position-vertical-relative:paragraph;z-index:3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152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74"/>
                          <w:ind w:left="23" w:right="20"/>
                          <w:jc w:val="both"/>
                          <w:rPr>
                            <w:rFonts w:ascii="宋体" w:hAnsi="宋体" w:cs="宋体" w:eastAsia="宋体" w:hint="default"/>
                            <w:sz w:val="18"/>
                            <w:szCs w:val="18"/>
                          </w:rPr>
                        </w:pPr>
                        <w:r>
                          <w:rPr>
                            <w:rFonts w:ascii="宋体" w:hAnsi="宋体" w:cs="宋体" w:eastAsia="宋体" w:hint="default"/>
                            <w:sz w:val="18"/>
                            <w:szCs w:val="18"/>
                          </w:rPr>
                          <w:t>本公司根据现有的经营规模、业务性质及客户结算状况等确 定单项金额重大的应收账款标准为人民币</w:t>
                        </w:r>
                        <w:r>
                          <w:rPr>
                            <w:rFonts w:ascii="宋体" w:hAnsi="宋体" w:cs="宋体" w:eastAsia="宋体" w:hint="default"/>
                            <w:spacing w:val="-66"/>
                            <w:sz w:val="18"/>
                            <w:szCs w:val="18"/>
                          </w:rPr>
                          <w:t> </w:t>
                        </w:r>
                        <w:r>
                          <w:rPr>
                            <w:rFonts w:ascii="宋体" w:hAnsi="宋体" w:cs="宋体" w:eastAsia="宋体" w:hint="default"/>
                            <w:sz w:val="18"/>
                            <w:szCs w:val="18"/>
                          </w:rPr>
                          <w:t>500.00</w:t>
                        </w:r>
                        <w:r>
                          <w:rPr>
                            <w:rFonts w:ascii="宋体" w:hAnsi="宋体" w:cs="宋体" w:eastAsia="宋体" w:hint="default"/>
                            <w:spacing w:val="-66"/>
                            <w:sz w:val="18"/>
                            <w:szCs w:val="18"/>
                          </w:rPr>
                          <w:t> </w:t>
                        </w:r>
                        <w:r>
                          <w:rPr>
                            <w:rFonts w:ascii="宋体" w:hAnsi="宋体" w:cs="宋体" w:eastAsia="宋体" w:hint="default"/>
                            <w:sz w:val="18"/>
                            <w:szCs w:val="18"/>
                          </w:rPr>
                          <w:t>万元以上或 公司应收账款前五名客户；其他应收款为单项余额在人民币 </w:t>
                        </w: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万元以上的往来单位。</w:t>
                        </w:r>
                      </w:p>
                    </w:tc>
                  </w:tr>
                  <w:tr>
                    <w:trPr>
                      <w:trHeight w:val="26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74"/>
                          <w:ind w:left="23" w:right="69"/>
                          <w:jc w:val="both"/>
                          <w:rPr>
                            <w:rFonts w:ascii="宋体" w:hAnsi="宋体" w:cs="宋体" w:eastAsia="宋体" w:hint="default"/>
                            <w:sz w:val="18"/>
                            <w:szCs w:val="18"/>
                          </w:rPr>
                        </w:pPr>
                        <w:r>
                          <w:rPr>
                            <w:rFonts w:ascii="宋体" w:hAnsi="宋体" w:cs="宋体" w:eastAsia="宋体" w:hint="default"/>
                            <w:sz w:val="18"/>
                            <w:szCs w:val="18"/>
                          </w:rPr>
                          <w:t>在资产负债表日，对单项金额重大的应收款项单独进行减值 测试，有客观证据表明其发生了减值的，按预计未来现金流 </w:t>
                        </w:r>
                        <w:r>
                          <w:rPr>
                            <w:rFonts w:ascii="宋体" w:hAnsi="宋体" w:cs="宋体" w:eastAsia="宋体" w:hint="default"/>
                            <w:spacing w:val="-2"/>
                            <w:sz w:val="18"/>
                            <w:szCs w:val="18"/>
                          </w:rPr>
                          <w:t>量现值低于其账面价值的差额计提坏账准备，计入当期损益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短期应收款项的预计未来现金流量与其现值相差很小的，不 对其预计未来现金流量进行折现。单独测试未发生减值的应 收款项，按应收款项组合在资产负债表日余额的账龄，分析 计提坏账准备。</w:t>
                        </w:r>
                      </w:p>
                    </w:tc>
                  </w:tr>
                </w:tbl>
                <w:p>
                  <w:pPr/>
                </w:p>
              </w:txbxContent>
            </v:textbox>
            <w10:wrap type="none"/>
          </v:shape>
        </w:pict>
      </w:r>
      <w:r>
        <w:rPr/>
        <w:t>；</w:t>
      </w:r>
    </w:p>
    <w:p>
      <w:pPr>
        <w:spacing w:after="0" w:line="240" w:lineRule="auto"/>
        <w:jc w:val="right"/>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2）按信用风险特征组合计提坏账准备的应收款项" w:id="188"/>
      <w:bookmarkEnd w:id="188"/>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6"/>
              <w:jc w:val="right"/>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50"/>
              <w:jc w:val="right"/>
              <w:rPr>
                <w:rFonts w:ascii="宋体" w:hAnsi="宋体" w:cs="宋体" w:eastAsia="宋体" w:hint="default"/>
                <w:sz w:val="18"/>
                <w:szCs w:val="18"/>
              </w:rPr>
            </w:pPr>
            <w:r>
              <w:rPr>
                <w:rFonts w:ascii="宋体" w:hAnsi="宋体" w:cs="宋体" w:eastAsia="宋体" w:hint="default"/>
                <w:sz w:val="18"/>
                <w:szCs w:val="18"/>
              </w:rPr>
              <w:t>按账龄分析法计提坏账准备的组合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940"/>
        <w:jc w:val="left"/>
      </w:pPr>
      <w:r>
        <w:rPr/>
        <w:t>组合中，采用账龄分析法计提坏账准备的：</w:t>
      </w:r>
    </w:p>
    <w:p>
      <w:pPr>
        <w:pStyle w:val="BodyText"/>
        <w:spacing w:line="240" w:lineRule="auto" w:before="117"/>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940"/>
        <w:jc w:val="left"/>
      </w:pPr>
      <w:r>
        <w:rPr/>
        <w:t>组合中，采用余额百分比法计提坏账准备的：</w:t>
      </w:r>
    </w:p>
    <w:p>
      <w:pPr>
        <w:pStyle w:val="BodyText"/>
        <w:spacing w:line="338" w:lineRule="auto" w:before="117"/>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3）单项金额不重大但单独计提坏账准备的应收款项" w:id="189"/>
      <w:bookmarkEnd w:id="189"/>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有客观证据表明该应收款项发生了减值。</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按应收款项组合在资产负债表日的余额，根据其未来现金流 量现值低于其账面价值的差额分析计提坏账准备。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940"/>
        <w:jc w:val="left"/>
        <w:rPr>
          <w:b w:val="0"/>
          <w:bCs w:val="0"/>
        </w:rPr>
      </w:pPr>
      <w:bookmarkStart w:name="12、存货" w:id="190"/>
      <w:bookmarkEnd w:id="190"/>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240" w:lineRule="auto" w:before="47"/>
        <w:ind w:left="574" w:right="940"/>
        <w:jc w:val="left"/>
      </w:pPr>
      <w:r>
        <w:rPr>
          <w:rFonts w:ascii="宋体" w:hAnsi="宋体" w:cs="宋体" w:eastAsia="宋体" w:hint="default"/>
        </w:rPr>
        <w:t>1.</w:t>
      </w:r>
      <w:r>
        <w:rPr/>
        <w:t>存货的分类：本公司存货分为原材料、低值易耗品、在产品、库存商品等。</w:t>
      </w:r>
    </w:p>
    <w:p>
      <w:pPr>
        <w:pStyle w:val="BodyText"/>
        <w:spacing w:line="364" w:lineRule="auto" w:before="123"/>
        <w:ind w:right="940" w:firstLine="420"/>
        <w:jc w:val="left"/>
      </w:pPr>
      <w:r>
        <w:rPr>
          <w:rFonts w:ascii="宋体" w:hAnsi="宋体" w:cs="宋体" w:eastAsia="宋体" w:hint="default"/>
        </w:rPr>
        <w:t>2.</w:t>
      </w:r>
      <w:r>
        <w:rPr/>
        <w:t>存货取得和发出的计价方法：存货中各类材料均按实际发生的历史成本核算；领用发出时采用加权平均法计价；低 值易耗品采用领用时一次摊销法进行摊销。</w:t>
      </w:r>
    </w:p>
    <w:p>
      <w:pPr>
        <w:pStyle w:val="BodyText"/>
        <w:spacing w:line="364" w:lineRule="auto" w:before="29"/>
        <w:ind w:left="574" w:right="940"/>
        <w:jc w:val="left"/>
      </w:pPr>
      <w:r>
        <w:rPr>
          <w:rFonts w:ascii="宋体" w:hAnsi="宋体" w:cs="宋体" w:eastAsia="宋体" w:hint="default"/>
        </w:rPr>
        <w:t>3.</w:t>
      </w:r>
      <w:r>
        <w:rPr/>
        <w:t>存货可变现净值的确定依据及存货跌价准备的计提方法 本公司在资产负债表日，对存货进行全面检查后，对遭受损失，全部或部分陈旧过时或销售价格低于成本的存货，按</w:t>
      </w:r>
    </w:p>
    <w:p>
      <w:pPr>
        <w:pStyle w:val="BodyText"/>
        <w:spacing w:line="364" w:lineRule="auto" w:before="29"/>
        <w:ind w:left="574" w:right="940" w:hanging="420"/>
        <w:jc w:val="left"/>
      </w:pPr>
      <w:r>
        <w:rPr/>
        <w:t>存货成本与可变现净值孰低提取或调整存货跌价准备。 存货可变现净值系根据本公司在正常经营过程中，以估计售价减去估计完工成本及销售所必须的估计费用后的价值。 对单价较高的存货按单个项目成本高于可变现净值的差额计提存货跌价准备；对于数量繁多、单价较低的存货，按存</w:t>
      </w:r>
    </w:p>
    <w:p>
      <w:pPr>
        <w:pStyle w:val="BodyText"/>
        <w:spacing w:line="364" w:lineRule="auto" w:before="29"/>
        <w:ind w:right="940"/>
        <w:jc w:val="left"/>
      </w:pPr>
      <w:r>
        <w:rPr>
          <w:spacing w:val="-2"/>
        </w:rPr>
        <w:t>货类别计提存货跌价准备；与在同一地区生产和销售的产品系列相关、具有相同或类似最终用途或目的，且难以与其他项目</w:t>
      </w:r>
      <w:r>
        <w:rPr>
          <w:spacing w:val="-66"/>
        </w:rPr>
        <w:t> </w:t>
      </w:r>
      <w:r>
        <w:rPr>
          <w:spacing w:val="-66"/>
        </w:rPr>
      </w:r>
      <w:r>
        <w:rPr>
          <w:spacing w:val="-2"/>
        </w:rPr>
        <w:t>分开计量的存货，则合并计提存货跌价准备，并计入当期损益。存货可变现净值以存货估计售价减去估计的销售费用和相关</w:t>
      </w:r>
    </w:p>
    <w:p>
      <w:pPr>
        <w:spacing w:after="0" w:line="364" w:lineRule="auto"/>
        <w:jc w:val="left"/>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64" w:lineRule="auto" w:before="27"/>
        <w:ind w:left="574" w:right="940" w:hanging="420"/>
        <w:jc w:val="left"/>
      </w:pPr>
      <w:r>
        <w:rPr/>
        <w:t>税费后的金额确定。 存货可变现净值的确定以取得的可靠证据为基础，并且考虑取得存货的目的、资产负债表日后事项的影响等因素，具</w:t>
      </w:r>
    </w:p>
    <w:p>
      <w:pPr>
        <w:pStyle w:val="BodyText"/>
        <w:spacing w:line="240" w:lineRule="auto" w:before="29"/>
        <w:ind w:right="940"/>
        <w:jc w:val="left"/>
      </w:pPr>
      <w:r>
        <w:rPr/>
        <w:t>体方法如下：</w:t>
      </w:r>
    </w:p>
    <w:p>
      <w:pPr>
        <w:pStyle w:val="BodyText"/>
        <w:spacing w:line="364" w:lineRule="auto" w:before="123"/>
        <w:ind w:right="1129" w:firstLine="420"/>
        <w:jc w:val="both"/>
      </w:pPr>
      <w:r>
        <w:rPr>
          <w:spacing w:val="-1"/>
        </w:rPr>
        <w:t>（</w:t>
      </w:r>
      <w:r>
        <w:rPr>
          <w:rFonts w:ascii="宋体" w:hAnsi="宋体" w:cs="宋体" w:eastAsia="宋体" w:hint="default"/>
          <w:spacing w:val="-1"/>
        </w:rPr>
        <w:t>1</w:t>
      </w:r>
      <w:r>
        <w:rPr>
          <w:spacing w:val="-1"/>
        </w:rPr>
        <w:t>）需要经过加工的材料存货，在正常生产经营过程中，以所生产的产成品估计售价减去至完工时估计将要发生的成</w:t>
      </w:r>
      <w:r>
        <w:rPr/>
        <w:t> </w:t>
      </w:r>
      <w:r>
        <w:rPr>
          <w:spacing w:val="-2"/>
        </w:rPr>
        <w:t>本，估计销售费用和相关税费后的金额确定其可变现净值。如果可变现净值高于成本，则该材料存货按成本计量，如果材料</w:t>
      </w:r>
      <w:r>
        <w:rPr>
          <w:spacing w:val="-66"/>
        </w:rPr>
        <w:t> </w:t>
      </w:r>
      <w:r>
        <w:rPr>
          <w:spacing w:val="-66"/>
        </w:rPr>
      </w:r>
      <w:r>
        <w:rPr/>
        <w:t>的价格下降导致生产的产成品的可变现净值低于成本，则该材料按可变现净值计量。</w:t>
      </w:r>
    </w:p>
    <w:p>
      <w:pPr>
        <w:pStyle w:val="BodyText"/>
        <w:spacing w:line="364" w:lineRule="auto" w:before="29"/>
        <w:ind w:right="1132" w:firstLine="420"/>
        <w:jc w:val="both"/>
      </w:pPr>
      <w:r>
        <w:rPr>
          <w:spacing w:val="-2"/>
        </w:rPr>
        <w:t>（</w:t>
      </w:r>
      <w:r>
        <w:rPr>
          <w:rFonts w:ascii="宋体" w:hAnsi="宋体" w:cs="宋体" w:eastAsia="宋体" w:hint="default"/>
          <w:spacing w:val="-2"/>
        </w:rPr>
        <w:t>2</w:t>
      </w:r>
      <w:r>
        <w:rPr>
          <w:spacing w:val="-2"/>
        </w:rPr>
        <w:t>）产成品、库存商品和用于出售的材料等直接用于出售的商品存货，在正常生产经营过程中，以该存货的估计售价</w:t>
      </w:r>
      <w:r>
        <w:rPr/>
        <w:t> 减去估计的销售费用和相关税费后的金额确定其可变现净值的计算基础。</w:t>
      </w:r>
    </w:p>
    <w:p>
      <w:pPr>
        <w:pStyle w:val="BodyText"/>
        <w:spacing w:line="364" w:lineRule="auto" w:before="29"/>
        <w:ind w:right="1129" w:firstLine="420"/>
        <w:jc w:val="both"/>
      </w:pPr>
      <w:r>
        <w:rPr>
          <w:spacing w:val="-1"/>
        </w:rPr>
        <w:t>（</w:t>
      </w:r>
      <w:r>
        <w:rPr>
          <w:rFonts w:ascii="宋体" w:hAnsi="宋体" w:cs="宋体" w:eastAsia="宋体" w:hint="default"/>
          <w:spacing w:val="-1"/>
        </w:rPr>
        <w:t>3</w:t>
      </w:r>
      <w:r>
        <w:rPr>
          <w:spacing w:val="-1"/>
        </w:rPr>
        <w:t>）为执行销售合同或劳务合同而持有的存货，以产成品或商品的合同价格做为可变现净值的计算基础。如果持有存</w:t>
      </w:r>
      <w:r>
        <w:rPr/>
        <w:t> 货的数量高于销售合同订购的数量，超出部分存货的可变现净值以一般销售价格为计量基础。</w:t>
      </w:r>
    </w:p>
    <w:p>
      <w:pPr>
        <w:pStyle w:val="BodyText"/>
        <w:spacing w:line="364" w:lineRule="auto" w:before="29"/>
        <w:ind w:right="1133" w:firstLine="420"/>
        <w:jc w:val="both"/>
      </w:pPr>
      <w:r>
        <w:rPr/>
        <w:t>以前减记存货价值的影响因素已经消失的，减记的金额予以恢复，并在原已计提的存货跌价准备金额内转回，转回的 金额计入当期损益。</w:t>
      </w:r>
    </w:p>
    <w:p>
      <w:pPr>
        <w:pStyle w:val="BodyText"/>
        <w:spacing w:line="364" w:lineRule="auto" w:before="29"/>
        <w:ind w:right="1133" w:firstLine="420"/>
        <w:jc w:val="both"/>
      </w:pPr>
      <w:r>
        <w:rPr>
          <w:rFonts w:ascii="宋体" w:hAnsi="宋体" w:cs="宋体" w:eastAsia="宋体" w:hint="default"/>
        </w:rPr>
        <w:t>4.</w:t>
      </w:r>
      <w:r>
        <w:rPr/>
        <w:t>本公司存货采用永续盘存制。一年进行两次实地清查、盘点，盘点结果如果与账面记录不符，于期末前查明原因， </w:t>
      </w:r>
      <w:r>
        <w:rPr>
          <w:spacing w:val="-2"/>
        </w:rPr>
        <w:t>并根据企业的管理权限，经股东大会或董事会批准后，在期末结账前处理完毕。盘盈的存货，冲减当期的管理费用；盘亏的</w:t>
      </w:r>
      <w:r>
        <w:rPr>
          <w:spacing w:val="-66"/>
        </w:rPr>
        <w:t> </w:t>
      </w:r>
      <w:r>
        <w:rPr>
          <w:spacing w:val="-66"/>
        </w:rPr>
      </w:r>
      <w:r>
        <w:rPr/>
        <w:t>存货，在减去过失人或者保险公司等赔款和残料价值之后，计入当期管理费用，属于非常损失的，计入营业外支出。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pStyle w:val="Heading4"/>
        <w:spacing w:line="240" w:lineRule="auto"/>
        <w:ind w:right="940"/>
        <w:jc w:val="left"/>
        <w:rPr>
          <w:b w:val="0"/>
          <w:bCs w:val="0"/>
        </w:rPr>
      </w:pPr>
      <w:bookmarkStart w:name="13、持有待售资产" w:id="191"/>
      <w:bookmarkEnd w:id="191"/>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4"/>
        <w:rPr>
          <w:rFonts w:ascii="宋体" w:hAnsi="宋体" w:cs="宋体" w:eastAsia="宋体" w:hint="default"/>
          <w:b/>
          <w:bCs/>
          <w:sz w:val="28"/>
          <w:szCs w:val="28"/>
        </w:rPr>
      </w:pPr>
    </w:p>
    <w:p>
      <w:pPr>
        <w:pStyle w:val="BodyText"/>
        <w:spacing w:line="364" w:lineRule="auto"/>
        <w:ind w:right="1171" w:firstLine="420"/>
        <w:jc w:val="both"/>
      </w:pPr>
      <w:r>
        <w:rPr>
          <w:rFonts w:ascii="宋体" w:hAnsi="宋体" w:cs="宋体" w:eastAsia="宋体" w:hint="default"/>
        </w:rPr>
        <w:t>1.</w:t>
      </w:r>
      <w:r>
        <w:rPr/>
        <w:t>持有待售资产的分类：主要通过出售（包括具有商业实质的非货币性资产交换，下同）而非持续使用一项非流动资 产或处置组收回其账面价值的，将其划分为持有待售类别。公司将同时满足下列条件的资产划分为持有待售资产：</w:t>
      </w:r>
    </w:p>
    <w:p>
      <w:pPr>
        <w:pStyle w:val="BodyText"/>
        <w:spacing w:line="240" w:lineRule="auto" w:before="29"/>
        <w:ind w:left="574" w:right="940"/>
        <w:jc w:val="left"/>
      </w:pPr>
      <w:r>
        <w:rPr/>
        <w:t>（</w:t>
      </w:r>
      <w:r>
        <w:rPr>
          <w:rFonts w:ascii="宋体" w:hAnsi="宋体" w:cs="宋体" w:eastAsia="宋体" w:hint="default"/>
        </w:rPr>
        <w:t>1</w:t>
      </w:r>
      <w:r>
        <w:rPr/>
        <w:t>）根据类似交易中出售此类资产或处置组的惯例，在当前状况下即可立即出售；</w:t>
      </w:r>
    </w:p>
    <w:p>
      <w:pPr>
        <w:pStyle w:val="BodyText"/>
        <w:spacing w:line="364" w:lineRule="auto" w:before="123"/>
        <w:ind w:right="1132" w:firstLine="420"/>
        <w:jc w:val="both"/>
      </w:pPr>
      <w:r>
        <w:rPr>
          <w:spacing w:val="-2"/>
        </w:rPr>
        <w:t>（</w:t>
      </w:r>
      <w:r>
        <w:rPr>
          <w:rFonts w:ascii="宋体" w:hAnsi="宋体" w:cs="宋体" w:eastAsia="宋体" w:hint="default"/>
          <w:spacing w:val="-2"/>
        </w:rPr>
        <w:t>2</w:t>
      </w:r>
      <w:r>
        <w:rPr>
          <w:spacing w:val="-2"/>
        </w:rPr>
        <w:t>）出售极可能发生，即已经就一项出售计划作出决议且获得确定的购买承诺，预计出售将在一年内完成。有关规定</w:t>
      </w:r>
      <w:r>
        <w:rPr/>
        <w:t> 要求公司相关权力机构或者监管部门批准后方可出售的，已经获得批准。</w:t>
      </w:r>
    </w:p>
    <w:p>
      <w:pPr>
        <w:pStyle w:val="BodyText"/>
        <w:spacing w:line="364" w:lineRule="auto" w:before="29"/>
        <w:ind w:right="1169" w:firstLine="420"/>
        <w:jc w:val="both"/>
      </w:pPr>
      <w:r>
        <w:rPr/>
        <w:t>公司专为转售而取得的非流动资产或处置组，在取得日满足“预计出售将在一年内完成”的规定条件，且短期（通常 为</w:t>
      </w:r>
      <w:r>
        <w:rPr>
          <w:rFonts w:ascii="宋体" w:hAnsi="宋体" w:cs="宋体" w:eastAsia="宋体" w:hint="default"/>
        </w:rPr>
        <w:t>3</w:t>
      </w:r>
      <w:r>
        <w:rPr/>
        <w:t>个月）内很可能满足持有待售类别的其他划分条件的，在取得日将其划分为持有待售类别。</w:t>
      </w:r>
    </w:p>
    <w:p>
      <w:pPr>
        <w:pStyle w:val="BodyText"/>
        <w:spacing w:line="364" w:lineRule="auto" w:before="29"/>
        <w:ind w:right="1132" w:firstLine="420"/>
        <w:jc w:val="both"/>
      </w:pPr>
      <w:r>
        <w:rPr/>
        <w:t>持有待售的非流动资产或处置组不再满足持有待售类别划分条件的，不继续将其划分为持有待售类别。部分资产或负 </w:t>
      </w:r>
      <w:r>
        <w:rPr>
          <w:spacing w:val="-2"/>
        </w:rPr>
        <w:t>债从持有待售的处置组中移除后，处置组中剩余资产或负债新组成的处置组仍然满足持有待售类别划分条件的，将新组成的</w:t>
      </w:r>
      <w:r>
        <w:rPr>
          <w:spacing w:val="-64"/>
        </w:rPr>
        <w:t> </w:t>
      </w:r>
      <w:r>
        <w:rPr>
          <w:spacing w:val="-64"/>
        </w:rPr>
      </w:r>
      <w:r>
        <w:rPr/>
        <w:t>处置组划分为持有待售类别，否则将满足持有待售类别划分条件的非流动资产单独划分为持有待售类别。</w:t>
      </w:r>
    </w:p>
    <w:p>
      <w:pPr>
        <w:pStyle w:val="BodyText"/>
        <w:spacing w:line="364" w:lineRule="auto" w:before="29"/>
        <w:ind w:right="1133" w:firstLine="420"/>
        <w:jc w:val="both"/>
      </w:pPr>
      <w:r>
        <w:rPr>
          <w:rFonts w:ascii="宋体" w:hAnsi="宋体" w:cs="宋体" w:eastAsia="宋体" w:hint="default"/>
        </w:rPr>
        <w:t>2.</w:t>
      </w:r>
      <w:r>
        <w:rPr/>
        <w:t>持有待售资产的计量：初始计量或在资产负债表日重新计量持有待售的非流动资产或处置组时，其账面价值高于公 </w:t>
      </w:r>
      <w:r>
        <w:rPr>
          <w:spacing w:val="-2"/>
        </w:rPr>
        <w:t>允价值减去出售费用后的净额的，将账面价值减记至公允价值减去出售费用后的净额，减记的金额确认为资产减值损失，计</w:t>
      </w:r>
      <w:r>
        <w:rPr>
          <w:spacing w:val="-66"/>
        </w:rPr>
        <w:t> </w:t>
      </w:r>
      <w:r>
        <w:rPr>
          <w:spacing w:val="-66"/>
        </w:rPr>
      </w:r>
      <w:r>
        <w:rPr/>
        <w:t>入当期损益，同时计提持有待售资产减值准备。</w:t>
      </w:r>
    </w:p>
    <w:p>
      <w:pPr>
        <w:pStyle w:val="BodyText"/>
        <w:spacing w:line="364" w:lineRule="auto" w:before="29"/>
        <w:ind w:right="1133" w:firstLine="420"/>
        <w:jc w:val="both"/>
      </w:pPr>
      <w:r>
        <w:rPr/>
        <w:t>对于取得日划分为持有待售类别的非流动资产或处置组，在初始计量时比较假定其不划分为持有待售类别情况下的初 </w:t>
      </w:r>
      <w:r>
        <w:rPr>
          <w:spacing w:val="-2"/>
        </w:rPr>
        <w:t>始计量金额和公允价值减去出售费用后的净额，以两者孰低计量。除企业合并中取得的非流动资产或处置组外，由非流动资</w:t>
      </w:r>
      <w:r>
        <w:rPr>
          <w:spacing w:val="-66"/>
        </w:rPr>
        <w:t> </w:t>
      </w:r>
      <w:r>
        <w:rPr>
          <w:spacing w:val="-66"/>
        </w:rPr>
      </w:r>
      <w:r>
        <w:rPr/>
        <w:t>产或处置组以公允价值减去出售费用后的净额作为初始计量金额而产生的差额，计入当期损益。</w:t>
      </w:r>
    </w:p>
    <w:p>
      <w:pPr>
        <w:pStyle w:val="BodyText"/>
        <w:spacing w:line="364" w:lineRule="auto" w:before="30"/>
        <w:ind w:right="1024" w:firstLine="420"/>
        <w:jc w:val="left"/>
      </w:pPr>
      <w:r>
        <w:rPr>
          <w:spacing w:val="-1"/>
        </w:rPr>
        <w:t>后续资产负债表日持有待售的非流动资产或处置组公允价值减去出售费用后的净额增加的，以前减记的金额予以恢复，</w:t>
      </w:r>
      <w:r>
        <w:rPr/>
        <w:t> </w:t>
      </w:r>
      <w:r>
        <w:rPr>
          <w:spacing w:val="-2"/>
        </w:rPr>
        <w:t>并在划分为持有待售类别后确认的资产减值损失金额内转回，转回金额根据处置组中除商誉外的各项非流动资产账面价值所</w:t>
      </w:r>
      <w:r>
        <w:rPr>
          <w:spacing w:val="-64"/>
        </w:rPr>
        <w:t> </w:t>
      </w:r>
      <w:r>
        <w:rPr>
          <w:spacing w:val="-64"/>
        </w:rPr>
      </w:r>
      <w:r>
        <w:rPr>
          <w:spacing w:val="-2"/>
        </w:rPr>
        <w:t>占比重，按比例增加其账面价值，计入当期损益。已抵减的商誉账面价值，在划分为持有待售类别前确认的资产减值损失不</w:t>
      </w:r>
      <w:r>
        <w:rPr>
          <w:spacing w:val="-66"/>
        </w:rPr>
        <w:t> </w:t>
      </w:r>
      <w:r>
        <w:rPr>
          <w:spacing w:val="-66"/>
        </w:rPr>
      </w:r>
      <w:r>
        <w:rPr/>
        <w:t>得转回。</w:t>
      </w:r>
    </w:p>
    <w:p>
      <w:pPr>
        <w:spacing w:after="0" w:line="364" w:lineRule="auto"/>
        <w:jc w:val="left"/>
        <w:sectPr>
          <w:footerReference w:type="default" r:id="rId25"/>
          <w:pgSz w:w="11910" w:h="16840"/>
          <w:pgMar w:footer="979" w:header="851"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64" w:lineRule="auto" w:before="27"/>
        <w:ind w:right="1152" w:firstLine="420"/>
        <w:jc w:val="left"/>
      </w:pPr>
      <w:r>
        <w:rPr/>
        <w:t>持有待售的非流动资产或处置组中的非流动资产不计提折旧或摊销，持有待售的处置组中负债的利息和其他费用继续 予以确认。</w:t>
      </w:r>
    </w:p>
    <w:p>
      <w:pPr>
        <w:pStyle w:val="BodyText"/>
        <w:spacing w:line="364" w:lineRule="auto" w:before="29"/>
        <w:ind w:right="1152" w:firstLine="420"/>
        <w:jc w:val="left"/>
      </w:pPr>
      <w:r>
        <w:rPr/>
        <w:t>非流动资产或处置组因不再满足持有待售类别的划分条件而不再继续划分为持有待售类别或非流动资产从持有待售的 处置组中移除时，按照以下两者孰低计量：</w:t>
      </w:r>
    </w:p>
    <w:p>
      <w:pPr>
        <w:pStyle w:val="BodyText"/>
        <w:spacing w:line="364" w:lineRule="auto" w:before="29"/>
        <w:ind w:right="1114" w:firstLine="420"/>
        <w:jc w:val="left"/>
      </w:pPr>
      <w:r>
        <w:rPr>
          <w:spacing w:val="-1"/>
        </w:rPr>
        <w:t>（</w:t>
      </w:r>
      <w:r>
        <w:rPr>
          <w:rFonts w:ascii="宋体" w:hAnsi="宋体" w:cs="宋体" w:eastAsia="宋体" w:hint="default"/>
          <w:spacing w:val="-1"/>
        </w:rPr>
        <w:t>1</w:t>
      </w:r>
      <w:r>
        <w:rPr>
          <w:spacing w:val="-1"/>
        </w:rPr>
        <w:t>）划分为持有待售类别前的账面价值，按照假定不划分为持有待售类别情况下应确认的折旧、摊销或减值等进行调</w:t>
      </w:r>
      <w:r>
        <w:rPr/>
        <w:t> 整后的金额；</w:t>
      </w:r>
    </w:p>
    <w:p>
      <w:pPr>
        <w:pStyle w:val="BodyText"/>
        <w:spacing w:line="364" w:lineRule="auto" w:before="29"/>
        <w:ind w:left="574" w:right="3492"/>
        <w:jc w:val="left"/>
      </w:pPr>
      <w:r>
        <w:rPr/>
        <w:t>（</w:t>
      </w:r>
      <w:r>
        <w:rPr>
          <w:rFonts w:ascii="宋体" w:hAnsi="宋体" w:cs="宋体" w:eastAsia="宋体" w:hint="default"/>
        </w:rPr>
        <w:t>2</w:t>
      </w:r>
      <w:r>
        <w:rPr/>
        <w:t>）可收回金额。 终止确认持有待售的非流动资产或处置组时，将尚未确认的利得或损失计入当期损益。</w:t>
      </w:r>
    </w:p>
    <w:p>
      <w:pPr>
        <w:pStyle w:val="BodyText"/>
        <w:spacing w:line="240" w:lineRule="auto" w:before="29"/>
        <w:ind w:left="574" w:right="940"/>
        <w:jc w:val="left"/>
      </w:pPr>
      <w:r>
        <w:rPr/>
        <w:t>持有待售负债：反映资产负债表日处置组中与划分为持有待售类别的资产直接相关的负债的期末账面价值。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pStyle w:val="Heading4"/>
        <w:spacing w:line="240" w:lineRule="auto"/>
        <w:ind w:right="940"/>
        <w:jc w:val="left"/>
        <w:rPr>
          <w:b w:val="0"/>
          <w:bCs w:val="0"/>
        </w:rPr>
      </w:pPr>
      <w:bookmarkStart w:name="14、长期股权投资" w:id="192"/>
      <w:bookmarkEnd w:id="192"/>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3"/>
        <w:rPr>
          <w:rFonts w:ascii="宋体" w:hAnsi="宋体" w:cs="宋体" w:eastAsia="宋体" w:hint="default"/>
          <w:b/>
          <w:bCs/>
          <w:sz w:val="28"/>
          <w:szCs w:val="28"/>
        </w:rPr>
      </w:pPr>
    </w:p>
    <w:p>
      <w:pPr>
        <w:pStyle w:val="BodyText"/>
        <w:spacing w:line="364" w:lineRule="auto"/>
        <w:ind w:right="1152" w:firstLine="420"/>
        <w:jc w:val="left"/>
      </w:pPr>
      <w:r>
        <w:rPr/>
        <w:t>公司长期股权投资指对被投资方实施控制、重大影响的权益性投资，包括子公司和联营企业，以及对能够共同控制的 合营企业的权益性投资。</w:t>
      </w:r>
    </w:p>
    <w:p>
      <w:pPr>
        <w:pStyle w:val="BodyText"/>
        <w:spacing w:line="240" w:lineRule="auto" w:before="29"/>
        <w:ind w:left="574" w:right="940"/>
        <w:jc w:val="left"/>
      </w:pPr>
      <w:r>
        <w:rPr>
          <w:rFonts w:ascii="宋体" w:hAnsi="宋体" w:cs="宋体" w:eastAsia="宋体" w:hint="default"/>
        </w:rPr>
        <w:t>1.</w:t>
      </w:r>
      <w:r>
        <w:rPr/>
        <w:t>长期股权投资初始投资成本的确定</w:t>
      </w:r>
    </w:p>
    <w:p>
      <w:pPr>
        <w:pStyle w:val="BodyText"/>
        <w:spacing w:line="364" w:lineRule="auto" w:before="123"/>
        <w:ind w:right="940" w:firstLine="420"/>
        <w:jc w:val="left"/>
      </w:pPr>
      <w:r>
        <w:rPr/>
        <w:t>（</w:t>
      </w:r>
      <w:r>
        <w:rPr>
          <w:rFonts w:ascii="宋体" w:hAnsi="宋体" w:cs="宋体" w:eastAsia="宋体" w:hint="default"/>
        </w:rPr>
        <w:t>1</w:t>
      </w:r>
      <w:r>
        <w:rPr/>
        <w:t>）同一控制下企业合并形成的，公司以支付现金、转让非现金资产、承担债务或发行权益性证券作为合并对价的， </w:t>
      </w:r>
      <w:r>
        <w:rPr>
          <w:spacing w:val="-2"/>
        </w:rPr>
        <w:t>在合并日按照取得被合并方所有者权益在最终控制方合并财务报表中的账面价值的份额作为其初始投资成本。长期股权投资</w:t>
      </w:r>
      <w:r>
        <w:rPr>
          <w:spacing w:val="-64"/>
        </w:rPr>
        <w:t> </w:t>
      </w:r>
      <w:r>
        <w:rPr>
          <w:spacing w:val="-64"/>
        </w:rPr>
      </w:r>
      <w:r>
        <w:rPr>
          <w:spacing w:val="-2"/>
        </w:rPr>
        <w:t>初始投资成本与支付的合并对价的账面价值或发行股份的面值总额之间的差额调整资本公积；资本公积不足冲减的，调整留</w:t>
      </w:r>
      <w:r>
        <w:rPr>
          <w:spacing w:val="-64"/>
        </w:rPr>
        <w:t> </w:t>
      </w:r>
      <w:r>
        <w:rPr>
          <w:spacing w:val="-64"/>
        </w:rPr>
      </w:r>
      <w:r>
        <w:rPr>
          <w:spacing w:val="-2"/>
        </w:rPr>
        <w:t>存收益。合并发生的各项直接相关费用，包括为进行合并而支付的审计费用、评估费用、法律服务费用等，于发生时计入当</w:t>
      </w:r>
      <w:r>
        <w:rPr>
          <w:spacing w:val="-66"/>
        </w:rPr>
        <w:t> </w:t>
      </w:r>
      <w:r>
        <w:rPr>
          <w:spacing w:val="-66"/>
        </w:rPr>
      </w:r>
      <w:r>
        <w:rPr/>
        <w:t>期损益。</w:t>
      </w:r>
    </w:p>
    <w:p>
      <w:pPr>
        <w:pStyle w:val="BodyText"/>
        <w:spacing w:line="364" w:lineRule="auto" w:before="29"/>
        <w:ind w:right="1130" w:firstLine="420"/>
        <w:jc w:val="both"/>
      </w:pPr>
      <w:r>
        <w:rPr>
          <w:spacing w:val="-1"/>
        </w:rPr>
        <w:t>（</w:t>
      </w:r>
      <w:r>
        <w:rPr>
          <w:rFonts w:ascii="宋体" w:hAnsi="宋体" w:cs="宋体" w:eastAsia="宋体" w:hint="default"/>
          <w:spacing w:val="-1"/>
        </w:rPr>
        <w:t>2</w:t>
      </w:r>
      <w:r>
        <w:rPr>
          <w:spacing w:val="-1"/>
        </w:rPr>
        <w:t>）非同一控制下企业合并形成的，合并成本为购买日公司为取得对被购买方的控制权而付出的资产、发生或承担的</w:t>
      </w:r>
      <w:r>
        <w:rPr/>
        <w:t> </w:t>
      </w:r>
      <w:r>
        <w:rPr>
          <w:spacing w:val="-2"/>
        </w:rPr>
        <w:t>负债以及发行的权益性证券的公允价值。其中：①一次交易交换形成的企业合并，合并成本为本公司在购买日为取得对被购</w:t>
      </w:r>
      <w:r>
        <w:rPr>
          <w:spacing w:val="-66"/>
        </w:rPr>
        <w:t> </w:t>
      </w:r>
      <w:r>
        <w:rPr>
          <w:spacing w:val="-66"/>
        </w:rPr>
      </w:r>
      <w:r>
        <w:rPr>
          <w:spacing w:val="-2"/>
        </w:rPr>
        <w:t>买方的控制权而付出的资产、发生或承担的债务、以及发行权益性证券的公允价值；②通过多次交换交易分步实现的企业合</w:t>
      </w:r>
      <w:r>
        <w:rPr>
          <w:spacing w:val="-66"/>
        </w:rPr>
        <w:t> </w:t>
      </w:r>
      <w:r>
        <w:rPr>
          <w:spacing w:val="-66"/>
        </w:rPr>
      </w:r>
      <w:r>
        <w:rPr>
          <w:spacing w:val="-2"/>
        </w:rPr>
        <w:t>并，合并成本为每一次单项交易之和。在合并合同中对可能影响合并成本的未来事项作出约定的，购买日如果估计未来事项</w:t>
      </w:r>
      <w:r>
        <w:rPr>
          <w:spacing w:val="-65"/>
        </w:rPr>
        <w:t> </w:t>
      </w:r>
      <w:r>
        <w:rPr>
          <w:spacing w:val="-65"/>
        </w:rPr>
      </w:r>
      <w:r>
        <w:rPr/>
        <w:t>很可能发生并且对合并成本的影响金额能够可靠计量的，也计入合并成本。</w:t>
      </w:r>
    </w:p>
    <w:p>
      <w:pPr>
        <w:pStyle w:val="BodyText"/>
        <w:spacing w:line="364" w:lineRule="auto" w:before="29"/>
        <w:ind w:right="1152" w:firstLine="420"/>
        <w:jc w:val="left"/>
      </w:pPr>
      <w:r>
        <w:rPr/>
        <w:t>为进行企业合并发生的各项直接相关费用，于发生时计入当期损益；发行权益性证券或债务性证券的交易费用，计入 权益性证券或债务性证券的初始确认金额。</w:t>
      </w:r>
    </w:p>
    <w:p>
      <w:pPr>
        <w:pStyle w:val="BodyText"/>
        <w:spacing w:line="364" w:lineRule="auto" w:before="29"/>
        <w:ind w:right="1152" w:firstLine="420"/>
        <w:jc w:val="left"/>
      </w:pPr>
      <w:r>
        <w:rPr/>
        <w:t>对合并成本大于合并中取得的被购买方可辨认净资产公允价值份额的差额，确认为商誉，对取得的被购买方可辨认净 资产公允价值份额大于合并成本的差额，经复核后进入当期损益。</w:t>
      </w:r>
    </w:p>
    <w:p>
      <w:pPr>
        <w:pStyle w:val="BodyText"/>
        <w:spacing w:line="364" w:lineRule="auto" w:before="29"/>
        <w:ind w:right="1131" w:firstLine="420"/>
        <w:jc w:val="both"/>
      </w:pPr>
      <w:r>
        <w:rPr/>
        <w:t>（</w:t>
      </w:r>
      <w:r>
        <w:rPr>
          <w:rFonts w:ascii="宋体" w:hAnsi="宋体" w:cs="宋体" w:eastAsia="宋体" w:hint="default"/>
        </w:rPr>
        <w:t>3</w:t>
      </w:r>
      <w:r>
        <w:rPr/>
        <w:t>）除企业合并形成以外的</w:t>
      </w:r>
      <w:r>
        <w:rPr>
          <w:rFonts w:ascii="宋体" w:hAnsi="宋体" w:cs="宋体" w:eastAsia="宋体" w:hint="default"/>
        </w:rPr>
        <w:t>,</w:t>
      </w:r>
      <w:r>
        <w:rPr/>
        <w:t>其他方式取得的长期股权投资，按照下列规定确定其初始投资成本：①以支付现金取得 </w:t>
      </w:r>
      <w:r>
        <w:rPr>
          <w:spacing w:val="-2"/>
        </w:rPr>
        <w:t>的长期股权投资，按照实际支付的购买价款作为初始投资成本，包括与取得长期股权投资直接相关的费用、税金及其他必要</w:t>
      </w:r>
      <w:r>
        <w:rPr>
          <w:spacing w:val="-66"/>
        </w:rPr>
        <w:t> </w:t>
      </w:r>
      <w:r>
        <w:rPr>
          <w:spacing w:val="-66"/>
        </w:rPr>
      </w:r>
      <w:r>
        <w:rPr>
          <w:spacing w:val="-2"/>
        </w:rPr>
        <w:t>支出；②以发行权益性证券取得的长期股权投资，按照发行权益性证券的公允价值作为初始投资成本；③投资者投入的长期</w:t>
      </w:r>
      <w:r>
        <w:rPr>
          <w:spacing w:val="-66"/>
        </w:rPr>
        <w:t> </w:t>
      </w:r>
      <w:r>
        <w:rPr>
          <w:spacing w:val="-66"/>
        </w:rPr>
      </w:r>
      <w:r>
        <w:rPr>
          <w:spacing w:val="-2"/>
        </w:rPr>
        <w:t>股权投资，按照投资合同或协议约定的价值（扣除已宣告但尚未发放的现金股利或利润）作为初始投资成本，但合同或协议</w:t>
      </w:r>
      <w:r>
        <w:rPr>
          <w:spacing w:val="-66"/>
        </w:rPr>
        <w:t> </w:t>
      </w:r>
      <w:r>
        <w:rPr>
          <w:spacing w:val="-66"/>
        </w:rPr>
      </w:r>
      <w:r>
        <w:rPr>
          <w:spacing w:val="-2"/>
        </w:rPr>
        <w:t>约定价值不公允的除外；④在非货币性资产交换具备商业实质和换入资产或换出资产的公允价值能够可靠计量的前提下，通</w:t>
      </w:r>
      <w:r>
        <w:rPr>
          <w:spacing w:val="-64"/>
        </w:rPr>
        <w:t> </w:t>
      </w:r>
      <w:r>
        <w:rPr>
          <w:spacing w:val="-64"/>
        </w:rPr>
      </w:r>
      <w:r>
        <w:rPr>
          <w:spacing w:val="-2"/>
        </w:rPr>
        <w:t>过非货币性资产交换取得的长期股权投资，其初始投资成本以换出资产的公允价值为基础确定其初始投资成本，除非有确凿</w:t>
      </w:r>
      <w:r>
        <w:rPr>
          <w:spacing w:val="-64"/>
        </w:rPr>
        <w:t> </w:t>
      </w:r>
      <w:r>
        <w:rPr>
          <w:spacing w:val="-64"/>
        </w:rPr>
      </w:r>
      <w:r>
        <w:rPr>
          <w:spacing w:val="-2"/>
        </w:rPr>
        <w:t>证据表明换入资产的公允价值更加可靠；不满足上述前提的非货币性资产交换，以换出资产的账面价值和应支付的相关税费</w:t>
      </w:r>
      <w:r>
        <w:rPr>
          <w:spacing w:val="-64"/>
        </w:rPr>
        <w:t> </w:t>
      </w:r>
      <w:r>
        <w:rPr>
          <w:spacing w:val="-64"/>
        </w:rPr>
      </w:r>
      <w:r>
        <w:rPr/>
        <w:t>作为换入长期股权投资的初始投资成本；⑤通过债务重组取得的长期股权投资，其初始投资成本按照债务重组准则确定。</w:t>
      </w:r>
    </w:p>
    <w:p>
      <w:pPr>
        <w:pStyle w:val="BodyText"/>
        <w:spacing w:line="240" w:lineRule="auto" w:before="29"/>
        <w:ind w:left="574" w:right="940"/>
        <w:jc w:val="left"/>
      </w:pPr>
      <w:r>
        <w:rPr>
          <w:rFonts w:ascii="宋体" w:hAnsi="宋体" w:cs="宋体" w:eastAsia="宋体" w:hint="default"/>
        </w:rPr>
        <w:t>2.</w:t>
      </w:r>
      <w:r>
        <w:rPr/>
        <w:t>长期投资后续计量及收益确认</w:t>
      </w:r>
    </w:p>
    <w:p>
      <w:pPr>
        <w:spacing w:after="0" w:line="240" w:lineRule="auto"/>
        <w:jc w:val="left"/>
        <w:sectPr>
          <w:footerReference w:type="default" r:id="rId26"/>
          <w:pgSz w:w="11910" w:h="16840"/>
          <w:pgMar w:footer="979" w:header="851" w:top="1500" w:bottom="1160" w:left="980" w:right="0"/>
          <w:pgNumType w:start="101"/>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64" w:lineRule="auto" w:before="27"/>
        <w:ind w:left="574" w:right="1152"/>
        <w:jc w:val="left"/>
      </w:pPr>
      <w:r>
        <w:rPr/>
        <w:t>（</w:t>
      </w:r>
      <w:r>
        <w:rPr>
          <w:rFonts w:ascii="宋体" w:hAnsi="宋体" w:cs="宋体" w:eastAsia="宋体" w:hint="default"/>
        </w:rPr>
        <w:t>1</w:t>
      </w:r>
      <w:r>
        <w:rPr/>
        <w:t>）后续计量 本公司对能够对被投资单位实施控制的长期股权投资采用成本法核算，在编制合并财务报表时按照权益法进行调整；</w:t>
      </w:r>
    </w:p>
    <w:p>
      <w:pPr>
        <w:pStyle w:val="BodyText"/>
        <w:spacing w:line="364" w:lineRule="auto" w:before="29"/>
        <w:ind w:left="574" w:right="1024" w:hanging="420"/>
        <w:jc w:val="left"/>
      </w:pPr>
      <w:r>
        <w:rPr/>
        <w:t>对具有共同控制或重大影响的长期股权投资，采用权益法核算。 </w:t>
      </w:r>
      <w:r>
        <w:rPr>
          <w:spacing w:val="-1"/>
        </w:rPr>
        <w:t>初始投资成本大于投资时应享有被投资单位可辨认净资产公允价值份额的差额，不调整长期股权投资的初始投资成本；</w:t>
      </w:r>
    </w:p>
    <w:p>
      <w:pPr>
        <w:pStyle w:val="BodyText"/>
        <w:spacing w:line="364" w:lineRule="auto" w:before="29"/>
        <w:ind w:left="574" w:right="1152" w:hanging="420"/>
        <w:jc w:val="left"/>
      </w:pPr>
      <w:r>
        <w:rPr/>
        <w:t>初始投资成本小于投资时应享有被投资单位可辨认净资产公允价值份额的差额，计入当期损益。 被投资单位除净损益以外所有者权益其他变动的处理：对于被投资单位除净损益以外所有者权益的其他变动，在持股</w:t>
      </w:r>
    </w:p>
    <w:p>
      <w:pPr>
        <w:pStyle w:val="BodyText"/>
        <w:spacing w:line="240" w:lineRule="auto" w:before="29"/>
        <w:ind w:right="940"/>
        <w:jc w:val="left"/>
      </w:pPr>
      <w:r>
        <w:rPr/>
        <w:t>比例不变的情况下，公司按照持股比例计算应享有或承担的部分，调整长期股权投资的账面价值，同时增加或减少资本公积</w:t>
      </w:r>
    </w:p>
    <w:p>
      <w:pPr>
        <w:pStyle w:val="BodyText"/>
        <w:spacing w:line="240" w:lineRule="auto" w:before="123"/>
        <w:ind w:right="940"/>
        <w:jc w:val="left"/>
      </w:pPr>
      <w:r>
        <w:rPr/>
        <w:t>（其他资本公积）。</w:t>
      </w:r>
    </w:p>
    <w:p>
      <w:pPr>
        <w:pStyle w:val="BodyText"/>
        <w:spacing w:line="364" w:lineRule="auto" w:before="123"/>
        <w:ind w:left="574" w:right="940"/>
        <w:jc w:val="left"/>
      </w:pPr>
      <w:r>
        <w:rPr/>
        <w:t>（</w:t>
      </w:r>
      <w:r>
        <w:rPr>
          <w:rFonts w:ascii="宋体" w:hAnsi="宋体" w:cs="宋体" w:eastAsia="宋体" w:hint="default"/>
        </w:rPr>
        <w:t>2</w:t>
      </w:r>
      <w:r>
        <w:rPr/>
        <w:t>）损益确认 </w:t>
      </w:r>
      <w:r>
        <w:rPr>
          <w:spacing w:val="-3"/>
        </w:rPr>
        <w:t>成本法下，自</w:t>
      </w:r>
      <w:r>
        <w:rPr>
          <w:rFonts w:ascii="宋体" w:hAnsi="宋体" w:cs="宋体" w:eastAsia="宋体" w:hint="default"/>
          <w:spacing w:val="-3"/>
        </w:rPr>
        <w:t>2009</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日起，除取得投资时实际支付的价款或对价中包含的已宣告但尚未发放的现金股利或利润外，</w:t>
      </w:r>
    </w:p>
    <w:p>
      <w:pPr>
        <w:pStyle w:val="BodyText"/>
        <w:spacing w:line="364" w:lineRule="auto" w:before="29"/>
        <w:ind w:right="940"/>
        <w:jc w:val="left"/>
      </w:pPr>
      <w:r>
        <w:rPr>
          <w:spacing w:val="-2"/>
        </w:rPr>
        <w:t>公司按照享有被投资单位宣告发放的现金股利或利润确认投资收益，不再划分是否属于投资前和投资后被投资单位实现的净</w:t>
      </w:r>
      <w:r>
        <w:rPr>
          <w:spacing w:val="-64"/>
        </w:rPr>
        <w:t> </w:t>
      </w:r>
      <w:r>
        <w:rPr>
          <w:spacing w:val="-64"/>
        </w:rPr>
      </w:r>
      <w:r>
        <w:rPr/>
        <w:t>利润。</w:t>
      </w:r>
    </w:p>
    <w:p>
      <w:pPr>
        <w:pStyle w:val="BodyText"/>
        <w:spacing w:line="364" w:lineRule="auto" w:before="29"/>
        <w:ind w:left="574" w:right="1128"/>
        <w:jc w:val="left"/>
      </w:pPr>
      <w:r>
        <w:rPr/>
        <w:t>在本公司按照上述规定确认自被投资单位应分得的现金股利或利润后，会考虑长期股权投资是否发生减值。 </w:t>
      </w:r>
      <w:r>
        <w:rPr>
          <w:spacing w:val="-3"/>
        </w:rPr>
        <w:t>权益法下，以取得被投资单位股权后，在计算投资收益时按本公司的会计政策及会计期间对被投资单位报表进行调整，</w:t>
      </w:r>
    </w:p>
    <w:p>
      <w:pPr>
        <w:pStyle w:val="BodyText"/>
        <w:spacing w:line="364" w:lineRule="auto" w:before="29"/>
        <w:ind w:right="940"/>
        <w:jc w:val="left"/>
      </w:pPr>
      <w:r>
        <w:rPr>
          <w:spacing w:val="-2"/>
        </w:rPr>
        <w:t>同时抵消本公司与联营企业、合营企业之间发生的内部交易，计算本公司应享有或分担的部分。以计算后的净损益为基础确</w:t>
      </w:r>
      <w:r>
        <w:rPr>
          <w:spacing w:val="-66"/>
        </w:rPr>
        <w:t> </w:t>
      </w:r>
      <w:r>
        <w:rPr>
          <w:spacing w:val="-66"/>
        </w:rPr>
      </w:r>
      <w:r>
        <w:rPr/>
        <w:t>认投资收益，并调整长期股权投资的账面价值。</w:t>
      </w:r>
    </w:p>
    <w:p>
      <w:pPr>
        <w:pStyle w:val="BodyText"/>
        <w:spacing w:line="364" w:lineRule="auto" w:before="29"/>
        <w:ind w:right="940" w:firstLine="420"/>
        <w:jc w:val="left"/>
      </w:pPr>
      <w:r>
        <w:rPr/>
        <w:t>在公司确认应分担被投资单位发生的亏损时，按照以下顺序进行处理：首先，冲减长期股权投资的账面价值。其次， </w:t>
      </w:r>
      <w:r>
        <w:rPr>
          <w:spacing w:val="-2"/>
        </w:rPr>
        <w:t>长期股权投资的账面价值不足以冲减的，以其他实质上构成对被投资单位净投资的长期权益账面价值为限继续确认投资损失，</w:t>
      </w:r>
      <w:r>
        <w:rPr>
          <w:spacing w:val="-62"/>
        </w:rPr>
        <w:t> </w:t>
      </w:r>
      <w:r>
        <w:rPr>
          <w:spacing w:val="-62"/>
        </w:rPr>
      </w:r>
      <w:r>
        <w:rPr/>
        <w:t>冲减长期应收项目等的账面价值。最后，经过上述处理，按照投资合同或协议约定企业仍承担额外义务的，按预计承担的义</w:t>
      </w:r>
      <w:r>
        <w:rPr/>
        <w:t> 务确认预计负债，计入当期投资损失。</w:t>
      </w:r>
    </w:p>
    <w:p>
      <w:pPr>
        <w:pStyle w:val="BodyText"/>
        <w:spacing w:line="364" w:lineRule="auto" w:before="29"/>
        <w:ind w:right="1152" w:firstLine="420"/>
        <w:jc w:val="left"/>
      </w:pPr>
      <w:r>
        <w:rPr/>
        <w:t>被投资单位以后期间实现盈利的，公司在扣除未确认的亏损分担额后，按与上述相反的顺序处理，减记已确认预计负 债的账面余额、恢复其他实质上构成对被投资单位净投资的长期权益及长期股权投资的账面价值，同时确认投资收益。</w:t>
      </w:r>
    </w:p>
    <w:p>
      <w:pPr>
        <w:pStyle w:val="BodyText"/>
        <w:spacing w:line="364" w:lineRule="auto" w:before="29"/>
        <w:ind w:left="574" w:right="1152"/>
        <w:jc w:val="left"/>
      </w:pPr>
      <w:r>
        <w:rPr>
          <w:rFonts w:ascii="宋体" w:hAnsi="宋体" w:cs="宋体" w:eastAsia="宋体" w:hint="default"/>
        </w:rPr>
        <w:t>3.</w:t>
      </w:r>
      <w:r>
        <w:rPr/>
        <w:t>被投资单位具有共同控制、重大影响的依据 按照合同约定对某项经济活动所共有的控制，仅在与该项经济活动相关的重要财务和经营决策需要分享控制权的投资</w:t>
      </w:r>
    </w:p>
    <w:p>
      <w:pPr>
        <w:pStyle w:val="BodyText"/>
        <w:spacing w:line="364" w:lineRule="auto" w:before="29"/>
        <w:ind w:right="940"/>
        <w:jc w:val="left"/>
      </w:pPr>
      <w:r>
        <w:rPr>
          <w:spacing w:val="-2"/>
        </w:rPr>
        <w:t>方一致同意时存在，则视为与其他方对被投资单位实施共同控制；对一个企业的财务和经营决策有参与决策的权力，但并不</w:t>
      </w:r>
      <w:r>
        <w:rPr>
          <w:spacing w:val="-66"/>
        </w:rPr>
        <w:t> </w:t>
      </w:r>
      <w:r>
        <w:rPr>
          <w:spacing w:val="-66"/>
        </w:rPr>
      </w:r>
      <w:r>
        <w:rPr/>
        <w:t>能够控制或者与其他方一起共同控制这些政策的制定，则视为投资企业能够对被投资单位施加重大影响。</w:t>
      </w:r>
    </w:p>
    <w:p>
      <w:pPr>
        <w:pStyle w:val="BodyText"/>
        <w:spacing w:line="364" w:lineRule="auto" w:before="29"/>
        <w:ind w:left="574" w:right="1152"/>
        <w:jc w:val="left"/>
      </w:pPr>
      <w:r>
        <w:rPr>
          <w:rFonts w:ascii="宋体" w:hAnsi="宋体" w:cs="宋体" w:eastAsia="宋体" w:hint="default"/>
        </w:rPr>
        <w:t>4.</w:t>
      </w:r>
      <w:r>
        <w:rPr/>
        <w:t>长期投资减值的确认 本公司在资产负债表日对长期股权投资进行逐项检查，根据被投资单位经营政策、法律环境、市场需求、行业及盈利</w:t>
      </w:r>
    </w:p>
    <w:p>
      <w:pPr>
        <w:pStyle w:val="BodyText"/>
        <w:spacing w:line="364" w:lineRule="auto" w:before="29"/>
        <w:ind w:left="574" w:right="1152" w:hanging="420"/>
        <w:jc w:val="left"/>
      </w:pPr>
      <w:r>
        <w:rPr/>
        <w:t>能力等各种变化判断长期股权投资是否存在减值迹象。 除因企业合并形成的商誉以外的存在减值迹象的其他长期股权投资，如果可收回金额的计量结果表明，该长期股权投</w:t>
      </w:r>
    </w:p>
    <w:p>
      <w:pPr>
        <w:pStyle w:val="BodyText"/>
        <w:spacing w:line="364" w:lineRule="auto" w:before="29"/>
        <w:ind w:left="574" w:right="1152" w:hanging="420"/>
        <w:jc w:val="left"/>
      </w:pPr>
      <w:r>
        <w:rPr/>
        <w:t>资的可收回金额低于其账面价值的，将差额确认为减值损失。 因企业合并形成的商誉，无论是否存在减值迹象，每年都进行减值测试。 长期股权投资减值损失一经确认，不再转回。 </w:t>
      </w:r>
      <w:r>
        <w:rPr>
          <w:rFonts w:ascii="宋体" w:hAnsi="宋体" w:cs="宋体" w:eastAsia="宋体" w:hint="default"/>
        </w:rPr>
        <w:t>5.</w:t>
      </w:r>
      <w:r>
        <w:rPr/>
        <w:t>处置长期股权投资，其账面价值与实际取得价款的差额，应当计入当期损益。采用权益法核算的长期股权投资，因</w:t>
      </w:r>
    </w:p>
    <w:p>
      <w:pPr>
        <w:pStyle w:val="BodyText"/>
        <w:spacing w:line="364" w:lineRule="auto" w:before="29"/>
        <w:ind w:right="940"/>
        <w:jc w:val="left"/>
      </w:pPr>
      <w:r>
        <w:rPr>
          <w:spacing w:val="-2"/>
        </w:rPr>
        <w:t>被投资单位除净损益以外所有者权益的其他变动而计入所有者权益的，处置该项投资时应当将原计入所有者权益的部分按相</w:t>
      </w:r>
      <w:r>
        <w:rPr>
          <w:spacing w:val="-64"/>
        </w:rPr>
        <w:t> </w:t>
      </w:r>
      <w:r>
        <w:rPr>
          <w:spacing w:val="-64"/>
        </w:rPr>
      </w:r>
      <w:r>
        <w:rPr/>
        <w:t>应比例转入当期损益。</w:t>
      </w:r>
    </w:p>
    <w:p>
      <w:pPr>
        <w:spacing w:after="0" w:line="364" w:lineRule="auto"/>
        <w:jc w:val="left"/>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15、投资性房地产" w:id="193"/>
      <w:bookmarkEnd w:id="193"/>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952"/>
        <w:jc w:val="left"/>
      </w:pPr>
      <w:r>
        <w:rPr/>
        <w:t>投资性房地产计量模式 不适用</w:t>
      </w:r>
    </w:p>
    <w:p>
      <w:pPr>
        <w:spacing w:line="240" w:lineRule="auto" w:before="0"/>
        <w:rPr>
          <w:rFonts w:ascii="宋体" w:hAnsi="宋体" w:cs="宋体" w:eastAsia="宋体" w:hint="default"/>
          <w:sz w:val="20"/>
          <w:szCs w:val="20"/>
        </w:rPr>
      </w:pPr>
    </w:p>
    <w:p>
      <w:pPr>
        <w:pStyle w:val="Heading4"/>
        <w:spacing w:line="240" w:lineRule="auto"/>
        <w:ind w:right="940"/>
        <w:jc w:val="left"/>
        <w:rPr>
          <w:b w:val="0"/>
          <w:bCs w:val="0"/>
        </w:rPr>
      </w:pPr>
      <w:bookmarkStart w:name="16、固定资产" w:id="194"/>
      <w:bookmarkEnd w:id="194"/>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0"/>
        <w:jc w:val="left"/>
        <w:rPr>
          <w:b w:val="0"/>
          <w:bCs w:val="0"/>
        </w:rPr>
      </w:pPr>
      <w:bookmarkStart w:name="（1）确认条件" w:id="195"/>
      <w:bookmarkEnd w:id="19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3"/>
        <w:rPr>
          <w:rFonts w:ascii="宋体" w:hAnsi="宋体" w:cs="宋体" w:eastAsia="宋体" w:hint="default"/>
          <w:b/>
          <w:bCs/>
          <w:sz w:val="28"/>
          <w:szCs w:val="28"/>
        </w:rPr>
      </w:pPr>
    </w:p>
    <w:p>
      <w:pPr>
        <w:pStyle w:val="BodyText"/>
        <w:spacing w:line="364" w:lineRule="auto"/>
        <w:ind w:right="1152" w:firstLine="420"/>
        <w:jc w:val="left"/>
      </w:pPr>
      <w:r>
        <w:rPr/>
        <w:t>固定资产是指为生产商品、提供劳务、出租或经营管理持有的，使用寿命超过一个会计年度的有形资产；同时与该固 定资产有关的经济利益很可能流入企业，该固定资产的成本能够可靠地计量。</w:t>
      </w:r>
    </w:p>
    <w:p>
      <w:pPr>
        <w:spacing w:line="240" w:lineRule="auto" w:before="8"/>
        <w:rPr>
          <w:rFonts w:ascii="宋体" w:hAnsi="宋体" w:cs="宋体" w:eastAsia="宋体" w:hint="default"/>
          <w:sz w:val="21"/>
          <w:szCs w:val="21"/>
        </w:rPr>
      </w:pPr>
    </w:p>
    <w:p>
      <w:pPr>
        <w:pStyle w:val="Heading4"/>
        <w:spacing w:line="240" w:lineRule="auto"/>
        <w:ind w:right="940"/>
        <w:jc w:val="left"/>
        <w:rPr>
          <w:b w:val="0"/>
          <w:bCs w:val="0"/>
        </w:rPr>
      </w:pPr>
      <w:bookmarkStart w:name="（2）折旧方法" w:id="196"/>
      <w:bookmarkEnd w:id="19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1.80-4.50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通讯、电子电器设备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w:t>
            </w: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w:t>
            </w:r>
          </w:p>
        </w:tc>
      </w:tr>
    </w:tbl>
    <w:p>
      <w:pPr>
        <w:spacing w:line="240" w:lineRule="auto" w:before="2"/>
        <w:rPr>
          <w:rFonts w:ascii="宋体" w:hAnsi="宋体" w:cs="宋体" w:eastAsia="宋体" w:hint="default"/>
          <w:b/>
          <w:bCs/>
          <w:sz w:val="19"/>
          <w:szCs w:val="19"/>
        </w:rPr>
      </w:pPr>
    </w:p>
    <w:p>
      <w:pPr>
        <w:pStyle w:val="Heading4"/>
        <w:spacing w:line="240" w:lineRule="auto" w:before="35"/>
        <w:ind w:right="940"/>
        <w:jc w:val="left"/>
        <w:rPr>
          <w:b w:val="0"/>
          <w:bCs w:val="0"/>
        </w:rPr>
      </w:pPr>
      <w:bookmarkStart w:name="（3）融资租入固定资产的认定依据、计价和折旧方法" w:id="197"/>
      <w:bookmarkEnd w:id="197"/>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3"/>
        <w:rPr>
          <w:rFonts w:ascii="宋体" w:hAnsi="宋体" w:cs="宋体" w:eastAsia="宋体" w:hint="default"/>
          <w:b/>
          <w:bCs/>
          <w:sz w:val="28"/>
          <w:szCs w:val="28"/>
        </w:rPr>
      </w:pPr>
    </w:p>
    <w:p>
      <w:pPr>
        <w:pStyle w:val="BodyText"/>
        <w:spacing w:line="364" w:lineRule="auto"/>
        <w:ind w:right="1131" w:firstLine="420"/>
        <w:jc w:val="both"/>
      </w:pPr>
      <w:r>
        <w:rPr/>
        <w:t>公司与租赁方所签订的租赁协议条款中规定了下列条件之一的，确认为融资租入资产：①租赁期满后租赁资产的所有 </w:t>
      </w:r>
      <w:r>
        <w:rPr>
          <w:spacing w:val="-2"/>
        </w:rPr>
        <w:t>权归属于本公司；②公司具有购买资产的选择权，购买价款远低于行使选择权时该资产的公允价值；③租赁期占所租赁资产</w:t>
      </w:r>
      <w:r>
        <w:rPr>
          <w:spacing w:val="-66"/>
        </w:rPr>
        <w:t> </w:t>
      </w:r>
      <w:r>
        <w:rPr>
          <w:spacing w:val="-66"/>
        </w:rPr>
      </w:r>
      <w:r>
        <w:rPr>
          <w:spacing w:val="-2"/>
        </w:rPr>
        <w:t>使用寿命的大部分；④租赁开始日的最低租赁付款额现值，与该资产的公允价值不存在较大的差异。公司在承租开始日，将</w:t>
      </w:r>
      <w:r>
        <w:rPr>
          <w:spacing w:val="-66"/>
        </w:rPr>
        <w:t> </w:t>
      </w:r>
      <w:r>
        <w:rPr>
          <w:spacing w:val="-66"/>
        </w:rPr>
      </w:r>
      <w:r>
        <w:rPr>
          <w:spacing w:val="-2"/>
        </w:rPr>
        <w:t>租赁资产公允价值与最低租赁付款额现值两者中较低者作为租入资产的入账价值，将最低租赁付款额作为长期应付款的入账</w:t>
      </w:r>
      <w:r>
        <w:rPr>
          <w:spacing w:val="-64"/>
        </w:rPr>
        <w:t> </w:t>
      </w:r>
      <w:r>
        <w:rPr>
          <w:spacing w:val="-64"/>
        </w:rPr>
      </w:r>
      <w:r>
        <w:rPr/>
        <w:t>价值，其差额作为未确认的融资费用。</w:t>
      </w:r>
    </w:p>
    <w:p>
      <w:pPr>
        <w:spacing w:line="240" w:lineRule="auto" w:before="8"/>
        <w:rPr>
          <w:rFonts w:ascii="宋体" w:hAnsi="宋体" w:cs="宋体" w:eastAsia="宋体" w:hint="default"/>
          <w:sz w:val="21"/>
          <w:szCs w:val="21"/>
        </w:rPr>
      </w:pPr>
    </w:p>
    <w:p>
      <w:pPr>
        <w:pStyle w:val="Heading4"/>
        <w:spacing w:line="240" w:lineRule="auto"/>
        <w:ind w:right="940"/>
        <w:jc w:val="left"/>
        <w:rPr>
          <w:b w:val="0"/>
          <w:bCs w:val="0"/>
        </w:rPr>
      </w:pPr>
      <w:bookmarkStart w:name="17、在建工程" w:id="198"/>
      <w:bookmarkEnd w:id="198"/>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64" w:lineRule="auto" w:before="49"/>
        <w:ind w:left="574" w:right="1152"/>
        <w:jc w:val="left"/>
      </w:pPr>
      <w:r>
        <w:rPr/>
        <w:t>本公司在建工程以立项项目分类核算。 </w:t>
      </w:r>
      <w:r>
        <w:rPr>
          <w:rFonts w:ascii="宋体" w:hAnsi="宋体" w:cs="宋体" w:eastAsia="宋体" w:hint="default"/>
        </w:rPr>
        <w:t>1.</w:t>
      </w:r>
      <w:r>
        <w:rPr/>
        <w:t>在建工程同时满足经济利益很可能流入、成本能够可靠计量则予以确认。在建工程按建造该项资产达到预定可使用</w:t>
      </w:r>
    </w:p>
    <w:p>
      <w:pPr>
        <w:pStyle w:val="BodyText"/>
        <w:spacing w:line="364" w:lineRule="auto" w:before="29"/>
        <w:ind w:left="574" w:right="1152" w:hanging="420"/>
        <w:jc w:val="left"/>
      </w:pPr>
      <w:r>
        <w:rPr/>
        <w:t>状态前所发生的实际成本计量。 工程达到预定可使用状态前试运转过程中形成的、能够对外销售的产品，其发生的成本计入在建工程成本，销售或转</w:t>
      </w:r>
    </w:p>
    <w:p>
      <w:pPr>
        <w:pStyle w:val="BodyText"/>
        <w:spacing w:line="364" w:lineRule="auto" w:before="29"/>
        <w:ind w:right="940"/>
        <w:jc w:val="left"/>
      </w:pPr>
      <w:r>
        <w:rPr>
          <w:spacing w:val="-2"/>
        </w:rPr>
        <w:t>为产成品时，按实际销售收入或者预计售价冲减在建工程成本；在建工程发生的借款费用，符合借款费用资本化条件的，在</w:t>
      </w:r>
      <w:r>
        <w:rPr>
          <w:spacing w:val="-66"/>
        </w:rPr>
        <w:t> </w:t>
      </w:r>
      <w:r>
        <w:rPr>
          <w:spacing w:val="-66"/>
        </w:rPr>
      </w:r>
      <w:r>
        <w:rPr/>
        <w:t>所购建的固定资产达到预定可使用状态前，计入在建工程成本。</w:t>
      </w:r>
    </w:p>
    <w:p>
      <w:pPr>
        <w:pStyle w:val="BodyText"/>
        <w:spacing w:line="240" w:lineRule="auto" w:before="29"/>
        <w:ind w:left="574" w:right="940"/>
        <w:jc w:val="left"/>
      </w:pPr>
      <w:r>
        <w:rPr>
          <w:rFonts w:ascii="宋体" w:hAnsi="宋体" w:cs="宋体" w:eastAsia="宋体" w:hint="default"/>
        </w:rPr>
        <w:t>2.</w:t>
      </w:r>
      <w:r>
        <w:rPr/>
        <w:t>购建的固定资产在达到预定可使用状态时转作固定资产。购建固定资产达到预定可使用状态，但尚未办理竣工决算</w:t>
      </w:r>
    </w:p>
    <w:p>
      <w:pPr>
        <w:spacing w:after="0" w:line="240" w:lineRule="auto"/>
        <w:jc w:val="left"/>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64" w:lineRule="auto" w:before="27"/>
        <w:ind w:right="940"/>
        <w:jc w:val="left"/>
      </w:pPr>
      <w:r>
        <w:rPr>
          <w:spacing w:val="-2"/>
        </w:rPr>
        <w:t>手续的，自达到预定可使用状态之日起，根据工程预算、造价或工程实际成本等，按估计的价值结转固定资产，次月起开始</w:t>
      </w:r>
      <w:r>
        <w:rPr>
          <w:spacing w:val="-66"/>
        </w:rPr>
        <w:t> </w:t>
      </w:r>
      <w:r>
        <w:rPr>
          <w:spacing w:val="-66"/>
        </w:rPr>
      </w:r>
      <w:r>
        <w:rPr/>
        <w:t>计提折旧。待办理了竣工决算手续后再对原估值进行调整，但不再调整原已计提的折旧。</w:t>
      </w:r>
    </w:p>
    <w:p>
      <w:pPr>
        <w:pStyle w:val="BodyText"/>
        <w:spacing w:line="364" w:lineRule="auto" w:before="29"/>
        <w:ind w:right="1170" w:firstLine="420"/>
        <w:jc w:val="both"/>
      </w:pPr>
      <w:r>
        <w:rPr/>
        <w:t>购建固定资产而借入的专门借款或占用了一般性借款发生的借款利息及专门借款发生的辅助费用，在构建的固定资产 达到预定可使用状态前予以资本化；在相关工程达到预定可使用状态后的计入当期财务费用。</w:t>
      </w:r>
    </w:p>
    <w:p>
      <w:pPr>
        <w:pStyle w:val="BodyText"/>
        <w:spacing w:line="364" w:lineRule="auto" w:before="29"/>
        <w:ind w:right="1131" w:firstLine="420"/>
        <w:jc w:val="both"/>
      </w:pPr>
      <w:r>
        <w:rPr>
          <w:rFonts w:ascii="宋体" w:hAnsi="宋体" w:cs="宋体" w:eastAsia="宋体" w:hint="default"/>
          <w:spacing w:val="-1"/>
        </w:rPr>
        <w:t>3.</w:t>
      </w:r>
      <w:r>
        <w:rPr>
          <w:spacing w:val="-1"/>
        </w:rPr>
        <w:t>公司在每期末判断在建工程是否存在可能发生减值的迹象。如果存在：</w:t>
      </w:r>
      <w:r>
        <w:rPr>
          <w:rFonts w:ascii="宋体" w:hAnsi="宋体" w:cs="宋体" w:eastAsia="宋体" w:hint="default"/>
          <w:spacing w:val="-1"/>
        </w:rPr>
        <w:t>a.</w:t>
      </w:r>
      <w:r>
        <w:rPr>
          <w:spacing w:val="-1"/>
        </w:rPr>
        <w:t>在建工程长期停建并且预计在未来</w:t>
      </w:r>
      <w:r>
        <w:rPr>
          <w:rFonts w:ascii="宋体" w:hAnsi="宋体" w:cs="宋体" w:eastAsia="宋体" w:hint="default"/>
          <w:spacing w:val="-1"/>
        </w:rPr>
        <w:t>3</w:t>
      </w:r>
      <w:r>
        <w:rPr>
          <w:spacing w:val="-1"/>
        </w:rPr>
        <w:t>年内不</w:t>
      </w:r>
      <w:r>
        <w:rPr/>
        <w:t> </w:t>
      </w:r>
      <w:r>
        <w:rPr>
          <w:spacing w:val="-2"/>
        </w:rPr>
        <w:t>会重新开工；</w:t>
      </w:r>
      <w:r>
        <w:rPr>
          <w:rFonts w:ascii="宋体" w:hAnsi="宋体" w:cs="宋体" w:eastAsia="宋体" w:hint="default"/>
          <w:spacing w:val="-2"/>
        </w:rPr>
        <w:t>b.</w:t>
      </w:r>
      <w:r>
        <w:rPr>
          <w:spacing w:val="-2"/>
        </w:rPr>
        <w:t>所建项目在性能上、技术上已经落后并且所带来的经济效益具有很大的不确定性等减值迹象的，估计其可收</w:t>
      </w:r>
      <w:r>
        <w:rPr>
          <w:spacing w:val="-64"/>
        </w:rPr>
        <w:t> </w:t>
      </w:r>
      <w:r>
        <w:rPr>
          <w:spacing w:val="-64"/>
        </w:rPr>
      </w:r>
      <w:r>
        <w:rPr>
          <w:spacing w:val="-2"/>
        </w:rPr>
        <w:t>回金额。可收回金额根据在建工程的公允价值减去处置费用后的净额与在建工程预计未来现金流量的现值两者之间较高者确</w:t>
      </w:r>
      <w:r>
        <w:rPr>
          <w:spacing w:val="-64"/>
        </w:rPr>
        <w:t> </w:t>
      </w:r>
      <w:r>
        <w:rPr>
          <w:spacing w:val="-64"/>
        </w:rPr>
      </w:r>
      <w:r>
        <w:rPr/>
        <w:t>定。</w:t>
      </w:r>
    </w:p>
    <w:p>
      <w:pPr>
        <w:pStyle w:val="BodyText"/>
        <w:spacing w:line="364" w:lineRule="auto" w:before="29"/>
        <w:ind w:right="1170" w:firstLine="420"/>
        <w:jc w:val="both"/>
      </w:pPr>
      <w:r>
        <w:rPr/>
        <w:t>当在建工程的可收回金额低于其账面价值的，将在建工程的账面价值减记至可收回金额，减记的金额确认为在建工程 减值损失，计入当期损益。</w:t>
      </w:r>
    </w:p>
    <w:p>
      <w:pPr>
        <w:pStyle w:val="BodyText"/>
        <w:spacing w:line="364" w:lineRule="auto" w:before="29"/>
        <w:ind w:left="574" w:right="1152"/>
        <w:jc w:val="left"/>
      </w:pPr>
      <w:r>
        <w:rPr/>
        <w:t>在建工程的减值损失一经确认，在以后会计期间不再转回。 有迹象表明一项在建工程可能发生减值的，企业以单项在建工程为基础估计其可收回金额。企业难以对单项在建工程</w:t>
      </w:r>
    </w:p>
    <w:p>
      <w:pPr>
        <w:pStyle w:val="BodyText"/>
        <w:spacing w:line="240" w:lineRule="auto" w:before="29"/>
        <w:ind w:right="940"/>
        <w:jc w:val="left"/>
      </w:pPr>
      <w:r>
        <w:rPr/>
        <w:t>的可收回金额进行估计的，以该在建工程所属的资产组为基础确定资产组的可收回金额。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pStyle w:val="Heading4"/>
        <w:spacing w:line="240" w:lineRule="auto"/>
        <w:ind w:right="940"/>
        <w:jc w:val="left"/>
        <w:rPr>
          <w:b w:val="0"/>
          <w:bCs w:val="0"/>
        </w:rPr>
      </w:pPr>
      <w:bookmarkStart w:name="18、借款费用" w:id="199"/>
      <w:bookmarkEnd w:id="199"/>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3"/>
        <w:rPr>
          <w:rFonts w:ascii="宋体" w:hAnsi="宋体" w:cs="宋体" w:eastAsia="宋体" w:hint="default"/>
          <w:b/>
          <w:bCs/>
          <w:sz w:val="28"/>
          <w:szCs w:val="28"/>
        </w:rPr>
      </w:pPr>
    </w:p>
    <w:p>
      <w:pPr>
        <w:pStyle w:val="BodyText"/>
        <w:spacing w:line="364" w:lineRule="auto"/>
        <w:ind w:left="574" w:right="1152"/>
        <w:jc w:val="left"/>
      </w:pPr>
      <w:r>
        <w:rPr>
          <w:rFonts w:ascii="宋体" w:hAnsi="宋体" w:cs="宋体" w:eastAsia="宋体" w:hint="default"/>
        </w:rPr>
        <w:t>1.</w:t>
      </w:r>
      <w:r>
        <w:rPr/>
        <w:t>借款费用的确认原则 本公司因购建符合资本化条件的资产借款发生的利息、折价或溢价的摊销和汇兑差额、专门借款发生的辅助费用以及</w:t>
      </w:r>
    </w:p>
    <w:p>
      <w:pPr>
        <w:pStyle w:val="BodyText"/>
        <w:spacing w:line="364" w:lineRule="auto" w:before="30"/>
        <w:ind w:right="940"/>
        <w:jc w:val="left"/>
      </w:pPr>
      <w:r>
        <w:rPr>
          <w:spacing w:val="-2"/>
        </w:rPr>
        <w:t>因外币借款而发生的汇兑差额等，可直接归属于符合资本化条件的资产的购建或者生产的，予以资本化，计入该项资产的成</w:t>
      </w:r>
      <w:r>
        <w:rPr>
          <w:spacing w:val="-66"/>
        </w:rPr>
        <w:t> </w:t>
      </w:r>
      <w:r>
        <w:rPr>
          <w:spacing w:val="-66"/>
        </w:rPr>
      </w:r>
      <w:r>
        <w:rPr/>
        <w:t>本；其他借款利息、折价或溢价的摊销和汇兑差额，于发生当期确认为费用。</w:t>
      </w:r>
    </w:p>
    <w:p>
      <w:pPr>
        <w:pStyle w:val="BodyText"/>
        <w:spacing w:line="364" w:lineRule="auto" w:before="29"/>
        <w:ind w:right="1169" w:firstLine="420"/>
        <w:jc w:val="both"/>
      </w:pPr>
      <w:r>
        <w:rPr/>
        <w:t>符合资本化条件的资产，是指需要经过相当长时间的购建或者生产活动才能达到预定可使用或者可销售状态的固定资 产、投资性房地产和存货等资产。</w:t>
      </w:r>
    </w:p>
    <w:p>
      <w:pPr>
        <w:pStyle w:val="BodyText"/>
        <w:spacing w:line="364" w:lineRule="auto" w:before="29"/>
        <w:ind w:right="1171" w:firstLine="420"/>
        <w:jc w:val="both"/>
      </w:pPr>
      <w:r>
        <w:rPr>
          <w:rFonts w:ascii="宋体" w:hAnsi="宋体" w:cs="宋体" w:eastAsia="宋体" w:hint="default"/>
        </w:rPr>
        <w:t>2.</w:t>
      </w:r>
      <w:r>
        <w:rPr/>
        <w:t>借款费用资本化期间：指从借款费用开始资本化时点到停止资本化时点的期间，借款费用暂停资本化的期间不包括 在内。</w:t>
      </w:r>
    </w:p>
    <w:p>
      <w:pPr>
        <w:pStyle w:val="BodyText"/>
        <w:spacing w:line="364" w:lineRule="auto" w:before="29"/>
        <w:ind w:right="1132" w:firstLine="420"/>
        <w:jc w:val="both"/>
      </w:pPr>
      <w:r>
        <w:rPr/>
        <w:t>（</w:t>
      </w:r>
      <w:r>
        <w:rPr>
          <w:rFonts w:ascii="宋体" w:hAnsi="宋体" w:cs="宋体" w:eastAsia="宋体" w:hint="default"/>
        </w:rPr>
        <w:t>1</w:t>
      </w:r>
      <w:r>
        <w:rPr/>
        <w:t>）开始资本化，当以下三个条件同时具备时，因借款而发生的利息、折价或溢价的摊销和汇兑差额开始资本化：</w:t>
      </w:r>
      <w:r>
        <w:rPr>
          <w:rFonts w:ascii="宋体" w:hAnsi="宋体" w:cs="宋体" w:eastAsia="宋体" w:hint="default"/>
        </w:rPr>
        <w:t>a </w:t>
      </w:r>
      <w:r>
        <w:rPr>
          <w:spacing w:val="-2"/>
        </w:rPr>
        <w:t>资产支出已经发生，资产支出包括为购建或者生产符合资本化条件的资产而以支付现金、转移非现金资产或者承担带息债务</w:t>
      </w:r>
      <w:r>
        <w:rPr>
          <w:spacing w:val="-64"/>
        </w:rPr>
        <w:t> </w:t>
      </w:r>
      <w:r>
        <w:rPr>
          <w:spacing w:val="-64"/>
        </w:rPr>
      </w:r>
      <w:r>
        <w:rPr/>
        <w:t>形式发生的支出；</w:t>
      </w:r>
      <w:r>
        <w:rPr>
          <w:rFonts w:ascii="宋体" w:hAnsi="宋体" w:cs="宋体" w:eastAsia="宋体" w:hint="default"/>
        </w:rPr>
        <w:t>b</w:t>
      </w:r>
      <w:r>
        <w:rPr/>
        <w:t>借款费用已经发生；</w:t>
      </w:r>
      <w:r>
        <w:rPr>
          <w:rFonts w:ascii="宋体" w:hAnsi="宋体" w:cs="宋体" w:eastAsia="宋体" w:hint="default"/>
        </w:rPr>
        <w:t>c</w:t>
      </w:r>
      <w:r>
        <w:rPr/>
        <w:t>为使资产达到预定可使用或者可销售状态或所必要的购建活动已经开始。</w:t>
      </w:r>
    </w:p>
    <w:p>
      <w:pPr>
        <w:pStyle w:val="BodyText"/>
        <w:spacing w:line="364" w:lineRule="auto" w:before="29"/>
        <w:ind w:right="940" w:firstLine="420"/>
        <w:jc w:val="left"/>
      </w:pPr>
      <w:r>
        <w:rPr/>
        <w:t>（</w:t>
      </w:r>
      <w:r>
        <w:rPr>
          <w:rFonts w:ascii="宋体" w:hAnsi="宋体" w:cs="宋体" w:eastAsia="宋体" w:hint="default"/>
        </w:rPr>
        <w:t>2</w:t>
      </w:r>
      <w:r>
        <w:rPr/>
        <w:t>）暂停资本化，若固定资产的购建活动发生非正常中断，并且中断时间连续超过</w:t>
      </w:r>
      <w:r>
        <w:rPr>
          <w:rFonts w:ascii="宋体" w:hAnsi="宋体" w:cs="宋体" w:eastAsia="宋体" w:hint="default"/>
        </w:rPr>
        <w:t>3</w:t>
      </w:r>
      <w:r>
        <w:rPr/>
        <w:t>个月，暂停借款费用资本化；该 </w:t>
      </w:r>
      <w:r>
        <w:rPr>
          <w:spacing w:val="-2"/>
        </w:rPr>
        <w:t>项中断如是所购建或生产的符合资本化条件的资产达到预定可使用状态或者可销售状态必要的程序，则借款费用继续资本化。</w:t>
      </w:r>
      <w:r>
        <w:rPr>
          <w:spacing w:val="-62"/>
        </w:rPr>
        <w:t> </w:t>
      </w:r>
      <w:r>
        <w:rPr>
          <w:spacing w:val="-62"/>
        </w:rPr>
      </w:r>
      <w:r>
        <w:rPr/>
        <w:t>在中断期间发生的借款费用确认为当期损益，直至资产的购建或者生产活动重新开始后借款费用继续资本化。</w:t>
      </w:r>
    </w:p>
    <w:p>
      <w:pPr>
        <w:pStyle w:val="BodyText"/>
        <w:spacing w:line="364" w:lineRule="auto" w:before="29"/>
        <w:ind w:right="1130" w:firstLine="420"/>
        <w:jc w:val="both"/>
      </w:pPr>
      <w:r>
        <w:rPr>
          <w:spacing w:val="-1"/>
        </w:rPr>
        <w:t>（</w:t>
      </w:r>
      <w:r>
        <w:rPr>
          <w:rFonts w:ascii="宋体" w:hAnsi="宋体" w:cs="宋体" w:eastAsia="宋体" w:hint="default"/>
          <w:spacing w:val="-1"/>
        </w:rPr>
        <w:t>3</w:t>
      </w:r>
      <w:r>
        <w:rPr>
          <w:spacing w:val="-1"/>
        </w:rPr>
        <w:t>）停止资本化，当所购建或者生产符合资本化条件的资产达到预定可使用或者可销售状态时、部分项目分别完工且</w:t>
      </w:r>
      <w:r>
        <w:rPr/>
        <w:t> </w:t>
      </w:r>
      <w:r>
        <w:rPr>
          <w:spacing w:val="-2"/>
        </w:rPr>
        <w:t>可单独使用时，停止其借款费用的资本化。购建或者生产的资产的各部分分别完工，但必须等到整体完工后才可使用或可对</w:t>
      </w:r>
      <w:r>
        <w:rPr>
          <w:spacing w:val="-66"/>
        </w:rPr>
        <w:t> </w:t>
      </w:r>
      <w:r>
        <w:rPr>
          <w:spacing w:val="-66"/>
        </w:rPr>
      </w:r>
      <w:r>
        <w:rPr/>
        <w:t>外销售的，在该资产整体完工时停止借款费用资本化。</w:t>
      </w:r>
    </w:p>
    <w:p>
      <w:pPr>
        <w:pStyle w:val="BodyText"/>
        <w:spacing w:line="240" w:lineRule="auto" w:before="29"/>
        <w:ind w:left="574" w:right="940"/>
        <w:jc w:val="left"/>
      </w:pPr>
      <w:r>
        <w:rPr>
          <w:rFonts w:ascii="宋体" w:hAnsi="宋体" w:cs="宋体" w:eastAsia="宋体" w:hint="default"/>
        </w:rPr>
        <w:t>3.</w:t>
      </w:r>
      <w:r>
        <w:rPr/>
        <w:t>借款费用资本化金额的计算方法，在资本化期间内</w:t>
      </w:r>
      <w:r>
        <w:rPr>
          <w:rFonts w:ascii="宋体" w:hAnsi="宋体" w:cs="宋体" w:eastAsia="宋体" w:hint="default"/>
        </w:rPr>
        <w:t>,</w:t>
      </w:r>
      <w:r>
        <w:rPr/>
        <w:t>每一会计期间的资本化金额</w:t>
      </w:r>
      <w:r>
        <w:rPr>
          <w:rFonts w:ascii="宋体" w:hAnsi="宋体" w:cs="宋体" w:eastAsia="宋体" w:hint="default"/>
        </w:rPr>
        <w:t>,</w:t>
      </w:r>
      <w:r>
        <w:rPr/>
        <w:t>按照下列规定确定：</w:t>
      </w:r>
    </w:p>
    <w:p>
      <w:pPr>
        <w:pStyle w:val="BodyText"/>
        <w:spacing w:line="364" w:lineRule="auto" w:before="123"/>
        <w:ind w:right="1131" w:firstLine="420"/>
        <w:jc w:val="both"/>
      </w:pPr>
      <w:r>
        <w:rPr>
          <w:spacing w:val="-2"/>
        </w:rPr>
        <w:t>（</w:t>
      </w:r>
      <w:r>
        <w:rPr>
          <w:rFonts w:ascii="宋体" w:hAnsi="宋体" w:cs="宋体" w:eastAsia="宋体" w:hint="default"/>
          <w:spacing w:val="-2"/>
        </w:rPr>
        <w:t>1</w:t>
      </w:r>
      <w:r>
        <w:rPr>
          <w:spacing w:val="-2"/>
        </w:rPr>
        <w:t>）专门借款当期实际发生的利息费用，减去将尚未动用的借款资金存入银行取得的利息收入或进行暂时性投资取得</w:t>
      </w:r>
      <w:r>
        <w:rPr/>
        <w:t> </w:t>
      </w:r>
      <w:r>
        <w:rPr>
          <w:spacing w:val="-2"/>
        </w:rPr>
        <w:t>的投资收益后的金额及其辅助费用在所购建或者生产的符合资本化条件的资产达到预定可使用或者可销售状态前，予以资本</w:t>
      </w:r>
      <w:r>
        <w:rPr>
          <w:spacing w:val="-64"/>
        </w:rPr>
        <w:t> </w:t>
      </w:r>
      <w:r>
        <w:rPr>
          <w:spacing w:val="-64"/>
        </w:rPr>
      </w:r>
      <w:r>
        <w:rPr/>
        <w:t>化。</w:t>
      </w:r>
    </w:p>
    <w:p>
      <w:pPr>
        <w:pStyle w:val="BodyText"/>
        <w:spacing w:line="240" w:lineRule="auto" w:before="29"/>
        <w:ind w:left="574" w:right="940"/>
        <w:jc w:val="left"/>
      </w:pPr>
      <w:r>
        <w:rPr/>
        <w:t>（</w:t>
      </w:r>
      <w:r>
        <w:rPr>
          <w:rFonts w:ascii="宋体" w:hAnsi="宋体" w:cs="宋体" w:eastAsia="宋体" w:hint="default"/>
        </w:rPr>
        <w:t>2</w:t>
      </w:r>
      <w:r>
        <w:rPr/>
        <w:t>）一般借款的资本化金额为累计资产支出超过专门借款部分的资产支出加权平均数乘以所占用一般借款的资本化率</w:t>
      </w:r>
    </w:p>
    <w:p>
      <w:pPr>
        <w:spacing w:after="0" w:line="240" w:lineRule="auto"/>
        <w:jc w:val="left"/>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7"/>
        <w:ind w:right="940"/>
        <w:jc w:val="left"/>
      </w:pPr>
      <w:r>
        <w:rPr/>
        <w:t>的乘积。</w:t>
      </w:r>
    </w:p>
    <w:p>
      <w:pPr>
        <w:pStyle w:val="BodyText"/>
        <w:spacing w:line="364" w:lineRule="auto" w:before="123"/>
        <w:ind w:left="574" w:right="1512"/>
        <w:jc w:val="left"/>
      </w:pPr>
      <w:r>
        <w:rPr/>
        <w:t>资本化率根据一般借款加权平均利率计算确定。 借款存在折价或者溢价的，按照实际利率法确定每一会计期间应摊销的折价或者溢价金额，调整每期利息金额。 资本化期间内</w:t>
      </w:r>
      <w:r>
        <w:rPr>
          <w:rFonts w:ascii="宋体" w:hAnsi="宋体" w:cs="宋体" w:eastAsia="宋体" w:hint="default"/>
        </w:rPr>
        <w:t>,</w:t>
      </w:r>
      <w:r>
        <w:rPr/>
        <w:t>每一会计期间的利息资本化金额</w:t>
      </w:r>
      <w:r>
        <w:rPr>
          <w:rFonts w:ascii="宋体" w:hAnsi="宋体" w:cs="宋体" w:eastAsia="宋体" w:hint="default"/>
        </w:rPr>
        <w:t>,</w:t>
      </w:r>
      <w:r>
        <w:rPr/>
        <w:t>不应当超过当期相关借款实际发生的利息金额。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3"/>
        <w:ind w:right="940"/>
        <w:jc w:val="left"/>
        <w:rPr>
          <w:b w:val="0"/>
          <w:bCs w:val="0"/>
        </w:rPr>
      </w:pPr>
      <w:bookmarkStart w:name="19、生物资产" w:id="200"/>
      <w:bookmarkEnd w:id="200"/>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0"/>
        <w:jc w:val="left"/>
        <w:rPr>
          <w:b w:val="0"/>
          <w:bCs w:val="0"/>
        </w:rPr>
      </w:pPr>
      <w:bookmarkStart w:name="20、油气资产" w:id="201"/>
      <w:bookmarkEnd w:id="201"/>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0"/>
        <w:jc w:val="left"/>
        <w:rPr>
          <w:b w:val="0"/>
          <w:bCs w:val="0"/>
        </w:rPr>
      </w:pPr>
      <w:bookmarkStart w:name="21、无形资产" w:id="202"/>
      <w:bookmarkEnd w:id="202"/>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0"/>
        <w:jc w:val="left"/>
        <w:rPr>
          <w:b w:val="0"/>
          <w:bCs w:val="0"/>
        </w:rPr>
      </w:pPr>
      <w:bookmarkStart w:name="（1）计价方法、使用寿命、减值测试" w:id="203"/>
      <w:bookmarkEnd w:id="203"/>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3"/>
        <w:rPr>
          <w:rFonts w:ascii="宋体" w:hAnsi="宋体" w:cs="宋体" w:eastAsia="宋体" w:hint="default"/>
          <w:b/>
          <w:bCs/>
          <w:sz w:val="28"/>
          <w:szCs w:val="28"/>
        </w:rPr>
      </w:pPr>
    </w:p>
    <w:p>
      <w:pPr>
        <w:pStyle w:val="BodyText"/>
        <w:spacing w:line="364" w:lineRule="auto"/>
        <w:ind w:right="1170" w:firstLine="420"/>
        <w:jc w:val="both"/>
      </w:pPr>
      <w:r>
        <w:rPr/>
        <w:t>无形资产系指本公司拥有或控制的没有实物形态的可辨认非货币资产。包括专利权、非专利技术、商标权、著作权、 土地使用权、特许权等。</w:t>
      </w:r>
    </w:p>
    <w:p>
      <w:pPr>
        <w:pStyle w:val="BodyText"/>
        <w:spacing w:line="364" w:lineRule="auto" w:before="29"/>
        <w:ind w:left="574" w:right="1152"/>
        <w:jc w:val="left"/>
      </w:pPr>
      <w:r>
        <w:rPr>
          <w:rFonts w:ascii="宋体" w:hAnsi="宋体" w:cs="宋体" w:eastAsia="宋体" w:hint="default"/>
        </w:rPr>
        <w:t>1.</w:t>
      </w:r>
      <w:r>
        <w:rPr/>
        <w:t>无形资产的初始计量 购买无形资产的成本，包括购买价款、相关税费以及直接归属于使该项资产达到预定用途所发生的其他支出。购买无</w:t>
      </w:r>
    </w:p>
    <w:p>
      <w:pPr>
        <w:pStyle w:val="BodyText"/>
        <w:spacing w:line="364" w:lineRule="auto" w:before="29"/>
        <w:ind w:right="940"/>
        <w:jc w:val="left"/>
      </w:pPr>
      <w:r>
        <w:rPr>
          <w:spacing w:val="-2"/>
        </w:rPr>
        <w:t>形资产的价款超过正常信用条件延期支付，实质上具有融资性质的，无形资产的成本以购买价款的现值为基础确定。实际支</w:t>
      </w:r>
      <w:r>
        <w:rPr>
          <w:spacing w:val="-66"/>
        </w:rPr>
        <w:t> </w:t>
      </w:r>
      <w:r>
        <w:rPr>
          <w:spacing w:val="-66"/>
        </w:rPr>
      </w:r>
      <w:r>
        <w:rPr/>
        <w:t>付的价款与购买价款的现值之间的差额，除应予资本化的以外，在信用期间内计入当期损益；</w:t>
      </w:r>
    </w:p>
    <w:p>
      <w:pPr>
        <w:pStyle w:val="BodyText"/>
        <w:spacing w:line="364" w:lineRule="auto" w:before="30"/>
        <w:ind w:left="574" w:right="1152"/>
        <w:jc w:val="left"/>
      </w:pPr>
      <w:r>
        <w:rPr/>
        <w:t>投资者投入的无形资产，按照投资合同或协议约定的价值作为入账价值，但合同或协议约定价值不公允的除外； 债务重组取得债务人用以抵债的无形资产，以该无形资产的公允价值为基础确定其入账价值，并将重组债务的账面价</w:t>
      </w:r>
    </w:p>
    <w:p>
      <w:pPr>
        <w:pStyle w:val="BodyText"/>
        <w:spacing w:line="364" w:lineRule="auto" w:before="29"/>
        <w:ind w:left="574" w:right="1152" w:hanging="420"/>
        <w:jc w:val="left"/>
      </w:pPr>
      <w:r>
        <w:rPr/>
        <w:t>值与该用以抵债的无形资产公允价值之间的差额，计入当期损益； 在非货币性资产交换具备商业实质且换入资产或换出资产的公允价值能够可靠计量的前提下，非货币性资产交换换入</w:t>
      </w:r>
    </w:p>
    <w:p>
      <w:pPr>
        <w:pStyle w:val="BodyText"/>
        <w:spacing w:line="364" w:lineRule="auto" w:before="29"/>
        <w:ind w:right="940"/>
        <w:jc w:val="left"/>
      </w:pPr>
      <w:r>
        <w:rPr>
          <w:spacing w:val="-2"/>
        </w:rPr>
        <w:t>的无形资产以换出资产的公允价值为基础确定其入账价值，除非有确凿证据表明换入资产的公允价值更加可靠；不满足上述</w:t>
      </w:r>
      <w:r>
        <w:rPr>
          <w:spacing w:val="-64"/>
        </w:rPr>
        <w:t> </w:t>
      </w:r>
      <w:r>
        <w:rPr>
          <w:spacing w:val="-64"/>
        </w:rPr>
      </w:r>
      <w:r>
        <w:rPr/>
        <w:t>前提的非货币性资产交换，以换出资产的账面价值和应支付的相关税费作为换入无形资产的成本，不确认损益。</w:t>
      </w:r>
    </w:p>
    <w:p>
      <w:pPr>
        <w:pStyle w:val="BodyText"/>
        <w:spacing w:line="364" w:lineRule="auto" w:before="29"/>
        <w:ind w:right="1171" w:firstLine="420"/>
        <w:jc w:val="both"/>
      </w:pPr>
      <w:r>
        <w:rPr/>
        <w:t>以同一控制下的企业吸收合并方式取得的无形资产按被合并方的账面价值确定其入账价值；以非同一控制下的企业吸 收合并方式取得的无形资产按公允价值确定其入账价值。</w:t>
      </w:r>
    </w:p>
    <w:p>
      <w:pPr>
        <w:pStyle w:val="BodyText"/>
        <w:spacing w:line="364" w:lineRule="auto" w:before="29"/>
        <w:ind w:right="1131" w:firstLine="420"/>
        <w:jc w:val="both"/>
      </w:pPr>
      <w:r>
        <w:rPr/>
        <w:t>接受捐赠的无形资产，捐赠方提供了有关凭据的，按凭据上表明的金额加上应支付的相关税费计价；捐赠方没有提供 </w:t>
      </w:r>
      <w:r>
        <w:rPr>
          <w:spacing w:val="-2"/>
        </w:rPr>
        <w:t>有关凭据的，如果同类或类似无形资产存在活跃市场的，按同类或者类似无形资产的市场价格估计的金额，加上支付的相关</w:t>
      </w:r>
      <w:r>
        <w:rPr>
          <w:spacing w:val="-66"/>
        </w:rPr>
        <w:t> </w:t>
      </w:r>
      <w:r>
        <w:rPr>
          <w:spacing w:val="-66"/>
        </w:rPr>
      </w:r>
      <w:r>
        <w:rPr>
          <w:spacing w:val="-2"/>
        </w:rPr>
        <w:t>税费，作为入账成本；如果同类或类似无形资产不存在活跃市场的，按接受捐赠的无形资产的预计未来现金流量现值，作为</w:t>
      </w:r>
      <w:r>
        <w:rPr>
          <w:spacing w:val="-66"/>
        </w:rPr>
        <w:t> </w:t>
      </w:r>
      <w:r>
        <w:rPr>
          <w:spacing w:val="-66"/>
        </w:rPr>
      </w:r>
      <w:r>
        <w:rPr/>
        <w:t>入账价值；</w:t>
      </w:r>
    </w:p>
    <w:p>
      <w:pPr>
        <w:pStyle w:val="BodyText"/>
        <w:spacing w:line="364" w:lineRule="auto" w:before="29"/>
        <w:ind w:right="1131" w:firstLine="420"/>
        <w:jc w:val="both"/>
      </w:pPr>
      <w:r>
        <w:rPr/>
        <w:t>内部自行开发的无形资产，系开发阶段的支出成本，包括：开发该无形资产时耗用的材料、劳务成本、注册费、在开 </w:t>
      </w:r>
      <w:r>
        <w:rPr>
          <w:spacing w:val="-2"/>
        </w:rPr>
        <w:t>发过程中使用的其他专利权和特许权的摊销以及满足资本化条件的利息费用，以及为使该无形资产达到预定用途前所发生的</w:t>
      </w:r>
      <w:r>
        <w:rPr>
          <w:spacing w:val="-64"/>
        </w:rPr>
        <w:t> </w:t>
      </w:r>
      <w:r>
        <w:rPr>
          <w:spacing w:val="-64"/>
        </w:rPr>
      </w:r>
      <w:r>
        <w:rPr/>
        <w:t>其他直接费用。前期调研阶段的研发费用直接计入当期损益。</w:t>
      </w:r>
    </w:p>
    <w:p>
      <w:pPr>
        <w:pStyle w:val="BodyText"/>
        <w:spacing w:line="364" w:lineRule="auto" w:before="29"/>
        <w:ind w:left="574" w:right="1152"/>
        <w:jc w:val="left"/>
      </w:pPr>
      <w:r>
        <w:rPr>
          <w:rFonts w:ascii="宋体" w:hAnsi="宋体" w:cs="宋体" w:eastAsia="宋体" w:hint="default"/>
        </w:rPr>
        <w:t>2.</w:t>
      </w:r>
      <w:r>
        <w:rPr/>
        <w:t>后续计量 根据无形资产的合同性权利或其他法定权利、同行业情况、历史经验、相关专家论证等综合因素判断其使用寿命。 能合理确定无形资产为公司带来经济利益期限的，作为使用寿命有限的无形资产。对于使用寿命有限的无形资产，在</w:t>
      </w:r>
    </w:p>
    <w:p>
      <w:pPr>
        <w:pStyle w:val="BodyText"/>
        <w:spacing w:line="364" w:lineRule="auto" w:before="29"/>
        <w:ind w:right="940"/>
        <w:jc w:val="left"/>
      </w:pPr>
      <w:r>
        <w:rPr>
          <w:spacing w:val="-2"/>
        </w:rPr>
        <w:t>为企业带来经济利益的期限内按直线法摊销；无法预见无形资产为企业带来经济利益期限的，视为使用寿命不确定的无形资</w:t>
      </w:r>
      <w:r>
        <w:rPr>
          <w:spacing w:val="-64"/>
        </w:rPr>
        <w:t> </w:t>
      </w:r>
      <w:r>
        <w:rPr>
          <w:spacing w:val="-64"/>
        </w:rPr>
      </w:r>
      <w:r>
        <w:rPr/>
        <w:t>产，不予摊销。</w:t>
      </w:r>
    </w:p>
    <w:p>
      <w:pPr>
        <w:spacing w:after="0" w:line="364" w:lineRule="auto"/>
        <w:jc w:val="left"/>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64" w:lineRule="auto" w:before="27"/>
        <w:ind w:right="1132" w:firstLine="420"/>
        <w:jc w:val="both"/>
      </w:pPr>
      <w:r>
        <w:rPr>
          <w:spacing w:val="-2"/>
        </w:rPr>
        <w:t>对使用寿命有限的无形资产，估计其使用寿命时通常考虑以下因素：（</w:t>
      </w:r>
      <w:r>
        <w:rPr>
          <w:rFonts w:ascii="宋体" w:hAnsi="宋体" w:cs="宋体" w:eastAsia="宋体" w:hint="default"/>
          <w:spacing w:val="-2"/>
        </w:rPr>
        <w:t>1</w:t>
      </w:r>
      <w:r>
        <w:rPr>
          <w:spacing w:val="-2"/>
        </w:rPr>
        <w:t>）运用该资产生产的产品通常的寿命周期、可</w:t>
      </w:r>
      <w:r>
        <w:rPr/>
        <w:t> </w:t>
      </w:r>
      <w:r>
        <w:rPr>
          <w:spacing w:val="-2"/>
        </w:rPr>
        <w:t>获得的类似资产使用寿命的信息；（</w:t>
      </w:r>
      <w:r>
        <w:rPr>
          <w:rFonts w:ascii="宋体" w:hAnsi="宋体" w:cs="宋体" w:eastAsia="宋体" w:hint="default"/>
          <w:spacing w:val="-2"/>
        </w:rPr>
        <w:t>2</w:t>
      </w:r>
      <w:r>
        <w:rPr>
          <w:spacing w:val="-2"/>
        </w:rPr>
        <w:t>）技术、工艺等方面的现阶段情况及对未来发展趋势的估计；（</w:t>
      </w:r>
      <w:r>
        <w:rPr>
          <w:rFonts w:ascii="宋体" w:hAnsi="宋体" w:cs="宋体" w:eastAsia="宋体" w:hint="default"/>
          <w:spacing w:val="-2"/>
        </w:rPr>
        <w:t>3</w:t>
      </w:r>
      <w:r>
        <w:rPr>
          <w:spacing w:val="-2"/>
        </w:rPr>
        <w:t>）以该资产生产的产</w:t>
      </w:r>
      <w:r>
        <w:rPr>
          <w:spacing w:val="-65"/>
        </w:rPr>
        <w:t> </w:t>
      </w:r>
      <w:r>
        <w:rPr>
          <w:spacing w:val="-65"/>
        </w:rPr>
      </w:r>
      <w:r>
        <w:rPr>
          <w:spacing w:val="-2"/>
        </w:rPr>
        <w:t>品或提供劳务的市场需求情况；（</w:t>
      </w:r>
      <w:r>
        <w:rPr>
          <w:rFonts w:ascii="宋体" w:hAnsi="宋体" w:cs="宋体" w:eastAsia="宋体" w:hint="default"/>
          <w:spacing w:val="-2"/>
        </w:rPr>
        <w:t>4</w:t>
      </w:r>
      <w:r>
        <w:rPr>
          <w:spacing w:val="-2"/>
        </w:rPr>
        <w:t>）现在或潜在的竞争者预期采取的行动；（</w:t>
      </w:r>
      <w:r>
        <w:rPr>
          <w:rFonts w:ascii="宋体" w:hAnsi="宋体" w:cs="宋体" w:eastAsia="宋体" w:hint="default"/>
          <w:spacing w:val="-2"/>
        </w:rPr>
        <w:t>5</w:t>
      </w:r>
      <w:r>
        <w:rPr>
          <w:spacing w:val="-2"/>
        </w:rPr>
        <w:t>）为维持该资产带来经济利益能力的预期维</w:t>
      </w:r>
      <w:r>
        <w:rPr>
          <w:spacing w:val="-66"/>
        </w:rPr>
        <w:t> </w:t>
      </w:r>
      <w:r>
        <w:rPr>
          <w:spacing w:val="-66"/>
        </w:rPr>
      </w:r>
      <w:r>
        <w:rPr/>
        <w:t>护支出，以及公司预计支付有关支出的能力；（</w:t>
      </w:r>
      <w:r>
        <w:rPr>
          <w:rFonts w:ascii="宋体" w:hAnsi="宋体" w:cs="宋体" w:eastAsia="宋体" w:hint="default"/>
        </w:rPr>
        <w:t>6</w:t>
      </w:r>
      <w:r>
        <w:rPr/>
        <w:t>）对该资产控制期限的相关法律规定或类似限制，如特许使用期、租赁期 等；（</w:t>
      </w:r>
      <w:r>
        <w:rPr>
          <w:rFonts w:ascii="宋体" w:hAnsi="宋体" w:cs="宋体" w:eastAsia="宋体" w:hint="default"/>
        </w:rPr>
        <w:t>7</w:t>
      </w:r>
      <w:r>
        <w:rPr/>
        <w:t>）与公司持有其他资产使用寿命的关联性等。</w:t>
      </w:r>
    </w:p>
    <w:p>
      <w:pPr>
        <w:pStyle w:val="BodyText"/>
        <w:spacing w:line="364" w:lineRule="auto" w:before="29"/>
        <w:ind w:left="574" w:right="1152"/>
        <w:jc w:val="left"/>
      </w:pPr>
      <w:r>
        <w:rPr>
          <w:rFonts w:ascii="宋体" w:hAnsi="宋体" w:cs="宋体" w:eastAsia="宋体" w:hint="default"/>
        </w:rPr>
        <w:t>3.</w:t>
      </w:r>
      <w:r>
        <w:rPr/>
        <w:t>使用寿命有限的无形资产的使用寿命估计情况 使用寿命有限的无形资产，在使用寿命内按照与该项无形资产有关的经济利益的预期实现方式系统合理地摊销，无法</w:t>
      </w:r>
    </w:p>
    <w:p>
      <w:pPr>
        <w:pStyle w:val="BodyText"/>
        <w:spacing w:line="240" w:lineRule="auto" w:before="29"/>
        <w:ind w:right="940"/>
        <w:jc w:val="left"/>
      </w:pPr>
      <w:r>
        <w:rPr/>
        <w:t>可靠确定预期实现方式的，采用直线法摊销。</w:t>
      </w:r>
    </w:p>
    <w:p>
      <w:pPr>
        <w:spacing w:line="240" w:lineRule="auto" w:before="11"/>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4126"/>
        <w:gridCol w:w="4486"/>
      </w:tblGrid>
      <w:tr>
        <w:trPr>
          <w:trHeight w:val="39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left="422" w:right="0"/>
              <w:jc w:val="left"/>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39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4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left="4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w:t>
            </w:r>
          </w:p>
        </w:tc>
      </w:tr>
      <w:tr>
        <w:trPr>
          <w:trHeight w:val="39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4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left="422" w:right="0"/>
              <w:jc w:val="left"/>
              <w:rPr>
                <w:rFonts w:ascii="宋体" w:hAnsi="宋体" w:cs="宋体" w:eastAsia="宋体" w:hint="default"/>
                <w:sz w:val="18"/>
                <w:szCs w:val="18"/>
              </w:rPr>
            </w:pPr>
            <w:r>
              <w:rPr>
                <w:rFonts w:ascii="宋体" w:hAnsi="宋体" w:cs="宋体" w:eastAsia="宋体" w:hint="default"/>
                <w:sz w:val="18"/>
                <w:szCs w:val="18"/>
              </w:rPr>
              <w:t>土地证登记使用年限</w:t>
            </w:r>
          </w:p>
        </w:tc>
      </w:tr>
      <w:tr>
        <w:trPr>
          <w:trHeight w:val="39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22" w:right="0"/>
              <w:jc w:val="left"/>
              <w:rPr>
                <w:rFonts w:ascii="宋体" w:hAnsi="宋体" w:cs="宋体" w:eastAsia="宋体" w:hint="default"/>
                <w:sz w:val="18"/>
                <w:szCs w:val="18"/>
              </w:rPr>
            </w:pPr>
            <w:r>
              <w:rPr>
                <w:rFonts w:ascii="宋体" w:hAnsi="宋体" w:cs="宋体" w:eastAsia="宋体" w:hint="default"/>
                <w:sz w:val="18"/>
                <w:szCs w:val="18"/>
              </w:rPr>
              <w:t>软件著作权及专利技术</w:t>
            </w:r>
          </w:p>
        </w:tc>
        <w:tc>
          <w:tcPr>
            <w:tcW w:w="4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left="4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w:t>
            </w:r>
          </w:p>
        </w:tc>
      </w:tr>
      <w:tr>
        <w:trPr>
          <w:trHeight w:val="39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22" w:right="0"/>
              <w:jc w:val="left"/>
              <w:rPr>
                <w:rFonts w:ascii="宋体" w:hAnsi="宋体" w:cs="宋体" w:eastAsia="宋体" w:hint="default"/>
                <w:sz w:val="18"/>
                <w:szCs w:val="18"/>
              </w:rPr>
            </w:pPr>
            <w:r>
              <w:rPr>
                <w:rFonts w:ascii="宋体" w:hAnsi="宋体" w:cs="宋体" w:eastAsia="宋体" w:hint="default"/>
                <w:sz w:val="18"/>
                <w:szCs w:val="18"/>
              </w:rPr>
              <w:t>域名</w:t>
            </w:r>
          </w:p>
        </w:tc>
        <w:tc>
          <w:tcPr>
            <w:tcW w:w="4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left="4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w:t>
            </w:r>
          </w:p>
        </w:tc>
      </w:tr>
    </w:tbl>
    <w:p>
      <w:pPr>
        <w:pStyle w:val="BodyText"/>
        <w:spacing w:line="364" w:lineRule="auto" w:before="33"/>
        <w:ind w:right="1133" w:firstLine="420"/>
        <w:jc w:val="both"/>
      </w:pPr>
      <w:r>
        <w:rPr/>
        <w:t>公司于每年年度终了，对使用寿命有限的无形资产的使用寿命及摊销方法进行复核，无形资产的使用寿命及摊销方法 </w:t>
      </w:r>
      <w:r>
        <w:rPr>
          <w:spacing w:val="-2"/>
        </w:rPr>
        <w:t>与以前估计不同的，则改变摊销期限和摊销方法；对使用寿命不确定的无形资产的使用寿命进行复核，如果有证据表明无形</w:t>
      </w:r>
      <w:r>
        <w:rPr>
          <w:spacing w:val="-66"/>
        </w:rPr>
        <w:t> </w:t>
      </w:r>
      <w:r>
        <w:rPr>
          <w:spacing w:val="-66"/>
        </w:rPr>
      </w:r>
      <w:r>
        <w:rPr/>
        <w:t>资产的使用寿命是有限的，估计其使用寿命，按准则规定处理。</w:t>
      </w:r>
    </w:p>
    <w:p>
      <w:pPr>
        <w:pStyle w:val="BodyText"/>
        <w:spacing w:line="364" w:lineRule="auto" w:before="29"/>
        <w:ind w:left="574" w:right="4392"/>
        <w:jc w:val="left"/>
      </w:pPr>
      <w:r>
        <w:rPr/>
        <w:t>经复核，本报告期末无形资产的使用寿命及摊销方法与以前估计未有不同。 </w:t>
      </w:r>
      <w:r>
        <w:rPr>
          <w:rFonts w:ascii="宋体" w:hAnsi="宋体" w:cs="宋体" w:eastAsia="宋体" w:hint="default"/>
        </w:rPr>
        <w:t>4.</w:t>
      </w:r>
      <w:r>
        <w:rPr/>
        <w:t>无形资产减值</w:t>
      </w:r>
    </w:p>
    <w:p>
      <w:pPr>
        <w:pStyle w:val="BodyText"/>
        <w:spacing w:line="364" w:lineRule="auto" w:before="30"/>
        <w:ind w:right="1170" w:firstLine="420"/>
        <w:jc w:val="both"/>
      </w:pPr>
      <w:r>
        <w:rPr/>
        <w:t>对于使用寿命确定的无形资产，如有明显减值迹象的，期末进行减值测试。对于使用寿命不确定的无形资产，每期末 进行减值测试。</w:t>
      </w:r>
    </w:p>
    <w:p>
      <w:pPr>
        <w:pStyle w:val="BodyText"/>
        <w:spacing w:line="364" w:lineRule="auto" w:before="29"/>
        <w:ind w:right="1169" w:firstLine="420"/>
        <w:jc w:val="both"/>
      </w:pPr>
      <w:r>
        <w:rPr/>
        <w:t>对无形资产进行减值测试，估计其可收回金额。可收回金额根据无形资产的公允价值减去处置费用后的净额与无形资 产预计未来现金流量的现值两者之间较高者确定。</w:t>
      </w:r>
    </w:p>
    <w:p>
      <w:pPr>
        <w:pStyle w:val="BodyText"/>
        <w:spacing w:line="364" w:lineRule="auto" w:before="29"/>
        <w:ind w:right="1170" w:firstLine="420"/>
        <w:jc w:val="both"/>
      </w:pPr>
      <w:r>
        <w:rPr/>
        <w:t>当无形资产的可收回金额低于其账面价值的，将无形资产的账面价值减记至可收回金额，减记的金额确认为无形资产 减值损失，计入当期损益。</w:t>
      </w:r>
    </w:p>
    <w:p>
      <w:pPr>
        <w:pStyle w:val="BodyText"/>
        <w:spacing w:line="364" w:lineRule="auto" w:before="29"/>
        <w:ind w:right="1170" w:firstLine="420"/>
        <w:jc w:val="both"/>
      </w:pPr>
      <w:r>
        <w:rPr/>
        <w:t>无形资产减值损失确认后，减值无形资产的折耗或者摊销费用在未来期间作相应调整，以使该无形资产在剩余使用寿 命内，系统地分摊调整后的无形资产账面价值（扣除预计净残值）。</w:t>
      </w:r>
    </w:p>
    <w:p>
      <w:pPr>
        <w:pStyle w:val="BodyText"/>
        <w:spacing w:line="364" w:lineRule="auto" w:before="29"/>
        <w:ind w:left="574" w:right="1152"/>
        <w:jc w:val="left"/>
      </w:pPr>
      <w:r>
        <w:rPr/>
        <w:t>无形资产的减值损失一经确认，在以后会计期间不再转回。 有迹象表明一项无形资产可能发生减值的，公司以单项无形资产为基础估计其可收回金额。公司难以对单项资产的可</w:t>
      </w:r>
    </w:p>
    <w:p>
      <w:pPr>
        <w:pStyle w:val="BodyText"/>
        <w:spacing w:line="240" w:lineRule="auto" w:before="29"/>
        <w:ind w:right="0"/>
        <w:jc w:val="both"/>
      </w:pPr>
      <w:r>
        <w:rPr/>
        <w:t>收回金额进行估计的，以该无形资产所属的资产组为基础确定无形资产组的可收回金额。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Heading4"/>
        <w:spacing w:line="240" w:lineRule="auto"/>
        <w:ind w:right="0"/>
        <w:jc w:val="both"/>
        <w:rPr>
          <w:b w:val="0"/>
          <w:bCs w:val="0"/>
        </w:rPr>
      </w:pPr>
      <w:bookmarkStart w:name="（2）内部研究开发支出会计政策" w:id="204"/>
      <w:bookmarkEnd w:id="204"/>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3"/>
        <w:rPr>
          <w:rFonts w:ascii="宋体" w:hAnsi="宋体" w:cs="宋体" w:eastAsia="宋体" w:hint="default"/>
          <w:b/>
          <w:bCs/>
          <w:sz w:val="28"/>
          <w:szCs w:val="28"/>
        </w:rPr>
      </w:pPr>
    </w:p>
    <w:p>
      <w:pPr>
        <w:pStyle w:val="BodyText"/>
        <w:spacing w:line="364" w:lineRule="auto"/>
        <w:ind w:left="574" w:right="1152"/>
        <w:jc w:val="left"/>
      </w:pPr>
      <w:r>
        <w:rPr/>
        <w:t>本公司内部研究开发项目的支出，区分研究阶段支出与开发阶段支出。 </w:t>
      </w:r>
      <w:r>
        <w:rPr>
          <w:rFonts w:ascii="宋体" w:hAnsi="宋体" w:cs="宋体" w:eastAsia="宋体" w:hint="default"/>
        </w:rPr>
        <w:t>1.</w:t>
      </w:r>
      <w:r>
        <w:rPr/>
        <w:t>划分公司内部研究开发项目的研究阶段和开发阶段的标准：为获取并理解新的科学或技术知识而进行的独创性的有</w:t>
      </w:r>
    </w:p>
    <w:p>
      <w:pPr>
        <w:pStyle w:val="BodyText"/>
        <w:spacing w:line="364" w:lineRule="auto" w:before="29"/>
        <w:ind w:right="1131"/>
        <w:jc w:val="both"/>
      </w:pPr>
      <w:r>
        <w:rPr>
          <w:spacing w:val="-2"/>
        </w:rPr>
        <w:t>计划调查、资料搜集及相关方面的准备活动作为研究阶段的支出，于发生时计入当期损益；本公司完成研究阶段工作，进行</w:t>
      </w:r>
      <w:r>
        <w:rPr>
          <w:spacing w:val="-66"/>
        </w:rPr>
        <w:t> </w:t>
      </w:r>
      <w:r>
        <w:rPr>
          <w:spacing w:val="-66"/>
        </w:rPr>
      </w:r>
      <w:r>
        <w:rPr>
          <w:spacing w:val="-2"/>
        </w:rPr>
        <w:t>商业性生产或使用前，将研究成果或其他知识应用于某项计划或设计，以生产出新的或具有实质性改进的材料、装置、产品</w:t>
      </w:r>
      <w:r>
        <w:rPr>
          <w:spacing w:val="-66"/>
        </w:rPr>
        <w:t> </w:t>
      </w:r>
      <w:r>
        <w:rPr>
          <w:spacing w:val="-66"/>
        </w:rPr>
      </w:r>
      <w:r>
        <w:rPr/>
        <w:t>的活动作为研发阶段，研发支出予以资本化。</w:t>
      </w:r>
    </w:p>
    <w:p>
      <w:pPr>
        <w:spacing w:after="0" w:line="364" w:lineRule="auto"/>
        <w:jc w:val="both"/>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7"/>
        <w:ind w:left="574" w:right="940"/>
        <w:jc w:val="left"/>
      </w:pPr>
      <w:r>
        <w:rPr>
          <w:rFonts w:ascii="宋体" w:hAnsi="宋体" w:cs="宋体" w:eastAsia="宋体" w:hint="default"/>
          <w:spacing w:val="-3"/>
        </w:rPr>
        <w:t>2.</w:t>
      </w:r>
      <w:r>
        <w:rPr>
          <w:spacing w:val="-3"/>
        </w:rPr>
        <w:t>研发阶段支出符合资本化的具体标准：内部研究开发项目开发阶段的支出，同时满足下列条件的，确认为无形资产：</w:t>
      </w:r>
    </w:p>
    <w:p>
      <w:pPr>
        <w:pStyle w:val="BodyText"/>
        <w:spacing w:line="364" w:lineRule="auto" w:before="123"/>
        <w:ind w:right="940"/>
        <w:jc w:val="left"/>
      </w:pPr>
      <w:r>
        <w:rPr>
          <w:spacing w:val="-2"/>
        </w:rPr>
        <w:t>①完成该无形资产以使其能够使用或出售在技术上具有可行性；②具有完成该无形资产并使用或出售的意图；③无形资产产</w:t>
      </w:r>
      <w:r>
        <w:rPr>
          <w:spacing w:val="-64"/>
        </w:rPr>
        <w:t> </w:t>
      </w:r>
      <w:r>
        <w:rPr>
          <w:spacing w:val="-64"/>
        </w:rPr>
      </w:r>
      <w:r>
        <w:rPr>
          <w:spacing w:val="-4"/>
        </w:rPr>
        <w:t>生经济利益的方式，包括能够证明运用该无形资产生产的产品存在市场或无形资产自身存在市场，无形资产将在内部使用的，</w:t>
      </w:r>
      <w:r>
        <w:rPr>
          <w:spacing w:val="-44"/>
        </w:rPr>
        <w:t> </w:t>
      </w:r>
      <w:r>
        <w:rPr>
          <w:spacing w:val="-44"/>
        </w:rPr>
      </w:r>
      <w:r>
        <w:rPr>
          <w:spacing w:val="-2"/>
        </w:rPr>
        <w:t>应当证明其有用性；④有足够的技术、财务资源和其他资源支持，以完成该无形资产的开发，并有能力使用或出售该无形资</w:t>
      </w:r>
      <w:r>
        <w:rPr>
          <w:spacing w:val="-66"/>
        </w:rPr>
        <w:t> </w:t>
      </w:r>
      <w:r>
        <w:rPr>
          <w:spacing w:val="-66"/>
        </w:rPr>
      </w:r>
      <w:r>
        <w:rPr/>
        <w:t>产；⑤归属于该无形资产开发阶段的支出能够可靠地计量。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3"/>
        <w:ind w:right="940"/>
        <w:jc w:val="left"/>
        <w:rPr>
          <w:b w:val="0"/>
          <w:bCs w:val="0"/>
        </w:rPr>
      </w:pPr>
      <w:bookmarkStart w:name="22、长期资产减值" w:id="205"/>
      <w:bookmarkEnd w:id="205"/>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3"/>
        <w:rPr>
          <w:rFonts w:ascii="宋体" w:hAnsi="宋体" w:cs="宋体" w:eastAsia="宋体" w:hint="default"/>
          <w:b/>
          <w:bCs/>
          <w:sz w:val="28"/>
          <w:szCs w:val="28"/>
        </w:rPr>
      </w:pPr>
    </w:p>
    <w:p>
      <w:pPr>
        <w:pStyle w:val="BodyText"/>
        <w:spacing w:line="364" w:lineRule="auto"/>
        <w:ind w:left="574" w:right="1152"/>
        <w:jc w:val="left"/>
      </w:pPr>
      <w:r>
        <w:rPr>
          <w:rFonts w:ascii="宋体" w:hAnsi="宋体" w:cs="宋体" w:eastAsia="宋体" w:hint="default"/>
        </w:rPr>
        <w:t>1</w:t>
      </w:r>
      <w:r>
        <w:rPr/>
        <w:t>、长期投资减值的确认 本公司在资产负债表日对长期股权投资进行逐项检查，根据被投资单位经营政策、法律环境、市场需求、行业及盈利</w:t>
      </w:r>
    </w:p>
    <w:p>
      <w:pPr>
        <w:pStyle w:val="BodyText"/>
        <w:spacing w:line="364" w:lineRule="auto" w:before="29"/>
        <w:ind w:left="574" w:right="1152" w:hanging="420"/>
        <w:jc w:val="left"/>
      </w:pPr>
      <w:r>
        <w:rPr/>
        <w:t>能力等各种变化判断长期股权投资是否存在减值迹象。 除因企业合并形成的商誉以外的存在减值迹象的其他长期股权投资，如果可收回金额的计量结果表明，该长期股权投</w:t>
      </w:r>
    </w:p>
    <w:p>
      <w:pPr>
        <w:pStyle w:val="BodyText"/>
        <w:spacing w:line="364" w:lineRule="auto" w:before="29"/>
        <w:ind w:left="574" w:right="4572" w:hanging="420"/>
        <w:jc w:val="left"/>
      </w:pPr>
      <w:r>
        <w:rPr/>
        <w:t>资的可收回金额低于其账面价值的，将差额确认为减值损失。 因企业合并形成的商誉，无论是否存在减值迹象，每年都进行减值测试。 长期股权投资减值损失一经确认，不再转回。</w:t>
      </w:r>
    </w:p>
    <w:p>
      <w:pPr>
        <w:pStyle w:val="BodyText"/>
        <w:spacing w:line="364" w:lineRule="auto" w:before="29"/>
        <w:ind w:left="574" w:right="1152"/>
        <w:jc w:val="left"/>
      </w:pPr>
      <w:r>
        <w:rPr>
          <w:rFonts w:ascii="宋体" w:hAnsi="宋体" w:cs="宋体" w:eastAsia="宋体" w:hint="default"/>
        </w:rPr>
        <w:t>2</w:t>
      </w:r>
      <w:r>
        <w:rPr/>
        <w:t>、固定资产减值的确认 公司在每期末判断固定资产是否存在可能发生减值的迹象，如果存在资产市价持续下跌，或技术陈旧、损坏、长期闲</w:t>
      </w:r>
    </w:p>
    <w:p>
      <w:pPr>
        <w:pStyle w:val="BodyText"/>
        <w:spacing w:line="364" w:lineRule="auto" w:before="29"/>
        <w:ind w:right="940"/>
        <w:jc w:val="left"/>
      </w:pPr>
      <w:r>
        <w:rPr>
          <w:spacing w:val="-2"/>
        </w:rPr>
        <w:t>置等减值迹象的，估计其可收回金额。可收回金额根据固定资产的公允价值减去处置费用后的净额与固定资产预计未来现金</w:t>
      </w:r>
      <w:r>
        <w:rPr>
          <w:spacing w:val="-63"/>
        </w:rPr>
        <w:t> </w:t>
      </w:r>
      <w:r>
        <w:rPr>
          <w:spacing w:val="-63"/>
        </w:rPr>
      </w:r>
      <w:r>
        <w:rPr/>
        <w:t>流量的现值两者之间较高者确定。</w:t>
      </w:r>
    </w:p>
    <w:p>
      <w:pPr>
        <w:pStyle w:val="BodyText"/>
        <w:spacing w:line="364" w:lineRule="auto" w:before="29"/>
        <w:ind w:right="1152" w:firstLine="420"/>
        <w:jc w:val="left"/>
      </w:pPr>
      <w:r>
        <w:rPr/>
        <w:t>当固定资产的可收回金额低于其账面价值的，将固定资产的账面价值减记至可收回金额，减记的金额确认为固定资产 减值损失，计入当期损益，同时计提相应的固定资产减值准备。</w:t>
      </w:r>
    </w:p>
    <w:p>
      <w:pPr>
        <w:pStyle w:val="BodyText"/>
        <w:spacing w:line="364" w:lineRule="auto" w:before="29"/>
        <w:ind w:right="1152" w:firstLine="420"/>
        <w:jc w:val="left"/>
      </w:pPr>
      <w:r>
        <w:rPr/>
        <w:t>固定资产减值损失确认后，减值固定资产的折旧在未来期间作相应调整，以使该固定资产在剩余使用寿命内，系统地 分摊调整后的固定资产账面价值（扣除预计净残值）。</w:t>
      </w:r>
    </w:p>
    <w:p>
      <w:pPr>
        <w:pStyle w:val="BodyText"/>
        <w:spacing w:line="364" w:lineRule="auto" w:before="29"/>
        <w:ind w:left="574" w:right="1152"/>
        <w:jc w:val="left"/>
      </w:pPr>
      <w:r>
        <w:rPr/>
        <w:t>固定资产的减值损失一经确认，在以后会计期间不再转回。 有迹象表明一项固定资产可能发生减值的，企业以单项固定资产为基础估计其可收回金额。企业难以对单项固定资产</w:t>
      </w:r>
    </w:p>
    <w:p>
      <w:pPr>
        <w:pStyle w:val="BodyText"/>
        <w:spacing w:line="364" w:lineRule="auto" w:before="29"/>
        <w:ind w:left="574" w:right="3732" w:hanging="420"/>
        <w:jc w:val="left"/>
      </w:pPr>
      <w:r>
        <w:rPr/>
        <w:t>的可收回金额进行估计的，以该固定资产所属的资产组为基础确定资产组的可收回金额。 </w:t>
      </w:r>
      <w:r>
        <w:rPr>
          <w:rFonts w:ascii="宋体" w:hAnsi="宋体" w:cs="宋体" w:eastAsia="宋体" w:hint="default"/>
        </w:rPr>
        <w:t>3</w:t>
      </w:r>
      <w:r>
        <w:rPr/>
        <w:t>、在建工程减值的确认</w:t>
      </w:r>
    </w:p>
    <w:p>
      <w:pPr>
        <w:pStyle w:val="BodyText"/>
        <w:spacing w:line="364" w:lineRule="auto" w:before="29"/>
        <w:ind w:right="940" w:firstLine="420"/>
        <w:jc w:val="left"/>
      </w:pPr>
      <w:r>
        <w:rPr/>
        <w:t>公司在每期末判断在建工程是否存在可能发生减值的迹象。如果存在：</w:t>
      </w:r>
      <w:r>
        <w:rPr>
          <w:rFonts w:ascii="宋体" w:hAnsi="宋体" w:cs="宋体" w:eastAsia="宋体" w:hint="default"/>
        </w:rPr>
        <w:t>a.</w:t>
      </w:r>
      <w:r>
        <w:rPr/>
        <w:t>在建工程长期停建并且预计在未来</w:t>
      </w:r>
      <w:r>
        <w:rPr>
          <w:rFonts w:ascii="宋体" w:hAnsi="宋体" w:cs="宋体" w:eastAsia="宋体" w:hint="default"/>
        </w:rPr>
        <w:t>3</w:t>
      </w:r>
      <w:r>
        <w:rPr/>
        <w:t>年内不会 重新开工；</w:t>
      </w:r>
      <w:r>
        <w:rPr>
          <w:rFonts w:ascii="宋体" w:hAnsi="宋体" w:cs="宋体" w:eastAsia="宋体" w:hint="default"/>
        </w:rPr>
        <w:t>b.</w:t>
      </w:r>
      <w:r>
        <w:rPr/>
        <w:t>所建项目在性能上、技术上已经落后并且所带来的经济效益具有很大的不确定性等减值迹象的，估计其可收回 </w:t>
      </w:r>
      <w:r>
        <w:rPr>
          <w:spacing w:val="-2"/>
        </w:rPr>
        <w:t>金额。可收回金额根据在建工程的公允价值减去处置费用后的净额与在建工程预计未来现金流量的现值两者之间较高者确定。</w:t>
      </w:r>
    </w:p>
    <w:p>
      <w:pPr>
        <w:pStyle w:val="BodyText"/>
        <w:spacing w:line="364" w:lineRule="auto" w:before="29"/>
        <w:ind w:right="1152" w:firstLine="420"/>
        <w:jc w:val="left"/>
      </w:pPr>
      <w:r>
        <w:rPr/>
        <w:t>当在建工程的可收回金额低于其账面价值的，将在建工程的账面价值减记至可收回金额，减记的金额确认为在建工程 减值损失，计入当期损益。</w:t>
      </w:r>
    </w:p>
    <w:p>
      <w:pPr>
        <w:pStyle w:val="BodyText"/>
        <w:spacing w:line="364" w:lineRule="auto" w:before="29"/>
        <w:ind w:left="574" w:right="1152"/>
        <w:jc w:val="left"/>
      </w:pPr>
      <w:r>
        <w:rPr/>
        <w:t>在建工程的减值损失一经确认，在以后会计期间不再转回。 有迹象表明一项在建工程可能发生减值的，企业以单项在建工程为基础估计其可收回金额。企业难以对单项在建工程</w:t>
      </w:r>
    </w:p>
    <w:p>
      <w:pPr>
        <w:pStyle w:val="BodyText"/>
        <w:spacing w:line="364" w:lineRule="auto" w:before="30"/>
        <w:ind w:left="574" w:right="3732" w:hanging="420"/>
        <w:jc w:val="left"/>
      </w:pPr>
      <w:r>
        <w:rPr/>
        <w:t>的可收回金额进行估计的，以该在建工程所属的资产组为基础确定资产组的可收回金额。 </w:t>
      </w:r>
      <w:r>
        <w:rPr>
          <w:rFonts w:ascii="宋体" w:hAnsi="宋体" w:cs="宋体" w:eastAsia="宋体" w:hint="default"/>
        </w:rPr>
        <w:t>4.</w:t>
      </w:r>
      <w:r>
        <w:rPr/>
        <w:t>无形资产减值的确认</w:t>
      </w:r>
    </w:p>
    <w:p>
      <w:pPr>
        <w:pStyle w:val="BodyText"/>
        <w:spacing w:line="364" w:lineRule="auto" w:before="29"/>
        <w:ind w:right="1152" w:firstLine="420"/>
        <w:jc w:val="left"/>
      </w:pPr>
      <w:r>
        <w:rPr/>
        <w:t>对于使用寿命确定的无形资产，如有明显减值迹象的，期末进行减值测试。对于使用寿命不确定的无形资产，每期末 进行减值测试。</w:t>
      </w:r>
    </w:p>
    <w:p>
      <w:pPr>
        <w:spacing w:after="0" w:line="364" w:lineRule="auto"/>
        <w:jc w:val="left"/>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64" w:lineRule="auto" w:before="27"/>
        <w:ind w:right="1170" w:firstLine="420"/>
        <w:jc w:val="both"/>
      </w:pPr>
      <w:r>
        <w:rPr/>
        <w:t>对无形资产进行减值测试，估计其可收回金额。可收回金额根据无形资产的公允价值减去处置费用后的净额与无形资 产预计未来现金流量的现值两者之间较高者确定。</w:t>
      </w:r>
    </w:p>
    <w:p>
      <w:pPr>
        <w:pStyle w:val="BodyText"/>
        <w:spacing w:line="364" w:lineRule="auto" w:before="29"/>
        <w:ind w:right="1170" w:firstLine="420"/>
        <w:jc w:val="both"/>
      </w:pPr>
      <w:r>
        <w:rPr/>
        <w:t>当无形资产的可收回金额低于其账面价值的，将无形资产的账面价值减记至可收回金额，减记的金额确认为无形资产 减值损失，计入当期损益。</w:t>
      </w:r>
    </w:p>
    <w:p>
      <w:pPr>
        <w:pStyle w:val="BodyText"/>
        <w:spacing w:line="364" w:lineRule="auto" w:before="29"/>
        <w:ind w:right="1170" w:firstLine="420"/>
        <w:jc w:val="both"/>
      </w:pPr>
      <w:r>
        <w:rPr/>
        <w:t>无形资产减值损失确认后，减值无形资产的折耗或者摊销费用在未来期间作相应调整，以使该无形资产在剩余使用寿 命内，系统地分摊调整后的无形资产账面价值（扣除预计净残值）。</w:t>
      </w:r>
    </w:p>
    <w:p>
      <w:pPr>
        <w:pStyle w:val="BodyText"/>
        <w:spacing w:line="364" w:lineRule="auto" w:before="29"/>
        <w:ind w:left="574" w:right="1152"/>
        <w:jc w:val="left"/>
      </w:pPr>
      <w:r>
        <w:rPr/>
        <w:t>无形资产的减值损失一经确认，在以后会计期间不再转回。 有迹象表明一项无形资产可能发生减值的，公司以单项无形资产为基础估计其可收回金额。公司难以对单项资产的可</w:t>
      </w:r>
    </w:p>
    <w:p>
      <w:pPr>
        <w:pStyle w:val="BodyText"/>
        <w:spacing w:line="240" w:lineRule="auto" w:before="29"/>
        <w:ind w:right="940"/>
        <w:jc w:val="left"/>
      </w:pPr>
      <w:r>
        <w:rPr/>
        <w:t>收回金额进行估计的，以该无形资产所属的资产组为基础确定无形资产组的可收回金额。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Heading4"/>
        <w:spacing w:line="240" w:lineRule="auto"/>
        <w:ind w:right="940"/>
        <w:jc w:val="left"/>
        <w:rPr>
          <w:b w:val="0"/>
          <w:bCs w:val="0"/>
        </w:rPr>
      </w:pPr>
      <w:bookmarkStart w:name="23、长期待摊费用" w:id="206"/>
      <w:bookmarkEnd w:id="206"/>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3"/>
        <w:rPr>
          <w:rFonts w:ascii="宋体" w:hAnsi="宋体" w:cs="宋体" w:eastAsia="宋体" w:hint="default"/>
          <w:b/>
          <w:bCs/>
          <w:sz w:val="28"/>
          <w:szCs w:val="28"/>
        </w:rPr>
      </w:pPr>
    </w:p>
    <w:p>
      <w:pPr>
        <w:pStyle w:val="BodyText"/>
        <w:spacing w:line="364" w:lineRule="auto"/>
        <w:ind w:right="1129" w:firstLine="420"/>
        <w:jc w:val="both"/>
      </w:pPr>
      <w:r>
        <w:rPr>
          <w:rFonts w:ascii="宋体" w:hAnsi="宋体" w:cs="宋体" w:eastAsia="宋体" w:hint="default"/>
          <w:spacing w:val="-1"/>
        </w:rPr>
        <w:t>1.</w:t>
      </w:r>
      <w:r>
        <w:rPr>
          <w:spacing w:val="-1"/>
        </w:rPr>
        <w:t>本公司长期待摊费用为已经支出，但受益期限在</w:t>
      </w:r>
      <w:r>
        <w:rPr>
          <w:rFonts w:ascii="宋体" w:hAnsi="宋体" w:cs="宋体" w:eastAsia="宋体" w:hint="default"/>
          <w:spacing w:val="-1"/>
        </w:rPr>
        <w:t>1</w:t>
      </w:r>
      <w:r>
        <w:rPr>
          <w:spacing w:val="-1"/>
        </w:rPr>
        <w:t>年以上的费用。长期待摊费用能够确定受益期的，在受益期内平均</w:t>
      </w:r>
      <w:r>
        <w:rPr/>
        <w:t> 摊销；不能确定受益期的，按不超过五年的期限平均摊销。</w:t>
      </w:r>
    </w:p>
    <w:p>
      <w:pPr>
        <w:pStyle w:val="BodyText"/>
        <w:spacing w:line="240" w:lineRule="auto" w:before="29"/>
        <w:ind w:left="574" w:right="940"/>
        <w:jc w:val="left"/>
      </w:pPr>
      <w:r>
        <w:rPr>
          <w:rFonts w:ascii="宋体" w:hAnsi="宋体" w:cs="宋体" w:eastAsia="宋体" w:hint="default"/>
        </w:rPr>
        <w:t>2.</w:t>
      </w:r>
      <w:r>
        <w:rPr/>
        <w:t>筹建期间发生的相关筹建费用（除购建固定资产以外），计入当期损益。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pStyle w:val="Heading4"/>
        <w:spacing w:line="240" w:lineRule="auto"/>
        <w:ind w:right="940"/>
        <w:jc w:val="left"/>
        <w:rPr>
          <w:b w:val="0"/>
          <w:bCs w:val="0"/>
        </w:rPr>
      </w:pPr>
      <w:bookmarkStart w:name="24、职工薪酬" w:id="207"/>
      <w:bookmarkEnd w:id="207"/>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0"/>
        <w:jc w:val="left"/>
        <w:rPr>
          <w:b w:val="0"/>
          <w:bCs w:val="0"/>
        </w:rPr>
      </w:pPr>
      <w:bookmarkStart w:name="（1）短期薪酬的会计处理方法" w:id="208"/>
      <w:bookmarkEnd w:id="208"/>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3"/>
        <w:rPr>
          <w:rFonts w:ascii="宋体" w:hAnsi="宋体" w:cs="宋体" w:eastAsia="宋体" w:hint="default"/>
          <w:b/>
          <w:bCs/>
          <w:sz w:val="28"/>
          <w:szCs w:val="28"/>
        </w:rPr>
      </w:pPr>
    </w:p>
    <w:p>
      <w:pPr>
        <w:pStyle w:val="BodyText"/>
        <w:spacing w:line="364" w:lineRule="auto"/>
        <w:ind w:right="1133" w:firstLine="420"/>
        <w:jc w:val="both"/>
      </w:pPr>
      <w:r>
        <w:rPr/>
        <w:t>短期薪酬，是指企业在职工提供相关服务的年度报告期间结束后十二个月内需要全部予以支付的职工薪酬，因解除与 </w:t>
      </w:r>
      <w:r>
        <w:rPr>
          <w:spacing w:val="-2"/>
        </w:rPr>
        <w:t>职工的劳动关系给予的补偿除外。短期薪酬具体包括：职工工资、奖金、津贴和补贴，职工福利费，医疗保险费、工伤保险</w:t>
      </w:r>
      <w:r>
        <w:rPr>
          <w:spacing w:val="-72"/>
        </w:rPr>
        <w:t> </w:t>
      </w:r>
      <w:r>
        <w:rPr>
          <w:spacing w:val="-72"/>
        </w:rPr>
      </w:r>
      <w:r>
        <w:rPr>
          <w:spacing w:val="-2"/>
        </w:rPr>
        <w:t>费和生育保险费等社会保险费，住房公积金，工会经费和职工教育经费，短期带薪缺勤，短期利润分享计划，非货币性福利</w:t>
      </w:r>
      <w:r>
        <w:rPr>
          <w:spacing w:val="-66"/>
        </w:rPr>
        <w:t> </w:t>
      </w:r>
      <w:r>
        <w:rPr>
          <w:spacing w:val="-66"/>
        </w:rPr>
      </w:r>
      <w:r>
        <w:rPr/>
        <w:t>以及其他短期薪酬。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3"/>
        <w:ind w:right="940"/>
        <w:jc w:val="left"/>
        <w:rPr>
          <w:b w:val="0"/>
          <w:bCs w:val="0"/>
        </w:rPr>
      </w:pPr>
      <w:bookmarkStart w:name="（2）离职后福利的会计处理方法" w:id="209"/>
      <w:bookmarkEnd w:id="209"/>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3"/>
        <w:rPr>
          <w:rFonts w:ascii="宋体" w:hAnsi="宋体" w:cs="宋体" w:eastAsia="宋体" w:hint="default"/>
          <w:b/>
          <w:bCs/>
          <w:sz w:val="28"/>
          <w:szCs w:val="28"/>
        </w:rPr>
      </w:pPr>
    </w:p>
    <w:p>
      <w:pPr>
        <w:pStyle w:val="BodyText"/>
        <w:spacing w:line="364" w:lineRule="auto"/>
        <w:ind w:right="1131" w:firstLine="420"/>
        <w:jc w:val="both"/>
      </w:pPr>
      <w:r>
        <w:rPr>
          <w:spacing w:val="-3"/>
        </w:rPr>
        <w:t>离职后福利，是指企业为获得职工提供的服务而在职工退休或与企业解除劳动关系后，提供的各种形式的报酬和福利，</w:t>
      </w:r>
      <w:r>
        <w:rPr/>
        <w:t> 短期薪酬和辞退福利除外。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3"/>
        <w:ind w:right="940"/>
        <w:jc w:val="left"/>
        <w:rPr>
          <w:b w:val="0"/>
          <w:bCs w:val="0"/>
        </w:rPr>
      </w:pPr>
      <w:bookmarkStart w:name="（3）辞退福利的会计处理方法" w:id="210"/>
      <w:bookmarkEnd w:id="210"/>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11"/>
        <w:rPr>
          <w:rFonts w:ascii="宋体" w:hAnsi="宋体" w:cs="宋体" w:eastAsia="宋体" w:hint="default"/>
          <w:b/>
          <w:bCs/>
          <w:sz w:val="24"/>
          <w:szCs w:val="24"/>
        </w:rPr>
      </w:pPr>
    </w:p>
    <w:p>
      <w:pPr>
        <w:pStyle w:val="BodyText"/>
        <w:spacing w:line="240" w:lineRule="auto" w:before="44"/>
        <w:ind w:left="574" w:right="940"/>
        <w:jc w:val="left"/>
      </w:pPr>
      <w:r>
        <w:rPr/>
        <w:t>辞退福利，是指企业在职工劳动合同到期之前解除与职工的劳动关系，或者为鼓励职工自愿接受裁减而给予职工的补</w:t>
      </w:r>
    </w:p>
    <w:p>
      <w:pPr>
        <w:pStyle w:val="BodyText"/>
        <w:spacing w:line="240" w:lineRule="auto" w:before="123"/>
        <w:ind w:right="940"/>
        <w:jc w:val="left"/>
      </w:pPr>
      <w:r>
        <w:rPr/>
        <w:t>偿。</w:t>
      </w:r>
    </w:p>
    <w:p>
      <w:pPr>
        <w:spacing w:after="0" w:line="240" w:lineRule="auto"/>
        <w:jc w:val="left"/>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4）其他长期职工福利的会计处理方法" w:id="211"/>
      <w:bookmarkEnd w:id="211"/>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3"/>
        <w:rPr>
          <w:rFonts w:ascii="宋体" w:hAnsi="宋体" w:cs="宋体" w:eastAsia="宋体" w:hint="default"/>
          <w:b/>
          <w:bCs/>
          <w:sz w:val="28"/>
          <w:szCs w:val="28"/>
        </w:rPr>
      </w:pPr>
    </w:p>
    <w:p>
      <w:pPr>
        <w:pStyle w:val="BodyText"/>
        <w:spacing w:line="364" w:lineRule="auto"/>
        <w:ind w:right="1170" w:firstLine="420"/>
        <w:jc w:val="both"/>
      </w:pPr>
      <w:r>
        <w:rPr/>
        <w:t>其他长期职工福利，是指除短期薪酬、离职后福利、辞退福利之外所有的职工薪酬，包括长期带薪缺勤、长期残疾福 利、长期利润分享计划等。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4"/>
        <w:ind w:right="940"/>
        <w:jc w:val="left"/>
        <w:rPr>
          <w:b w:val="0"/>
          <w:bCs w:val="0"/>
        </w:rPr>
      </w:pPr>
      <w:bookmarkStart w:name="25、预计负债" w:id="212"/>
      <w:bookmarkEnd w:id="212"/>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3"/>
        <w:rPr>
          <w:rFonts w:ascii="宋体" w:hAnsi="宋体" w:cs="宋体" w:eastAsia="宋体" w:hint="default"/>
          <w:b/>
          <w:bCs/>
          <w:sz w:val="28"/>
          <w:szCs w:val="28"/>
        </w:rPr>
      </w:pPr>
    </w:p>
    <w:p>
      <w:pPr>
        <w:pStyle w:val="BodyText"/>
        <w:spacing w:line="364" w:lineRule="auto"/>
        <w:ind w:right="1170" w:firstLine="420"/>
        <w:jc w:val="both"/>
      </w:pPr>
      <w:r>
        <w:rPr/>
        <w:t>本公司涉及诉讼、产品质量保证、债务担保、亏损合同、重组事项时，如该等事项很可能需要未来以交付资产或提供 劳务、其金额能够可靠计量的，确认为预计负债。</w:t>
      </w:r>
    </w:p>
    <w:p>
      <w:pPr>
        <w:pStyle w:val="BodyText"/>
        <w:spacing w:line="364" w:lineRule="auto" w:before="29"/>
        <w:ind w:left="574" w:right="1152"/>
        <w:jc w:val="left"/>
      </w:pPr>
      <w:r>
        <w:rPr>
          <w:rFonts w:ascii="宋体" w:hAnsi="宋体" w:cs="宋体" w:eastAsia="宋体" w:hint="default"/>
        </w:rPr>
        <w:t>1.</w:t>
      </w:r>
      <w:r>
        <w:rPr/>
        <w:t>预计负债确认原则 如果与或有事项相关的义务同时符合以下条件，公司将其确认为预计负债：①该义务是公司承担的现时义务；②该义</w:t>
      </w:r>
    </w:p>
    <w:p>
      <w:pPr>
        <w:pStyle w:val="BodyText"/>
        <w:spacing w:line="364" w:lineRule="auto" w:before="29"/>
        <w:ind w:left="574" w:right="4812" w:hanging="420"/>
        <w:jc w:val="left"/>
      </w:pPr>
      <w:r>
        <w:rPr/>
        <w:t>务的履行很可能导致经济利益流出公司；③该义务的金额能够可靠地计量。 </w:t>
      </w:r>
      <w:r>
        <w:rPr>
          <w:rFonts w:ascii="宋体" w:hAnsi="宋体" w:cs="宋体" w:eastAsia="宋体" w:hint="default"/>
        </w:rPr>
        <w:t>2.</w:t>
      </w:r>
      <w:r>
        <w:rPr/>
        <w:t>预计负债计量方法</w:t>
      </w:r>
    </w:p>
    <w:p>
      <w:pPr>
        <w:pStyle w:val="BodyText"/>
        <w:spacing w:line="364" w:lineRule="auto" w:before="29"/>
        <w:ind w:right="1133" w:firstLine="420"/>
        <w:jc w:val="both"/>
      </w:pPr>
      <w:r>
        <w:rPr/>
        <w:t>按照履行相关现时义务所需支出的最佳估计进行初始计量。本公司在确定最佳估计数时，综合考虑与或有事项有关的 </w:t>
      </w:r>
      <w:r>
        <w:rPr>
          <w:spacing w:val="-2"/>
        </w:rPr>
        <w:t>风险、不确定性和货币时间价值等因素。对于货币时间价值影响重大的，通过对相关未来现金流出进行折现后确定最佳估计</w:t>
      </w:r>
      <w:r>
        <w:rPr>
          <w:spacing w:val="-66"/>
        </w:rPr>
        <w:t> </w:t>
      </w:r>
      <w:r>
        <w:rPr>
          <w:spacing w:val="-66"/>
        </w:rPr>
      </w:r>
      <w:r>
        <w:rPr/>
        <w:t>数。</w:t>
      </w:r>
    </w:p>
    <w:p>
      <w:pPr>
        <w:pStyle w:val="BodyText"/>
        <w:spacing w:line="364" w:lineRule="auto" w:before="29"/>
        <w:ind w:right="1131" w:firstLine="420"/>
        <w:jc w:val="both"/>
      </w:pPr>
      <w:r>
        <w:rPr/>
        <w:t>所需支出存在一个连续范围，且该范围内各种结果发生的可能性相同的，最佳估计数按照该范围内的中间值确定；所 </w:t>
      </w:r>
      <w:r>
        <w:rPr>
          <w:spacing w:val="-2"/>
        </w:rPr>
        <w:t>需支出不存在一个连续范围（或区间），或虽然存在一个连续范围但该范围内各种结果发生的可能性不相同的，如或有事项</w:t>
      </w:r>
      <w:r>
        <w:rPr>
          <w:spacing w:val="-66"/>
        </w:rPr>
        <w:t> </w:t>
      </w:r>
      <w:r>
        <w:rPr>
          <w:spacing w:val="-66"/>
        </w:rPr>
      </w:r>
      <w:r>
        <w:rPr>
          <w:spacing w:val="-2"/>
        </w:rPr>
        <w:t>涉及单个项目的，则最佳估计数按照最可能发生金额确定；如或有事项涉及多个项目的，则最佳估计数按各种可能结果及相</w:t>
      </w:r>
      <w:r>
        <w:rPr>
          <w:spacing w:val="-66"/>
        </w:rPr>
        <w:t> </w:t>
      </w:r>
      <w:r>
        <w:rPr>
          <w:spacing w:val="-66"/>
        </w:rPr>
      </w:r>
      <w:r>
        <w:rPr/>
        <w:t>关概率计算确定。</w:t>
      </w:r>
    </w:p>
    <w:p>
      <w:pPr>
        <w:pStyle w:val="BodyText"/>
        <w:spacing w:line="364" w:lineRule="auto" w:before="29"/>
        <w:ind w:right="1128" w:firstLine="420"/>
        <w:jc w:val="left"/>
      </w:pPr>
      <w:r>
        <w:rPr>
          <w:spacing w:val="-3"/>
        </w:rPr>
        <w:t>本公司清偿预计负债所需支出全部或部分预期由第三方补偿的，补偿金额在基本确定能够收到时，作为资产单独确认，</w:t>
      </w:r>
      <w:r>
        <w:rPr/>
        <w:t> 确认的补偿金额不超过预计负债的账面价值。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pStyle w:val="Heading4"/>
        <w:spacing w:line="240" w:lineRule="auto"/>
        <w:ind w:right="940"/>
        <w:jc w:val="left"/>
        <w:rPr>
          <w:b w:val="0"/>
          <w:bCs w:val="0"/>
        </w:rPr>
      </w:pPr>
      <w:bookmarkStart w:name="26、股份支付" w:id="213"/>
      <w:bookmarkEnd w:id="213"/>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0"/>
        <w:jc w:val="left"/>
        <w:rPr>
          <w:b w:val="0"/>
          <w:bCs w:val="0"/>
        </w:rPr>
      </w:pPr>
      <w:bookmarkStart w:name="27、优先股、永续债等其他金融工具" w:id="214"/>
      <w:bookmarkEnd w:id="214"/>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0"/>
        <w:jc w:val="left"/>
        <w:rPr>
          <w:b w:val="0"/>
          <w:bCs w:val="0"/>
        </w:rPr>
      </w:pPr>
      <w:bookmarkStart w:name="28、收入" w:id="215"/>
      <w:bookmarkEnd w:id="215"/>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64" w:lineRule="auto" w:before="50"/>
        <w:ind w:left="574" w:right="1152"/>
        <w:jc w:val="left"/>
      </w:pPr>
      <w:r>
        <w:rPr>
          <w:rFonts w:ascii="宋体" w:hAnsi="宋体" w:cs="宋体" w:eastAsia="宋体" w:hint="default"/>
        </w:rPr>
        <w:t>1.</w:t>
      </w:r>
      <w:r>
        <w:rPr/>
        <w:t>销售商品收入确认时间的判断标准 公司已将商品所有权上的主要风险和报酬转移给购买方；公司既没有保留与所有权相联系的继续管理权，也没有对已</w:t>
      </w:r>
    </w:p>
    <w:p>
      <w:pPr>
        <w:pStyle w:val="BodyText"/>
        <w:spacing w:line="364" w:lineRule="auto" w:before="29"/>
        <w:ind w:right="940"/>
        <w:jc w:val="left"/>
      </w:pPr>
      <w:r>
        <w:rPr>
          <w:spacing w:val="-2"/>
        </w:rPr>
        <w:t>售出的商品实施有效控制；收入的金额能够可靠地计量；相关的经济利益很可能流入企业；相关的已发生或将发生的成本能</w:t>
      </w:r>
      <w:r>
        <w:rPr>
          <w:spacing w:val="-66"/>
        </w:rPr>
        <w:t> </w:t>
      </w:r>
      <w:r>
        <w:rPr>
          <w:spacing w:val="-66"/>
        </w:rPr>
      </w:r>
      <w:r>
        <w:rPr/>
        <w:t>够可靠地计量时，确认商品销售收入实现。</w:t>
      </w:r>
    </w:p>
    <w:p>
      <w:pPr>
        <w:pStyle w:val="BodyText"/>
        <w:spacing w:line="364" w:lineRule="auto" w:before="29"/>
        <w:ind w:right="1032" w:firstLine="420"/>
        <w:jc w:val="left"/>
      </w:pPr>
      <w:r>
        <w:rPr/>
        <w:t>本公司的销售分为国内销售和自营出口销售，国内销售在签订销售合同（订单）、将商品交付且验收合格后确认销售 收入的实现；自营出口销售视销售合同结算方式的不同，分为以下两类：①以离岸价格结算的销售，于货物办理离境手续、</w:t>
      </w:r>
      <w:r>
        <w:rPr>
          <w:spacing w:val="-85"/>
        </w:rPr>
        <w:t> </w:t>
      </w:r>
      <w:r>
        <w:rPr>
          <w:spacing w:val="-85"/>
        </w:rPr>
      </w:r>
      <w:r>
        <w:rPr/>
        <w:t>交付承运人装船发出后确认收入；②以到岸价格结算的销售，于货物到港离船交付给客户后确认收入。</w:t>
      </w:r>
    </w:p>
    <w:p>
      <w:pPr>
        <w:spacing w:after="0" w:line="364" w:lineRule="auto"/>
        <w:jc w:val="left"/>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64" w:lineRule="auto" w:before="27"/>
        <w:ind w:right="1131" w:firstLine="420"/>
        <w:jc w:val="right"/>
      </w:pPr>
      <w:r>
        <w:rPr/>
        <w:t>本公司按照从购货方已收或应收的合同或协议价款确定销售商品收入金额，但已收或应收的合同或协议价款不公允的 </w:t>
      </w:r>
      <w:r>
        <w:rPr>
          <w:spacing w:val="-2"/>
        </w:rPr>
        <w:t>除外。合同或协议价款的收取采用递延方式，实质上具有融资性质的，按照应收的合同或协议价款的公允价值确定销售商品</w:t>
      </w:r>
      <w:r>
        <w:rPr>
          <w:spacing w:val="-75"/>
        </w:rPr>
        <w:t> </w:t>
      </w:r>
      <w:r>
        <w:rPr>
          <w:spacing w:val="-75"/>
        </w:rPr>
      </w:r>
      <w:r>
        <w:rPr>
          <w:spacing w:val="-5"/>
        </w:rPr>
        <w:t>收入金额。应收的合同或协议价款与其公允价值之间的差额，在合同或协议期间内采用实际利率法进行摊销，计入当期损益。</w:t>
      </w:r>
      <w:r>
        <w:rPr>
          <w:spacing w:val="-88"/>
        </w:rPr>
        <w:t> </w:t>
      </w:r>
      <w:r>
        <w:rPr>
          <w:spacing w:val="-88"/>
        </w:rPr>
      </w:r>
      <w:r>
        <w:rPr/>
        <w:t>销售商品涉及现金折扣的，按照扣除现金折扣前的金额确定销售商品收入金额。销售商品涉及商业折扣的，按照扣除 </w:t>
      </w:r>
      <w:r>
        <w:rPr>
          <w:spacing w:val="-2"/>
        </w:rPr>
        <w:t>商业折扣后的金额确定销售商品收入金额。本公司已经确认销售商品收入的售出商品发生销售折让的，在发生时冲减当期销</w:t>
      </w:r>
    </w:p>
    <w:p>
      <w:pPr>
        <w:pStyle w:val="BodyText"/>
        <w:spacing w:line="240" w:lineRule="auto" w:before="29"/>
        <w:ind w:right="940"/>
        <w:jc w:val="left"/>
      </w:pPr>
      <w:r>
        <w:rPr/>
        <w:t>售商品收入。</w:t>
      </w:r>
    </w:p>
    <w:p>
      <w:pPr>
        <w:pStyle w:val="BodyText"/>
        <w:spacing w:line="364" w:lineRule="auto" w:before="123"/>
        <w:ind w:left="574" w:right="1152"/>
        <w:jc w:val="left"/>
      </w:pPr>
      <w:r>
        <w:rPr/>
        <w:t>企业已经确认销售商品收入的售出商品发生销售退回的，在发生时冲减当期销售商品收入。 </w:t>
      </w:r>
      <w:r>
        <w:rPr>
          <w:rFonts w:ascii="宋体" w:hAnsi="宋体" w:cs="宋体" w:eastAsia="宋体" w:hint="default"/>
        </w:rPr>
        <w:t>2.</w:t>
      </w:r>
      <w:r>
        <w:rPr/>
        <w:t>按完工百分比法确认提供劳务的收入和建造合同收入时，确定合同完工进度的依据和方法 在资产负债表日提供劳务交易的结果能够可靠估计的，采用完工百分比法确认提供劳务收入。 按照已收或应收的合同或协议价款确定提供劳务收入总额，但已收或应收的合同或协议价款不公允的除外。资产负债</w:t>
      </w:r>
    </w:p>
    <w:p>
      <w:pPr>
        <w:pStyle w:val="BodyText"/>
        <w:spacing w:line="364" w:lineRule="auto" w:before="29"/>
        <w:ind w:right="940"/>
        <w:jc w:val="left"/>
      </w:pPr>
      <w:r>
        <w:rPr>
          <w:spacing w:val="-2"/>
        </w:rPr>
        <w:t>表日按照提供劳务收入总额乘以完工进度扣除以前会计期间累计已确认提供劳务收入后的金额，确认当期提供劳务收入；同</w:t>
      </w:r>
      <w:r>
        <w:rPr>
          <w:spacing w:val="-63"/>
        </w:rPr>
        <w:t> </w:t>
      </w:r>
      <w:r>
        <w:rPr>
          <w:spacing w:val="-63"/>
        </w:rPr>
      </w:r>
      <w:r>
        <w:rPr/>
        <w:t>时，按照提供劳务估计总成本乘以完工进度扣除以前会计期间累计已确认劳务成本后的金额，结转当期劳务成本。</w:t>
      </w:r>
    </w:p>
    <w:p>
      <w:pPr>
        <w:pStyle w:val="BodyText"/>
        <w:spacing w:line="240" w:lineRule="auto" w:before="29"/>
        <w:ind w:left="574" w:right="940"/>
        <w:jc w:val="left"/>
      </w:pPr>
      <w:r>
        <w:rPr/>
        <w:t>在资产负债表日提供劳务交易结果不能够可靠估计的，分别下列情况处理：</w:t>
      </w:r>
    </w:p>
    <w:p>
      <w:pPr>
        <w:pStyle w:val="BodyText"/>
        <w:spacing w:line="364" w:lineRule="auto" w:before="123"/>
        <w:ind w:right="1114" w:firstLine="420"/>
        <w:jc w:val="left"/>
      </w:pPr>
      <w:r>
        <w:rPr>
          <w:spacing w:val="-1"/>
        </w:rPr>
        <w:t>（</w:t>
      </w:r>
      <w:r>
        <w:rPr>
          <w:rFonts w:ascii="宋体" w:hAnsi="宋体" w:cs="宋体" w:eastAsia="宋体" w:hint="default"/>
          <w:spacing w:val="-1"/>
        </w:rPr>
        <w:t>1</w:t>
      </w:r>
      <w:r>
        <w:rPr>
          <w:spacing w:val="-1"/>
        </w:rPr>
        <w:t>）已经发生的劳务成本预计能够得到补偿的，按照已经发生的劳务成本金额确认提供劳务收入，并按相同金额结转</w:t>
      </w:r>
      <w:r>
        <w:rPr/>
        <w:t> 劳务成本。</w:t>
      </w:r>
    </w:p>
    <w:p>
      <w:pPr>
        <w:pStyle w:val="BodyText"/>
        <w:spacing w:line="364" w:lineRule="auto" w:before="29"/>
        <w:ind w:left="574" w:right="1152"/>
        <w:jc w:val="left"/>
      </w:pPr>
      <w:r>
        <w:rPr/>
        <w:t>（</w:t>
      </w:r>
      <w:r>
        <w:rPr>
          <w:rFonts w:ascii="宋体" w:hAnsi="宋体" w:cs="宋体" w:eastAsia="宋体" w:hint="default"/>
        </w:rPr>
        <w:t>2</w:t>
      </w:r>
      <w:r>
        <w:rPr/>
        <w:t>）已经发生的劳务成本预计不能够得到补偿的，将已经发生的劳务成本计入当期损益，不确认提供劳务收入。 </w:t>
      </w:r>
      <w:r>
        <w:rPr>
          <w:rFonts w:ascii="宋体" w:hAnsi="宋体" w:cs="宋体" w:eastAsia="宋体" w:hint="default"/>
        </w:rPr>
        <w:t>3.</w:t>
      </w:r>
      <w:r>
        <w:rPr/>
        <w:t>让渡资产使用权收入 让渡资产使用权收入同时满足当相关的经济利益能够流入企业，并且收入的金额能够可靠地计量时，才能予以确认。</w:t>
      </w:r>
    </w:p>
    <w:p>
      <w:pPr>
        <w:pStyle w:val="BodyText"/>
        <w:spacing w:line="240" w:lineRule="auto" w:before="29"/>
        <w:ind w:left="574" w:right="940"/>
        <w:jc w:val="left"/>
      </w:pPr>
      <w:r>
        <w:rPr/>
        <w:t>（</w:t>
      </w:r>
      <w:r>
        <w:rPr>
          <w:rFonts w:ascii="宋体" w:hAnsi="宋体" w:cs="宋体" w:eastAsia="宋体" w:hint="default"/>
        </w:rPr>
        <w:t>1</w:t>
      </w:r>
      <w:r>
        <w:rPr/>
        <w:t>）利息收入金额，按照他人使用本企业货币资金的时间和实际利率计算确定。</w:t>
      </w:r>
    </w:p>
    <w:p>
      <w:pPr>
        <w:pStyle w:val="BodyText"/>
        <w:spacing w:line="240" w:lineRule="auto" w:before="123"/>
        <w:ind w:left="574" w:right="940"/>
        <w:jc w:val="left"/>
      </w:pPr>
      <w:r>
        <w:rPr/>
        <w:t>（</w:t>
      </w:r>
      <w:r>
        <w:rPr>
          <w:rFonts w:ascii="宋体" w:hAnsi="宋体" w:cs="宋体" w:eastAsia="宋体" w:hint="default"/>
        </w:rPr>
        <w:t>2</w:t>
      </w:r>
      <w:r>
        <w:rPr/>
        <w:t>）使用费收入金额，按照有关合同或协议约定的收费时间和方法计算确定。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pStyle w:val="Heading4"/>
        <w:spacing w:line="240" w:lineRule="auto"/>
        <w:ind w:right="940"/>
        <w:jc w:val="left"/>
        <w:rPr>
          <w:b w:val="0"/>
          <w:bCs w:val="0"/>
        </w:rPr>
      </w:pPr>
      <w:bookmarkStart w:name="29、政府补助" w:id="216"/>
      <w:bookmarkEnd w:id="216"/>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4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3"/>
        <w:rPr>
          <w:rFonts w:ascii="宋体" w:hAnsi="宋体" w:cs="宋体" w:eastAsia="宋体" w:hint="default"/>
          <w:b/>
          <w:bCs/>
          <w:sz w:val="28"/>
          <w:szCs w:val="28"/>
        </w:rPr>
      </w:pPr>
    </w:p>
    <w:p>
      <w:pPr>
        <w:pStyle w:val="BodyText"/>
        <w:spacing w:line="364" w:lineRule="auto"/>
        <w:ind w:right="1131" w:firstLine="420"/>
        <w:jc w:val="both"/>
      </w:pPr>
      <w:r>
        <w:rPr/>
        <w:t>与资产相关的政府补助，冲减相关资产的账面价值或确认为递延收益。与资产相关的政府补助确认为递延收益的，在 </w:t>
      </w:r>
      <w:r>
        <w:rPr>
          <w:spacing w:val="-2"/>
        </w:rPr>
        <w:t>相关资产使用寿命内按照合理、系统的方法分期计入损益。按照名义金额计量的政府补助，直接计入当期损益。相关资产在</w:t>
      </w:r>
      <w:r>
        <w:rPr>
          <w:spacing w:val="-66"/>
        </w:rPr>
        <w:t> </w:t>
      </w:r>
      <w:r>
        <w:rPr>
          <w:spacing w:val="-66"/>
        </w:rPr>
      </w:r>
      <w:r>
        <w:rPr/>
        <w:t>使用寿命结束前被出售、转让、报废或发生毁损的，将尚未分配的相关递延收益余额转入资产处置当期的损益。</w:t>
      </w:r>
    </w:p>
    <w:p>
      <w:pPr>
        <w:spacing w:line="240" w:lineRule="auto" w:before="7"/>
        <w:rPr>
          <w:rFonts w:ascii="宋体" w:hAnsi="宋体" w:cs="宋体" w:eastAsia="宋体" w:hint="default"/>
          <w:sz w:val="21"/>
          <w:szCs w:val="21"/>
        </w:rPr>
      </w:pPr>
    </w:p>
    <w:p>
      <w:pPr>
        <w:pStyle w:val="Heading4"/>
        <w:spacing w:line="240" w:lineRule="auto"/>
        <w:ind w:right="94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3"/>
        <w:rPr>
          <w:rFonts w:ascii="宋体" w:hAnsi="宋体" w:cs="宋体" w:eastAsia="宋体" w:hint="default"/>
          <w:b/>
          <w:bCs/>
          <w:sz w:val="28"/>
          <w:szCs w:val="28"/>
        </w:rPr>
      </w:pPr>
    </w:p>
    <w:p>
      <w:pPr>
        <w:pStyle w:val="BodyText"/>
        <w:spacing w:line="364" w:lineRule="auto"/>
        <w:ind w:right="1152" w:firstLine="420"/>
        <w:jc w:val="left"/>
      </w:pPr>
      <w:r>
        <w:rPr/>
        <w:t>与收益相关的政府补助，用于补偿公司以后期间的相关费用或损失的，于取得时确认为递延收益，在确认相关费用的 期间计入当期损益；用于补偿公司已发生的相关费用或损失的，取得时直接计入当期损益。</w:t>
      </w:r>
    </w:p>
    <w:p>
      <w:pPr>
        <w:pStyle w:val="BodyText"/>
        <w:spacing w:line="364" w:lineRule="auto" w:before="29"/>
        <w:ind w:right="1152" w:firstLine="420"/>
        <w:jc w:val="left"/>
      </w:pPr>
      <w:r>
        <w:rPr/>
        <w:t>同时包含与资产相关部分和与收益相关部分的政府补助，区分不同部分分别进行会计处理；难以区分的，整体归类为 与收益相关的政府补助。</w:t>
      </w:r>
    </w:p>
    <w:p>
      <w:pPr>
        <w:spacing w:line="240" w:lineRule="auto" w:before="8"/>
        <w:rPr>
          <w:rFonts w:ascii="宋体" w:hAnsi="宋体" w:cs="宋体" w:eastAsia="宋体" w:hint="default"/>
          <w:sz w:val="21"/>
          <w:szCs w:val="21"/>
        </w:rPr>
      </w:pPr>
    </w:p>
    <w:p>
      <w:pPr>
        <w:pStyle w:val="Heading4"/>
        <w:spacing w:line="240" w:lineRule="auto"/>
        <w:ind w:right="940"/>
        <w:jc w:val="left"/>
        <w:rPr>
          <w:b w:val="0"/>
          <w:bCs w:val="0"/>
        </w:rPr>
      </w:pPr>
      <w:bookmarkStart w:name="30、递延所得税资产/递延所得税负债" w:id="217"/>
      <w:bookmarkEnd w:id="217"/>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3"/>
        <w:rPr>
          <w:rFonts w:ascii="宋体" w:hAnsi="宋体" w:cs="宋体" w:eastAsia="宋体" w:hint="default"/>
          <w:b/>
          <w:bCs/>
          <w:sz w:val="28"/>
          <w:szCs w:val="28"/>
        </w:rPr>
      </w:pPr>
    </w:p>
    <w:p>
      <w:pPr>
        <w:pStyle w:val="BodyText"/>
        <w:spacing w:line="240" w:lineRule="auto"/>
        <w:ind w:left="574" w:right="940"/>
        <w:jc w:val="left"/>
      </w:pPr>
      <w:r>
        <w:rPr>
          <w:rFonts w:ascii="宋体" w:hAnsi="宋体" w:cs="宋体" w:eastAsia="宋体" w:hint="default"/>
        </w:rPr>
        <w:t>1.</w:t>
      </w:r>
      <w:r>
        <w:rPr/>
        <w:t>本公司采用资产负债表债务法对企业所得税进行核算。</w:t>
      </w:r>
    </w:p>
    <w:p>
      <w:pPr>
        <w:spacing w:after="0" w:line="240" w:lineRule="auto"/>
        <w:jc w:val="left"/>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64" w:lineRule="auto" w:before="27"/>
        <w:ind w:right="1171" w:firstLine="420"/>
        <w:jc w:val="both"/>
      </w:pPr>
      <w:r>
        <w:rPr>
          <w:rFonts w:ascii="宋体" w:hAnsi="宋体" w:cs="宋体" w:eastAsia="宋体" w:hint="default"/>
        </w:rPr>
        <w:t>2.</w:t>
      </w:r>
      <w:r>
        <w:rPr/>
        <w:t>公司在取得资产、负债时，确定其计税基础。资产、负债的账面价值与其计税基础存在应纳税暂时性差异或可抵扣 暂时性差异的，按照预期收回该资产或清偿该负债期间的适用税率计算确认递延所得税资产或递延所得税负债。</w:t>
      </w:r>
    </w:p>
    <w:p>
      <w:pPr>
        <w:pStyle w:val="BodyText"/>
        <w:spacing w:line="364" w:lineRule="auto" w:before="29"/>
        <w:ind w:left="574" w:right="1152"/>
        <w:jc w:val="left"/>
      </w:pPr>
      <w:r>
        <w:rPr>
          <w:rFonts w:ascii="宋体" w:hAnsi="宋体" w:cs="宋体" w:eastAsia="宋体" w:hint="default"/>
        </w:rPr>
        <w:t>3.</w:t>
      </w:r>
      <w:r>
        <w:rPr/>
        <w:t>递延所得税资产确认 以很可能取得用来抵扣可抵扣暂时性差异的应纳税所得额为限。对已确认的递延所得税资产，当预计到未来期间很可</w:t>
      </w:r>
    </w:p>
    <w:p>
      <w:pPr>
        <w:pStyle w:val="BodyText"/>
        <w:spacing w:line="364" w:lineRule="auto" w:before="29"/>
        <w:ind w:right="1132"/>
        <w:jc w:val="both"/>
      </w:pPr>
      <w:r>
        <w:rPr>
          <w:spacing w:val="-2"/>
        </w:rPr>
        <w:t>能无法获得足够的应纳税所得额用于抵扣递延所得税资产时，减记递延所得税资产的账面价值。在很可能获得足够多的应纳</w:t>
      </w:r>
      <w:r>
        <w:rPr>
          <w:spacing w:val="-64"/>
        </w:rPr>
        <w:t> </w:t>
      </w:r>
      <w:r>
        <w:rPr>
          <w:spacing w:val="-64"/>
        </w:rPr>
      </w:r>
      <w:r>
        <w:rPr>
          <w:spacing w:val="-5"/>
        </w:rPr>
        <w:t>税所得额时，减记的金额予以转回。本公司未来期间很可能获得足够的应纳税所得额的金额是依据管理层批准的经营计划（或</w:t>
      </w:r>
      <w:r>
        <w:rPr>
          <w:spacing w:val="-79"/>
        </w:rPr>
        <w:t> </w:t>
      </w:r>
      <w:r>
        <w:rPr>
          <w:spacing w:val="-79"/>
        </w:rPr>
      </w:r>
      <w:r>
        <w:rPr/>
        <w:t>盈利预测）确定。</w:t>
      </w:r>
    </w:p>
    <w:p>
      <w:pPr>
        <w:pStyle w:val="BodyText"/>
        <w:spacing w:line="364" w:lineRule="auto" w:before="29"/>
        <w:ind w:right="1170" w:firstLine="420"/>
        <w:jc w:val="both"/>
      </w:pPr>
      <w:r>
        <w:rPr/>
        <w:t>但是同时具有下列特征的交易中因资产或负债的初始确认所产生的递延所得税资产不予确认：①该项交易不是企业合 并；②交易发生时既不影响会计利润也不影响应纳税所得额</w:t>
      </w:r>
      <w:r>
        <w:rPr>
          <w:rFonts w:ascii="宋体" w:hAnsi="宋体" w:cs="宋体" w:eastAsia="宋体" w:hint="default"/>
        </w:rPr>
        <w:t>(</w:t>
      </w:r>
      <w:r>
        <w:rPr/>
        <w:t>或可抵扣亏损</w:t>
      </w:r>
      <w:r>
        <w:rPr>
          <w:rFonts w:ascii="宋体" w:hAnsi="宋体" w:cs="宋体" w:eastAsia="宋体" w:hint="default"/>
        </w:rPr>
        <w:t>)</w:t>
      </w:r>
      <w:r>
        <w:rPr/>
        <w:t>。</w:t>
      </w:r>
    </w:p>
    <w:p>
      <w:pPr>
        <w:pStyle w:val="BodyText"/>
        <w:spacing w:line="364" w:lineRule="auto" w:before="29"/>
        <w:ind w:right="1170" w:firstLine="420"/>
        <w:jc w:val="both"/>
      </w:pPr>
      <w:r>
        <w:rPr/>
        <w:t>本公司对与子公司、联营公司及合营企业投资相关的可抵扣暂时性差异，同时满足下列条件的，确认相应的递延所得 税资产：</w:t>
      </w:r>
      <w:r>
        <w:rPr>
          <w:rFonts w:ascii="宋体" w:hAnsi="宋体" w:cs="宋体" w:eastAsia="宋体" w:hint="default"/>
        </w:rPr>
        <w:t>a.</w:t>
      </w:r>
      <w:r>
        <w:rPr/>
        <w:t>暂时性差异在可预见的未来很可能转回；</w:t>
      </w:r>
      <w:r>
        <w:rPr>
          <w:rFonts w:ascii="宋体" w:hAnsi="宋体" w:cs="宋体" w:eastAsia="宋体" w:hint="default"/>
        </w:rPr>
        <w:t>b.</w:t>
      </w:r>
      <w:r>
        <w:rPr/>
        <w:t>未来很可能获得用来抵扣暂时性差异的应纳税所得额。</w:t>
      </w:r>
    </w:p>
    <w:p>
      <w:pPr>
        <w:pStyle w:val="BodyText"/>
        <w:spacing w:line="364" w:lineRule="auto" w:before="29"/>
        <w:ind w:left="574" w:right="1152"/>
        <w:jc w:val="left"/>
      </w:pPr>
      <w:r>
        <w:rPr>
          <w:rFonts w:ascii="宋体" w:hAnsi="宋体" w:cs="宋体" w:eastAsia="宋体" w:hint="default"/>
        </w:rPr>
        <w:t>4.</w:t>
      </w:r>
      <w:r>
        <w:rPr/>
        <w:t>递延所得税负债的确认 除下列情况产生的递延所得税负债以外，本公司确认所有应纳税暂时性差异产生的递延所得税负债：①商誉的初始确</w:t>
      </w:r>
    </w:p>
    <w:p>
      <w:pPr>
        <w:pStyle w:val="BodyText"/>
        <w:spacing w:line="364" w:lineRule="auto" w:before="29"/>
        <w:ind w:left="0" w:right="1131"/>
        <w:jc w:val="right"/>
      </w:pPr>
      <w:r>
        <w:rPr>
          <w:spacing w:val="-2"/>
        </w:rPr>
        <w:t>认；②同时满足具有下列特征的交易中产生的资产或负债的初始确认：</w:t>
      </w:r>
      <w:r>
        <w:rPr>
          <w:rFonts w:ascii="宋体" w:hAnsi="宋体" w:cs="宋体" w:eastAsia="宋体" w:hint="default"/>
          <w:spacing w:val="-2"/>
        </w:rPr>
        <w:t>a.</w:t>
      </w:r>
      <w:r>
        <w:rPr>
          <w:spacing w:val="-2"/>
        </w:rPr>
        <w:t>该项交易不是企业合并；</w:t>
      </w:r>
      <w:r>
        <w:rPr>
          <w:rFonts w:ascii="宋体" w:hAnsi="宋体" w:cs="宋体" w:eastAsia="宋体" w:hint="default"/>
          <w:spacing w:val="-2"/>
        </w:rPr>
        <w:t>b.</w:t>
      </w:r>
      <w:r>
        <w:rPr>
          <w:spacing w:val="-2"/>
        </w:rPr>
        <w:t>交易发生时既不影响会</w:t>
      </w:r>
      <w:r>
        <w:rPr>
          <w:spacing w:val="-69"/>
        </w:rPr>
        <w:t> </w:t>
      </w:r>
      <w:r>
        <w:rPr>
          <w:spacing w:val="-2"/>
        </w:rPr>
        <w:t>计利润也不影响应纳税所得额</w:t>
      </w:r>
      <w:r>
        <w:rPr>
          <w:rFonts w:ascii="宋体" w:hAnsi="宋体" w:cs="宋体" w:eastAsia="宋体" w:hint="default"/>
          <w:spacing w:val="-2"/>
        </w:rPr>
        <w:t>(</w:t>
      </w:r>
      <w:r>
        <w:rPr>
          <w:spacing w:val="-2"/>
        </w:rPr>
        <w:t>或可抵扣亏损</w:t>
      </w:r>
      <w:r>
        <w:rPr>
          <w:rFonts w:ascii="宋体" w:hAnsi="宋体" w:cs="宋体" w:eastAsia="宋体" w:hint="default"/>
          <w:spacing w:val="-2"/>
        </w:rPr>
        <w:t>)</w:t>
      </w:r>
      <w:r>
        <w:rPr>
          <w:spacing w:val="-2"/>
        </w:rPr>
        <w:t>。③本公司对与子公司、联营公司及合营企业投资产生相关的应纳税暂时性差</w:t>
      </w:r>
      <w:r>
        <w:rPr>
          <w:spacing w:val="-69"/>
        </w:rPr>
        <w:t> </w:t>
      </w:r>
      <w:r>
        <w:rPr>
          <w:spacing w:val="-69"/>
        </w:rPr>
      </w:r>
      <w:r>
        <w:rPr>
          <w:spacing w:val="-5"/>
        </w:rPr>
        <w:t>异，同时满足下列条件的：</w:t>
      </w:r>
      <w:r>
        <w:rPr>
          <w:rFonts w:ascii="宋体" w:hAnsi="宋体" w:cs="宋体" w:eastAsia="宋体" w:hint="default"/>
          <w:spacing w:val="-5"/>
        </w:rPr>
        <w:t>a.</w:t>
      </w:r>
      <w:r>
        <w:rPr>
          <w:spacing w:val="-5"/>
        </w:rPr>
        <w:t>投资企业能够控制暂时性差异的转回的时间；</w:t>
      </w:r>
      <w:r>
        <w:rPr>
          <w:rFonts w:ascii="宋体" w:hAnsi="宋体" w:cs="宋体" w:eastAsia="宋体" w:hint="default"/>
          <w:spacing w:val="-5"/>
        </w:rPr>
        <w:t>b.</w:t>
      </w:r>
      <w:r>
        <w:rPr>
          <w:spacing w:val="-5"/>
        </w:rPr>
        <w:t>该暂时性差异在可预见的未来很可能不会转回。</w:t>
      </w:r>
      <w:r>
        <w:rPr>
          <w:spacing w:val="-78"/>
        </w:rPr>
        <w:t> </w:t>
      </w:r>
      <w:r>
        <w:rPr>
          <w:rFonts w:ascii="宋体" w:hAnsi="宋体" w:cs="宋体" w:eastAsia="宋体" w:hint="default"/>
        </w:rPr>
        <w:t>5.</w:t>
      </w:r>
      <w:r>
        <w:rPr/>
        <w:t>资产负债表日，对递延所得税资产的账面价值进行复核，如果未来期间很可能无法获得足够的应纳税所得额用以抵</w:t>
      </w:r>
    </w:p>
    <w:p>
      <w:pPr>
        <w:pStyle w:val="BodyText"/>
        <w:spacing w:line="240" w:lineRule="auto" w:before="29"/>
        <w:ind w:right="0"/>
        <w:jc w:val="both"/>
      </w:pPr>
      <w:r>
        <w:rPr/>
        <w:t>扣递延所得税资产的利益，则减记递延所得税资产的账面价值。在很可能获得足够的应纳税所得额时，转回减记的金额。</w:t>
      </w:r>
    </w:p>
    <w:p>
      <w:pPr>
        <w:spacing w:line="240" w:lineRule="auto" w:before="0"/>
        <w:rPr>
          <w:rFonts w:ascii="宋体" w:hAnsi="宋体" w:cs="宋体" w:eastAsia="宋体" w:hint="default"/>
          <w:sz w:val="18"/>
          <w:szCs w:val="18"/>
        </w:rPr>
      </w:pPr>
    </w:p>
    <w:p>
      <w:pPr>
        <w:pStyle w:val="Heading4"/>
        <w:spacing w:line="240" w:lineRule="auto" w:before="141"/>
        <w:ind w:right="0"/>
        <w:jc w:val="both"/>
        <w:rPr>
          <w:b w:val="0"/>
          <w:bCs w:val="0"/>
        </w:rPr>
      </w:pPr>
      <w:bookmarkStart w:name="31、租赁" w:id="218"/>
      <w:bookmarkEnd w:id="218"/>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经营租赁的会计处理方法" w:id="219"/>
      <w:bookmarkEnd w:id="219"/>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2）融资租赁的会计处理方法" w:id="220"/>
      <w:bookmarkEnd w:id="220"/>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32、其他重要的会计政策和会计估计" w:id="221"/>
      <w:bookmarkEnd w:id="221"/>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3"/>
        <w:rPr>
          <w:rFonts w:ascii="宋体" w:hAnsi="宋体" w:cs="宋体" w:eastAsia="宋体" w:hint="default"/>
          <w:b/>
          <w:bCs/>
          <w:sz w:val="28"/>
          <w:szCs w:val="28"/>
        </w:rPr>
      </w:pPr>
    </w:p>
    <w:p>
      <w:pPr>
        <w:pStyle w:val="BodyText"/>
        <w:spacing w:line="364" w:lineRule="auto"/>
        <w:ind w:right="1171" w:firstLine="420"/>
        <w:jc w:val="both"/>
      </w:pPr>
      <w:r>
        <w:rPr/>
        <w:t>公司其他主要会计政策、会计估计和财务报表编制方法按照《企业会计准则》执行，未提及的会计业务按企业会计准 则的相关规定执行。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3"/>
        <w:ind w:right="0"/>
        <w:jc w:val="both"/>
        <w:rPr>
          <w:b w:val="0"/>
          <w:bCs w:val="0"/>
        </w:rPr>
      </w:pPr>
      <w:bookmarkStart w:name="33、重要会计政策和会计估计变更" w:id="222"/>
      <w:bookmarkEnd w:id="222"/>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重要会计政策变更" w:id="223"/>
      <w:bookmarkEnd w:id="22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64" w:lineRule="auto" w:before="124"/>
        <w:ind w:right="1139" w:firstLine="420"/>
        <w:jc w:val="both"/>
      </w:pPr>
      <w:r>
        <w:rPr/>
        <w:t>执行《财政部关于修订印发</w:t>
      </w:r>
      <w:r>
        <w:rPr>
          <w:rFonts w:ascii="宋体" w:hAnsi="宋体" w:cs="宋体" w:eastAsia="宋体" w:hint="default"/>
        </w:rPr>
        <w:t>2018</w:t>
      </w:r>
      <w:r>
        <w:rPr/>
        <w:t>年度一般企业财务报表格式的通知》：财政部于</w:t>
      </w:r>
      <w:r>
        <w:rPr>
          <w:rFonts w:ascii="宋体" w:hAnsi="宋体" w:cs="宋体" w:eastAsia="宋体" w:hint="default"/>
        </w:rPr>
        <w:t>2018</w:t>
      </w:r>
      <w:r>
        <w:rPr/>
        <w:t>年颁布了《财政部关于修订印发 </w:t>
      </w:r>
      <w:r>
        <w:rPr>
          <w:rFonts w:ascii="宋体" w:hAnsi="宋体" w:cs="宋体" w:eastAsia="宋体" w:hint="default"/>
        </w:rPr>
        <w:t>2018</w:t>
      </w:r>
      <w:r>
        <w:rPr/>
        <w:t>年度一般企业财务报表格式的通知》（财会（</w:t>
      </w:r>
      <w:r>
        <w:rPr>
          <w:rFonts w:ascii="宋体" w:hAnsi="宋体" w:cs="宋体" w:eastAsia="宋体" w:hint="default"/>
        </w:rPr>
        <w:t>2018</w:t>
      </w:r>
      <w:r>
        <w:rPr/>
        <w:t>）</w:t>
      </w:r>
      <w:r>
        <w:rPr>
          <w:rFonts w:ascii="宋体" w:hAnsi="宋体" w:cs="宋体" w:eastAsia="宋体" w:hint="default"/>
        </w:rPr>
        <w:t>15 </w:t>
      </w:r>
      <w:r>
        <w:rPr/>
        <w:t>号），对一般企业财务报表格式进行修订。本公司已按照上述 通知编制了</w:t>
      </w:r>
      <w:r>
        <w:rPr>
          <w:rFonts w:ascii="宋体" w:hAnsi="宋体" w:cs="宋体" w:eastAsia="宋体" w:hint="default"/>
        </w:rPr>
        <w:t>2018</w:t>
      </w:r>
      <w:r>
        <w:rPr/>
        <w:t>年度的财务报表，并对年初余额、上期金额进行相应调整，对财务报表的影响列示如下：</w:t>
      </w:r>
    </w:p>
    <w:tbl>
      <w:tblPr>
        <w:tblW w:w="0" w:type="auto"/>
        <w:jc w:val="left"/>
        <w:tblInd w:w="214" w:type="dxa"/>
        <w:tblLayout w:type="fixed"/>
        <w:tblCellMar>
          <w:top w:w="0" w:type="dxa"/>
          <w:left w:w="0" w:type="dxa"/>
          <w:bottom w:w="0" w:type="dxa"/>
          <w:right w:w="0" w:type="dxa"/>
        </w:tblCellMar>
        <w:tblLook w:val="01E0"/>
      </w:tblPr>
      <w:tblGrid>
        <w:gridCol w:w="3261"/>
        <w:gridCol w:w="2127"/>
        <w:gridCol w:w="4110"/>
      </w:tblGrid>
      <w:tr>
        <w:trPr>
          <w:trHeight w:val="476" w:hRule="exact"/>
        </w:trPr>
        <w:tc>
          <w:tcPr>
            <w:tcW w:w="3261" w:type="dxa"/>
            <w:tcBorders>
              <w:top w:val="single" w:sz="8" w:space="0" w:color="000000"/>
              <w:left w:val="single" w:sz="8" w:space="0" w:color="000000"/>
              <w:bottom w:val="nil" w:sz="6" w:space="0" w:color="auto"/>
              <w:right w:val="single" w:sz="8" w:space="0" w:color="000000"/>
            </w:tcBorders>
            <w:shd w:val="clear" w:color="auto" w:fill="D9D9D9"/>
          </w:tcPr>
          <w:p>
            <w:pPr>
              <w:pStyle w:val="TableParagraph"/>
              <w:spacing w:line="240" w:lineRule="auto" w:before="85"/>
              <w:ind w:left="900" w:right="0"/>
              <w:jc w:val="left"/>
              <w:rPr>
                <w:rFonts w:ascii="宋体" w:hAnsi="宋体" w:cs="宋体" w:eastAsia="宋体" w:hint="default"/>
                <w:sz w:val="18"/>
                <w:szCs w:val="18"/>
              </w:rPr>
            </w:pPr>
            <w:r>
              <w:rPr>
                <w:rFonts w:ascii="宋体" w:hAnsi="宋体" w:cs="宋体" w:eastAsia="宋体" w:hint="default"/>
                <w:sz w:val="18"/>
                <w:szCs w:val="18"/>
              </w:rPr>
              <w:t>会计政策变更原因</w:t>
            </w:r>
          </w:p>
        </w:tc>
        <w:tc>
          <w:tcPr>
            <w:tcW w:w="2127" w:type="dxa"/>
            <w:tcBorders>
              <w:top w:val="single" w:sz="8" w:space="0" w:color="000000"/>
              <w:left w:val="single" w:sz="8" w:space="0" w:color="000000"/>
              <w:bottom w:val="nil" w:sz="6" w:space="0" w:color="auto"/>
              <w:right w:val="single" w:sz="8" w:space="0" w:color="000000"/>
            </w:tcBorders>
            <w:shd w:val="clear" w:color="auto" w:fill="D9D9D9"/>
          </w:tcPr>
          <w:p>
            <w:pPr>
              <w:pStyle w:val="TableParagraph"/>
              <w:spacing w:line="240" w:lineRule="auto" w:before="85"/>
              <w:ind w:left="693" w:right="0"/>
              <w:jc w:val="left"/>
              <w:rPr>
                <w:rFonts w:ascii="宋体" w:hAnsi="宋体" w:cs="宋体" w:eastAsia="宋体" w:hint="default"/>
                <w:sz w:val="18"/>
                <w:szCs w:val="18"/>
              </w:rPr>
            </w:pPr>
            <w:r>
              <w:rPr>
                <w:rFonts w:ascii="宋体" w:hAnsi="宋体" w:cs="宋体" w:eastAsia="宋体" w:hint="default"/>
                <w:sz w:val="18"/>
                <w:szCs w:val="18"/>
              </w:rPr>
              <w:t>影响科目</w:t>
            </w:r>
          </w:p>
        </w:tc>
        <w:tc>
          <w:tcPr>
            <w:tcW w:w="4110" w:type="dxa"/>
            <w:tcBorders>
              <w:top w:val="single" w:sz="8" w:space="0" w:color="000000"/>
              <w:left w:val="single" w:sz="8" w:space="0" w:color="000000"/>
              <w:bottom w:val="nil" w:sz="6" w:space="0" w:color="auto"/>
              <w:right w:val="single" w:sz="8" w:space="0" w:color="000000"/>
            </w:tcBorders>
            <w:shd w:val="clear" w:color="auto" w:fill="D9D9D9"/>
          </w:tcPr>
          <w:p>
            <w:pPr>
              <w:pStyle w:val="TableParagraph"/>
              <w:spacing w:line="240" w:lineRule="auto" w:before="85"/>
              <w:ind w:left="1279"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w:t>
            </w:r>
            <w:r>
              <w:rPr>
                <w:rFonts w:ascii="宋体" w:hAnsi="宋体" w:cs="宋体" w:eastAsia="宋体" w:hint="default"/>
                <w:sz w:val="18"/>
                <w:szCs w:val="18"/>
              </w:rPr>
              <w:t>上期金额</w:t>
            </w:r>
          </w:p>
        </w:tc>
      </w:tr>
    </w:tbl>
    <w:p>
      <w:pPr>
        <w:spacing w:after="0" w:line="240" w:lineRule="auto"/>
        <w:jc w:val="left"/>
        <w:rPr>
          <w:rFonts w:ascii="宋体" w:hAnsi="宋体" w:cs="宋体" w:eastAsia="宋体" w:hint="default"/>
          <w:sz w:val="18"/>
          <w:szCs w:val="18"/>
        </w:rPr>
        <w:sectPr>
          <w:pgSz w:w="11910" w:h="16840"/>
          <w:pgMar w:header="851" w:footer="979" w:top="1500" w:bottom="1160" w:left="980" w:right="0"/>
        </w:sectPr>
      </w:pPr>
    </w:p>
    <w:p>
      <w:pPr>
        <w:spacing w:line="240" w:lineRule="auto" w:before="2"/>
        <w:rPr>
          <w:rFonts w:ascii="宋体" w:hAnsi="宋体" w:cs="宋体" w:eastAsia="宋体" w:hint="default"/>
          <w:sz w:val="2"/>
          <w:szCs w:val="2"/>
        </w:rPr>
      </w:pPr>
    </w:p>
    <w:tbl>
      <w:tblPr>
        <w:tblW w:w="0" w:type="auto"/>
        <w:jc w:val="left"/>
        <w:tblInd w:w="173" w:type="dxa"/>
        <w:tblLayout w:type="fixed"/>
        <w:tblCellMar>
          <w:top w:w="0" w:type="dxa"/>
          <w:left w:w="0" w:type="dxa"/>
          <w:bottom w:w="0" w:type="dxa"/>
          <w:right w:w="0" w:type="dxa"/>
        </w:tblCellMar>
        <w:tblLook w:val="01E0"/>
      </w:tblPr>
      <w:tblGrid>
        <w:gridCol w:w="3262"/>
        <w:gridCol w:w="2127"/>
        <w:gridCol w:w="4110"/>
      </w:tblGrid>
      <w:tr>
        <w:trPr>
          <w:trHeight w:val="636" w:hRule="exact"/>
        </w:trPr>
        <w:tc>
          <w:tcPr>
            <w:tcW w:w="3262" w:type="dxa"/>
            <w:vMerge w:val="restart"/>
            <w:tcBorders>
              <w:top w:val="single" w:sz="13" w:space="0" w:color="000000"/>
              <w:left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316" w:lineRule="auto"/>
              <w:ind w:left="541" w:right="179" w:hanging="361"/>
              <w:jc w:val="left"/>
              <w:rPr>
                <w:rFonts w:ascii="宋体" w:hAnsi="宋体" w:cs="宋体" w:eastAsia="宋体" w:hint="default"/>
                <w:sz w:val="18"/>
                <w:szCs w:val="18"/>
              </w:rPr>
            </w:pPr>
            <w:r>
              <w:rPr>
                <w:rFonts w:ascii="宋体" w:hAnsi="宋体" w:cs="宋体" w:eastAsia="宋体" w:hint="default"/>
                <w:sz w:val="18"/>
                <w:szCs w:val="18"/>
              </w:rPr>
              <w:t>本公司将应收票据和应收账款合并计 入应收票据及应收账款项目</w:t>
            </w:r>
          </w:p>
        </w:tc>
        <w:tc>
          <w:tcPr>
            <w:tcW w:w="2127" w:type="dxa"/>
            <w:tcBorders>
              <w:top w:val="single" w:sz="13"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4110" w:type="dxa"/>
            <w:tcBorders>
              <w:top w:val="single" w:sz="13"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z w:val="18"/>
              </w:rPr>
              <w:t>-124,268,146.32</w:t>
            </w:r>
          </w:p>
        </w:tc>
      </w:tr>
      <w:tr>
        <w:trPr>
          <w:trHeight w:val="332" w:hRule="exact"/>
        </w:trPr>
        <w:tc>
          <w:tcPr>
            <w:tcW w:w="3262" w:type="dxa"/>
            <w:vMerge/>
            <w:tcBorders>
              <w:left w:val="single" w:sz="8" w:space="0" w:color="000000"/>
              <w:right w:val="single" w:sz="8" w:space="0" w:color="000000"/>
            </w:tcBorders>
          </w:tcPr>
          <w:p>
            <w:pP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4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-30,908,516.58</w:t>
            </w:r>
          </w:p>
        </w:tc>
      </w:tr>
      <w:tr>
        <w:trPr>
          <w:trHeight w:val="333" w:hRule="exact"/>
        </w:trPr>
        <w:tc>
          <w:tcPr>
            <w:tcW w:w="3262" w:type="dxa"/>
            <w:vMerge/>
            <w:tcBorders>
              <w:left w:val="single" w:sz="8" w:space="0" w:color="000000"/>
              <w:bottom w:val="single" w:sz="8" w:space="0" w:color="000000"/>
              <w:right w:val="single" w:sz="8" w:space="0" w:color="000000"/>
            </w:tcBorders>
          </w:tcPr>
          <w:p>
            <w:pP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4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155,176,662.90</w:t>
            </w:r>
          </w:p>
        </w:tc>
      </w:tr>
      <w:tr>
        <w:trPr>
          <w:trHeight w:val="331" w:hRule="exact"/>
        </w:trPr>
        <w:tc>
          <w:tcPr>
            <w:tcW w:w="3262" w:type="dxa"/>
            <w:vMerge w:val="restart"/>
            <w:tcBorders>
              <w:top w:val="single" w:sz="8" w:space="0" w:color="000000"/>
              <w:left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901" w:right="179" w:hanging="721"/>
              <w:jc w:val="left"/>
              <w:rPr>
                <w:rFonts w:ascii="宋体" w:hAnsi="宋体" w:cs="宋体" w:eastAsia="宋体" w:hint="default"/>
                <w:sz w:val="18"/>
                <w:szCs w:val="18"/>
              </w:rPr>
            </w:pPr>
            <w:r>
              <w:rPr>
                <w:rFonts w:ascii="宋体" w:hAnsi="宋体" w:cs="宋体" w:eastAsia="宋体" w:hint="default"/>
                <w:sz w:val="18"/>
                <w:szCs w:val="18"/>
              </w:rPr>
              <w:t>本公司将应收利息和应收股利合并计 入其他应收款项目</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应收利息</w:t>
            </w:r>
          </w:p>
        </w:tc>
        <w:tc>
          <w:tcPr>
            <w:tcW w:w="4110" w:type="dxa"/>
            <w:tcBorders>
              <w:top w:val="single" w:sz="8" w:space="0" w:color="000000"/>
              <w:left w:val="single" w:sz="8" w:space="0" w:color="000000"/>
              <w:bottom w:val="single" w:sz="8" w:space="0" w:color="000000"/>
              <w:right w:val="single" w:sz="8" w:space="0" w:color="000000"/>
            </w:tcBorders>
          </w:tcPr>
          <w:p>
            <w:pPr/>
          </w:p>
        </w:tc>
      </w:tr>
      <w:tr>
        <w:trPr>
          <w:trHeight w:val="332" w:hRule="exact"/>
        </w:trPr>
        <w:tc>
          <w:tcPr>
            <w:tcW w:w="3262" w:type="dxa"/>
            <w:vMerge/>
            <w:tcBorders>
              <w:left w:val="single" w:sz="8" w:space="0" w:color="000000"/>
              <w:right w:val="single" w:sz="8" w:space="0" w:color="000000"/>
            </w:tcBorders>
          </w:tcPr>
          <w:p>
            <w:pP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4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-2,210,308.58</w:t>
            </w:r>
          </w:p>
        </w:tc>
      </w:tr>
      <w:tr>
        <w:trPr>
          <w:trHeight w:val="332" w:hRule="exact"/>
        </w:trPr>
        <w:tc>
          <w:tcPr>
            <w:tcW w:w="3262" w:type="dxa"/>
            <w:vMerge/>
            <w:tcBorders>
              <w:left w:val="single" w:sz="8" w:space="0" w:color="000000"/>
              <w:right w:val="single" w:sz="8" w:space="0" w:color="000000"/>
            </w:tcBorders>
          </w:tcPr>
          <w:p>
            <w:pP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4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-1,466,521.64</w:t>
            </w:r>
          </w:p>
        </w:tc>
      </w:tr>
      <w:tr>
        <w:trPr>
          <w:trHeight w:val="331" w:hRule="exact"/>
        </w:trPr>
        <w:tc>
          <w:tcPr>
            <w:tcW w:w="3262" w:type="dxa"/>
            <w:vMerge/>
            <w:tcBorders>
              <w:left w:val="single" w:sz="8" w:space="0" w:color="000000"/>
              <w:bottom w:val="single" w:sz="8" w:space="0" w:color="000000"/>
              <w:right w:val="single" w:sz="8" w:space="0" w:color="000000"/>
            </w:tcBorders>
          </w:tcPr>
          <w:p>
            <w:pP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4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3,676,830.22</w:t>
            </w:r>
          </w:p>
        </w:tc>
      </w:tr>
      <w:tr>
        <w:trPr>
          <w:trHeight w:val="620" w:hRule="exact"/>
        </w:trPr>
        <w:tc>
          <w:tcPr>
            <w:tcW w:w="3262" w:type="dxa"/>
            <w:vMerge w:val="restart"/>
            <w:tcBorders>
              <w:top w:val="single" w:sz="8" w:space="0" w:color="000000"/>
              <w:left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541" w:right="179" w:hanging="361"/>
              <w:jc w:val="left"/>
              <w:rPr>
                <w:rFonts w:ascii="宋体" w:hAnsi="宋体" w:cs="宋体" w:eastAsia="宋体" w:hint="default"/>
                <w:sz w:val="18"/>
                <w:szCs w:val="18"/>
              </w:rPr>
            </w:pPr>
            <w:r>
              <w:rPr>
                <w:rFonts w:ascii="宋体" w:hAnsi="宋体" w:cs="宋体" w:eastAsia="宋体" w:hint="default"/>
                <w:sz w:val="18"/>
                <w:szCs w:val="18"/>
              </w:rPr>
              <w:t>本公司将应付票据和应付账款合并计 入应付票据及应付账款项目</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4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5"/>
              <w:ind w:right="96"/>
              <w:jc w:val="right"/>
              <w:rPr>
                <w:rFonts w:ascii="宋体" w:hAnsi="宋体" w:cs="宋体" w:eastAsia="宋体" w:hint="default"/>
                <w:sz w:val="18"/>
                <w:szCs w:val="18"/>
              </w:rPr>
            </w:pPr>
            <w:r>
              <w:rPr>
                <w:rFonts w:ascii="宋体"/>
                <w:sz w:val="18"/>
              </w:rPr>
              <w:t>-89,995,973.23</w:t>
            </w:r>
          </w:p>
        </w:tc>
      </w:tr>
      <w:tr>
        <w:trPr>
          <w:trHeight w:val="332" w:hRule="exact"/>
        </w:trPr>
        <w:tc>
          <w:tcPr>
            <w:tcW w:w="3262" w:type="dxa"/>
            <w:vMerge/>
            <w:tcBorders>
              <w:left w:val="single" w:sz="8" w:space="0" w:color="000000"/>
              <w:right w:val="single" w:sz="8" w:space="0" w:color="000000"/>
            </w:tcBorders>
          </w:tcPr>
          <w:p>
            <w:pP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4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-6,807,889.18</w:t>
            </w:r>
          </w:p>
        </w:tc>
      </w:tr>
      <w:tr>
        <w:trPr>
          <w:trHeight w:val="331" w:hRule="exact"/>
        </w:trPr>
        <w:tc>
          <w:tcPr>
            <w:tcW w:w="3262" w:type="dxa"/>
            <w:vMerge/>
            <w:tcBorders>
              <w:left w:val="single" w:sz="8" w:space="0" w:color="000000"/>
              <w:bottom w:val="single" w:sz="8" w:space="0" w:color="000000"/>
              <w:right w:val="single" w:sz="8" w:space="0" w:color="000000"/>
            </w:tcBorders>
          </w:tcPr>
          <w:p>
            <w:pP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4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96,803,862.41</w:t>
            </w:r>
          </w:p>
        </w:tc>
      </w:tr>
      <w:tr>
        <w:trPr>
          <w:trHeight w:val="332" w:hRule="exact"/>
        </w:trPr>
        <w:tc>
          <w:tcPr>
            <w:tcW w:w="326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901" w:right="179" w:hanging="721"/>
              <w:jc w:val="left"/>
              <w:rPr>
                <w:rFonts w:ascii="宋体" w:hAnsi="宋体" w:cs="宋体" w:eastAsia="宋体" w:hint="default"/>
                <w:sz w:val="18"/>
                <w:szCs w:val="18"/>
              </w:rPr>
            </w:pPr>
            <w:r>
              <w:rPr>
                <w:rFonts w:ascii="宋体" w:hAnsi="宋体" w:cs="宋体" w:eastAsia="宋体" w:hint="default"/>
                <w:sz w:val="18"/>
                <w:szCs w:val="18"/>
              </w:rPr>
              <w:t>本公司将应付利息和应付股利合并计 入其他应付款项目</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4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-116,727.00</w:t>
            </w:r>
          </w:p>
        </w:tc>
      </w:tr>
      <w:tr>
        <w:trPr>
          <w:trHeight w:val="332" w:hRule="exact"/>
        </w:trPr>
        <w:tc>
          <w:tcPr>
            <w:tcW w:w="3262" w:type="dxa"/>
            <w:vMerge/>
            <w:tcBorders>
              <w:left w:val="single" w:sz="8" w:space="0" w:color="000000"/>
              <w:right w:val="single" w:sz="8" w:space="0" w:color="000000"/>
            </w:tcBorders>
          </w:tcPr>
          <w:p>
            <w:pP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4110"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3262" w:type="dxa"/>
            <w:vMerge/>
            <w:tcBorders>
              <w:left w:val="single" w:sz="8" w:space="0" w:color="000000"/>
              <w:right w:val="single" w:sz="8" w:space="0" w:color="000000"/>
            </w:tcBorders>
          </w:tcPr>
          <w:p>
            <w:pP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4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-4,545,530.09</w:t>
            </w:r>
          </w:p>
        </w:tc>
      </w:tr>
      <w:tr>
        <w:trPr>
          <w:trHeight w:val="332" w:hRule="exact"/>
        </w:trPr>
        <w:tc>
          <w:tcPr>
            <w:tcW w:w="3262" w:type="dxa"/>
            <w:vMerge/>
            <w:tcBorders>
              <w:left w:val="single" w:sz="8" w:space="0" w:color="000000"/>
              <w:bottom w:val="single" w:sz="8" w:space="0" w:color="000000"/>
              <w:right w:val="single" w:sz="8" w:space="0" w:color="000000"/>
            </w:tcBorders>
          </w:tcPr>
          <w:p>
            <w:pP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4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4,662,257.09</w:t>
            </w:r>
          </w:p>
        </w:tc>
      </w:tr>
      <w:tr>
        <w:trPr>
          <w:trHeight w:val="1070" w:hRule="exact"/>
        </w:trPr>
        <w:tc>
          <w:tcPr>
            <w:tcW w:w="326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4"/>
              <w:ind w:left="451" w:right="179" w:hanging="271"/>
              <w:jc w:val="left"/>
              <w:rPr>
                <w:rFonts w:ascii="宋体" w:hAnsi="宋体" w:cs="宋体" w:eastAsia="宋体" w:hint="default"/>
                <w:sz w:val="18"/>
                <w:szCs w:val="18"/>
              </w:rPr>
            </w:pPr>
            <w:r>
              <w:rPr>
                <w:rFonts w:ascii="宋体" w:hAnsi="宋体" w:cs="宋体" w:eastAsia="宋体" w:hint="default"/>
                <w:sz w:val="18"/>
                <w:szCs w:val="18"/>
              </w:rPr>
              <w:t>本公司将原计入管理费用项目的研发 费用单独列示为研发费用项目</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4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96"/>
              <w:jc w:val="right"/>
              <w:rPr>
                <w:rFonts w:ascii="宋体" w:hAnsi="宋体" w:cs="宋体" w:eastAsia="宋体" w:hint="default"/>
                <w:sz w:val="18"/>
                <w:szCs w:val="18"/>
              </w:rPr>
            </w:pPr>
            <w:r>
              <w:rPr>
                <w:rFonts w:ascii="宋体"/>
                <w:sz w:val="18"/>
              </w:rPr>
              <w:t>-7,399,093.46</w:t>
            </w:r>
          </w:p>
        </w:tc>
      </w:tr>
      <w:tr>
        <w:trPr>
          <w:trHeight w:val="331" w:hRule="exact"/>
        </w:trPr>
        <w:tc>
          <w:tcPr>
            <w:tcW w:w="3262" w:type="dxa"/>
            <w:vMerge/>
            <w:tcBorders>
              <w:left w:val="single" w:sz="8" w:space="0" w:color="000000"/>
              <w:bottom w:val="single" w:sz="8" w:space="0" w:color="000000"/>
              <w:right w:val="single" w:sz="8" w:space="0" w:color="000000"/>
            </w:tcBorders>
          </w:tcPr>
          <w:p>
            <w:pP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4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7,399,093.46</w:t>
            </w:r>
          </w:p>
        </w:tc>
      </w:tr>
    </w:tbl>
    <w:p>
      <w:pPr>
        <w:spacing w:line="240" w:lineRule="auto" w:before="4"/>
        <w:rPr>
          <w:rFonts w:ascii="宋体" w:hAnsi="宋体" w:cs="宋体" w:eastAsia="宋体" w:hint="default"/>
          <w:sz w:val="19"/>
          <w:szCs w:val="19"/>
        </w:rPr>
      </w:pPr>
    </w:p>
    <w:p>
      <w:pPr>
        <w:pStyle w:val="Heading4"/>
        <w:spacing w:line="240" w:lineRule="auto" w:before="35"/>
        <w:ind w:left="114" w:right="1360"/>
        <w:jc w:val="left"/>
        <w:rPr>
          <w:b w:val="0"/>
          <w:bCs w:val="0"/>
        </w:rPr>
      </w:pPr>
      <w:bookmarkStart w:name="（2）重要会计估计变更" w:id="224"/>
      <w:bookmarkEnd w:id="22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14" w:right="8966" w:firstLine="0"/>
        <w:jc w:val="left"/>
        <w:rPr>
          <w:rFonts w:ascii="宋体" w:hAnsi="宋体" w:cs="宋体" w:eastAsia="宋体" w:hint="default"/>
          <w:sz w:val="21"/>
          <w:szCs w:val="21"/>
        </w:rPr>
      </w:pPr>
      <w:bookmarkStart w:name="34、其他" w:id="225"/>
      <w:bookmarkEnd w:id="225"/>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6"/>
      <w:bookmarkEnd w:id="226"/>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7"/>
      <w:bookmarkEnd w:id="227"/>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2"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95"/>
              <w:jc w:val="left"/>
              <w:rPr>
                <w:rFonts w:ascii="宋体" w:hAnsi="宋体" w:cs="宋体" w:eastAsia="宋体" w:hint="default"/>
                <w:sz w:val="18"/>
                <w:szCs w:val="18"/>
              </w:rPr>
            </w:pPr>
            <w:r>
              <w:rPr>
                <w:rFonts w:ascii="宋体" w:hAnsi="宋体" w:cs="宋体" w:eastAsia="宋体" w:hint="default"/>
                <w:sz w:val="18"/>
                <w:szCs w:val="18"/>
              </w:rPr>
              <w:t>销售收入、不动产经营租赁收入、物业 服务收入</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原值</w:t>
            </w:r>
            <w:r>
              <w:rPr>
                <w:rFonts w:ascii="Times New Roman" w:hAnsi="Times New Roman" w:cs="Times New Roman" w:eastAsia="Times New Roman" w:hint="default"/>
                <w:sz w:val="18"/>
                <w:szCs w:val="18"/>
              </w:rPr>
              <w:t>*80%</w:t>
            </w:r>
            <w:r>
              <w:rPr>
                <w:rFonts w:ascii="宋体" w:hAnsi="宋体" w:cs="宋体" w:eastAsia="宋体" w:hint="default"/>
                <w:sz w:val="18"/>
                <w:szCs w:val="18"/>
              </w:rPr>
              <w:t>、租金收入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土地地段不同</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0.08%</w:t>
            </w:r>
            <w:r>
              <w:rPr>
                <w:rFonts w:ascii="宋体" w:hAnsi="宋体" w:cs="宋体" w:eastAsia="宋体" w:hint="default"/>
                <w:sz w:val="18"/>
                <w:szCs w:val="18"/>
              </w:rPr>
              <w:t>、</w:t>
            </w:r>
            <w:r>
              <w:rPr>
                <w:rFonts w:ascii="Times New Roman" w:hAnsi="Times New Roman" w:cs="Times New Roman" w:eastAsia="Times New Roman" w:hint="default"/>
                <w:sz w:val="18"/>
                <w:szCs w:val="18"/>
              </w:rPr>
              <w:t>0.04%</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79" w:top="1500" w:bottom="1160" w:left="102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5"/>
        <w:ind w:right="94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陕西永鑫纸业包装有限公司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西安永旭创新服务有限公司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right="940"/>
        <w:jc w:val="left"/>
        <w:rPr>
          <w:b w:val="0"/>
          <w:bCs w:val="0"/>
        </w:rPr>
      </w:pPr>
      <w:bookmarkStart w:name="2、税收优惠" w:id="228"/>
      <w:bookmarkEnd w:id="22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3"/>
        <w:rPr>
          <w:rFonts w:ascii="宋体" w:hAnsi="宋体" w:cs="宋体" w:eastAsia="宋体" w:hint="default"/>
          <w:b/>
          <w:bCs/>
          <w:sz w:val="28"/>
          <w:szCs w:val="28"/>
        </w:rPr>
      </w:pPr>
    </w:p>
    <w:p>
      <w:pPr>
        <w:pStyle w:val="BodyText"/>
        <w:spacing w:line="364" w:lineRule="auto"/>
        <w:ind w:right="1130" w:firstLine="436"/>
        <w:jc w:val="both"/>
      </w:pPr>
      <w:r>
        <w:rPr>
          <w:rFonts w:ascii="宋体" w:hAnsi="宋体" w:cs="宋体" w:eastAsia="宋体" w:hint="default"/>
        </w:rPr>
        <w:t>1.</w:t>
      </w:r>
      <w:r>
        <w:rPr/>
        <w:t>根据《中华人民共和国企业所得税法》、《中华人民共和国企业所得税法实施条例》、《国家税务总局关于实施高 </w:t>
      </w:r>
      <w:r>
        <w:rPr>
          <w:spacing w:val="-2"/>
        </w:rPr>
        <w:t>新技术企业所得税优惠有关问题的通知》（国税函</w:t>
      </w:r>
      <w:r>
        <w:rPr>
          <w:rFonts w:ascii="宋体" w:hAnsi="宋体" w:cs="宋体" w:eastAsia="宋体" w:hint="default"/>
          <w:spacing w:val="-2"/>
        </w:rPr>
        <w:t>[2009]203</w:t>
      </w:r>
      <w:r>
        <w:rPr>
          <w:spacing w:val="-2"/>
        </w:rPr>
        <w:t>号），本公司</w:t>
      </w:r>
      <w:r>
        <w:rPr>
          <w:rFonts w:ascii="宋体" w:hAnsi="宋体" w:cs="宋体" w:eastAsia="宋体" w:hint="default"/>
          <w:spacing w:val="-2"/>
        </w:rPr>
        <w:t>2013</w:t>
      </w:r>
      <w:r>
        <w:rPr>
          <w:spacing w:val="-2"/>
        </w:rPr>
        <w:t>年起享受高新技术企业所得税优惠，减按</w:t>
      </w:r>
      <w:r>
        <w:rPr>
          <w:rFonts w:ascii="宋体" w:hAnsi="宋体" w:cs="宋体" w:eastAsia="宋体" w:hint="default"/>
          <w:spacing w:val="-2"/>
        </w:rPr>
        <w:t>15%</w:t>
      </w:r>
      <w:r>
        <w:rPr>
          <w:rFonts w:ascii="宋体" w:hAnsi="宋体" w:cs="宋体" w:eastAsia="宋体" w:hint="default"/>
          <w:spacing w:val="-49"/>
        </w:rPr>
        <w:t> </w:t>
      </w:r>
      <w:r>
        <w:rPr/>
        <w:t>的税率缴纳企业所得税、</w:t>
      </w:r>
      <w:r>
        <w:rPr>
          <w:rFonts w:ascii="宋体" w:hAnsi="宋体" w:cs="宋体" w:eastAsia="宋体" w:hint="default"/>
        </w:rPr>
        <w:t>2018</w:t>
      </w:r>
      <w:r>
        <w:rPr/>
        <w:t>年度减按</w:t>
      </w:r>
      <w:r>
        <w:rPr>
          <w:rFonts w:ascii="宋体" w:hAnsi="宋体" w:cs="宋体" w:eastAsia="宋体" w:hint="default"/>
        </w:rPr>
        <w:t>15%</w:t>
      </w:r>
      <w:r>
        <w:rPr/>
        <w:t>的税率预缴企业所得税。</w:t>
      </w:r>
    </w:p>
    <w:p>
      <w:pPr>
        <w:pStyle w:val="BodyText"/>
        <w:spacing w:line="364" w:lineRule="auto" w:before="29"/>
        <w:ind w:right="1139" w:firstLine="436"/>
        <w:jc w:val="both"/>
      </w:pPr>
      <w:r>
        <w:rPr>
          <w:rFonts w:ascii="宋体" w:hAnsi="宋体" w:cs="宋体" w:eastAsia="宋体" w:hint="default"/>
        </w:rPr>
        <w:t>2.</w:t>
      </w:r>
      <w:r>
        <w:rPr/>
        <w:t>根据《中华人民共和国企业所得税法》、《中华人民共和国企业所得税法实施条例》、《国家税务总局关于实施高 新技术企业所得税优惠有关问题的通知》（国税函</w:t>
      </w:r>
      <w:r>
        <w:rPr>
          <w:rFonts w:ascii="宋体" w:hAnsi="宋体" w:cs="宋体" w:eastAsia="宋体" w:hint="default"/>
        </w:rPr>
        <w:t>[2009]203</w:t>
      </w:r>
      <w:r>
        <w:rPr/>
        <w:t>号），本公司之子公司天津滨海环球印务有限公司</w:t>
      </w:r>
      <w:r>
        <w:rPr>
          <w:rFonts w:ascii="宋体" w:hAnsi="宋体" w:cs="宋体" w:eastAsia="宋体" w:hint="default"/>
        </w:rPr>
        <w:t>2017</w:t>
      </w:r>
      <w:r>
        <w:rPr/>
        <w:t>年起享 受高新技术企业所得税优惠，减按</w:t>
      </w:r>
      <w:r>
        <w:rPr>
          <w:rFonts w:ascii="宋体" w:hAnsi="宋体" w:cs="宋体" w:eastAsia="宋体" w:hint="default"/>
        </w:rPr>
        <w:t>15%</w:t>
      </w:r>
      <w:r>
        <w:rPr/>
        <w:t>的税率缴纳企业所得税，</w:t>
      </w:r>
      <w:r>
        <w:rPr>
          <w:rFonts w:ascii="宋体" w:hAnsi="宋体" w:cs="宋体" w:eastAsia="宋体" w:hint="default"/>
        </w:rPr>
        <w:t>2018</w:t>
      </w:r>
      <w:r>
        <w:rPr/>
        <w:t>年度减按</w:t>
      </w:r>
      <w:r>
        <w:rPr>
          <w:rFonts w:ascii="宋体" w:hAnsi="宋体" w:cs="宋体" w:eastAsia="宋体" w:hint="default"/>
        </w:rPr>
        <w:t>15%</w:t>
      </w:r>
      <w:r>
        <w:rPr/>
        <w:t>的税率预缴企业所得税。</w:t>
      </w:r>
    </w:p>
    <w:p>
      <w:pPr>
        <w:pStyle w:val="BodyText"/>
        <w:spacing w:line="364" w:lineRule="auto" w:before="29"/>
        <w:ind w:right="1152" w:firstLine="436"/>
        <w:jc w:val="both"/>
      </w:pPr>
      <w:r>
        <w:rPr>
          <w:rFonts w:ascii="宋体" w:hAnsi="宋体" w:cs="宋体" w:eastAsia="宋体" w:hint="default"/>
        </w:rPr>
        <w:t>3.</w:t>
      </w:r>
      <w:r>
        <w:rPr/>
        <w:t>根据《陕西省人民政府办公厅关于支持实体经济发展若干财税措施的意见》（陕政办发</w:t>
      </w:r>
      <w:r>
        <w:rPr>
          <w:rFonts w:ascii="宋体" w:hAnsi="宋体" w:cs="宋体" w:eastAsia="宋体" w:hint="default"/>
        </w:rPr>
        <w:t>[2017]102</w:t>
      </w:r>
      <w:r>
        <w:rPr/>
        <w:t>号），自</w:t>
      </w:r>
      <w:r>
        <w:rPr>
          <w:rFonts w:ascii="宋体" w:hAnsi="宋体" w:cs="宋体" w:eastAsia="宋体" w:hint="default"/>
        </w:rPr>
        <w:t>2017</w:t>
      </w:r>
      <w:r>
        <w:rPr/>
        <w:t>年</w:t>
      </w:r>
      <w:r>
        <w:rPr>
          <w:rFonts w:ascii="宋体" w:hAnsi="宋体" w:cs="宋体" w:eastAsia="宋体" w:hint="default"/>
        </w:rPr>
        <w:t>7 </w:t>
      </w:r>
      <w:r>
        <w:rPr/>
        <w:t>月</w:t>
      </w:r>
      <w:r>
        <w:rPr>
          <w:rFonts w:ascii="宋体" w:hAnsi="宋体" w:cs="宋体" w:eastAsia="宋体" w:hint="default"/>
        </w:rPr>
        <w:t>1</w:t>
      </w:r>
      <w:r>
        <w:rPr/>
        <w:t>日起，本公司水利基金减按销售商品收入和提供劳务收入的</w:t>
      </w:r>
      <w:r>
        <w:rPr>
          <w:rFonts w:ascii="宋体" w:hAnsi="宋体" w:cs="宋体" w:eastAsia="宋体" w:hint="default"/>
        </w:rPr>
        <w:t>0.04%</w:t>
      </w:r>
      <w:r>
        <w:rPr/>
        <w:t>缴纳。</w:t>
      </w:r>
    </w:p>
    <w:p>
      <w:pPr>
        <w:pStyle w:val="BodyText"/>
        <w:spacing w:line="364" w:lineRule="auto" w:before="29"/>
        <w:ind w:right="1139" w:firstLine="436"/>
        <w:jc w:val="both"/>
      </w:pPr>
      <w:r>
        <w:rPr>
          <w:rFonts w:ascii="宋体" w:hAnsi="宋体" w:cs="宋体" w:eastAsia="宋体" w:hint="default"/>
        </w:rPr>
        <w:t>4.</w:t>
      </w:r>
      <w:r>
        <w:rPr/>
        <w:t>根据《国务院关于支持喀什霍尔果斯经济开发区建设的若干意见》（国发〔</w:t>
      </w:r>
      <w:r>
        <w:rPr>
          <w:rFonts w:ascii="宋体" w:hAnsi="宋体" w:cs="宋体" w:eastAsia="宋体" w:hint="default"/>
        </w:rPr>
        <w:t>2011</w:t>
      </w:r>
      <w:r>
        <w:rPr/>
        <w:t>〕</w:t>
      </w:r>
      <w:r>
        <w:rPr>
          <w:rFonts w:ascii="宋体" w:hAnsi="宋体" w:cs="宋体" w:eastAsia="宋体" w:hint="default"/>
        </w:rPr>
        <w:t>33</w:t>
      </w:r>
      <w:r>
        <w:rPr/>
        <w:t>号），《财政部、国家税务总 局关于支持新疆喀什、霍尔果斯两个特殊经济开发区企业所得税优惠政策的通知》（财税〔</w:t>
      </w:r>
      <w:r>
        <w:rPr>
          <w:rFonts w:ascii="宋体" w:hAnsi="宋体" w:cs="宋体" w:eastAsia="宋体" w:hint="default"/>
        </w:rPr>
        <w:t>2011</w:t>
      </w:r>
      <w:r>
        <w:rPr/>
        <w:t>〕</w:t>
      </w:r>
      <w:r>
        <w:rPr>
          <w:rFonts w:ascii="宋体" w:hAnsi="宋体" w:cs="宋体" w:eastAsia="宋体" w:hint="default"/>
        </w:rPr>
        <w:t>112</w:t>
      </w:r>
      <w:r>
        <w:rPr/>
        <w:t>号），自成立后，霍 尔果斯领凯享受企业所得税五年免征优惠，至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8"/>
        <w:rPr>
          <w:rFonts w:ascii="宋体" w:hAnsi="宋体" w:cs="宋体" w:eastAsia="宋体" w:hint="default"/>
          <w:sz w:val="21"/>
          <w:szCs w:val="21"/>
        </w:rPr>
      </w:pPr>
    </w:p>
    <w:p>
      <w:pPr>
        <w:spacing w:line="487" w:lineRule="auto" w:before="0"/>
        <w:ind w:left="154" w:right="7692" w:firstLine="0"/>
        <w:jc w:val="left"/>
        <w:rPr>
          <w:rFonts w:ascii="宋体" w:hAnsi="宋体" w:cs="宋体" w:eastAsia="宋体" w:hint="default"/>
          <w:sz w:val="21"/>
          <w:szCs w:val="21"/>
        </w:rPr>
      </w:pPr>
      <w:bookmarkStart w:name="3、其他" w:id="229"/>
      <w:bookmarkEnd w:id="22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30"/>
      <w:bookmarkEnd w:id="230"/>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31"/>
      <w:bookmarkEnd w:id="231"/>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158,563.93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241,151.84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140,345,804.29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131,409,046.61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14,329,110.52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1,698,383.57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154,833,478.74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133,348,582.02</w:t>
            </w:r>
          </w:p>
        </w:tc>
      </w:tr>
    </w:tbl>
    <w:p>
      <w:pPr>
        <w:pStyle w:val="BodyText"/>
        <w:spacing w:line="360" w:lineRule="auto" w:before="51"/>
        <w:ind w:right="3732"/>
        <w:jc w:val="left"/>
      </w:pPr>
      <w:r>
        <w:rPr/>
        <w:t>其他说明 本公司除其他货币资金的保证金外，不存在其他使用受限的情形，无潜在不可收回风险。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2"/>
        <w:ind w:right="940"/>
        <w:jc w:val="left"/>
        <w:rPr>
          <w:b w:val="0"/>
          <w:bCs w:val="0"/>
        </w:rPr>
      </w:pPr>
      <w:bookmarkStart w:name="2、以公允价值计量且其变动计入当期损益的金融资产" w:id="232"/>
      <w:bookmarkEnd w:id="232"/>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43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474" w:right="6432"/>
        <w:jc w:val="left"/>
        <w:rPr>
          <w:b w:val="0"/>
          <w:bCs w:val="0"/>
        </w:rPr>
      </w:pPr>
      <w:bookmarkStart w:name="3、衍生金融资产" w:id="233"/>
      <w:bookmarkEnd w:id="233"/>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74"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474" w:right="6432"/>
        <w:jc w:val="left"/>
        <w:rPr>
          <w:b w:val="0"/>
          <w:bCs w:val="0"/>
        </w:rPr>
      </w:pPr>
      <w:bookmarkStart w:name="4、应收票据及应收账款" w:id="234"/>
      <w:bookmarkEnd w:id="234"/>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48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54,868,744.11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30,908,516.58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156,727,389.92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124,268,146.32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211,596,134.03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155,176,662.90</w:t>
            </w:r>
          </w:p>
        </w:tc>
      </w:tr>
    </w:tbl>
    <w:p>
      <w:pPr>
        <w:spacing w:line="240" w:lineRule="auto" w:before="2"/>
        <w:rPr>
          <w:rFonts w:ascii="宋体" w:hAnsi="宋体" w:cs="宋体" w:eastAsia="宋体" w:hint="default"/>
          <w:sz w:val="19"/>
          <w:szCs w:val="19"/>
        </w:rPr>
      </w:pPr>
    </w:p>
    <w:p>
      <w:pPr>
        <w:pStyle w:val="Heading4"/>
        <w:spacing w:line="240" w:lineRule="auto" w:before="35"/>
        <w:ind w:left="474" w:right="6432"/>
        <w:jc w:val="left"/>
        <w:rPr>
          <w:b w:val="0"/>
          <w:bCs w:val="0"/>
        </w:rPr>
      </w:pPr>
      <w:bookmarkStart w:name="（1）应收票据" w:id="235"/>
      <w:bookmarkEnd w:id="235"/>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474" w:right="6432"/>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48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54,868,744.11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30,607,536.31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300,980.27</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54,868,744.11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30,908,516.58</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500" w:bottom="1160" w:left="660" w:right="0"/>
        </w:sectPr>
      </w:pPr>
    </w:p>
    <w:p>
      <w:pPr>
        <w:pStyle w:val="BodyText"/>
        <w:spacing w:line="240" w:lineRule="auto" w:before="51"/>
        <w:ind w:left="474" w:right="-20"/>
        <w:jc w:val="left"/>
      </w:pPr>
      <w:r>
        <w:rPr>
          <w:rFonts w:ascii="Times New Roman" w:hAnsi="Times New Roman" w:cs="Times New Roman" w:eastAsia="Times New Roman" w:hint="default"/>
        </w:rPr>
        <w:t>2)</w:t>
      </w:r>
      <w:r>
        <w:rPr/>
        <w:t>期末公司已质押的应收票据</w:t>
      </w:r>
    </w:p>
    <w:p>
      <w:pPr>
        <w:pStyle w:val="BodyText"/>
        <w:spacing w:line="240" w:lineRule="auto" w:before="102"/>
        <w:ind w:left="47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474" w:right="-20"/>
        <w:jc w:val="left"/>
      </w:pPr>
      <w:r>
        <w:rPr>
          <w:rFonts w:ascii="Times New Roman" w:hAnsi="Times New Roman" w:cs="Times New Roman" w:eastAsia="Times New Roman" w:hint="default"/>
        </w:rPr>
        <w:t>3)</w:t>
      </w:r>
      <w:r>
        <w:rPr/>
        <w:t>期末公司已背书或贴现且在资产负债表日尚未到期的应收票据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473" w:right="0"/>
        <w:jc w:val="left"/>
      </w:pPr>
      <w:r>
        <w:rPr/>
        <w:t>单位： 元</w:t>
      </w:r>
    </w:p>
    <w:p>
      <w:pPr>
        <w:spacing w:after="0" w:line="240" w:lineRule="auto"/>
        <w:jc w:val="left"/>
        <w:sectPr>
          <w:type w:val="continuous"/>
          <w:pgSz w:w="11910" w:h="16840"/>
          <w:pgMar w:top="1580" w:bottom="700" w:left="660" w:right="0"/>
          <w:cols w:num="2" w:equalWidth="0">
            <w:col w:w="5485" w:space="3345"/>
            <w:col w:w="2420"/>
          </w:cols>
        </w:sectPr>
      </w:pPr>
    </w:p>
    <w:p>
      <w:pPr>
        <w:spacing w:line="240" w:lineRule="auto" w:before="13"/>
        <w:rPr>
          <w:rFonts w:ascii="宋体" w:hAnsi="宋体" w:cs="宋体" w:eastAsia="宋体" w:hint="default"/>
          <w:sz w:val="7"/>
          <w:szCs w:val="7"/>
        </w:rPr>
      </w:pPr>
    </w:p>
    <w:tbl>
      <w:tblPr>
        <w:tblW w:w="0" w:type="auto"/>
        <w:jc w:val="left"/>
        <w:tblInd w:w="48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50,419,843.53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50,419,843.53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474" w:right="6432"/>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2"/>
        <w:ind w:left="474"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474" w:right="6432"/>
        <w:jc w:val="left"/>
        <w:rPr>
          <w:b w:val="0"/>
          <w:bCs w:val="0"/>
        </w:rPr>
      </w:pPr>
      <w:bookmarkStart w:name="（2）应收账款" w:id="236"/>
      <w:bookmarkEnd w:id="236"/>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474" w:right="6432"/>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936"/>
        <w:gridCol w:w="1181"/>
        <w:gridCol w:w="701"/>
        <w:gridCol w:w="1091"/>
        <w:gridCol w:w="611"/>
        <w:gridCol w:w="1182"/>
        <w:gridCol w:w="1181"/>
        <w:gridCol w:w="701"/>
        <w:gridCol w:w="1001"/>
        <w:gridCol w:w="611"/>
        <w:gridCol w:w="1181"/>
      </w:tblGrid>
      <w:tr>
        <w:trPr>
          <w:trHeight w:val="402" w:hRule="exact"/>
        </w:trPr>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82"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476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67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936" w:type="dxa"/>
            <w:vMerge/>
            <w:tcBorders>
              <w:left w:val="single" w:sz="4" w:space="0" w:color="000000"/>
              <w:right w:val="single" w:sz="4" w:space="0" w:color="000000"/>
            </w:tcBorders>
            <w:shd w:val="clear" w:color="auto" w:fill="D2D2D2"/>
          </w:tcPr>
          <w:p>
            <w:pPr/>
          </w:p>
        </w:tc>
        <w:tc>
          <w:tcPr>
            <w:tcW w:w="1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936"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0" w:right="29"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82"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0" w:right="2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81"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580" w:bottom="700" w:left="660" w:right="0"/>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936"/>
        <w:gridCol w:w="1181"/>
        <w:gridCol w:w="701"/>
        <w:gridCol w:w="1091"/>
        <w:gridCol w:w="611"/>
        <w:gridCol w:w="1182"/>
        <w:gridCol w:w="1181"/>
        <w:gridCol w:w="701"/>
        <w:gridCol w:w="1001"/>
        <w:gridCol w:w="611"/>
        <w:gridCol w:w="1181"/>
      </w:tblGrid>
      <w:tr>
        <w:trPr>
          <w:trHeight w:val="1662" w:hRule="exact"/>
        </w:trPr>
        <w:tc>
          <w:tcPr>
            <w:tcW w:w="93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3" w:right="180"/>
              <w:jc w:val="both"/>
              <w:rPr>
                <w:rFonts w:ascii="宋体" w:hAnsi="宋体" w:cs="宋体" w:eastAsia="宋体" w:hint="default"/>
                <w:sz w:val="18"/>
                <w:szCs w:val="18"/>
              </w:rPr>
            </w:pPr>
            <w:r>
              <w:rPr>
                <w:rFonts w:ascii="宋体" w:hAnsi="宋体" w:cs="宋体" w:eastAsia="宋体" w:hint="default"/>
                <w:sz w:val="18"/>
                <w:szCs w:val="18"/>
              </w:rPr>
              <w:t>按信用风 险特征组 合计提坏 账准备的 应收账款</w:t>
            </w:r>
          </w:p>
        </w:tc>
        <w:tc>
          <w:tcPr>
            <w:tcW w:w="118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164,748,655.17</w:t>
            </w:r>
          </w:p>
        </w:tc>
        <w:tc>
          <w:tcPr>
            <w:tcW w:w="70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96.54%</w:t>
            </w:r>
          </w:p>
        </w:tc>
        <w:tc>
          <w:tcPr>
            <w:tcW w:w="10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9,379,825.26</w:t>
            </w:r>
          </w:p>
        </w:tc>
        <w:tc>
          <w:tcPr>
            <w:tcW w:w="61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5.69%</w:t>
            </w:r>
          </w:p>
        </w:tc>
        <w:tc>
          <w:tcPr>
            <w:tcW w:w="118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155,368,829.91</w:t>
            </w:r>
          </w:p>
        </w:tc>
        <w:tc>
          <w:tcPr>
            <w:tcW w:w="118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131,286,868.00</w:t>
            </w:r>
          </w:p>
        </w:tc>
        <w:tc>
          <w:tcPr>
            <w:tcW w:w="70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98.07%</w:t>
            </w:r>
          </w:p>
        </w:tc>
        <w:tc>
          <w:tcPr>
            <w:tcW w:w="100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7,512,526.14</w:t>
            </w:r>
          </w:p>
        </w:tc>
        <w:tc>
          <w:tcPr>
            <w:tcW w:w="61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5.72%</w:t>
            </w:r>
          </w:p>
        </w:tc>
        <w:tc>
          <w:tcPr>
            <w:tcW w:w="118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123,774,341.86</w:t>
            </w:r>
          </w:p>
        </w:tc>
      </w:tr>
      <w:tr>
        <w:trPr>
          <w:trHeight w:val="1962"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80"/>
              <w:jc w:val="both"/>
              <w:rPr>
                <w:rFonts w:ascii="宋体" w:hAnsi="宋体" w:cs="宋体" w:eastAsia="宋体" w:hint="default"/>
                <w:sz w:val="18"/>
                <w:szCs w:val="18"/>
              </w:rPr>
            </w:pPr>
            <w:r>
              <w:rPr>
                <w:rFonts w:ascii="宋体" w:hAnsi="宋体" w:cs="宋体" w:eastAsia="宋体" w:hint="default"/>
                <w:sz w:val="18"/>
                <w:szCs w:val="18"/>
              </w:rPr>
              <w:t>单项金额 不重大但 单独计提 坏账准备 的应收账 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5,904,620.38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4,546,060.37</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76.99%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1,358,560.01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2,590,013.72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2,096,209.26</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80.93%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493,804.46</w:t>
            </w:r>
          </w:p>
        </w:tc>
      </w:tr>
      <w:tr>
        <w:trPr>
          <w:trHeight w:val="402"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170,653,275.55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13,925,885.63</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156,727,389.92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133,876,881.72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9,608,735.40</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124,268,146.32</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500" w:bottom="1160" w:left="660" w:right="0"/>
        </w:sectPr>
      </w:pPr>
    </w:p>
    <w:p>
      <w:pPr>
        <w:pStyle w:val="BodyText"/>
        <w:spacing w:line="240" w:lineRule="auto" w:before="51"/>
        <w:ind w:left="474" w:right="-20"/>
        <w:jc w:val="left"/>
      </w:pPr>
      <w:r>
        <w:rPr/>
        <w:t>期末单项金额重大并单项计提坏账准备的应收账款：</w:t>
      </w:r>
    </w:p>
    <w:p>
      <w:pPr>
        <w:pStyle w:val="BodyText"/>
        <w:spacing w:line="338" w:lineRule="auto" w:before="117"/>
        <w:ind w:left="474"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left="47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473" w:right="0"/>
        <w:jc w:val="left"/>
      </w:pPr>
      <w:r>
        <w:rPr/>
        <w:t>单位： 元</w:t>
      </w:r>
    </w:p>
    <w:p>
      <w:pPr>
        <w:spacing w:after="0" w:line="240" w:lineRule="auto"/>
        <w:jc w:val="left"/>
        <w:sectPr>
          <w:type w:val="continuous"/>
          <w:pgSz w:w="11910" w:h="16840"/>
          <w:pgMar w:top="1580" w:bottom="700" w:left="660" w:right="0"/>
          <w:cols w:num="2" w:equalWidth="0">
            <w:col w:w="4615" w:space="4215"/>
            <w:col w:w="2420"/>
          </w:cols>
        </w:sectPr>
      </w:pPr>
    </w:p>
    <w:p>
      <w:pPr>
        <w:spacing w:line="240" w:lineRule="auto" w:before="13"/>
        <w:rPr>
          <w:rFonts w:ascii="宋体" w:hAnsi="宋体" w:cs="宋体" w:eastAsia="宋体" w:hint="default"/>
          <w:sz w:val="7"/>
          <w:szCs w:val="7"/>
        </w:rPr>
      </w:pPr>
    </w:p>
    <w:tbl>
      <w:tblPr>
        <w:tblW w:w="0" w:type="auto"/>
        <w:jc w:val="left"/>
        <w:tblInd w:w="48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154,872,942.08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7,743,647.10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94.01%</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6,632,678.87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663,267.90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3,243,034.22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972,910.26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164,748,655.17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9,379,825.26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474" w:right="6432"/>
        <w:jc w:val="left"/>
      </w:pPr>
      <w:r>
        <w:rPr/>
        <w:t>确定该组合依据的说明：</w:t>
      </w:r>
    </w:p>
    <w:p>
      <w:pPr>
        <w:pStyle w:val="BodyText"/>
        <w:spacing w:line="240" w:lineRule="auto" w:before="139"/>
        <w:ind w:left="474" w:right="1122"/>
        <w:jc w:val="left"/>
      </w:pPr>
      <w:r>
        <w:rPr/>
        <w:t>（</w:t>
      </w:r>
      <w:r>
        <w:rPr>
          <w:rFonts w:ascii="宋体" w:hAnsi="宋体" w:cs="宋体" w:eastAsia="宋体" w:hint="default"/>
        </w:rPr>
        <w:t>1</w:t>
      </w:r>
      <w:r>
        <w:rPr/>
        <w:t>）单项金额重大并单项计提坏账准备的应收账款：账面金额人民币</w:t>
      </w:r>
      <w:r>
        <w:rPr>
          <w:rFonts w:ascii="宋体" w:hAnsi="宋体" w:cs="宋体" w:eastAsia="宋体" w:hint="default"/>
        </w:rPr>
        <w:t>500</w:t>
      </w:r>
      <w:r>
        <w:rPr/>
        <w:t>万元以上或公司应收账款前五名客户。</w:t>
      </w:r>
    </w:p>
    <w:p>
      <w:pPr>
        <w:pStyle w:val="BodyText"/>
        <w:spacing w:line="364" w:lineRule="auto" w:before="123"/>
        <w:ind w:left="474" w:right="1122"/>
        <w:jc w:val="left"/>
      </w:pPr>
      <w:r>
        <w:rPr>
          <w:spacing w:val="-2"/>
        </w:rPr>
        <w:t>（</w:t>
      </w:r>
      <w:r>
        <w:rPr>
          <w:rFonts w:ascii="宋体" w:hAnsi="宋体" w:cs="宋体" w:eastAsia="宋体" w:hint="default"/>
          <w:spacing w:val="-2"/>
        </w:rPr>
        <w:t>2</w:t>
      </w:r>
      <w:r>
        <w:rPr>
          <w:spacing w:val="-2"/>
        </w:rPr>
        <w:t>）单项金额不重大但按信用风险特征组合后该组合的风险较大的应收账款：账龄超过</w:t>
      </w:r>
      <w:r>
        <w:rPr>
          <w:rFonts w:ascii="宋体" w:hAnsi="宋体" w:cs="宋体" w:eastAsia="宋体" w:hint="default"/>
          <w:spacing w:val="-2"/>
        </w:rPr>
        <w:t>3</w:t>
      </w:r>
      <w:r>
        <w:rPr>
          <w:spacing w:val="-2"/>
        </w:rPr>
        <w:t>年以上的应收账款以及与对方存在</w:t>
      </w:r>
      <w:r>
        <w:rPr>
          <w:spacing w:val="-62"/>
        </w:rPr>
        <w:t> </w:t>
      </w:r>
      <w:r>
        <w:rPr/>
        <w:t>争议或涉及诉讼、仲裁的应收账款；已有明显迹象表明债务人很可能无法履行还款义务的应收账款。</w:t>
      </w:r>
    </w:p>
    <w:p>
      <w:pPr>
        <w:pStyle w:val="BodyText"/>
        <w:spacing w:line="364" w:lineRule="auto" w:before="29"/>
        <w:ind w:left="474" w:right="1122"/>
        <w:jc w:val="left"/>
      </w:pPr>
      <w:r>
        <w:rPr/>
        <w:t>（</w:t>
      </w:r>
      <w:r>
        <w:rPr>
          <w:rFonts w:ascii="宋体" w:hAnsi="宋体" w:cs="宋体" w:eastAsia="宋体" w:hint="default"/>
        </w:rPr>
        <w:t>3</w:t>
      </w:r>
      <w:r>
        <w:rPr/>
        <w:t>）按组合计提坏账准备的应收账款：除上述第（</w:t>
      </w:r>
      <w:r>
        <w:rPr>
          <w:rFonts w:ascii="宋体" w:hAnsi="宋体" w:cs="宋体" w:eastAsia="宋体" w:hint="default"/>
        </w:rPr>
        <w:t>1</w:t>
      </w:r>
      <w:r>
        <w:rPr/>
        <w:t>）、（</w:t>
      </w:r>
      <w:r>
        <w:rPr>
          <w:rFonts w:ascii="宋体" w:hAnsi="宋体" w:cs="宋体" w:eastAsia="宋体" w:hint="default"/>
        </w:rPr>
        <w:t>2</w:t>
      </w:r>
      <w:r>
        <w:rPr/>
        <w:t>）种情形以外的其他应收账款。其他不重大应收账款以账龄分</w:t>
      </w:r>
      <w:r>
        <w:rPr>
          <w:spacing w:val="-82"/>
        </w:rPr>
        <w:t> </w:t>
      </w:r>
      <w:r>
        <w:rPr>
          <w:spacing w:val="-82"/>
        </w:rPr>
      </w:r>
      <w:r>
        <w:rPr/>
        <w:t>析作为组合，按账龄分析计提坏账准备。</w:t>
      </w:r>
    </w:p>
    <w:p>
      <w:pPr>
        <w:spacing w:line="240" w:lineRule="auto" w:before="0"/>
        <w:rPr>
          <w:rFonts w:ascii="宋体" w:hAnsi="宋体" w:cs="宋体" w:eastAsia="宋体" w:hint="default"/>
          <w:sz w:val="18"/>
          <w:szCs w:val="18"/>
        </w:rPr>
      </w:pPr>
    </w:p>
    <w:p>
      <w:pPr>
        <w:pStyle w:val="BodyText"/>
        <w:spacing w:line="240" w:lineRule="auto" w:before="124"/>
        <w:ind w:left="474" w:right="1122"/>
        <w:jc w:val="left"/>
      </w:pPr>
      <w:r>
        <w:rPr/>
        <w:t>组合中，采用余额百分比法计提坏账准备的应收账款：</w:t>
      </w:r>
    </w:p>
    <w:p>
      <w:pPr>
        <w:pStyle w:val="BodyText"/>
        <w:spacing w:line="338" w:lineRule="auto" w:before="117"/>
        <w:ind w:left="474"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42"/>
        <w:ind w:left="474"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left="474" w:right="6432"/>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left="474" w:right="1122"/>
        <w:jc w:val="left"/>
      </w:pPr>
      <w:r>
        <w:rPr/>
        <w:t>本期计提坏账准备金额</w:t>
      </w:r>
      <w:r>
        <w:rPr>
          <w:spacing w:val="-47"/>
        </w:rPr>
        <w:t> </w:t>
      </w:r>
      <w:r>
        <w:rPr>
          <w:rFonts w:ascii="Times New Roman" w:hAnsi="Times New Roman" w:cs="Times New Roman" w:eastAsia="Times New Roman" w:hint="default"/>
        </w:rPr>
        <w:t>2,505,597.86</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after="0" w:line="240" w:lineRule="auto"/>
        <w:jc w:val="left"/>
        <w:sectPr>
          <w:type w:val="continuous"/>
          <w:pgSz w:w="11910" w:h="16840"/>
          <w:pgMar w:top="1580" w:bottom="700" w:left="66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6"/>
        <w:ind w:left="514" w:right="940" w:hanging="360"/>
        <w:jc w:val="left"/>
      </w:pPr>
      <w:r>
        <w:rPr/>
        <w:t>其中本期坏账准备收回或转回金额重要的： </w:t>
      </w:r>
      <w:r>
        <w:rPr>
          <w:spacing w:val="-2"/>
        </w:rPr>
        <w:t>报告期本公司无前期已全额计提坏账准备，或计提减值准备的比例较大，但在本期又全额收回或转回，或在本期收回或</w:t>
      </w:r>
    </w:p>
    <w:p>
      <w:pPr>
        <w:pStyle w:val="BodyText"/>
        <w:spacing w:line="225" w:lineRule="exact"/>
        <w:ind w:right="940"/>
        <w:jc w:val="left"/>
      </w:pPr>
      <w:r>
        <w:rPr/>
        <w:t>转回比例较大的应收账款。</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240" w:lineRule="auto"/>
        <w:ind w:right="940"/>
        <w:jc w:val="left"/>
      </w:pPr>
      <w:r>
        <w:rPr>
          <w:rFonts w:ascii="Times New Roman" w:hAnsi="Times New Roman" w:cs="Times New Roman" w:eastAsia="Times New Roman" w:hint="default"/>
        </w:rPr>
        <w:t>3)</w:t>
      </w:r>
      <w:r>
        <w:rPr/>
        <w:t>本期实际核销的应收账款情况</w:t>
      </w:r>
    </w:p>
    <w:p>
      <w:pPr>
        <w:pStyle w:val="BodyText"/>
        <w:spacing w:line="240" w:lineRule="auto" w:before="102"/>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right="94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tbl>
      <w:tblPr>
        <w:tblW w:w="0" w:type="auto"/>
        <w:jc w:val="left"/>
        <w:tblInd w:w="139" w:type="dxa"/>
        <w:tblLayout w:type="fixed"/>
        <w:tblCellMar>
          <w:top w:w="0" w:type="dxa"/>
          <w:left w:w="0" w:type="dxa"/>
          <w:bottom w:w="0" w:type="dxa"/>
          <w:right w:w="0" w:type="dxa"/>
        </w:tblCellMar>
        <w:tblLook w:val="01E0"/>
      </w:tblPr>
      <w:tblGrid>
        <w:gridCol w:w="3026"/>
        <w:gridCol w:w="1608"/>
        <w:gridCol w:w="1241"/>
        <w:gridCol w:w="1808"/>
        <w:gridCol w:w="1976"/>
      </w:tblGrid>
      <w:tr>
        <w:trPr>
          <w:trHeight w:val="649" w:hRule="exact"/>
        </w:trPr>
        <w:tc>
          <w:tcPr>
            <w:tcW w:w="30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债务人名称</w:t>
            </w:r>
          </w:p>
        </w:tc>
        <w:tc>
          <w:tcPr>
            <w:tcW w:w="16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4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6"/>
              <w:ind w:left="181" w:right="163" w:hanging="1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 总额比例</w:t>
            </w:r>
            <w:r>
              <w:rPr>
                <w:rFonts w:ascii="Times New Roman" w:hAnsi="Times New Roman" w:cs="Times New Roman" w:eastAsia="Times New Roman" w:hint="default"/>
                <w:sz w:val="18"/>
                <w:szCs w:val="18"/>
              </w:rPr>
              <w:t>%</w:t>
            </w:r>
          </w:p>
        </w:tc>
        <w:tc>
          <w:tcPr>
            <w:tcW w:w="18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16"/>
              <w:ind w:left="718" w:right="42" w:hanging="676"/>
              <w:jc w:val="left"/>
              <w:rPr>
                <w:rFonts w:ascii="宋体" w:hAnsi="宋体" w:cs="宋体" w:eastAsia="宋体" w:hint="default"/>
                <w:sz w:val="18"/>
                <w:szCs w:val="18"/>
              </w:rPr>
            </w:pPr>
            <w:r>
              <w:rPr>
                <w:rFonts w:ascii="宋体" w:hAnsi="宋体" w:cs="宋体" w:eastAsia="宋体" w:hint="default"/>
                <w:sz w:val="18"/>
                <w:szCs w:val="18"/>
              </w:rPr>
              <w:t>账龄在</w:t>
            </w:r>
            <w:r>
              <w:rPr>
                <w:rFonts w:ascii="Times New Roman" w:hAnsi="Times New Roman" w:cs="Times New Roman" w:eastAsia="Times New Roman" w:hint="default"/>
                <w:sz w:val="18"/>
                <w:szCs w:val="18"/>
              </w:rPr>
              <w:t>1</w:t>
            </w:r>
            <w:r>
              <w:rPr>
                <w:rFonts w:ascii="宋体" w:hAnsi="宋体" w:cs="宋体" w:eastAsia="宋体" w:hint="default"/>
                <w:sz w:val="18"/>
                <w:szCs w:val="18"/>
              </w:rPr>
              <w:t>年以内的应收 账款</w:t>
            </w:r>
          </w:p>
        </w:tc>
        <w:tc>
          <w:tcPr>
            <w:tcW w:w="19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r>
      <w:tr>
        <w:trPr>
          <w:trHeight w:val="342" w:hRule="exact"/>
        </w:trPr>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79"/>
              <w:jc w:val="right"/>
              <w:rPr>
                <w:rFonts w:ascii="Times New Roman" w:hAnsi="Times New Roman" w:cs="Times New Roman" w:eastAsia="Times New Roman" w:hint="default"/>
                <w:sz w:val="18"/>
                <w:szCs w:val="18"/>
              </w:rPr>
            </w:pPr>
            <w:r>
              <w:rPr>
                <w:rFonts w:ascii="Times New Roman"/>
                <w:spacing w:val="-1"/>
                <w:sz w:val="18"/>
              </w:rPr>
              <w:t>21,216,870.65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12.43</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21,216,870.65</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42" w:hRule="exact"/>
        </w:trPr>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79"/>
              <w:jc w:val="right"/>
              <w:rPr>
                <w:rFonts w:ascii="Times New Roman" w:hAnsi="Times New Roman" w:cs="Times New Roman" w:eastAsia="Times New Roman" w:hint="default"/>
                <w:sz w:val="18"/>
                <w:szCs w:val="18"/>
              </w:rPr>
            </w:pPr>
            <w:r>
              <w:rPr>
                <w:rFonts w:ascii="Times New Roman"/>
                <w:spacing w:val="-1"/>
                <w:sz w:val="18"/>
              </w:rPr>
              <w:t>13,992,158.78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8.20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13,992,158.78</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42" w:hRule="exact"/>
        </w:trPr>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79"/>
              <w:jc w:val="right"/>
              <w:rPr>
                <w:rFonts w:ascii="Times New Roman" w:hAnsi="Times New Roman" w:cs="Times New Roman" w:eastAsia="Times New Roman" w:hint="default"/>
                <w:sz w:val="18"/>
                <w:szCs w:val="18"/>
              </w:rPr>
            </w:pPr>
            <w:r>
              <w:rPr>
                <w:rFonts w:ascii="Times New Roman"/>
                <w:spacing w:val="-1"/>
                <w:sz w:val="18"/>
              </w:rPr>
              <w:t>13,092,836.33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7.67</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13,092,836.33</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42" w:hRule="exact"/>
        </w:trPr>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79"/>
              <w:jc w:val="right"/>
              <w:rPr>
                <w:rFonts w:ascii="Times New Roman" w:hAnsi="Times New Roman" w:cs="Times New Roman" w:eastAsia="Times New Roman" w:hint="default"/>
                <w:sz w:val="18"/>
                <w:szCs w:val="18"/>
              </w:rPr>
            </w:pPr>
            <w:r>
              <w:rPr>
                <w:rFonts w:ascii="Times New Roman"/>
                <w:spacing w:val="-1"/>
                <w:sz w:val="18"/>
              </w:rPr>
              <w:t>11,553,738.79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6.77</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11,526,083.79</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42" w:hRule="exact"/>
        </w:trPr>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25"/>
              <w:jc w:val="right"/>
              <w:rPr>
                <w:rFonts w:ascii="Times New Roman" w:hAnsi="Times New Roman" w:cs="Times New Roman" w:eastAsia="Times New Roman" w:hint="default"/>
                <w:sz w:val="18"/>
                <w:szCs w:val="18"/>
              </w:rPr>
            </w:pPr>
            <w:r>
              <w:rPr>
                <w:rFonts w:ascii="Times New Roman"/>
                <w:spacing w:val="-1"/>
                <w:sz w:val="18"/>
              </w:rPr>
              <w:t>4,582,997.55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2.69</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4,582,997.55</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43" w:hRule="exact"/>
        </w:trPr>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79"/>
              <w:jc w:val="right"/>
              <w:rPr>
                <w:rFonts w:ascii="Times New Roman" w:hAnsi="Times New Roman" w:cs="Times New Roman" w:eastAsia="Times New Roman" w:hint="default"/>
                <w:sz w:val="18"/>
                <w:szCs w:val="18"/>
              </w:rPr>
            </w:pPr>
            <w:r>
              <w:rPr>
                <w:rFonts w:ascii="Times New Roman"/>
                <w:spacing w:val="-1"/>
                <w:sz w:val="18"/>
              </w:rPr>
              <w:t>64,438,602.10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37.76</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64,410,947.10</w:t>
            </w:r>
          </w:p>
        </w:tc>
        <w:tc>
          <w:tcPr>
            <w:tcW w:w="197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40"/>
        <w:jc w:val="left"/>
      </w:pPr>
      <w:r>
        <w:rPr>
          <w:rFonts w:ascii="Times New Roman" w:hAnsi="Times New Roman" w:cs="Times New Roman" w:eastAsia="Times New Roman" w:hint="default"/>
        </w:rPr>
        <w:t>5)</w:t>
      </w:r>
      <w:r>
        <w:rPr/>
        <w:t>因金融资产转移而终止确认的应收账款</w:t>
      </w:r>
    </w:p>
    <w:p>
      <w:pPr>
        <w:pStyle w:val="BodyText"/>
        <w:spacing w:line="240" w:lineRule="auto" w:before="102"/>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940"/>
        <w:jc w:val="left"/>
      </w:pPr>
      <w:r>
        <w:rPr>
          <w:rFonts w:ascii="Times New Roman" w:hAnsi="Times New Roman" w:cs="Times New Roman" w:eastAsia="Times New Roman" w:hint="default"/>
        </w:rPr>
        <w:t>6)</w:t>
      </w:r>
      <w:r>
        <w:rPr/>
        <w:t>转移应收账款且继续涉入形成的资产、负债金额</w:t>
      </w:r>
    </w:p>
    <w:p>
      <w:pPr>
        <w:pStyle w:val="BodyText"/>
        <w:spacing w:line="240" w:lineRule="auto" w:before="103"/>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5、预付款项" w:id="237"/>
      <w:bookmarkEnd w:id="237"/>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0"/>
        <w:jc w:val="left"/>
        <w:rPr>
          <w:b w:val="0"/>
          <w:bCs w:val="0"/>
        </w:rPr>
      </w:pPr>
      <w:bookmarkStart w:name="（1）预付款项按账龄列示" w:id="238"/>
      <w:bookmarkEnd w:id="23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27,698,350.02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1,518,262.97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93.42%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44,640.00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97,120.00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90,300.00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27,833,550.02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1,625,282.97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4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pStyle w:val="BodyText"/>
        <w:spacing w:line="240" w:lineRule="auto" w:before="103"/>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2）按预付对象归集的期末余额前五名的预付款情况" w:id="239"/>
      <w:bookmarkEnd w:id="239"/>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3345"/>
        <w:gridCol w:w="1486"/>
        <w:gridCol w:w="980"/>
        <w:gridCol w:w="1337"/>
        <w:gridCol w:w="1225"/>
        <w:gridCol w:w="1285"/>
      </w:tblGrid>
      <w:tr>
        <w:trPr>
          <w:trHeight w:val="747" w:hRule="exact"/>
        </w:trPr>
        <w:tc>
          <w:tcPr>
            <w:tcW w:w="33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债务人名称</w:t>
            </w:r>
          </w:p>
        </w:tc>
        <w:tc>
          <w:tcPr>
            <w:tcW w:w="14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4" w:lineRule="auto" w:before="43"/>
              <w:ind w:left="260" w:right="35" w:hanging="226"/>
              <w:jc w:val="left"/>
              <w:rPr>
                <w:rFonts w:ascii="宋体" w:hAnsi="宋体" w:cs="宋体" w:eastAsia="宋体" w:hint="default"/>
                <w:sz w:val="18"/>
                <w:szCs w:val="18"/>
              </w:rPr>
            </w:pPr>
            <w:r>
              <w:rPr>
                <w:rFonts w:ascii="宋体" w:hAnsi="宋体" w:cs="宋体" w:eastAsia="宋体" w:hint="default"/>
                <w:sz w:val="18"/>
                <w:szCs w:val="18"/>
              </w:rPr>
              <w:t>占预付账款 比例</w:t>
            </w:r>
            <w:r>
              <w:rPr>
                <w:rFonts w:ascii="宋体" w:hAnsi="宋体" w:cs="宋体" w:eastAsia="宋体" w:hint="default"/>
                <w:sz w:val="18"/>
                <w:szCs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预付款账龄</w:t>
            </w:r>
          </w:p>
        </w:tc>
        <w:tc>
          <w:tcPr>
            <w:tcW w:w="12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89" w:hRule="exact"/>
        </w:trPr>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南京励锋网络科技有限公司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6,960,359.00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25.01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7"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89" w:hRule="exact"/>
        </w:trPr>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江苏科鼎信息科技有限公司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3,605,760.88</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12.95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7"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89" w:hRule="exact"/>
        </w:trPr>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霍尔果斯火星时代信息科技有限公司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2,608,562.00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sz w:val="18"/>
              </w:rPr>
              <w:t>9.37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7"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89" w:hRule="exact"/>
        </w:trPr>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北京腾讯文化传媒有限公司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1,748,000.00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sz w:val="18"/>
              </w:rPr>
              <w:t>6.28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7"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89" w:hRule="exact"/>
        </w:trPr>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金湖晨冉信息技术有限公司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1,535,244.00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sz w:val="18"/>
              </w:rPr>
              <w:t>5.52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7"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89" w:hRule="exact"/>
        </w:trPr>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sz w:val="18"/>
              </w:rPr>
              <w:t>16,457,925.88</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59.13</w:t>
            </w:r>
          </w:p>
        </w:tc>
        <w:tc>
          <w:tcPr>
            <w:tcW w:w="1337"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right="940"/>
        <w:jc w:val="left"/>
        <w:rPr>
          <w:b w:val="0"/>
          <w:bCs w:val="0"/>
        </w:rPr>
      </w:pPr>
      <w:bookmarkStart w:name="6、其他应收款" w:id="240"/>
      <w:bookmarkEnd w:id="240"/>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2,210,308.58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1,645,343.25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1,466,521.64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1,645,343.25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3,676,830.22</w:t>
            </w:r>
          </w:p>
        </w:tc>
      </w:tr>
    </w:tbl>
    <w:p>
      <w:pPr>
        <w:spacing w:line="240" w:lineRule="auto" w:before="3"/>
        <w:rPr>
          <w:rFonts w:ascii="宋体" w:hAnsi="宋体" w:cs="宋体" w:eastAsia="宋体" w:hint="default"/>
          <w:sz w:val="19"/>
          <w:szCs w:val="19"/>
        </w:rPr>
      </w:pPr>
    </w:p>
    <w:p>
      <w:pPr>
        <w:pStyle w:val="Heading4"/>
        <w:spacing w:line="240" w:lineRule="auto" w:before="35"/>
        <w:ind w:right="940"/>
        <w:jc w:val="left"/>
        <w:rPr>
          <w:b w:val="0"/>
          <w:bCs w:val="0"/>
        </w:rPr>
      </w:pPr>
      <w:bookmarkStart w:name="（1）应收利息" w:id="241"/>
      <w:bookmarkEnd w:id="241"/>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1)</w:t>
      </w:r>
      <w:r>
        <w:rPr/>
        <w:t>应收利息分类</w:t>
      </w:r>
    </w:p>
    <w:p>
      <w:pPr>
        <w:pStyle w:val="BodyText"/>
        <w:spacing w:line="240" w:lineRule="auto" w:before="102"/>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940"/>
        <w:jc w:val="left"/>
      </w:pPr>
      <w:r>
        <w:rPr>
          <w:rFonts w:ascii="Times New Roman" w:hAnsi="Times New Roman" w:cs="Times New Roman" w:eastAsia="Times New Roman" w:hint="default"/>
        </w:rPr>
        <w:t>2)</w:t>
      </w:r>
      <w:r>
        <w:rPr/>
        <w:t>重要逾期利息</w:t>
      </w:r>
    </w:p>
    <w:p>
      <w:pPr>
        <w:pStyle w:val="BodyText"/>
        <w:spacing w:line="240" w:lineRule="auto" w:before="102"/>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2）应收股利" w:id="242"/>
      <w:bookmarkEnd w:id="242"/>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40"/>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西安德宝药用包装有限公司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2,210,308.58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2,210,308.58</w:t>
            </w:r>
          </w:p>
        </w:tc>
      </w:tr>
    </w:tbl>
    <w:p>
      <w:pPr>
        <w:pStyle w:val="BodyText"/>
        <w:spacing w:line="240" w:lineRule="auto" w:before="51"/>
        <w:ind w:right="94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3）其他应收款" w:id="243"/>
      <w:bookmarkEnd w:id="243"/>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1)</w:t>
      </w:r>
      <w:r>
        <w:rPr/>
        <w:t>其他应收款分类披露</w:t>
      </w:r>
    </w:p>
    <w:p>
      <w:pPr>
        <w:spacing w:after="0" w:line="240" w:lineRule="auto"/>
        <w:jc w:val="left"/>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6"/>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310"/>
        <w:gridCol w:w="1013"/>
        <w:gridCol w:w="701"/>
        <w:gridCol w:w="867"/>
        <w:gridCol w:w="611"/>
        <w:gridCol w:w="1001"/>
        <w:gridCol w:w="1001"/>
        <w:gridCol w:w="701"/>
        <w:gridCol w:w="868"/>
        <w:gridCol w:w="611"/>
        <w:gridCol w:w="1001"/>
      </w:tblGrid>
      <w:tr>
        <w:trPr>
          <w:trHeight w:val="397" w:hRule="exact"/>
        </w:trPr>
        <w:tc>
          <w:tcPr>
            <w:tcW w:w="1310" w:type="dxa"/>
            <w:vMerge w:val="restart"/>
            <w:tcBorders>
              <w:top w:val="single" w:sz="4" w:space="0" w:color="000000"/>
              <w:left w:val="single" w:sz="4" w:space="0" w:color="000000"/>
              <w:right w:val="single" w:sz="4" w:space="0" w:color="000000"/>
            </w:tcBorders>
            <w:shd w:val="clear" w:color="auto" w:fill="D2D2D2"/>
          </w:tcPr>
          <w:p>
            <w:pPr/>
          </w:p>
        </w:tc>
        <w:tc>
          <w:tcPr>
            <w:tcW w:w="419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310" w:type="dxa"/>
            <w:vMerge/>
            <w:tcBorders>
              <w:left w:val="single" w:sz="4" w:space="0" w:color="000000"/>
              <w:bottom w:val="nil" w:sz="6" w:space="0" w:color="auto"/>
              <w:right w:val="single" w:sz="4" w:space="0" w:color="000000"/>
            </w:tcBorders>
            <w:shd w:val="clear" w:color="auto" w:fill="D2D2D2"/>
          </w:tcPr>
          <w:p>
            <w:pPr/>
          </w:p>
        </w:tc>
        <w:tc>
          <w:tcPr>
            <w:tcW w:w="17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7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01" w:type="dxa"/>
            <w:vMerge w:val="restart"/>
            <w:tcBorders>
              <w:top w:val="single" w:sz="4" w:space="0" w:color="000000"/>
              <w:left w:val="single" w:sz="4" w:space="0" w:color="000000"/>
              <w:right w:val="single" w:sz="4" w:space="0" w:color="000000"/>
            </w:tcBorders>
            <w:shd w:val="clear" w:color="auto" w:fill="D2D2D2"/>
          </w:tcPr>
          <w:p>
            <w:pP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7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0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3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714" w:type="dxa"/>
            <w:gridSpan w:val="2"/>
            <w:vMerge/>
            <w:tcBorders>
              <w:left w:val="single" w:sz="4" w:space="0" w:color="000000"/>
              <w:bottom w:val="single" w:sz="4" w:space="0" w:color="000000"/>
              <w:right w:val="single" w:sz="4" w:space="0" w:color="000000"/>
            </w:tcBorders>
            <w:shd w:val="clear" w:color="auto" w:fill="D2D2D2"/>
          </w:tcPr>
          <w:p>
            <w:pPr/>
          </w:p>
        </w:tc>
        <w:tc>
          <w:tcPr>
            <w:tcW w:w="1478" w:type="dxa"/>
            <w:gridSpan w:val="2"/>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1478" w:type="dxa"/>
            <w:gridSpan w:val="2"/>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310" w:type="dxa"/>
            <w:vMerge/>
            <w:tcBorders>
              <w:left w:val="single" w:sz="4" w:space="0" w:color="000000"/>
              <w:bottom w:val="nil" w:sz="6" w:space="0" w:color="auto"/>
              <w:right w:val="single" w:sz="4" w:space="0" w:color="000000"/>
            </w:tcBorders>
            <w:shd w:val="clear" w:color="auto" w:fill="D2D2D2"/>
          </w:tcPr>
          <w:p>
            <w:pPr/>
          </w:p>
        </w:tc>
        <w:tc>
          <w:tcPr>
            <w:tcW w:w="101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8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1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10" w:right="2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1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8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1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09" w:right="2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13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310" w:type="dxa"/>
            <w:vMerge w:val="restart"/>
            <w:tcBorders>
              <w:top w:val="nil" w:sz="6" w:space="0" w:color="auto"/>
              <w:left w:val="single" w:sz="4" w:space="0" w:color="000000"/>
              <w:right w:val="single" w:sz="4" w:space="0" w:color="000000"/>
            </w:tcBorders>
            <w:shd w:val="clear" w:color="auto" w:fill="D2D2D2"/>
          </w:tcPr>
          <w:p>
            <w:pPr/>
          </w:p>
        </w:tc>
        <w:tc>
          <w:tcPr>
            <w:tcW w:w="10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1" w:type="dxa"/>
            <w:vMerge/>
            <w:tcBorders>
              <w:left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1" w:type="dxa"/>
            <w:vMerge/>
            <w:tcBorders>
              <w:left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10" w:type="dxa"/>
            <w:vMerge/>
            <w:tcBorders>
              <w:left w:val="single" w:sz="4" w:space="0" w:color="000000"/>
              <w:right w:val="single" w:sz="4" w:space="0" w:color="000000"/>
            </w:tcBorders>
            <w:shd w:val="clear" w:color="auto" w:fill="D2D2D2"/>
          </w:tcPr>
          <w:p>
            <w:pPr/>
          </w:p>
        </w:tc>
        <w:tc>
          <w:tcPr>
            <w:tcW w:w="1013"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867" w:type="dxa"/>
            <w:vMerge/>
            <w:tcBorders>
              <w:left w:val="single" w:sz="4" w:space="0" w:color="000000"/>
              <w:bottom w:val="nil" w:sz="6" w:space="0" w:color="auto"/>
              <w:right w:val="single" w:sz="4" w:space="0" w:color="000000"/>
            </w:tcBorders>
            <w:shd w:val="clear" w:color="auto" w:fill="D2D2D2"/>
          </w:tcPr>
          <w:p>
            <w:pPr/>
          </w:p>
        </w:tc>
        <w:tc>
          <w:tcPr>
            <w:tcW w:w="611" w:type="dxa"/>
            <w:vMerge/>
            <w:tcBorders>
              <w:left w:val="single" w:sz="4" w:space="0" w:color="000000"/>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868" w:type="dxa"/>
            <w:vMerge/>
            <w:tcBorders>
              <w:left w:val="single" w:sz="4" w:space="0" w:color="000000"/>
              <w:bottom w:val="nil" w:sz="6" w:space="0" w:color="auto"/>
              <w:right w:val="single" w:sz="4" w:space="0" w:color="000000"/>
            </w:tcBorders>
            <w:shd w:val="clear" w:color="auto" w:fill="D2D2D2"/>
          </w:tcPr>
          <w:p>
            <w:pPr/>
          </w:p>
        </w:tc>
        <w:tc>
          <w:tcPr>
            <w:tcW w:w="611" w:type="dxa"/>
            <w:vMerge/>
            <w:tcBorders>
              <w:left w:val="single" w:sz="4" w:space="0" w:color="000000"/>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10" w:type="dxa"/>
            <w:vMerge/>
            <w:tcBorders>
              <w:left w:val="single" w:sz="4" w:space="0" w:color="000000"/>
              <w:bottom w:val="single" w:sz="4" w:space="0" w:color="000000"/>
              <w:right w:val="single" w:sz="4" w:space="0" w:color="000000"/>
            </w:tcBorders>
            <w:shd w:val="clear" w:color="auto" w:fill="D2D2D2"/>
          </w:tcPr>
          <w:p>
            <w:pPr/>
          </w:p>
        </w:tc>
        <w:tc>
          <w:tcPr>
            <w:tcW w:w="101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8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11"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8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11"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7"/>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10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1,713,435.00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96,341.75</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5.62%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1,617,093.25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1,542,354.36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97.85%</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92,742.72</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1,449,611.64</w:t>
            </w:r>
          </w:p>
        </w:tc>
      </w:tr>
      <w:tr>
        <w:trPr>
          <w:trHeight w:val="1338" w:hRule="exact"/>
        </w:trPr>
        <w:tc>
          <w:tcPr>
            <w:tcW w:w="1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7"/>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准备的其他应收 款</w:t>
            </w:r>
          </w:p>
        </w:tc>
        <w:tc>
          <w:tcPr>
            <w:tcW w:w="10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302,340.81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274,090.81</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90.66%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28,250.00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33,820.00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16,910.00</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16,910.00</w:t>
            </w:r>
          </w:p>
        </w:tc>
      </w:tr>
      <w:tr>
        <w:trPr>
          <w:trHeight w:val="402" w:hRule="exact"/>
        </w:trPr>
        <w:tc>
          <w:tcPr>
            <w:tcW w:w="1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2,015,775.81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370,432.56</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18.38%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1,645,343.25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1,576,174.36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109,652.72</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1,466,521.64</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50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580" w:bottom="70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1,620,035.00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81,001.75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1,713,435.00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96,341.75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5.62%</w:t>
            </w:r>
          </w:p>
        </w:tc>
      </w:tr>
    </w:tbl>
    <w:p>
      <w:pPr>
        <w:pStyle w:val="BodyText"/>
        <w:spacing w:line="240" w:lineRule="auto" w:before="51"/>
        <w:ind w:right="940"/>
        <w:jc w:val="left"/>
      </w:pPr>
      <w:r>
        <w:rPr/>
        <w:t>确定该组合依据的说明：</w:t>
      </w:r>
    </w:p>
    <w:p>
      <w:pPr>
        <w:pStyle w:val="BodyText"/>
        <w:spacing w:line="240" w:lineRule="auto" w:before="137"/>
        <w:ind w:left="612" w:right="940"/>
        <w:jc w:val="left"/>
      </w:pPr>
      <w:r>
        <w:rPr/>
        <w:t>①单项金额重大并单项计提坏账准备的其他应收款：单项金额在</w:t>
      </w:r>
      <w:r>
        <w:rPr>
          <w:rFonts w:ascii="宋体" w:hAnsi="宋体" w:cs="宋体" w:eastAsia="宋体" w:hint="default"/>
        </w:rPr>
        <w:t>50</w:t>
      </w:r>
      <w:r>
        <w:rPr/>
        <w:t>万元以上的往来单位。</w:t>
      </w:r>
    </w:p>
    <w:p>
      <w:pPr>
        <w:pStyle w:val="BodyText"/>
        <w:spacing w:line="364" w:lineRule="auto" w:before="123"/>
        <w:ind w:right="940" w:firstLine="480"/>
        <w:jc w:val="left"/>
      </w:pPr>
      <w:r>
        <w:rPr/>
        <w:t>②单项金额虽不重大但单项计提坏账准备的其他应收款：账龄超过</w:t>
      </w:r>
      <w:r>
        <w:rPr>
          <w:rFonts w:ascii="宋体" w:hAnsi="宋体" w:cs="宋体" w:eastAsia="宋体" w:hint="default"/>
        </w:rPr>
        <w:t>3</w:t>
      </w:r>
      <w:r>
        <w:rPr/>
        <w:t>年以上的其他应收款以及与对方存在争议或涉及 诉讼、仲裁的其他应收款；已有明显迹象表明债务人很可能无法履行还款义务的其他应收款。</w:t>
      </w:r>
    </w:p>
    <w:p>
      <w:pPr>
        <w:pStyle w:val="BodyText"/>
        <w:spacing w:line="364" w:lineRule="auto" w:before="29"/>
        <w:ind w:right="1120" w:firstLine="480"/>
        <w:jc w:val="left"/>
      </w:pPr>
      <w:r>
        <w:rPr>
          <w:spacing w:val="-4"/>
        </w:rPr>
        <w:t>③按组合计提坏账准备的其他应收款：除上述①、②以外的其他应收款。其他不重大其他应收款以账龄分析作为组合，</w:t>
      </w:r>
      <w:r>
        <w:rPr/>
        <w:t> 按账龄分析计提坏账准备。</w:t>
      </w:r>
    </w:p>
    <w:p>
      <w:pPr>
        <w:spacing w:line="240" w:lineRule="auto" w:before="0"/>
        <w:rPr>
          <w:rFonts w:ascii="宋体" w:hAnsi="宋体" w:cs="宋体" w:eastAsia="宋体" w:hint="default"/>
          <w:sz w:val="18"/>
          <w:szCs w:val="18"/>
        </w:rPr>
      </w:pPr>
    </w:p>
    <w:p>
      <w:pPr>
        <w:pStyle w:val="BodyText"/>
        <w:spacing w:line="240" w:lineRule="auto" w:before="124"/>
        <w:ind w:right="940"/>
        <w:jc w:val="left"/>
      </w:pPr>
      <w:r>
        <w:rPr/>
        <w:t>组合中，采用余额百分比法计提坏账准备的其他应收款：</w:t>
      </w:r>
    </w:p>
    <w:p>
      <w:pPr>
        <w:pStyle w:val="BodyText"/>
        <w:spacing w:line="338" w:lineRule="auto" w:before="117"/>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940"/>
        <w:jc w:val="left"/>
      </w:pPr>
      <w:r>
        <w:rPr>
          <w:rFonts w:ascii="Times New Roman" w:hAnsi="Times New Roman" w:cs="Times New Roman" w:eastAsia="Times New Roman" w:hint="default"/>
        </w:rPr>
        <w:t>2)</w:t>
      </w:r>
      <w:r>
        <w:rPr/>
        <w:t>本期计提、收回或转回的坏账准备情况</w:t>
      </w:r>
    </w:p>
    <w:p>
      <w:pPr>
        <w:spacing w:after="0" w:line="240" w:lineRule="auto"/>
        <w:jc w:val="left"/>
        <w:sectPr>
          <w:type w:val="continuous"/>
          <w:pgSz w:w="11910" w:h="16840"/>
          <w:pgMar w:top="1580" w:bottom="70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38" w:lineRule="auto" w:before="6"/>
        <w:ind w:right="4578"/>
        <w:jc w:val="left"/>
      </w:pPr>
      <w:r>
        <w:rPr/>
        <w:t>本期计提坏账准备金额</w:t>
      </w:r>
      <w:r>
        <w:rPr>
          <w:rFonts w:ascii="Times New Roman" w:hAnsi="Times New Roman" w:cs="Times New Roman" w:eastAsia="Times New Roman" w:hint="default"/>
        </w:rPr>
        <w:t>-936,764.55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pStyle w:val="BodyText"/>
        <w:spacing w:line="240" w:lineRule="auto" w:before="42"/>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4"/>
        <w:ind w:right="940"/>
        <w:jc w:val="left"/>
      </w:pPr>
      <w:r>
        <w:rPr>
          <w:rFonts w:ascii="Times New Roman" w:hAnsi="Times New Roman" w:cs="Times New Roman" w:eastAsia="Times New Roman" w:hint="default"/>
        </w:rPr>
        <w:t>3)</w:t>
      </w:r>
      <w:r>
        <w:rPr/>
        <w:t>本期实际核销的其他应收款情况</w:t>
      </w:r>
    </w:p>
    <w:p>
      <w:pPr>
        <w:pStyle w:val="BodyText"/>
        <w:spacing w:line="338" w:lineRule="auto" w:before="102"/>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其中重要的其他应收款核销情况：</w:t>
      </w:r>
    </w:p>
    <w:p>
      <w:pPr>
        <w:pStyle w:val="BodyText"/>
        <w:spacing w:line="240" w:lineRule="auto" w:before="43"/>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right="940"/>
        <w:jc w:val="left"/>
      </w:pPr>
      <w:r>
        <w:rPr>
          <w:rFonts w:ascii="Times New Roman" w:hAnsi="Times New Roman" w:cs="Times New Roman" w:eastAsia="Times New Roman" w:hint="default"/>
        </w:rPr>
        <w:t>4)</w:t>
      </w:r>
      <w:r>
        <w:rPr/>
        <w:t>其他应收款按款项性质分类情况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238,400.00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366,922.64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999,175.79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1,052,526.76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527,200.02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156,724.96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2,015,775.81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1,576,174.36</w:t>
            </w:r>
          </w:p>
        </w:tc>
      </w:tr>
    </w:tbl>
    <w:p>
      <w:pPr>
        <w:spacing w:line="240" w:lineRule="auto" w:before="6"/>
        <w:rPr>
          <w:rFonts w:ascii="宋体" w:hAnsi="宋体" w:cs="宋体" w:eastAsia="宋体" w:hint="default"/>
          <w:sz w:val="27"/>
          <w:szCs w:val="27"/>
        </w:rPr>
      </w:pPr>
    </w:p>
    <w:p>
      <w:pPr>
        <w:pStyle w:val="BodyText"/>
        <w:spacing w:line="240" w:lineRule="auto" w:before="44"/>
        <w:ind w:right="94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霍尔果斯经济开发 区国有资产投资经 营有限责任公司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投资保证金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999,175.79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49,958.79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西安市公物拍卖行</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固定资产处置款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12,550.00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霍尔果斯初聚网络 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交易款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212,020.81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212,020.81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长春生物制药研究 所有限责任公司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招标保证金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马应龙药业集团股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招标保证金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1,567,196.60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279,779.60</w:t>
            </w:r>
          </w:p>
        </w:tc>
      </w:tr>
    </w:tbl>
    <w:p>
      <w:pPr>
        <w:pStyle w:val="BodyText"/>
        <w:spacing w:line="240" w:lineRule="auto" w:before="51"/>
        <w:ind w:right="940"/>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940"/>
        <w:jc w:val="left"/>
      </w:pPr>
      <w:r>
        <w:rPr>
          <w:rFonts w:ascii="Times New Roman" w:hAnsi="Times New Roman" w:cs="Times New Roman" w:eastAsia="Times New Roman" w:hint="default"/>
        </w:rPr>
        <w:t>7)</w:t>
      </w:r>
      <w:r>
        <w:rPr/>
        <w:t>因金融资产转移而终止确认的其他应收款</w:t>
      </w:r>
    </w:p>
    <w:p>
      <w:pPr>
        <w:pStyle w:val="BodyText"/>
        <w:spacing w:line="240" w:lineRule="auto" w:before="102"/>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940"/>
        <w:jc w:val="left"/>
      </w:pPr>
      <w:r>
        <w:rPr>
          <w:rFonts w:ascii="Times New Roman" w:hAnsi="Times New Roman" w:cs="Times New Roman" w:eastAsia="Times New Roman" w:hint="default"/>
        </w:rPr>
        <w:t>8)</w:t>
      </w:r>
      <w:r>
        <w:rPr/>
        <w:t>转移其他应收款且继续涉入形成的资产、负债金额</w:t>
      </w:r>
    </w:p>
    <w:p>
      <w:pPr>
        <w:spacing w:after="0" w:line="240" w:lineRule="auto"/>
        <w:jc w:val="left"/>
        <w:sectPr>
          <w:footerReference w:type="default" r:id="rId27"/>
          <w:pgSz w:w="11910" w:h="16840"/>
          <w:pgMar w:footer="1578" w:header="851" w:top="1500" w:bottom="1760" w:left="980" w:right="0"/>
          <w:pgNumType w:start="119"/>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7、存货" w:id="244"/>
      <w:bookmarkEnd w:id="244"/>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spacing w:line="240" w:lineRule="auto" w:before="0"/>
        <w:rPr>
          <w:rFonts w:ascii="宋体" w:hAnsi="宋体" w:cs="宋体" w:eastAsia="宋体" w:hint="default"/>
          <w:sz w:val="20"/>
          <w:szCs w:val="20"/>
        </w:rPr>
      </w:pPr>
    </w:p>
    <w:p>
      <w:pPr>
        <w:pStyle w:val="Heading4"/>
        <w:spacing w:line="240" w:lineRule="auto"/>
        <w:ind w:right="940"/>
        <w:jc w:val="left"/>
        <w:rPr>
          <w:b w:val="0"/>
          <w:bCs w:val="0"/>
        </w:rPr>
      </w:pPr>
      <w:bookmarkStart w:name="（1）存货分类" w:id="245"/>
      <w:bookmarkEnd w:id="24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38,480,081.11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28,394.98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38,451,686.13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52,307,845.32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28,394.98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52,279,450.34</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13,179,603.80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731,680.19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12,447,923.61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18,424,624.32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18,424,624.32</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23,603,855.65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23,603,855.65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16,015,797.81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16,015,797.81</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270,665.11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270,665.11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234,558.13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234,558.13</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75,534,205.67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760,075.17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74,774,130.50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86,982,825.58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28,394.98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86,954,430.60</w:t>
            </w:r>
          </w:p>
        </w:tc>
      </w:tr>
    </w:tbl>
    <w:p>
      <w:pPr>
        <w:pStyle w:val="BodyText"/>
        <w:spacing w:line="338"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3"/>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2"/>
        <w:rPr>
          <w:rFonts w:ascii="宋体" w:hAnsi="宋体" w:cs="宋体" w:eastAsia="宋体" w:hint="default"/>
          <w:sz w:val="21"/>
          <w:szCs w:val="21"/>
        </w:rPr>
      </w:pPr>
    </w:p>
    <w:p>
      <w:pPr>
        <w:pStyle w:val="Heading4"/>
        <w:spacing w:line="240" w:lineRule="auto"/>
        <w:ind w:right="940"/>
        <w:jc w:val="left"/>
        <w:rPr>
          <w:b w:val="0"/>
          <w:bCs w:val="0"/>
        </w:rPr>
      </w:pPr>
      <w:bookmarkStart w:name="（2）存货跌价准备" w:id="246"/>
      <w:bookmarkEnd w:id="24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28,394.98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28,394.98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731,680.19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731,680.19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28,394.98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731,680.19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760,075.17</w:t>
            </w:r>
          </w:p>
        </w:tc>
      </w:tr>
    </w:tbl>
    <w:p>
      <w:pPr>
        <w:spacing w:line="240" w:lineRule="auto" w:before="2"/>
        <w:rPr>
          <w:rFonts w:ascii="宋体" w:hAnsi="宋体" w:cs="宋体" w:eastAsia="宋体" w:hint="default"/>
          <w:sz w:val="19"/>
          <w:szCs w:val="19"/>
        </w:rPr>
      </w:pPr>
    </w:p>
    <w:p>
      <w:pPr>
        <w:pStyle w:val="Heading4"/>
        <w:spacing w:line="240" w:lineRule="auto" w:before="35"/>
        <w:ind w:right="940"/>
        <w:jc w:val="left"/>
        <w:rPr>
          <w:b w:val="0"/>
          <w:bCs w:val="0"/>
        </w:rPr>
      </w:pPr>
      <w:bookmarkStart w:name="（3）存货期末余额含有借款费用资本化金额的说明" w:id="247"/>
      <w:bookmarkEnd w:id="247"/>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4）期末建造合同形成的已完工未结算资产情况" w:id="248"/>
      <w:bookmarkEnd w:id="248"/>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8、持有待售资产" w:id="249"/>
      <w:bookmarkEnd w:id="249"/>
      <w:r>
        <w:rPr>
          <w:b w:val="0"/>
          <w:bCs w:val="0"/>
        </w:rPr>
      </w:r>
      <w:r>
        <w:rPr>
          <w:rFonts w:ascii="Times New Roman" w:hAnsi="Times New Roman" w:cs="Times New Roman" w:eastAsia="Times New Roman" w:hint="default"/>
        </w:rPr>
        <w:t>8</w:t>
      </w:r>
      <w:r>
        <w:rPr/>
        <w:t>、持有待售资产</w:t>
      </w:r>
      <w:r>
        <w:rPr>
          <w:b w:val="0"/>
          <w:bCs w:val="0"/>
        </w:rPr>
      </w:r>
    </w:p>
    <w:p>
      <w:pPr>
        <w:spacing w:after="0" w:line="240" w:lineRule="auto"/>
        <w:jc w:val="left"/>
        <w:sectPr>
          <w:pgSz w:w="11910" w:h="16840"/>
          <w:pgMar w:header="851" w:footer="1578" w:top="1500" w:bottom="17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9、一年内到期的非流动资产" w:id="250"/>
      <w:bookmarkEnd w:id="250"/>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10、其他流动资产" w:id="251"/>
      <w:bookmarkEnd w:id="251"/>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1,936,688.21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9,967.44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1,936,688.21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9,967.44</w:t>
            </w:r>
          </w:p>
        </w:tc>
      </w:tr>
    </w:tbl>
    <w:p>
      <w:pPr>
        <w:spacing w:line="240" w:lineRule="auto" w:before="2"/>
        <w:rPr>
          <w:rFonts w:ascii="宋体" w:hAnsi="宋体" w:cs="宋体" w:eastAsia="宋体" w:hint="default"/>
          <w:sz w:val="19"/>
          <w:szCs w:val="19"/>
        </w:rPr>
      </w:pPr>
    </w:p>
    <w:p>
      <w:pPr>
        <w:pStyle w:val="Heading4"/>
        <w:spacing w:line="240" w:lineRule="auto" w:before="35"/>
        <w:ind w:right="940"/>
        <w:jc w:val="left"/>
        <w:rPr>
          <w:b w:val="0"/>
          <w:bCs w:val="0"/>
        </w:rPr>
      </w:pPr>
      <w:bookmarkStart w:name="11、可供出售金融资产" w:id="252"/>
      <w:bookmarkEnd w:id="252"/>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0"/>
        <w:jc w:val="left"/>
        <w:rPr>
          <w:b w:val="0"/>
          <w:bCs w:val="0"/>
        </w:rPr>
      </w:pPr>
      <w:bookmarkStart w:name="（1）可供出售金融资产情况" w:id="253"/>
      <w:bookmarkEnd w:id="253"/>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2）期末按公允价值计量的可供出售金融资产" w:id="254"/>
      <w:bookmarkEnd w:id="254"/>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3）期末按成本计量的可供出售金融资产" w:id="255"/>
      <w:bookmarkEnd w:id="255"/>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4）报告期内可供出售金融资产减值的变动情况" w:id="256"/>
      <w:bookmarkEnd w:id="256"/>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5）可供出售权益工具期末公允价值严重下跌或非暂时性下跌但未计提减值准备的相关说" w:id="257"/>
      <w:bookmarkEnd w:id="257"/>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12、持有至到期投资" w:id="258"/>
      <w:bookmarkEnd w:id="258"/>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0"/>
        <w:jc w:val="left"/>
        <w:rPr>
          <w:b w:val="0"/>
          <w:bCs w:val="0"/>
        </w:rPr>
      </w:pPr>
      <w:bookmarkStart w:name="（1）持有至到期投资情况" w:id="259"/>
      <w:bookmarkEnd w:id="259"/>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2）期末重要的持有至到期投资" w:id="260"/>
      <w:bookmarkEnd w:id="260"/>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footerReference w:type="default" r:id="rId28"/>
          <w:pgSz w:w="11910" w:h="16840"/>
          <w:pgMar w:footer="979" w:header="851" w:top="1500" w:bottom="1160" w:left="980" w:right="0"/>
          <w:pgNumType w:start="121"/>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3）本期重分类的持有至到期投资" w:id="261"/>
      <w:bookmarkEnd w:id="261"/>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13、长期应收款" w:id="262"/>
      <w:bookmarkEnd w:id="262"/>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0"/>
        <w:jc w:val="left"/>
        <w:rPr>
          <w:b w:val="0"/>
          <w:bCs w:val="0"/>
        </w:rPr>
      </w:pPr>
      <w:bookmarkStart w:name="（1）长期应收款情况" w:id="263"/>
      <w:bookmarkEnd w:id="263"/>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2）因金融资产转移而终止确认的长期应收款" w:id="264"/>
      <w:bookmarkEnd w:id="264"/>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3）转移长期应收款且继续涉入形成的资产、负债金额" w:id="265"/>
      <w:bookmarkEnd w:id="265"/>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14、长期股权投资" w:id="266"/>
      <w:bookmarkEnd w:id="266"/>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722"/>
        <w:gridCol w:w="1092"/>
        <w:gridCol w:w="721"/>
        <w:gridCol w:w="725"/>
        <w:gridCol w:w="1001"/>
        <w:gridCol w:w="724"/>
        <w:gridCol w:w="724"/>
        <w:gridCol w:w="725"/>
        <w:gridCol w:w="724"/>
        <w:gridCol w:w="724"/>
        <w:gridCol w:w="1092"/>
        <w:gridCol w:w="722"/>
      </w:tblGrid>
      <w:tr>
        <w:trPr>
          <w:trHeight w:val="402"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175" w:right="84"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06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86" w:right="84"/>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7"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5" w:right="84"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6" w:right="86"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5" w:right="45"/>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6" w:right="85"/>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6" w:right="85"/>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7" w:right="85"/>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6" w:right="87"/>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2" w:type="dxa"/>
            <w:vMerge/>
            <w:tcBorders>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69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69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7"/>
              <w:jc w:val="both"/>
              <w:rPr>
                <w:rFonts w:ascii="宋体" w:hAnsi="宋体" w:cs="宋体" w:eastAsia="宋体" w:hint="default"/>
                <w:sz w:val="18"/>
                <w:szCs w:val="18"/>
              </w:rPr>
            </w:pPr>
            <w:r>
              <w:rPr>
                <w:rFonts w:ascii="宋体" w:hAnsi="宋体" w:cs="宋体" w:eastAsia="宋体" w:hint="default"/>
                <w:sz w:val="18"/>
                <w:szCs w:val="18"/>
              </w:rPr>
              <w:t>西安德 宝药用 包装有 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41,132,732.95</w:t>
            </w:r>
          </w:p>
        </w:tc>
        <w:tc>
          <w:tcPr>
            <w:tcW w:w="72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5,778,340.44</w:t>
            </w:r>
          </w:p>
        </w:tc>
        <w:tc>
          <w:tcPr>
            <w:tcW w:w="72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46,911,073.39</w:t>
            </w: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7"/>
              <w:jc w:val="both"/>
              <w:rPr>
                <w:rFonts w:ascii="宋体" w:hAnsi="宋体" w:cs="宋体" w:eastAsia="宋体" w:hint="default"/>
                <w:sz w:val="18"/>
                <w:szCs w:val="18"/>
              </w:rPr>
            </w:pPr>
            <w:r>
              <w:rPr>
                <w:rFonts w:ascii="宋体" w:hAnsi="宋体" w:cs="宋体" w:eastAsia="宋体" w:hint="default"/>
                <w:sz w:val="18"/>
                <w:szCs w:val="18"/>
              </w:rPr>
              <w:t>上海久 旭环保 科技股 份有限 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25,000,347.30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-3,782.14</w:t>
            </w:r>
            <w:r>
              <w:rPr>
                <w:rFonts w:ascii="Times New Roman"/>
                <w:sz w:val="18"/>
              </w:rPr>
            </w:r>
          </w:p>
        </w:tc>
        <w:tc>
          <w:tcPr>
            <w:tcW w:w="72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24,996,565.16</w:t>
            </w: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66,133,080.25</w:t>
            </w:r>
          </w:p>
        </w:tc>
        <w:tc>
          <w:tcPr>
            <w:tcW w:w="72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5,774,558.30</w:t>
            </w:r>
          </w:p>
        </w:tc>
        <w:tc>
          <w:tcPr>
            <w:tcW w:w="72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71,907,638.55</w:t>
            </w: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66,133,080.25</w:t>
            </w:r>
          </w:p>
        </w:tc>
        <w:tc>
          <w:tcPr>
            <w:tcW w:w="72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5,774,558.30</w:t>
            </w:r>
          </w:p>
        </w:tc>
        <w:tc>
          <w:tcPr>
            <w:tcW w:w="72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71,907,638.55</w:t>
            </w:r>
          </w:p>
        </w:tc>
        <w:tc>
          <w:tcPr>
            <w:tcW w:w="72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40"/>
        <w:jc w:val="left"/>
      </w:pPr>
      <w:r>
        <w:rPr/>
        <w:t>其他说明</w:t>
      </w:r>
    </w:p>
    <w:p>
      <w:pPr>
        <w:pStyle w:val="BodyText"/>
        <w:spacing w:line="240" w:lineRule="auto" w:before="137"/>
        <w:ind w:left="574" w:right="940"/>
        <w:jc w:val="left"/>
      </w:pPr>
      <w:r>
        <w:rPr/>
        <w:t>（</w:t>
      </w:r>
      <w:r>
        <w:rPr>
          <w:rFonts w:ascii="宋体" w:hAnsi="宋体" w:cs="宋体" w:eastAsia="宋体" w:hint="default"/>
        </w:rPr>
        <w:t>1</w:t>
      </w:r>
      <w:r>
        <w:rPr/>
        <w:t>）长期股权投资</w:t>
      </w:r>
      <w:r>
        <w:rPr>
          <w:rFonts w:ascii="宋体" w:hAnsi="宋体" w:cs="宋体" w:eastAsia="宋体" w:hint="default"/>
        </w:rPr>
        <w:t>-</w:t>
      </w:r>
      <w:r>
        <w:rPr/>
        <w:t>西安德宝药用包装有限公司本期变动额主要系：本公司根据持股比例确认应享有西安德宝实现净</w:t>
      </w:r>
    </w:p>
    <w:p>
      <w:pPr>
        <w:spacing w:after="0" w:line="240" w:lineRule="auto"/>
        <w:jc w:val="left"/>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7"/>
        <w:ind w:right="940"/>
        <w:jc w:val="left"/>
      </w:pPr>
      <w:r>
        <w:rPr/>
        <w:t>损益的份额，增加长期股权投资的账面价值</w:t>
      </w:r>
      <w:r>
        <w:rPr>
          <w:rFonts w:ascii="宋体" w:hAnsi="宋体" w:cs="宋体" w:eastAsia="宋体" w:hint="default"/>
        </w:rPr>
        <w:t>5,778,340.44</w:t>
      </w:r>
      <w:r>
        <w:rPr/>
        <w:t>元。</w:t>
      </w:r>
    </w:p>
    <w:p>
      <w:pPr>
        <w:pStyle w:val="BodyText"/>
        <w:spacing w:line="364" w:lineRule="auto" w:before="123"/>
        <w:ind w:right="940" w:firstLine="420"/>
        <w:jc w:val="left"/>
      </w:pPr>
      <w:r>
        <w:rPr/>
        <w:t>（</w:t>
      </w:r>
      <w:r>
        <w:rPr>
          <w:rFonts w:ascii="宋体" w:hAnsi="宋体" w:cs="宋体" w:eastAsia="宋体" w:hint="default"/>
        </w:rPr>
        <w:t>2</w:t>
      </w:r>
      <w:r>
        <w:rPr/>
        <w:t>）长期股权投资</w:t>
      </w:r>
      <w:r>
        <w:rPr>
          <w:rFonts w:ascii="宋体" w:hAnsi="宋体" w:cs="宋体" w:eastAsia="宋体" w:hint="default"/>
        </w:rPr>
        <w:t>-</w:t>
      </w:r>
      <w:r>
        <w:rPr/>
        <w:t>上海久旭环保科技股份有限公司本期变动额主要系：本公司根据持股比例确认应享有上海久旭实 现净损益的份额，减少长期股权投资的账面价值</w:t>
      </w:r>
      <w:r>
        <w:rPr>
          <w:rFonts w:ascii="宋体" w:hAnsi="宋体" w:cs="宋体" w:eastAsia="宋体" w:hint="default"/>
        </w:rPr>
        <w:t>3,782.14</w:t>
      </w:r>
      <w:r>
        <w:rPr/>
        <w:t>元。</w:t>
      </w:r>
    </w:p>
    <w:p>
      <w:pPr>
        <w:pStyle w:val="BodyText"/>
        <w:spacing w:line="240" w:lineRule="auto" w:before="30"/>
        <w:ind w:left="574" w:right="940"/>
        <w:jc w:val="left"/>
      </w:pPr>
      <w:r>
        <w:rPr/>
        <w:t>（</w:t>
      </w:r>
      <w:r>
        <w:rPr>
          <w:rFonts w:ascii="宋体" w:hAnsi="宋体" w:cs="宋体" w:eastAsia="宋体" w:hint="default"/>
        </w:rPr>
        <w:t>3</w:t>
      </w:r>
      <w:r>
        <w:rPr/>
        <w:t>）本公司投资变现及投资收益汇回无重大限制。</w:t>
      </w:r>
    </w:p>
    <w:p>
      <w:pPr>
        <w:spacing w:line="240" w:lineRule="auto" w:before="0"/>
        <w:rPr>
          <w:rFonts w:ascii="宋体" w:hAnsi="宋体" w:cs="宋体" w:eastAsia="宋体" w:hint="default"/>
          <w:sz w:val="18"/>
          <w:szCs w:val="18"/>
        </w:rPr>
      </w:pPr>
    </w:p>
    <w:p>
      <w:pPr>
        <w:pStyle w:val="Heading4"/>
        <w:spacing w:line="240" w:lineRule="auto" w:before="140"/>
        <w:ind w:right="940"/>
        <w:jc w:val="left"/>
        <w:rPr>
          <w:b w:val="0"/>
          <w:bCs w:val="0"/>
        </w:rPr>
      </w:pPr>
      <w:bookmarkStart w:name="15、投资性房地产" w:id="267"/>
      <w:bookmarkEnd w:id="267"/>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0"/>
        <w:jc w:val="left"/>
        <w:rPr>
          <w:b w:val="0"/>
          <w:bCs w:val="0"/>
        </w:rPr>
      </w:pPr>
      <w:bookmarkStart w:name="（1）采用成本计量模式的投资性房地产" w:id="268"/>
      <w:bookmarkEnd w:id="268"/>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2）采用公允价值计量模式的投资性房地产" w:id="269"/>
      <w:bookmarkEnd w:id="269"/>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3）未办妥产权证书的投资性房地产情况" w:id="270"/>
      <w:bookmarkEnd w:id="270"/>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16、固定资产" w:id="271"/>
      <w:bookmarkEnd w:id="271"/>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274,538,573.54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264,271,572.23</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274,538,573.54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264,271,572.23</w:t>
            </w:r>
          </w:p>
        </w:tc>
      </w:tr>
    </w:tbl>
    <w:p>
      <w:pPr>
        <w:spacing w:line="240" w:lineRule="auto" w:before="2"/>
        <w:rPr>
          <w:rFonts w:ascii="宋体" w:hAnsi="宋体" w:cs="宋体" w:eastAsia="宋体" w:hint="default"/>
          <w:sz w:val="19"/>
          <w:szCs w:val="19"/>
        </w:rPr>
      </w:pPr>
    </w:p>
    <w:p>
      <w:pPr>
        <w:pStyle w:val="Heading4"/>
        <w:spacing w:line="240" w:lineRule="auto" w:before="35"/>
        <w:ind w:right="940"/>
        <w:jc w:val="left"/>
        <w:rPr>
          <w:b w:val="0"/>
          <w:bCs w:val="0"/>
        </w:rPr>
      </w:pPr>
      <w:bookmarkStart w:name="（1）固定资产情况" w:id="272"/>
      <w:bookmarkEnd w:id="27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电子办公设备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191,478,554.25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225,788,573.41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6,903,072.89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8,201,654.34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2,926,558.18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435,298,413.07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31,373,795.95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295,850.78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1,805,288.09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63,869.92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33,538,804.74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471,006.35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24,850.30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54,281.46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63,869.92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614,008.03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30,902,789.60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148,077.57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1,751,006.63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32,801,873.80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122,922.91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122,922.91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500" w:bottom="1160" w:left="980" w:right="0"/>
        </w:sectPr>
      </w:pPr>
    </w:p>
    <w:tbl>
      <w:tblPr>
        <w:tblW w:w="0" w:type="auto"/>
        <w:jc w:val="left"/>
        <w:tblInd w:w="10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26" w:hRule="exact"/>
        </w:trPr>
        <w:tc>
          <w:tcPr>
            <w:tcW w:w="135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10"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3,206,591.59</w:t>
            </w:r>
          </w:p>
        </w:tc>
        <w:tc>
          <w:tcPr>
            <w:tcW w:w="136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2,865,968.72</w:t>
            </w:r>
          </w:p>
        </w:tc>
        <w:tc>
          <w:tcPr>
            <w:tcW w:w="136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2,028,106.67</w:t>
            </w:r>
          </w:p>
        </w:tc>
        <w:tc>
          <w:tcPr>
            <w:tcW w:w="136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125,352.40</w:t>
            </w:r>
          </w:p>
        </w:tc>
        <w:tc>
          <w:tcPr>
            <w:tcW w:w="136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8,226,019.38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3,206,591.59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2,865,968.72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2,028,106.67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125,352.40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8,226,019.38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191,478,554.25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253,955,777.77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4,332,954.95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7,978,835.76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2,865,075.70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460,611,198.43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41,324,041.90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115,569,105.64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5,441,962.82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6,164,315.70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2,527,414.78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171,026,840.84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4,712,993.21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16,065,844.09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307,033.17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963,207.37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158,825.12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22,207,902.96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4,712,993.21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16,065,844.09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282,790.65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963,207.37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158,825.12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22,183,660.44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）其他增加</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24,242.52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24,242.52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2,642,227.43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2,595,525.60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1,839,218.44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85,147.44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7,162,118.91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2,642,227.43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2,595,525.60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1,839,218.44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85,147.44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7,162,118.91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46,037,035.11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128,992,722.30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3,153,470.39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5,288,304.63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2,601,092.46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186,072,624.89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145,441,519.14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124,963,055.47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1,179,484.56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2,690,531.13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263,983.24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274,538,573.54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150,154,512.35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110,219,467.77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1,461,110.07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2,037,338.64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399,143.40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264,271,572.23</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540" w:bottom="1160" w:left="102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2）暂时闲置的固定资产情况" w:id="273"/>
      <w:bookmarkEnd w:id="273"/>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3）通过融资租赁租入的固定资产情况" w:id="274"/>
      <w:bookmarkEnd w:id="274"/>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4）通过经营租赁租出的固定资产" w:id="275"/>
      <w:bookmarkEnd w:id="275"/>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5）未办妥产权证书的固定资产情况" w:id="276"/>
      <w:bookmarkEnd w:id="276"/>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6）固定资产清理" w:id="277"/>
      <w:bookmarkEnd w:id="277"/>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17、在建工程" w:id="278"/>
      <w:bookmarkEnd w:id="278"/>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1"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16,807,534.38</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22,915,440.57</w:t>
            </w:r>
          </w:p>
        </w:tc>
      </w:tr>
      <w:tr>
        <w:trPr>
          <w:trHeight w:val="40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16,807,534.38</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22,915,440.57</w:t>
            </w:r>
          </w:p>
        </w:tc>
      </w:tr>
    </w:tbl>
    <w:p>
      <w:pPr>
        <w:spacing w:line="240" w:lineRule="auto" w:before="2"/>
        <w:rPr>
          <w:rFonts w:ascii="宋体" w:hAnsi="宋体" w:cs="宋体" w:eastAsia="宋体" w:hint="default"/>
          <w:sz w:val="19"/>
          <w:szCs w:val="19"/>
        </w:rPr>
      </w:pPr>
    </w:p>
    <w:p>
      <w:pPr>
        <w:pStyle w:val="Heading4"/>
        <w:spacing w:line="240" w:lineRule="auto" w:before="35"/>
        <w:ind w:right="940"/>
        <w:jc w:val="left"/>
        <w:rPr>
          <w:b w:val="0"/>
          <w:bCs w:val="0"/>
        </w:rPr>
      </w:pPr>
      <w:bookmarkStart w:name="（1）在建工程情况" w:id="279"/>
      <w:bookmarkEnd w:id="279"/>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西安环球设备采 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8,962,084.66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8,962,084.66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7,292,157.65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7,292,157.65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天津环球项目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7,536,612.68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7,536,612.68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4,516,339.95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4,516,339.95</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陕西永鑫设备采 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308,837.04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308,837.04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11,106,942.97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11,106,942.97</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16,807,534.38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16,807,534.38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22,915,440.57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22,915,440.57</w:t>
            </w:r>
          </w:p>
        </w:tc>
      </w:tr>
    </w:tbl>
    <w:p>
      <w:pPr>
        <w:spacing w:line="240" w:lineRule="auto" w:before="2"/>
        <w:rPr>
          <w:rFonts w:ascii="宋体" w:hAnsi="宋体" w:cs="宋体" w:eastAsia="宋体" w:hint="default"/>
          <w:sz w:val="19"/>
          <w:szCs w:val="19"/>
        </w:rPr>
      </w:pPr>
    </w:p>
    <w:p>
      <w:pPr>
        <w:pStyle w:val="Heading4"/>
        <w:spacing w:line="240" w:lineRule="auto" w:before="35"/>
        <w:ind w:right="940"/>
        <w:jc w:val="left"/>
        <w:rPr>
          <w:b w:val="0"/>
          <w:bCs w:val="0"/>
        </w:rPr>
      </w:pPr>
      <w:bookmarkStart w:name="（2）重要在建工程项目本期变动情况" w:id="280"/>
      <w:bookmarkEnd w:id="280"/>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3）本期计提在建工程减值准备情况" w:id="281"/>
      <w:bookmarkEnd w:id="281"/>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4）工程物资" w:id="282"/>
      <w:bookmarkEnd w:id="282"/>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18、生产性生物资产" w:id="283"/>
      <w:bookmarkEnd w:id="283"/>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0"/>
        <w:jc w:val="left"/>
        <w:rPr>
          <w:b w:val="0"/>
          <w:bCs w:val="0"/>
        </w:rPr>
      </w:pPr>
      <w:bookmarkStart w:name="（1）采用成本计量模式的生产性生物资产" w:id="284"/>
      <w:bookmarkEnd w:id="284"/>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2）采用公允价值计量模式的生产性生物资产" w:id="285"/>
      <w:bookmarkEnd w:id="285"/>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19、油气资产" w:id="286"/>
      <w:bookmarkEnd w:id="286"/>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20、无形资产" w:id="287"/>
      <w:bookmarkEnd w:id="287"/>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0"/>
        <w:jc w:val="left"/>
        <w:rPr>
          <w:b w:val="0"/>
          <w:bCs w:val="0"/>
        </w:rPr>
      </w:pPr>
      <w:bookmarkStart w:name="（1）无形资产情况" w:id="288"/>
      <w:bookmarkEnd w:id="28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161" w:hRule="exact"/>
        </w:trPr>
        <w:tc>
          <w:tcPr>
            <w:tcW w:w="1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10" w:space="0" w:color="D2D2D2"/>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51"/>
              <w:ind w:left="137" w:right="47" w:hanging="90"/>
              <w:jc w:val="left"/>
              <w:rPr>
                <w:rFonts w:ascii="宋体" w:hAnsi="宋体" w:cs="宋体" w:eastAsia="宋体" w:hint="default"/>
                <w:sz w:val="18"/>
                <w:szCs w:val="18"/>
              </w:rPr>
            </w:pPr>
            <w:r>
              <w:rPr>
                <w:rFonts w:ascii="宋体" w:hAnsi="宋体" w:cs="宋体" w:eastAsia="宋体" w:hint="default"/>
                <w:sz w:val="18"/>
                <w:szCs w:val="18"/>
              </w:rPr>
              <w:t>软件著作权、专 有技术、域名</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2"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vMerge/>
            <w:tcBorders>
              <w:left w:val="single" w:sz="10" w:space="0" w:color="D2D2D2"/>
              <w:right w:val="single" w:sz="4" w:space="0" w:color="000000"/>
            </w:tcBorders>
            <w:shd w:val="clear" w:color="auto" w:fill="D9D9D9"/>
          </w:tcPr>
          <w:p>
            <w:pPr/>
          </w:p>
        </w:tc>
        <w:tc>
          <w:tcPr>
            <w:tcW w:w="1367" w:type="dxa"/>
            <w:vMerge/>
            <w:tcBorders>
              <w:left w:val="single" w:sz="4" w:space="0" w:color="000000"/>
              <w:right w:val="single" w:sz="4" w:space="0" w:color="000000"/>
            </w:tcBorders>
            <w:shd w:val="clear" w:color="auto" w:fill="D9D9D9"/>
          </w:tcPr>
          <w:p>
            <w:pPr/>
          </w:p>
        </w:tc>
        <w:tc>
          <w:tcPr>
            <w:tcW w:w="1367" w:type="dxa"/>
            <w:vMerge/>
            <w:tcBorders>
              <w:left w:val="single" w:sz="4" w:space="0" w:color="000000"/>
              <w:right w:val="single" w:sz="4" w:space="0" w:color="000000"/>
            </w:tcBorders>
            <w:shd w:val="clear" w:color="auto" w:fill="D2D2D2"/>
          </w:tcPr>
          <w:p>
            <w:pPr/>
          </w:p>
        </w:tc>
      </w:tr>
      <w:tr>
        <w:trPr>
          <w:trHeight w:val="161" w:hRule="exact"/>
        </w:trPr>
        <w:tc>
          <w:tcPr>
            <w:tcW w:w="1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10" w:space="0" w:color="D2D2D2"/>
              <w:bottom w:val="single" w:sz="4" w:space="0" w:color="000000"/>
              <w:right w:val="single" w:sz="4" w:space="0" w:color="000000"/>
            </w:tcBorders>
            <w:shd w:val="clear" w:color="auto" w:fill="D9D9D9"/>
          </w:tcPr>
          <w:p>
            <w:pPr/>
          </w:p>
        </w:tc>
        <w:tc>
          <w:tcPr>
            <w:tcW w:w="1367" w:type="dxa"/>
            <w:vMerge/>
            <w:tcBorders>
              <w:left w:val="single" w:sz="4" w:space="0" w:color="000000"/>
              <w:bottom w:val="single" w:sz="4" w:space="0" w:color="000000"/>
              <w:right w:val="single" w:sz="4" w:space="0" w:color="000000"/>
            </w:tcBorders>
            <w:shd w:val="clear" w:color="auto" w:fill="D9D9D9"/>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33,564,547.84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3,609,876.57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37,174,424.41</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194,748.01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3,794,748.01</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194,748.01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194,748.01</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3,600,000.00</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221,628.25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221,628.25</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5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before="44"/>
        <w:ind w:left="114" w:right="1360"/>
        <w:jc w:val="left"/>
      </w:pPr>
      <w:r>
        <w:rPr/>
        <w:pict>
          <v:shape style="position:absolute;margin-left:56.459999pt;margin-top:-486.348297pt;width:479.25pt;height:486pt;mso-position-horizontal-relative:page;mso-position-vertical-relative:paragraph;z-index:37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14" w:hRule="exact"/>
                    </w:trPr>
                    <w:tc>
                      <w:tcPr>
                        <w:tcW w:w="135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10" w:space="0" w:color="000000"/>
                          <w:left w:val="single" w:sz="13" w:space="0" w:color="D2D2D2"/>
                          <w:bottom w:val="single" w:sz="4" w:space="0" w:color="000000"/>
                          <w:right w:val="single" w:sz="4" w:space="0" w:color="000000"/>
                        </w:tcBorders>
                      </w:tcPr>
                      <w:p>
                        <w:pPr/>
                      </w:p>
                    </w:tc>
                    <w:tc>
                      <w:tcPr>
                        <w:tcW w:w="1368" w:type="dxa"/>
                        <w:tcBorders>
                          <w:top w:val="single" w:sz="10" w:space="0" w:color="000000"/>
                          <w:left w:val="single" w:sz="4" w:space="0" w:color="000000"/>
                          <w:bottom w:val="single" w:sz="4" w:space="0" w:color="000000"/>
                          <w:right w:val="single" w:sz="4" w:space="0" w:color="000000"/>
                        </w:tcBorders>
                      </w:tcPr>
                      <w:p>
                        <w:pPr/>
                      </w:p>
                    </w:tc>
                    <w:tc>
                      <w:tcPr>
                        <w:tcW w:w="1367" w:type="dxa"/>
                        <w:tcBorders>
                          <w:top w:val="single" w:sz="10" w:space="0" w:color="000000"/>
                          <w:left w:val="single" w:sz="4" w:space="0" w:color="000000"/>
                          <w:bottom w:val="single" w:sz="4" w:space="0" w:color="000000"/>
                          <w:right w:val="single" w:sz="4" w:space="0" w:color="000000"/>
                        </w:tcBorders>
                      </w:tcPr>
                      <w:p>
                        <w:pPr/>
                      </w:p>
                    </w:tc>
                    <w:tc>
                      <w:tcPr>
                        <w:tcW w:w="1367" w:type="dxa"/>
                        <w:tcBorders>
                          <w:top w:val="single" w:sz="10" w:space="0" w:color="000000"/>
                          <w:left w:val="single" w:sz="4" w:space="0" w:color="000000"/>
                          <w:bottom w:val="single" w:sz="4" w:space="0" w:color="000000"/>
                          <w:right w:val="single" w:sz="4" w:space="0" w:color="000000"/>
                        </w:tcBorders>
                      </w:tcPr>
                      <w:p>
                        <w:pPr/>
                      </w:p>
                    </w:tc>
                    <w:tc>
                      <w:tcPr>
                        <w:tcW w:w="1367" w:type="dxa"/>
                        <w:tcBorders>
                          <w:top w:val="single" w:sz="10" w:space="0" w:color="000000"/>
                          <w:left w:val="single" w:sz="4" w:space="0" w:color="000000"/>
                          <w:bottom w:val="single" w:sz="4" w:space="0" w:color="000000"/>
                          <w:right w:val="single" w:sz="4" w:space="0" w:color="000000"/>
                        </w:tcBorders>
                      </w:tcPr>
                      <w:p>
                        <w:pPr/>
                      </w:p>
                    </w:tc>
                    <w:tc>
                      <w:tcPr>
                        <w:tcW w:w="1367"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2"/>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）其他减少</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221,628.25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221,628.25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33,564,547.84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3,582,996.33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40,747,544.17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7,433,495.24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2,552,375.96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9,985,871.20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748,082.52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293,526.15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1,221,608.67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748,082.52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293,526.15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1,221,608.67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54,910.00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54,910.00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54,910.00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54,910.00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8,181,577.76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2,790,992.11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11,152,569.87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25,382,970.08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792,004.22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29,594,974.30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26,131,052.60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1,057,500.61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27,188,553.21</w:t>
                        </w:r>
                      </w:p>
                    </w:tc>
                  </w:tr>
                </w:tbl>
                <w:p>
                  <w:pPr/>
                </w:p>
              </w:txbxContent>
            </v:textbox>
            <w10:wrap type="none"/>
          </v:shape>
        </w:pict>
      </w: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4"/>
        <w:spacing w:line="240" w:lineRule="auto"/>
        <w:ind w:left="114" w:right="1360"/>
        <w:jc w:val="left"/>
        <w:rPr>
          <w:b w:val="0"/>
          <w:bCs w:val="0"/>
        </w:rPr>
      </w:pPr>
      <w:bookmarkStart w:name="（2）未办妥产权证书的土地使用权情况" w:id="289"/>
      <w:bookmarkEnd w:id="289"/>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14" w:right="896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其他说明：</w:t>
      </w:r>
    </w:p>
    <w:p>
      <w:pPr>
        <w:pStyle w:val="BodyText"/>
        <w:spacing w:line="364" w:lineRule="auto" w:before="62"/>
        <w:ind w:left="114" w:right="1131" w:firstLine="420"/>
        <w:jc w:val="both"/>
      </w:pPr>
      <w:r>
        <w:rPr/>
        <w:t>软件著作权、专有技术、域名主要系：本公司购买子公司霍尔果斯领凯股权，对取得的霍尔果斯领凯资产进行初始确 </w:t>
      </w:r>
      <w:r>
        <w:rPr>
          <w:spacing w:val="-2"/>
        </w:rPr>
        <w:t>认时，对其拥有的但在其财务报表中未确认的无形资产进行辨认和判断时，识别的软件著作权、专有技术、域名作为无形资</w:t>
      </w:r>
      <w:r>
        <w:rPr>
          <w:spacing w:val="-66"/>
        </w:rPr>
        <w:t> </w:t>
      </w:r>
      <w:r>
        <w:rPr>
          <w:spacing w:val="-66"/>
        </w:rPr>
      </w:r>
      <w:r>
        <w:rPr/>
        <w:t>产核算。</w:t>
      </w:r>
    </w:p>
    <w:p>
      <w:pPr>
        <w:spacing w:after="0" w:line="364" w:lineRule="auto"/>
        <w:jc w:val="both"/>
        <w:sectPr>
          <w:pgSz w:w="11910" w:h="16840"/>
          <w:pgMar w:header="851" w:footer="979" w:top="1560" w:bottom="1160" w:left="102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21、开发支出" w:id="290"/>
      <w:bookmarkEnd w:id="290"/>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6"/>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9"/>
              <w:jc w:val="right"/>
              <w:rPr>
                <w:rFonts w:ascii="宋体" w:hAnsi="宋体" w:cs="宋体" w:eastAsia="宋体" w:hint="default"/>
                <w:sz w:val="18"/>
                <w:szCs w:val="18"/>
              </w:rPr>
            </w:pPr>
            <w:r>
              <w:rPr>
                <w:rFonts w:ascii="宋体" w:hAnsi="宋体" w:cs="宋体" w:eastAsia="宋体" w:hint="default"/>
                <w:sz w:val="18"/>
                <w:szCs w:val="18"/>
              </w:rPr>
              <w:t>平台开发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6,141,509.20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6,141,509.20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6"/>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6,141,509.20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6,141,509.20</w:t>
            </w:r>
          </w:p>
        </w:tc>
      </w:tr>
    </w:tbl>
    <w:p>
      <w:pPr>
        <w:pStyle w:val="BodyText"/>
        <w:spacing w:line="240" w:lineRule="auto" w:before="51"/>
        <w:ind w:right="940"/>
        <w:jc w:val="left"/>
      </w:pPr>
      <w:r>
        <w:rPr/>
        <w:t>其他说明</w:t>
      </w:r>
    </w:p>
    <w:p>
      <w:pPr>
        <w:spacing w:line="240" w:lineRule="auto" w:before="11"/>
        <w:rPr>
          <w:rFonts w:ascii="宋体" w:hAnsi="宋体" w:cs="宋体" w:eastAsia="宋体" w:hint="default"/>
          <w:sz w:val="14"/>
          <w:szCs w:val="14"/>
        </w:rPr>
      </w:pPr>
    </w:p>
    <w:p>
      <w:pPr>
        <w:pStyle w:val="BodyText"/>
        <w:spacing w:line="477" w:lineRule="auto"/>
        <w:ind w:right="1133" w:firstLine="420"/>
        <w:jc w:val="both"/>
      </w:pPr>
      <w:r>
        <w:rPr/>
        <w:t>开发支出系本公司之子公司霍尔果斯领凯委托江苏科鼎信息科技有限公司研发高技术程序化交易平台，根据企业会计 </w:t>
      </w:r>
      <w:r>
        <w:rPr>
          <w:spacing w:val="-2"/>
        </w:rPr>
        <w:t>准则的规定，霍尔果斯领凯将开发项目开发阶段符合资本化条件的支出于发生时计入开发支出，研究开发项目完成后，满足</w:t>
      </w:r>
      <w:r>
        <w:rPr>
          <w:spacing w:val="-66"/>
        </w:rPr>
        <w:t> </w:t>
      </w:r>
      <w:r>
        <w:rPr>
          <w:spacing w:val="-66"/>
        </w:rPr>
      </w:r>
      <w:r>
        <w:rPr/>
        <w:t>无形资产确认条件的，确认为无形资产，不满足无形资产确认条件的计入当期损益。</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4"/>
        <w:spacing w:line="240" w:lineRule="auto"/>
        <w:ind w:right="940"/>
        <w:jc w:val="left"/>
        <w:rPr>
          <w:b w:val="0"/>
          <w:bCs w:val="0"/>
        </w:rPr>
      </w:pPr>
      <w:bookmarkStart w:name="22、商誉" w:id="291"/>
      <w:bookmarkEnd w:id="291"/>
      <w:r>
        <w:rPr>
          <w:b w:val="0"/>
          <w:bCs w:val="0"/>
        </w:rPr>
      </w:r>
      <w:r>
        <w:rPr>
          <w:rFonts w:ascii="Times New Roman" w:hAnsi="Times New Roman" w:cs="Times New Roman" w:eastAsia="Times New Roman" w:hint="default"/>
        </w:rPr>
        <w:t>22</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0"/>
        <w:jc w:val="left"/>
        <w:rPr>
          <w:b w:val="0"/>
          <w:bCs w:val="0"/>
        </w:rPr>
      </w:pPr>
      <w:bookmarkStart w:name="（1）商誉账面原值" w:id="292"/>
      <w:bookmarkEnd w:id="29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陕西永鑫包装纸 业有限公司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182,522.18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182,522.18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霍尔果斯领凯网 络科技有限公司</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108,096,828.78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108,096,828.78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182,522.18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108,096,828.78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108,279,350.96</w:t>
            </w:r>
          </w:p>
        </w:tc>
      </w:tr>
    </w:tbl>
    <w:p>
      <w:pPr>
        <w:spacing w:line="240" w:lineRule="auto" w:before="2"/>
        <w:rPr>
          <w:rFonts w:ascii="宋体" w:hAnsi="宋体" w:cs="宋体" w:eastAsia="宋体" w:hint="default"/>
          <w:sz w:val="19"/>
          <w:szCs w:val="19"/>
        </w:rPr>
      </w:pPr>
    </w:p>
    <w:p>
      <w:pPr>
        <w:pStyle w:val="Heading4"/>
        <w:spacing w:line="240" w:lineRule="auto" w:before="35"/>
        <w:ind w:right="940"/>
        <w:jc w:val="left"/>
        <w:rPr>
          <w:b w:val="0"/>
          <w:bCs w:val="0"/>
        </w:rPr>
      </w:pPr>
      <w:bookmarkStart w:name="（2）商誉减值准备" w:id="293"/>
      <w:bookmarkEnd w:id="29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8"/>
        <w:rPr>
          <w:rFonts w:ascii="宋体" w:hAnsi="宋体" w:cs="宋体" w:eastAsia="宋体" w:hint="default"/>
          <w:b/>
          <w:bCs/>
          <w:sz w:val="26"/>
          <w:szCs w:val="26"/>
        </w:rPr>
      </w:pPr>
    </w:p>
    <w:p>
      <w:pPr>
        <w:pStyle w:val="BodyText"/>
        <w:spacing w:line="379" w:lineRule="auto"/>
        <w:ind w:left="574" w:right="1129" w:hanging="420"/>
        <w:jc w:val="left"/>
      </w:pPr>
      <w:r>
        <w:rPr/>
        <w:t>商誉所在资产组或资产组组合的相关信息 </w:t>
      </w:r>
      <w:r>
        <w:rPr>
          <w:spacing w:val="-1"/>
        </w:rPr>
        <w:t>截止</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日，商誉账面余额</w:t>
      </w:r>
      <w:r>
        <w:rPr>
          <w:rFonts w:ascii="宋体" w:hAnsi="宋体" w:cs="宋体" w:eastAsia="宋体" w:hint="default"/>
          <w:spacing w:val="-1"/>
        </w:rPr>
        <w:t>10,827.94</w:t>
      </w:r>
      <w:r>
        <w:rPr>
          <w:spacing w:val="-1"/>
        </w:rPr>
        <w:t>万元，较上年金额增加</w:t>
      </w:r>
      <w:r>
        <w:rPr>
          <w:rFonts w:ascii="宋体" w:hAnsi="宋体" w:cs="宋体" w:eastAsia="宋体" w:hint="default"/>
          <w:spacing w:val="-1"/>
        </w:rPr>
        <w:t>10,809.68</w:t>
      </w:r>
      <w:r>
        <w:rPr>
          <w:spacing w:val="-1"/>
        </w:rPr>
        <w:t>万元</w:t>
      </w:r>
      <w:r>
        <w:rPr>
          <w:rFonts w:ascii="宋体" w:hAnsi="宋体" w:cs="宋体" w:eastAsia="宋体" w:hint="default"/>
          <w:spacing w:val="-1"/>
        </w:rPr>
        <w:t>,</w:t>
      </w:r>
      <w:r>
        <w:rPr>
          <w:spacing w:val="-1"/>
        </w:rPr>
        <w:t>主要为</w:t>
      </w:r>
      <w:r>
        <w:rPr>
          <w:rFonts w:ascii="宋体" w:hAnsi="宋体" w:cs="宋体" w:eastAsia="宋体" w:hint="default"/>
          <w:spacing w:val="-1"/>
        </w:rPr>
        <w:t>2018</w:t>
      </w:r>
      <w:r>
        <w:rPr>
          <w:spacing w:val="-1"/>
        </w:rPr>
        <w:t>年收购霍尔果斯领凯</w:t>
      </w:r>
    </w:p>
    <w:p>
      <w:pPr>
        <w:pStyle w:val="BodyText"/>
        <w:spacing w:line="364" w:lineRule="auto" w:before="19"/>
        <w:ind w:right="940"/>
        <w:jc w:val="left"/>
      </w:pPr>
      <w:r>
        <w:rPr>
          <w:spacing w:val="-2"/>
        </w:rPr>
        <w:t>网络科技有限公司股权确认的商誉，期末对商誉进行减值测试，未发现被分配了商誉的资产组或资产组组合的可收回金额低</w:t>
      </w:r>
      <w:r>
        <w:rPr>
          <w:spacing w:val="-64"/>
        </w:rPr>
        <w:t> </w:t>
      </w:r>
      <w:r>
        <w:rPr>
          <w:spacing w:val="-64"/>
        </w:rPr>
      </w:r>
      <w:r>
        <w:rPr/>
        <w:t>于账面价值的情形，故未计提减值准备。</w:t>
      </w:r>
    </w:p>
    <w:p>
      <w:pPr>
        <w:pStyle w:val="BodyText"/>
        <w:spacing w:line="364" w:lineRule="auto" w:before="29"/>
        <w:ind w:right="1130" w:firstLine="360"/>
        <w:jc w:val="both"/>
      </w:pPr>
      <w:r>
        <w:rPr>
          <w:spacing w:val="-2"/>
        </w:rPr>
        <w:t>经希格玛会计师事务所（特殊普通合伙）审计，</w:t>
      </w:r>
      <w:r>
        <w:rPr>
          <w:rFonts w:ascii="宋体" w:hAnsi="宋体" w:cs="宋体" w:eastAsia="宋体" w:hint="default"/>
          <w:spacing w:val="-2"/>
        </w:rPr>
        <w:t>2018</w:t>
      </w:r>
      <w:r>
        <w:rPr>
          <w:spacing w:val="-2"/>
        </w:rPr>
        <w:t>年领凯网络科技实现的净利润为</w:t>
      </w:r>
      <w:r>
        <w:rPr>
          <w:rFonts w:ascii="宋体" w:hAnsi="宋体" w:cs="宋体" w:eastAsia="宋体" w:hint="default"/>
          <w:spacing w:val="-2"/>
        </w:rPr>
        <w:t>4,683.82</w:t>
      </w:r>
      <w:r>
        <w:rPr>
          <w:spacing w:val="-2"/>
        </w:rPr>
        <w:t>万元，完成了约定的业绩</w:t>
      </w:r>
      <w:r>
        <w:rPr/>
        <w:t> </w:t>
      </w:r>
      <w:r>
        <w:rPr>
          <w:spacing w:val="-2"/>
        </w:rPr>
        <w:t>承诺。公司已委托外部专业评估机构对上述项目在并购过程中形成的商誉在本报告期末进行了商誉减值测试，经测试，领凯</w:t>
      </w:r>
      <w:r>
        <w:rPr>
          <w:spacing w:val="-66"/>
        </w:rPr>
        <w:t> </w:t>
      </w:r>
      <w:r>
        <w:rPr>
          <w:spacing w:val="-66"/>
        </w:rPr>
      </w:r>
      <w:r>
        <w:rPr/>
        <w:t>网络科技经营正常，盈利符合预期，未出现减值迹象。</w:t>
      </w:r>
    </w:p>
    <w:p>
      <w:pPr>
        <w:pStyle w:val="BodyText"/>
        <w:spacing w:line="364" w:lineRule="auto" w:before="30"/>
        <w:ind w:right="1139" w:firstLine="360"/>
        <w:jc w:val="both"/>
      </w:pPr>
      <w:r>
        <w:rPr/>
        <w:t>商誉减值测试过程、关键参数：预测期</w:t>
      </w:r>
      <w:r>
        <w:rPr>
          <w:rFonts w:ascii="宋体" w:hAnsi="宋体" w:cs="宋体" w:eastAsia="宋体" w:hint="default"/>
        </w:rPr>
        <w:t>5</w:t>
      </w:r>
      <w:r>
        <w:rPr/>
        <w:t>年营业收入复合增长率</w:t>
      </w:r>
      <w:r>
        <w:rPr>
          <w:rFonts w:ascii="宋体" w:hAnsi="宋体" w:cs="宋体" w:eastAsia="宋体" w:hint="default"/>
        </w:rPr>
        <w:t>2.74%</w:t>
      </w:r>
      <w:r>
        <w:rPr/>
        <w:t>、预测期</w:t>
      </w:r>
      <w:r>
        <w:rPr>
          <w:rFonts w:ascii="宋体" w:hAnsi="宋体" w:cs="宋体" w:eastAsia="宋体" w:hint="default"/>
        </w:rPr>
        <w:t>5</w:t>
      </w:r>
      <w:r>
        <w:rPr/>
        <w:t>年平均营业利润率</w:t>
      </w:r>
      <w:r>
        <w:rPr>
          <w:rFonts w:ascii="宋体" w:hAnsi="宋体" w:cs="宋体" w:eastAsia="宋体" w:hint="default"/>
        </w:rPr>
        <w:t>15.95%</w:t>
      </w:r>
      <w:r>
        <w:rPr/>
        <w:t>、稳定期增长 率</w:t>
      </w:r>
      <w:r>
        <w:rPr>
          <w:rFonts w:ascii="宋体" w:hAnsi="宋体" w:cs="宋体" w:eastAsia="宋体" w:hint="default"/>
        </w:rPr>
        <w:t>0%</w:t>
      </w:r>
      <w:r>
        <w:rPr/>
        <w:t>、税前折现率</w:t>
      </w:r>
      <w:r>
        <w:rPr>
          <w:rFonts w:ascii="宋体" w:hAnsi="宋体" w:cs="宋体" w:eastAsia="宋体" w:hint="default"/>
        </w:rPr>
        <w:t>16.12%</w:t>
      </w:r>
      <w:r>
        <w:rPr/>
        <w:t>。</w:t>
      </w:r>
    </w:p>
    <w:p>
      <w:pPr>
        <w:spacing w:after="0" w:line="364" w:lineRule="auto"/>
        <w:jc w:val="both"/>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23、长期待摊费用" w:id="294"/>
      <w:bookmarkEnd w:id="294"/>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模切钢板</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181,924.22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86,780.64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95,143.58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车间</w:t>
            </w:r>
            <w:r>
              <w:rPr>
                <w:rFonts w:ascii="宋体" w:hAnsi="宋体" w:cs="宋体" w:eastAsia="宋体" w:hint="default"/>
                <w:spacing w:val="-82"/>
                <w:sz w:val="18"/>
                <w:szCs w:val="18"/>
              </w:rPr>
              <w:t>、</w:t>
            </w:r>
            <w:r>
              <w:rPr>
                <w:rFonts w:ascii="宋体" w:hAnsi="宋体" w:cs="宋体" w:eastAsia="宋体" w:hint="default"/>
                <w:sz w:val="18"/>
                <w:szCs w:val="18"/>
              </w:rPr>
              <w:t>综合楼装修费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451,686.75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528,749.34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298,814.12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681,621.97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托盘</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165,467.67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383,528.49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98,053.05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450,943.11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压缩机房装修改造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37,541.48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17,326.92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20,214.56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814,564.50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315,315.36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499,249.14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大修理费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4,167,094.04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282,709.91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3,884,384.13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1,651,184.62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5,079,371.87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5,631,556.49</w:t>
            </w:r>
          </w:p>
        </w:tc>
      </w:tr>
    </w:tbl>
    <w:p>
      <w:pPr>
        <w:pStyle w:val="BodyText"/>
        <w:spacing w:line="240" w:lineRule="auto" w:before="51"/>
        <w:ind w:right="940"/>
        <w:jc w:val="left"/>
      </w:pPr>
      <w:r>
        <w:rPr/>
        <w:t>其他说明</w:t>
      </w:r>
    </w:p>
    <w:p>
      <w:pPr>
        <w:pStyle w:val="BodyText"/>
        <w:spacing w:line="240" w:lineRule="auto" w:before="139"/>
        <w:ind w:left="574" w:right="940"/>
        <w:jc w:val="left"/>
      </w:pPr>
      <w:r>
        <w:rPr>
          <w:rFonts w:ascii="宋体" w:hAnsi="宋体" w:cs="宋体" w:eastAsia="宋体" w:hint="default"/>
        </w:rPr>
        <w:t>1.</w:t>
      </w:r>
      <w:r>
        <w:rPr/>
        <w:t>本公司对模切钢板、装修费的摊销期为</w:t>
      </w:r>
      <w:r>
        <w:rPr>
          <w:rFonts w:ascii="宋体" w:hAnsi="宋体" w:cs="宋体" w:eastAsia="宋体" w:hint="default"/>
        </w:rPr>
        <w:t>36</w:t>
      </w:r>
      <w:r>
        <w:rPr/>
        <w:t>个月，托盘的摊销期为</w:t>
      </w:r>
      <w:r>
        <w:rPr>
          <w:rFonts w:ascii="宋体" w:hAnsi="宋体" w:cs="宋体" w:eastAsia="宋体" w:hint="default"/>
        </w:rPr>
        <w:t>60</w:t>
      </w:r>
      <w:r>
        <w:rPr/>
        <w:t>个月，房租摊销期为租赁合同约定的租赁期限。</w:t>
      </w:r>
    </w:p>
    <w:p>
      <w:pPr>
        <w:pStyle w:val="BodyText"/>
        <w:spacing w:line="364" w:lineRule="auto" w:before="123"/>
        <w:ind w:right="940" w:firstLine="420"/>
        <w:jc w:val="left"/>
      </w:pPr>
      <w:r>
        <w:rPr>
          <w:rFonts w:ascii="宋体" w:hAnsi="宋体" w:cs="宋体" w:eastAsia="宋体" w:hint="default"/>
        </w:rPr>
        <w:t>2.</w:t>
      </w:r>
      <w:r>
        <w:rPr/>
        <w:t>本期新增大修理费</w:t>
      </w:r>
      <w:r>
        <w:rPr>
          <w:rFonts w:ascii="宋体" w:hAnsi="宋体" w:cs="宋体" w:eastAsia="宋体" w:hint="default"/>
        </w:rPr>
        <w:t>4,167,094.04</w:t>
      </w:r>
      <w:r>
        <w:rPr/>
        <w:t>元，系本公司对已提足折旧仍然使用的机器设备进行大修理支付的修理费用，摊销 期限为</w:t>
      </w:r>
      <w:r>
        <w:rPr>
          <w:rFonts w:ascii="宋体" w:hAnsi="宋体" w:cs="宋体" w:eastAsia="宋体" w:hint="default"/>
        </w:rPr>
        <w:t>60</w:t>
      </w:r>
      <w:r>
        <w:rPr/>
        <w:t>个月。</w:t>
      </w:r>
    </w:p>
    <w:p>
      <w:pPr>
        <w:spacing w:line="240" w:lineRule="auto" w:before="8"/>
        <w:rPr>
          <w:rFonts w:ascii="宋体" w:hAnsi="宋体" w:cs="宋体" w:eastAsia="宋体" w:hint="default"/>
          <w:sz w:val="21"/>
          <w:szCs w:val="21"/>
        </w:rPr>
      </w:pPr>
    </w:p>
    <w:p>
      <w:pPr>
        <w:pStyle w:val="Heading4"/>
        <w:spacing w:line="240" w:lineRule="auto"/>
        <w:ind w:right="940"/>
        <w:jc w:val="left"/>
        <w:rPr>
          <w:b w:val="0"/>
          <w:bCs w:val="0"/>
        </w:rPr>
      </w:pPr>
      <w:bookmarkStart w:name="24、递延所得税资产/递延所得税负债" w:id="295"/>
      <w:bookmarkEnd w:id="295"/>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0"/>
        <w:jc w:val="left"/>
        <w:rPr>
          <w:b w:val="0"/>
          <w:bCs w:val="0"/>
        </w:rPr>
      </w:pPr>
      <w:bookmarkStart w:name="（1）未经抵销的递延所得税资产" w:id="296"/>
      <w:bookmarkEnd w:id="29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1,450,775.77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217,616.36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1,594,259.07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239,138.86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应收款项坏账准备、存 货跌价准备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14,071,660.20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2,778,119.06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9,746,783.10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1,767,901.21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15,522,435.97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2,995,735.42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11,341,042.17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2,007,040.07</w:t>
            </w:r>
          </w:p>
        </w:tc>
      </w:tr>
    </w:tbl>
    <w:p>
      <w:pPr>
        <w:spacing w:line="240" w:lineRule="auto" w:before="2"/>
        <w:rPr>
          <w:rFonts w:ascii="宋体" w:hAnsi="宋体" w:cs="宋体" w:eastAsia="宋体" w:hint="default"/>
          <w:sz w:val="19"/>
          <w:szCs w:val="19"/>
        </w:rPr>
      </w:pPr>
    </w:p>
    <w:p>
      <w:pPr>
        <w:pStyle w:val="Heading4"/>
        <w:spacing w:line="240" w:lineRule="auto" w:before="35"/>
        <w:ind w:right="940"/>
        <w:jc w:val="left"/>
        <w:rPr>
          <w:b w:val="0"/>
          <w:bCs w:val="0"/>
        </w:rPr>
      </w:pPr>
      <w:bookmarkStart w:name="（2）未经抵销的递延所得税负债" w:id="297"/>
      <w:bookmarkEnd w:id="29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加速折旧资产所得税负 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28,449.60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7,112.40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50,503.44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12,625.86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28,449.60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w w:val="95"/>
                <w:sz w:val="18"/>
              </w:rPr>
              <w:t>7,112.40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50,503.44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12,625.86</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3）以抵销后净额列示的递延所得税资产或负债" w:id="298"/>
      <w:bookmarkEnd w:id="298"/>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3"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2,995,735.42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2,007,040.07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7,112.40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12,625.86</w:t>
            </w:r>
          </w:p>
        </w:tc>
      </w:tr>
    </w:tbl>
    <w:p>
      <w:pPr>
        <w:spacing w:line="240" w:lineRule="auto" w:before="2"/>
        <w:rPr>
          <w:rFonts w:ascii="宋体" w:hAnsi="宋体" w:cs="宋体" w:eastAsia="宋体" w:hint="default"/>
          <w:sz w:val="19"/>
          <w:szCs w:val="19"/>
        </w:rPr>
      </w:pPr>
    </w:p>
    <w:p>
      <w:pPr>
        <w:pStyle w:val="Heading4"/>
        <w:spacing w:line="240" w:lineRule="auto" w:before="35"/>
        <w:ind w:right="940"/>
        <w:jc w:val="left"/>
        <w:rPr>
          <w:b w:val="0"/>
          <w:bCs w:val="0"/>
        </w:rPr>
      </w:pPr>
      <w:bookmarkStart w:name="（4）未确认递延所得税资产明细" w:id="299"/>
      <w:bookmarkEnd w:id="299"/>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6,097,867.06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4,580,859.11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6,097,867.06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4,580,859.11</w:t>
            </w:r>
          </w:p>
        </w:tc>
      </w:tr>
    </w:tbl>
    <w:p>
      <w:pPr>
        <w:spacing w:line="240" w:lineRule="auto" w:before="2"/>
        <w:rPr>
          <w:rFonts w:ascii="宋体" w:hAnsi="宋体" w:cs="宋体" w:eastAsia="宋体" w:hint="default"/>
          <w:sz w:val="19"/>
          <w:szCs w:val="19"/>
        </w:rPr>
      </w:pPr>
    </w:p>
    <w:p>
      <w:pPr>
        <w:pStyle w:val="Heading4"/>
        <w:spacing w:line="240" w:lineRule="auto" w:before="35"/>
        <w:ind w:right="940"/>
        <w:jc w:val="left"/>
        <w:rPr>
          <w:b w:val="0"/>
          <w:bCs w:val="0"/>
        </w:rPr>
      </w:pPr>
      <w:bookmarkStart w:name="（5）未确认递延所得税资产的可抵扣亏损将于以下年度到期" w:id="300"/>
      <w:bookmarkEnd w:id="300"/>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-280,265.41</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-140,478.57</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-140,478.57</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-77,244.50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-271,689.32</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-944,340.19</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-1,313,239.50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-2,575,286.31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-2,575,286.31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-2,360,517.49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-6,097,867.06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-4,580,959.11</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4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40"/>
        <w:jc w:val="left"/>
        <w:rPr>
          <w:b w:val="0"/>
          <w:bCs w:val="0"/>
        </w:rPr>
      </w:pPr>
      <w:bookmarkStart w:name="25、其他非流动资产" w:id="301"/>
      <w:bookmarkEnd w:id="301"/>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40"/>
        <w:jc w:val="left"/>
        <w:rPr>
          <w:b w:val="0"/>
          <w:bCs w:val="0"/>
        </w:rPr>
      </w:pPr>
      <w:bookmarkStart w:name="26、短期借款" w:id="302"/>
      <w:bookmarkEnd w:id="302"/>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0"/>
        <w:jc w:val="left"/>
        <w:rPr>
          <w:b w:val="0"/>
          <w:bCs w:val="0"/>
        </w:rPr>
      </w:pPr>
      <w:bookmarkStart w:name="（1）短期借款分类" w:id="303"/>
      <w:bookmarkEnd w:id="30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15,268,679.54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98,146.15</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500" w:bottom="1160" w:left="980" w:right="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14" w:hRule="exact"/>
        </w:trPr>
        <w:tc>
          <w:tcPr>
            <w:tcW w:w="318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94,990,000.00</w:t>
            </w:r>
          </w:p>
        </w:tc>
        <w:tc>
          <w:tcPr>
            <w:tcW w:w="318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121,894,319.74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110,258,679.54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121,992,465.89</w:t>
            </w:r>
          </w:p>
        </w:tc>
      </w:tr>
    </w:tbl>
    <w:p>
      <w:pPr>
        <w:pStyle w:val="BodyText"/>
        <w:spacing w:line="381" w:lineRule="auto" w:before="51"/>
        <w:ind w:left="534" w:right="1038" w:hanging="420"/>
        <w:jc w:val="left"/>
        <w:rPr>
          <w:rFonts w:ascii="宋体" w:hAnsi="宋体" w:cs="宋体" w:eastAsia="宋体" w:hint="default"/>
        </w:rPr>
      </w:pPr>
      <w:r>
        <w:rPr/>
        <w:t>短期借款分类的说明： 抵押借款系本公司以</w:t>
      </w:r>
      <w:r>
        <w:rPr>
          <w:rFonts w:ascii="宋体" w:hAnsi="宋体" w:cs="宋体" w:eastAsia="宋体" w:hint="default"/>
        </w:rPr>
        <w:t>4,251,866.16</w:t>
      </w:r>
      <w:r>
        <w:rPr/>
        <w:t>元应收账款作抵押，取得汇丰银行（中国）有限公司西安分行人民币</w:t>
      </w:r>
      <w:r>
        <w:rPr>
          <w:rFonts w:ascii="宋体" w:hAnsi="宋体" w:cs="宋体" w:eastAsia="宋体" w:hint="default"/>
        </w:rPr>
        <w:t>3,826,679.54</w:t>
      </w:r>
    </w:p>
    <w:p>
      <w:pPr>
        <w:pStyle w:val="BodyText"/>
        <w:spacing w:line="364" w:lineRule="auto" w:before="17"/>
        <w:ind w:left="114" w:right="1130"/>
        <w:jc w:val="left"/>
      </w:pPr>
      <w:r>
        <w:rPr>
          <w:spacing w:val="16"/>
        </w:rPr>
        <w:t>元的短期借款；</w:t>
      </w:r>
      <w:r>
        <w:rPr>
          <w:spacing w:val="-69"/>
        </w:rPr>
        <w:t> </w:t>
      </w:r>
      <w:r>
        <w:rPr>
          <w:spacing w:val="17"/>
        </w:rPr>
        <w:t>本公司之子公司陕西永鑫以</w:t>
      </w:r>
      <w:r>
        <w:rPr>
          <w:spacing w:val="-66"/>
        </w:rPr>
        <w:t> </w:t>
      </w:r>
      <w:r>
        <w:rPr>
          <w:rFonts w:ascii="宋体" w:hAnsi="宋体" w:cs="宋体" w:eastAsia="宋体" w:hint="default"/>
        </w:rPr>
        <w:t>6,782,655.70</w:t>
      </w:r>
      <w:r>
        <w:rPr>
          <w:rFonts w:ascii="宋体" w:hAnsi="宋体" w:cs="宋体" w:eastAsia="宋体" w:hint="default"/>
          <w:spacing w:val="-69"/>
        </w:rPr>
        <w:t> </w:t>
      </w:r>
      <w:r>
        <w:rPr>
          <w:spacing w:val="16"/>
        </w:rPr>
        <w:t>元应收账款作抵押，</w:t>
      </w:r>
      <w:r>
        <w:rPr>
          <w:spacing w:val="-69"/>
        </w:rPr>
        <w:t> </w:t>
      </w:r>
      <w:r>
        <w:rPr>
          <w:spacing w:val="17"/>
        </w:rPr>
        <w:t>取得惠商商业保理有限公司人民币</w:t>
      </w:r>
      <w:r>
        <w:rPr/>
        <w:t> </w:t>
      </w:r>
      <w:r>
        <w:rPr>
          <w:rFonts w:ascii="宋体" w:hAnsi="宋体" w:cs="宋体" w:eastAsia="宋体" w:hint="default"/>
        </w:rPr>
        <w:t>6,442,000.00</w:t>
      </w:r>
      <w:r>
        <w:rPr/>
        <w:t>元的短期借款、以</w:t>
      </w:r>
      <w:r>
        <w:rPr>
          <w:rFonts w:ascii="宋体" w:hAnsi="宋体" w:cs="宋体" w:eastAsia="宋体" w:hint="default"/>
        </w:rPr>
        <w:t>5,000,000.00</w:t>
      </w:r>
      <w:r>
        <w:rPr/>
        <w:t>元应收账款作抵押，取得浙商银行人民币</w:t>
      </w:r>
      <w:r>
        <w:rPr>
          <w:rFonts w:ascii="宋体" w:hAnsi="宋体" w:cs="宋体" w:eastAsia="宋体" w:hint="default"/>
        </w:rPr>
        <w:t>5,000,000.00</w:t>
      </w:r>
      <w:r>
        <w:rPr/>
        <w:t>元的短期借款。</w:t>
      </w:r>
    </w:p>
    <w:p>
      <w:pPr>
        <w:spacing w:line="240" w:lineRule="auto" w:before="8"/>
        <w:rPr>
          <w:rFonts w:ascii="宋体" w:hAnsi="宋体" w:cs="宋体" w:eastAsia="宋体" w:hint="default"/>
          <w:sz w:val="21"/>
          <w:szCs w:val="21"/>
        </w:rPr>
      </w:pPr>
    </w:p>
    <w:p>
      <w:pPr>
        <w:pStyle w:val="Heading4"/>
        <w:spacing w:line="240" w:lineRule="auto"/>
        <w:ind w:left="114" w:right="1360"/>
        <w:jc w:val="left"/>
        <w:rPr>
          <w:b w:val="0"/>
          <w:bCs w:val="0"/>
        </w:rPr>
      </w:pPr>
      <w:bookmarkStart w:name="（2）已逾期未偿还的短期借款情况" w:id="304"/>
      <w:bookmarkEnd w:id="304"/>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4" w:right="1360"/>
        <w:jc w:val="left"/>
        <w:rPr>
          <w:b w:val="0"/>
          <w:bCs w:val="0"/>
        </w:rPr>
      </w:pPr>
      <w:bookmarkStart w:name="27、以公允价值计量且其变动计入当期损益的金融负债" w:id="305"/>
      <w:bookmarkEnd w:id="305"/>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4" w:right="1360"/>
        <w:jc w:val="left"/>
        <w:rPr>
          <w:b w:val="0"/>
          <w:bCs w:val="0"/>
        </w:rPr>
      </w:pPr>
      <w:bookmarkStart w:name="28、衍生金融负债" w:id="306"/>
      <w:bookmarkEnd w:id="306"/>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4" w:right="1360"/>
        <w:jc w:val="left"/>
        <w:rPr>
          <w:b w:val="0"/>
          <w:bCs w:val="0"/>
        </w:rPr>
      </w:pPr>
      <w:bookmarkStart w:name="29、应付票据及应付账款" w:id="307"/>
      <w:bookmarkEnd w:id="307"/>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77,730,656.60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6,807,889.18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91,084,771.04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89,995,973.23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168,815,427.64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96,803,862.41</w:t>
            </w:r>
          </w:p>
        </w:tc>
      </w:tr>
    </w:tbl>
    <w:p>
      <w:pPr>
        <w:spacing w:line="240" w:lineRule="auto" w:before="2"/>
        <w:rPr>
          <w:rFonts w:ascii="宋体" w:hAnsi="宋体" w:cs="宋体" w:eastAsia="宋体" w:hint="default"/>
          <w:sz w:val="19"/>
          <w:szCs w:val="19"/>
        </w:rPr>
      </w:pPr>
    </w:p>
    <w:p>
      <w:pPr>
        <w:pStyle w:val="Heading4"/>
        <w:spacing w:line="240" w:lineRule="auto" w:before="35"/>
        <w:ind w:left="114" w:right="1360"/>
        <w:jc w:val="left"/>
        <w:rPr>
          <w:b w:val="0"/>
          <w:bCs w:val="0"/>
        </w:rPr>
      </w:pPr>
      <w:bookmarkStart w:name="（1）应付票据分类列示" w:id="308"/>
      <w:bookmarkEnd w:id="308"/>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77,730,656.60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6,807,889.18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77,730,656.60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6,807,889.18</w:t>
            </w:r>
          </w:p>
        </w:tc>
      </w:tr>
    </w:tbl>
    <w:p>
      <w:pPr>
        <w:pStyle w:val="BodyText"/>
        <w:spacing w:line="240" w:lineRule="auto" w:before="51"/>
        <w:ind w:left="114" w:right="136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4"/>
        <w:spacing w:line="240" w:lineRule="auto"/>
        <w:ind w:left="114" w:right="1360"/>
        <w:jc w:val="left"/>
        <w:rPr>
          <w:b w:val="0"/>
          <w:bCs w:val="0"/>
        </w:rPr>
      </w:pPr>
      <w:bookmarkStart w:name="（2）应付账款列示" w:id="309"/>
      <w:bookmarkEnd w:id="309"/>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85,839,506.23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87,841,812.72</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500" w:bottom="1160" w:left="1020" w:right="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14" w:hRule="exact"/>
        </w:trPr>
        <w:tc>
          <w:tcPr>
            <w:tcW w:w="318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4,803,656.14</w:t>
            </w:r>
          </w:p>
        </w:tc>
        <w:tc>
          <w:tcPr>
            <w:tcW w:w="318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1,407,437.28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168,969.24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83,979.20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272,639.43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662,744.03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91,084,771.04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89,995,973.23</w:t>
            </w:r>
          </w:p>
        </w:tc>
      </w:tr>
    </w:tbl>
    <w:p>
      <w:pPr>
        <w:spacing w:line="240" w:lineRule="auto" w:before="2"/>
        <w:rPr>
          <w:rFonts w:ascii="宋体" w:hAnsi="宋体" w:cs="宋体" w:eastAsia="宋体" w:hint="default"/>
          <w:sz w:val="19"/>
          <w:szCs w:val="19"/>
        </w:rPr>
      </w:pPr>
    </w:p>
    <w:p>
      <w:pPr>
        <w:pStyle w:val="Heading4"/>
        <w:spacing w:line="240" w:lineRule="auto" w:before="35"/>
        <w:ind w:left="114" w:right="1360"/>
        <w:jc w:val="left"/>
        <w:rPr>
          <w:b w:val="0"/>
          <w:bCs w:val="0"/>
        </w:rPr>
      </w:pPr>
      <w:bookmarkStart w:name="（3）账龄超过1年的重要应付账款" w:id="310"/>
      <w:bookmarkEnd w:id="310"/>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上海劲堃商务咨询有限公司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4,037,465.45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未结算流量款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西安启恒包装有限责任公司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661,645.39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未结算材料款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西安俊星实业有限公司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594,154.02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未结算材料款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贵州魔秀科技有限责任公司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405,490.70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未结算流量款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江苏省建工集团有限公司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406,181.69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未结算工程款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6,104,937.25</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5"/>
        <w:ind w:left="114" w:right="1360"/>
        <w:jc w:val="left"/>
        <w:rPr>
          <w:b w:val="0"/>
          <w:bCs w:val="0"/>
        </w:rPr>
      </w:pPr>
      <w:bookmarkStart w:name="30、预收款项" w:id="311"/>
      <w:bookmarkEnd w:id="311"/>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4" w:right="1360"/>
        <w:jc w:val="left"/>
        <w:rPr>
          <w:b w:val="0"/>
          <w:bCs w:val="0"/>
        </w:rPr>
      </w:pPr>
      <w:bookmarkStart w:name="（1）预收款项列示" w:id="312"/>
      <w:bookmarkEnd w:id="31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2,215,343.68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2,646,877.09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719,408.07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64,022.10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56,022.10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4,334.10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142,190.40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294,544.82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3,132,964.25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3,009,778.11</w:t>
            </w:r>
          </w:p>
        </w:tc>
      </w:tr>
    </w:tbl>
    <w:p>
      <w:pPr>
        <w:spacing w:line="240" w:lineRule="auto" w:before="2"/>
        <w:rPr>
          <w:rFonts w:ascii="宋体" w:hAnsi="宋体" w:cs="宋体" w:eastAsia="宋体" w:hint="default"/>
          <w:sz w:val="19"/>
          <w:szCs w:val="19"/>
        </w:rPr>
      </w:pPr>
    </w:p>
    <w:p>
      <w:pPr>
        <w:pStyle w:val="Heading4"/>
        <w:spacing w:line="240" w:lineRule="auto" w:before="35"/>
        <w:ind w:left="114" w:right="1360"/>
        <w:jc w:val="left"/>
        <w:rPr>
          <w:b w:val="0"/>
          <w:bCs w:val="0"/>
        </w:rPr>
      </w:pPr>
      <w:bookmarkStart w:name="（2）账龄超过1年的重要预收款项" w:id="313"/>
      <w:bookmarkEnd w:id="31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4" w:right="1360"/>
        <w:jc w:val="left"/>
        <w:rPr>
          <w:b w:val="0"/>
          <w:bCs w:val="0"/>
        </w:rPr>
      </w:pPr>
      <w:bookmarkStart w:name="（3）期末建造合同形成的已结算未完工项目情况" w:id="314"/>
      <w:bookmarkEnd w:id="314"/>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51" w:footer="979" w:top="1500" w:bottom="1160" w:left="102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31、应付职工薪酬" w:id="315"/>
      <w:bookmarkEnd w:id="315"/>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0"/>
        <w:jc w:val="left"/>
        <w:rPr>
          <w:b w:val="0"/>
          <w:bCs w:val="0"/>
        </w:rPr>
      </w:pPr>
      <w:bookmarkStart w:name="（1）应付职工薪酬列示" w:id="316"/>
      <w:bookmarkEnd w:id="31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6,634,884.76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86,042,806.77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82,145,381.59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10,532,309.94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125,304.77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8,461,375.52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8,586,680.29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6,760,189.53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94,504,182.29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90,732,061.88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10,532,309.94</w:t>
            </w:r>
          </w:p>
        </w:tc>
      </w:tr>
    </w:tbl>
    <w:p>
      <w:pPr>
        <w:spacing w:line="240" w:lineRule="auto" w:before="2"/>
        <w:rPr>
          <w:rFonts w:ascii="宋体" w:hAnsi="宋体" w:cs="宋体" w:eastAsia="宋体" w:hint="default"/>
          <w:sz w:val="19"/>
          <w:szCs w:val="19"/>
        </w:rPr>
      </w:pPr>
    </w:p>
    <w:p>
      <w:pPr>
        <w:pStyle w:val="Heading4"/>
        <w:spacing w:line="240" w:lineRule="auto" w:before="35"/>
        <w:ind w:right="940"/>
        <w:jc w:val="left"/>
        <w:rPr>
          <w:b w:val="0"/>
          <w:bCs w:val="0"/>
        </w:rPr>
      </w:pPr>
      <w:bookmarkStart w:name="（2）短期薪酬列示" w:id="317"/>
      <w:bookmarkEnd w:id="317"/>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5,953,599.23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77,090,830.15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72,788,263.50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10,256,165.88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1,825,386.40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2,070,386.40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13,000.00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49,387.11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3,500,120.80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3,549,507.91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43,873.50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3,074,877.86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3,118,751.36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3,947.24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237,082.35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240,156.31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188,160.59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190,600.24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49,440.92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2,470,009.00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2,519,449.92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324,457.50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1,156,460.42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1,217,773.86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263,144.06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6,634,884.76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86,042,806.77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82,145,381.59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10,532,309.94</w:t>
            </w:r>
          </w:p>
        </w:tc>
      </w:tr>
    </w:tbl>
    <w:p>
      <w:pPr>
        <w:spacing w:line="240" w:lineRule="auto" w:before="2"/>
        <w:rPr>
          <w:rFonts w:ascii="宋体" w:hAnsi="宋体" w:cs="宋体" w:eastAsia="宋体" w:hint="default"/>
          <w:sz w:val="19"/>
          <w:szCs w:val="19"/>
        </w:rPr>
      </w:pPr>
    </w:p>
    <w:p>
      <w:pPr>
        <w:pStyle w:val="Heading4"/>
        <w:spacing w:line="240" w:lineRule="auto" w:before="35"/>
        <w:ind w:right="940"/>
        <w:jc w:val="left"/>
        <w:rPr>
          <w:b w:val="0"/>
          <w:bCs w:val="0"/>
        </w:rPr>
      </w:pPr>
      <w:bookmarkStart w:name="（3）设定提存计划列示" w:id="318"/>
      <w:bookmarkEnd w:id="31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121,241.89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8,184,848.42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8,306,090.31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276,527.10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280,589.98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125,304.77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8,461,375.52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8,586,680.29</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40"/>
        <w:jc w:val="left"/>
      </w:pPr>
      <w:r>
        <w:rPr/>
        <w:t>其他说明：</w:t>
      </w:r>
    </w:p>
    <w:p>
      <w:pPr>
        <w:spacing w:after="0" w:line="240" w:lineRule="auto"/>
        <w:jc w:val="left"/>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32、应交税费" w:id="319"/>
      <w:bookmarkEnd w:id="319"/>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1,869,880.25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74,292.37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4,104,917.11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596,408.79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178,214.14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174,008.61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130,128.47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33,087.28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232,517.11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220,111.15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152,256.46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123,533.55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57,820.78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15,286.98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36,153.85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8,346.77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5,211.13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21,316.88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23,374.73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30,306.83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5,101.69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553.37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6,795,575.72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1,297,252.58</w:t>
            </w:r>
          </w:p>
        </w:tc>
      </w:tr>
    </w:tbl>
    <w:p>
      <w:pPr>
        <w:pStyle w:val="BodyText"/>
        <w:spacing w:line="240" w:lineRule="auto" w:before="51"/>
        <w:ind w:right="94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40"/>
        <w:jc w:val="left"/>
        <w:rPr>
          <w:b w:val="0"/>
          <w:bCs w:val="0"/>
        </w:rPr>
      </w:pPr>
      <w:bookmarkStart w:name="33、其他应付款" w:id="320"/>
      <w:bookmarkEnd w:id="320"/>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949,697.37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116,727.00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12,811,639.24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107,742,996.38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4,545,530.09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121,504,332.99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4,662,257.09</w:t>
            </w:r>
          </w:p>
        </w:tc>
      </w:tr>
    </w:tbl>
    <w:p>
      <w:pPr>
        <w:spacing w:line="240" w:lineRule="auto" w:before="2"/>
        <w:rPr>
          <w:rFonts w:ascii="宋体" w:hAnsi="宋体" w:cs="宋体" w:eastAsia="宋体" w:hint="default"/>
          <w:sz w:val="19"/>
          <w:szCs w:val="19"/>
        </w:rPr>
      </w:pPr>
    </w:p>
    <w:p>
      <w:pPr>
        <w:pStyle w:val="Heading4"/>
        <w:spacing w:line="240" w:lineRule="auto" w:before="35"/>
        <w:ind w:right="940"/>
        <w:jc w:val="left"/>
        <w:rPr>
          <w:b w:val="0"/>
          <w:bCs w:val="0"/>
        </w:rPr>
      </w:pPr>
      <w:bookmarkStart w:name="（1）应付利息" w:id="321"/>
      <w:bookmarkEnd w:id="321"/>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949,697.37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116,727.00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949,697.37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116,727.00</w:t>
            </w:r>
          </w:p>
        </w:tc>
      </w:tr>
    </w:tbl>
    <w:p>
      <w:pPr>
        <w:pStyle w:val="BodyText"/>
        <w:spacing w:line="240" w:lineRule="auto" w:before="51"/>
        <w:ind w:right="940"/>
        <w:jc w:val="left"/>
      </w:pPr>
      <w:r>
        <w:rPr/>
        <w:t>重要的已逾期未支付的利息情况：</w:t>
      </w:r>
    </w:p>
    <w:p>
      <w:pPr>
        <w:pStyle w:val="BodyText"/>
        <w:spacing w:line="240" w:lineRule="auto" w:before="117"/>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2）应付股利" w:id="322"/>
      <w:bookmarkEnd w:id="322"/>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金湖县行千里网络传媒服务中心（普通 合伙）</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12,808,948.08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连学旺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2,691.16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12,811,639.24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40"/>
        <w:jc w:val="left"/>
        <w:rPr>
          <w:b w:val="0"/>
          <w:bCs w:val="0"/>
        </w:rPr>
      </w:pPr>
      <w:bookmarkStart w:name="（3）其他应付款" w:id="323"/>
      <w:bookmarkEnd w:id="323"/>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40"/>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106,809,052.81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3,053,693.68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235,756.12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890,401.00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624,527.75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77,733.00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73,659.70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523,702.41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107,742,996.38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4,545,530.09</w:t>
            </w:r>
          </w:p>
        </w:tc>
      </w:tr>
    </w:tbl>
    <w:p>
      <w:pPr>
        <w:pStyle w:val="BodyText"/>
        <w:spacing w:line="240" w:lineRule="auto" w:before="51"/>
        <w:ind w:right="94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5"/>
        <w:ind w:right="940"/>
        <w:jc w:val="left"/>
        <w:rPr>
          <w:b w:val="0"/>
          <w:bCs w:val="0"/>
        </w:rPr>
      </w:pPr>
      <w:bookmarkStart w:name="34、持有待售负债" w:id="324"/>
      <w:bookmarkEnd w:id="324"/>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40"/>
        <w:jc w:val="left"/>
        <w:rPr>
          <w:b w:val="0"/>
          <w:bCs w:val="0"/>
        </w:rPr>
      </w:pPr>
      <w:bookmarkStart w:name="35、一年内到期的非流动负债" w:id="325"/>
      <w:bookmarkEnd w:id="325"/>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40"/>
        <w:jc w:val="left"/>
        <w:rPr>
          <w:b w:val="0"/>
          <w:bCs w:val="0"/>
        </w:rPr>
      </w:pPr>
      <w:bookmarkStart w:name="36、其他流动负债" w:id="326"/>
      <w:bookmarkEnd w:id="326"/>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37、长期借款" w:id="327"/>
      <w:bookmarkEnd w:id="327"/>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0"/>
        <w:jc w:val="left"/>
        <w:rPr>
          <w:b w:val="0"/>
          <w:bCs w:val="0"/>
        </w:rPr>
      </w:pPr>
      <w:bookmarkStart w:name="（1）长期借款分类" w:id="328"/>
      <w:bookmarkEnd w:id="328"/>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38、应付债券" w:id="329"/>
      <w:bookmarkEnd w:id="329"/>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0"/>
        <w:jc w:val="left"/>
        <w:rPr>
          <w:b w:val="0"/>
          <w:bCs w:val="0"/>
        </w:rPr>
      </w:pPr>
      <w:bookmarkStart w:name="（1）应付债券" w:id="330"/>
      <w:bookmarkEnd w:id="330"/>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2）应付债券的增减变动（不包括划分为金融负债的优先股、永续债等其他金融工具）" w:id="331"/>
      <w:bookmarkEnd w:id="331"/>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3）可转换公司债券的转股条件、转股时间说明" w:id="332"/>
      <w:bookmarkEnd w:id="332"/>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4）划分为金融负债的其他金融工具说明" w:id="333"/>
      <w:bookmarkEnd w:id="333"/>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40"/>
        <w:jc w:val="left"/>
        <w:rPr>
          <w:b w:val="0"/>
          <w:bCs w:val="0"/>
        </w:rPr>
      </w:pPr>
      <w:bookmarkStart w:name="39、长期应付款" w:id="334"/>
      <w:bookmarkEnd w:id="334"/>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40"/>
        <w:jc w:val="left"/>
        <w:rPr>
          <w:b w:val="0"/>
          <w:bCs w:val="0"/>
        </w:rPr>
      </w:pPr>
      <w:bookmarkStart w:name="（1）按款项性质列示长期应付款" w:id="335"/>
      <w:bookmarkEnd w:id="335"/>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40"/>
        <w:jc w:val="left"/>
        <w:rPr>
          <w:b w:val="0"/>
          <w:bCs w:val="0"/>
        </w:rPr>
      </w:pPr>
      <w:bookmarkStart w:name="（2）专项应付款" w:id="336"/>
      <w:bookmarkEnd w:id="336"/>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40"/>
        <w:jc w:val="left"/>
        <w:rPr>
          <w:b w:val="0"/>
          <w:bCs w:val="0"/>
        </w:rPr>
      </w:pPr>
      <w:bookmarkStart w:name="40、长期应付职工薪酬" w:id="337"/>
      <w:bookmarkEnd w:id="337"/>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0"/>
        <w:jc w:val="left"/>
        <w:rPr>
          <w:b w:val="0"/>
          <w:bCs w:val="0"/>
        </w:rPr>
      </w:pPr>
      <w:bookmarkStart w:name="（1）长期应付职工薪酬表" w:id="338"/>
      <w:bookmarkEnd w:id="338"/>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2）设定受益计划变动情况" w:id="339"/>
      <w:bookmarkEnd w:id="339"/>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51"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41、预计负债" w:id="340"/>
      <w:bookmarkEnd w:id="340"/>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42、递延收益" w:id="341"/>
      <w:bookmarkEnd w:id="341"/>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4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0" w:right="0"/>
              <w:jc w:val="left"/>
              <w:rPr>
                <w:rFonts w:ascii="Times New Roman" w:hAnsi="Times New Roman" w:cs="Times New Roman" w:eastAsia="Times New Roman" w:hint="default"/>
                <w:sz w:val="18"/>
                <w:szCs w:val="18"/>
              </w:rPr>
            </w:pPr>
            <w:r>
              <w:rPr>
                <w:rFonts w:ascii="Times New Roman"/>
                <w:sz w:val="18"/>
              </w:rPr>
              <w:t>145,000.00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9" w:right="0"/>
              <w:jc w:val="left"/>
              <w:rPr>
                <w:rFonts w:ascii="Times New Roman" w:hAnsi="Times New Roman" w:cs="Times New Roman" w:eastAsia="Times New Roman" w:hint="default"/>
                <w:sz w:val="18"/>
                <w:szCs w:val="18"/>
              </w:rPr>
            </w:pPr>
            <w:r>
              <w:rPr>
                <w:rFonts w:ascii="Times New Roman"/>
                <w:sz w:val="18"/>
              </w:rPr>
              <w:t>29,000.00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6" w:right="0"/>
              <w:jc w:val="left"/>
              <w:rPr>
                <w:rFonts w:ascii="Times New Roman" w:hAnsi="Times New Roman" w:cs="Times New Roman" w:eastAsia="Times New Roman" w:hint="default"/>
                <w:sz w:val="18"/>
                <w:szCs w:val="18"/>
              </w:rPr>
            </w:pPr>
            <w:r>
              <w:rPr>
                <w:rFonts w:ascii="Times New Roman"/>
                <w:sz w:val="18"/>
              </w:rPr>
              <w:t>116,000.00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pStyle w:val="BodyText"/>
        <w:spacing w:line="240" w:lineRule="auto" w:before="51"/>
        <w:ind w:right="940"/>
        <w:jc w:val="left"/>
      </w:pPr>
      <w:r>
        <w:rPr/>
        <w:t>其他说明：</w:t>
      </w:r>
    </w:p>
    <w:p>
      <w:pPr>
        <w:pStyle w:val="BodyText"/>
        <w:spacing w:line="364" w:lineRule="auto" w:before="137"/>
        <w:ind w:right="1139" w:firstLine="420"/>
        <w:jc w:val="both"/>
      </w:pPr>
      <w:r>
        <w:rPr/>
        <w:t>根据《西安市人民政府印发关于推动</w:t>
      </w:r>
      <w:r>
        <w:rPr>
          <w:rFonts w:ascii="宋体" w:hAnsi="宋体" w:cs="宋体" w:eastAsia="宋体" w:hint="default"/>
        </w:rPr>
        <w:t>2017</w:t>
      </w:r>
      <w:r>
        <w:rPr/>
        <w:t>年下半年工业促投资稳增长实施意见的通知》市政（</w:t>
      </w:r>
      <w:r>
        <w:rPr>
          <w:rFonts w:ascii="宋体" w:hAnsi="宋体" w:cs="宋体" w:eastAsia="宋体" w:hint="default"/>
        </w:rPr>
        <w:t>2017</w:t>
      </w:r>
      <w:r>
        <w:rPr/>
        <w:t>）</w:t>
      </w:r>
      <w:r>
        <w:rPr>
          <w:rFonts w:ascii="宋体" w:hAnsi="宋体" w:cs="宋体" w:eastAsia="宋体" w:hint="default"/>
        </w:rPr>
        <w:t>60</w:t>
      </w:r>
      <w:r>
        <w:rPr/>
        <w:t>号，本公司之 子公司陕西永鑫纸业包装有限公司收到鼓励企业稳增长奖励金</w:t>
      </w:r>
      <w:r>
        <w:rPr>
          <w:rFonts w:ascii="宋体" w:hAnsi="宋体" w:cs="宋体" w:eastAsia="宋体" w:hint="default"/>
        </w:rPr>
        <w:t>145,000.00</w:t>
      </w:r>
      <w:r>
        <w:rPr/>
        <w:t>元，本期计入其他收益金额</w:t>
      </w:r>
      <w:r>
        <w:rPr>
          <w:rFonts w:ascii="宋体" w:hAnsi="宋体" w:cs="宋体" w:eastAsia="宋体" w:hint="default"/>
        </w:rPr>
        <w:t>29,000.00</w:t>
      </w:r>
      <w:r>
        <w:rPr/>
        <w:t>元，期末余 额</w:t>
      </w:r>
      <w:r>
        <w:rPr>
          <w:rFonts w:ascii="宋体" w:hAnsi="宋体" w:cs="宋体" w:eastAsia="宋体" w:hint="default"/>
        </w:rPr>
        <w:t>116,000.00</w:t>
      </w:r>
      <w:r>
        <w:rPr/>
        <w:t>元。</w:t>
      </w:r>
    </w:p>
    <w:p>
      <w:pPr>
        <w:spacing w:line="240" w:lineRule="auto" w:before="8"/>
        <w:rPr>
          <w:rFonts w:ascii="宋体" w:hAnsi="宋体" w:cs="宋体" w:eastAsia="宋体" w:hint="default"/>
          <w:sz w:val="21"/>
          <w:szCs w:val="21"/>
        </w:rPr>
      </w:pPr>
    </w:p>
    <w:p>
      <w:pPr>
        <w:pStyle w:val="Heading4"/>
        <w:spacing w:line="240" w:lineRule="auto"/>
        <w:ind w:right="940"/>
        <w:jc w:val="left"/>
        <w:rPr>
          <w:b w:val="0"/>
          <w:bCs w:val="0"/>
        </w:rPr>
      </w:pPr>
      <w:bookmarkStart w:name="43、其他非流动负债" w:id="342"/>
      <w:bookmarkEnd w:id="342"/>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44、股本" w:id="343"/>
      <w:bookmarkEnd w:id="343"/>
      <w:r>
        <w:rPr>
          <w:b w:val="0"/>
          <w:bCs w:val="0"/>
        </w:rPr>
      </w:r>
      <w:r>
        <w:rPr>
          <w:rFonts w:ascii="Times New Roman" w:hAnsi="Times New Roman" w:cs="Times New Roman" w:eastAsia="Times New Roman" w:hint="default"/>
        </w:rPr>
        <w:t>44</w:t>
      </w:r>
      <w:r>
        <w:rPr/>
        <w:t>、股本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150,000,000.00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150,000,000.00</w:t>
            </w:r>
          </w:p>
        </w:tc>
      </w:tr>
    </w:tbl>
    <w:p>
      <w:pPr>
        <w:spacing w:line="240" w:lineRule="auto" w:before="2"/>
        <w:rPr>
          <w:rFonts w:ascii="宋体" w:hAnsi="宋体" w:cs="宋体" w:eastAsia="宋体" w:hint="default"/>
          <w:sz w:val="19"/>
          <w:szCs w:val="19"/>
        </w:rPr>
      </w:pPr>
    </w:p>
    <w:p>
      <w:pPr>
        <w:pStyle w:val="Heading4"/>
        <w:spacing w:line="240" w:lineRule="auto" w:before="35"/>
        <w:ind w:right="940"/>
        <w:jc w:val="left"/>
        <w:rPr>
          <w:b w:val="0"/>
          <w:bCs w:val="0"/>
        </w:rPr>
      </w:pPr>
      <w:bookmarkStart w:name="45、其他权益工具" w:id="344"/>
      <w:bookmarkEnd w:id="344"/>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940"/>
        <w:jc w:val="left"/>
        <w:rPr>
          <w:b w:val="0"/>
          <w:bCs w:val="0"/>
        </w:rPr>
      </w:pPr>
      <w:bookmarkStart w:name="46、资本公积" w:id="345"/>
      <w:bookmarkEnd w:id="345"/>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51" w:footer="979" w:top="1500" w:bottom="1160" w:left="980" w:right="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14" w:hRule="exact"/>
        </w:trPr>
        <w:tc>
          <w:tcPr>
            <w:tcW w:w="191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145,563,129.34</w:t>
            </w:r>
          </w:p>
        </w:tc>
        <w:tc>
          <w:tcPr>
            <w:tcW w:w="191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1,279.81</w:t>
            </w:r>
          </w:p>
        </w:tc>
        <w:tc>
          <w:tcPr>
            <w:tcW w:w="1914" w:type="dxa"/>
            <w:tcBorders>
              <w:top w:val="single" w:sz="10" w:space="0" w:color="000000"/>
              <w:left w:val="single" w:sz="4" w:space="0" w:color="000000"/>
              <w:bottom w:val="single" w:sz="4" w:space="0" w:color="000000"/>
              <w:right w:val="single" w:sz="4" w:space="0" w:color="000000"/>
            </w:tcBorders>
          </w:tcPr>
          <w:p>
            <w:pPr/>
          </w:p>
        </w:tc>
        <w:tc>
          <w:tcPr>
            <w:tcW w:w="191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145,564,409.15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2,796,394.13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2,796,394.13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148,359,523.47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1,279.81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148,360,803.28</w:t>
            </w:r>
          </w:p>
        </w:tc>
      </w:tr>
    </w:tbl>
    <w:p>
      <w:pPr>
        <w:spacing w:line="240" w:lineRule="auto" w:before="3"/>
        <w:rPr>
          <w:rFonts w:ascii="宋体" w:hAnsi="宋体" w:cs="宋体" w:eastAsia="宋体" w:hint="default"/>
          <w:sz w:val="19"/>
          <w:szCs w:val="19"/>
        </w:rPr>
      </w:pPr>
    </w:p>
    <w:p>
      <w:pPr>
        <w:pStyle w:val="Heading4"/>
        <w:spacing w:line="240" w:lineRule="auto" w:before="35"/>
        <w:ind w:left="114" w:right="1360"/>
        <w:jc w:val="left"/>
        <w:rPr>
          <w:b w:val="0"/>
          <w:bCs w:val="0"/>
        </w:rPr>
      </w:pPr>
      <w:bookmarkStart w:name="47、库存股" w:id="346"/>
      <w:bookmarkEnd w:id="346"/>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4" w:right="1360"/>
        <w:jc w:val="left"/>
        <w:rPr>
          <w:b w:val="0"/>
          <w:bCs w:val="0"/>
        </w:rPr>
      </w:pPr>
      <w:bookmarkStart w:name="48、其他综合收益" w:id="347"/>
      <w:bookmarkEnd w:id="347"/>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14" w:right="1360"/>
        <w:jc w:val="left"/>
        <w:rPr>
          <w:b w:val="0"/>
          <w:bCs w:val="0"/>
        </w:rPr>
      </w:pPr>
      <w:bookmarkStart w:name="49、专项储备" w:id="348"/>
      <w:bookmarkEnd w:id="348"/>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14" w:right="1360"/>
        <w:jc w:val="left"/>
        <w:rPr>
          <w:b w:val="0"/>
          <w:bCs w:val="0"/>
        </w:rPr>
      </w:pPr>
      <w:bookmarkStart w:name="50、盈余公积" w:id="349"/>
      <w:bookmarkEnd w:id="349"/>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30,936,160.02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2,316,786.01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33,252,946.03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30,936,160.02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2,316,786.01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33,252,946.03</w:t>
            </w:r>
          </w:p>
        </w:tc>
      </w:tr>
    </w:tbl>
    <w:p>
      <w:pPr>
        <w:pStyle w:val="BodyText"/>
        <w:spacing w:line="381" w:lineRule="auto" w:before="51"/>
        <w:ind w:left="534" w:right="5292" w:hanging="420"/>
        <w:jc w:val="left"/>
      </w:pPr>
      <w:r>
        <w:rPr/>
        <w:t>盈余公积说明，包括本期增减变动情况、变动原因说明： 法定盈余公积增加系根据公司章程和董事会决议，按比例计提。</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6"/>
          <w:szCs w:val="26"/>
        </w:rPr>
      </w:pPr>
    </w:p>
    <w:p>
      <w:pPr>
        <w:pStyle w:val="Heading4"/>
        <w:spacing w:line="240" w:lineRule="auto"/>
        <w:ind w:left="114" w:right="1360"/>
        <w:jc w:val="left"/>
        <w:rPr>
          <w:b w:val="0"/>
          <w:bCs w:val="0"/>
        </w:rPr>
      </w:pPr>
      <w:bookmarkStart w:name="51、未分配利润" w:id="350"/>
      <w:bookmarkEnd w:id="350"/>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189,429,452.11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239,025,013.92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189,429,452.11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239,025,013.92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28,112,269.71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22,608,687.67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2,316,786.01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2,204,249.48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3,140,185.92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212,084,749.89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189,429,452.11</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500" w:bottom="1160" w:left="102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7"/>
        <w:ind w:right="940"/>
        <w:jc w:val="left"/>
      </w:pPr>
      <w:r>
        <w:rPr/>
        <w:t>调整期初未分配利润明细：</w:t>
      </w:r>
    </w:p>
    <w:p>
      <w:pPr>
        <w:spacing w:line="240" w:lineRule="auto" w:before="7"/>
        <w:rPr>
          <w:rFonts w:ascii="宋体" w:hAnsi="宋体" w:cs="宋体" w:eastAsia="宋体" w:hint="default"/>
          <w:sz w:val="12"/>
          <w:szCs w:val="12"/>
        </w:rPr>
      </w:pPr>
    </w:p>
    <w:p>
      <w:pPr>
        <w:pStyle w:val="BodyText"/>
        <w:spacing w:line="240" w:lineRule="auto"/>
        <w:ind w:right="94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49"/>
        <w:ind w:right="94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51"/>
        <w:ind w:right="94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49"/>
        <w:ind w:right="94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49"/>
        <w:ind w:right="94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pStyle w:val="Heading4"/>
        <w:spacing w:line="240" w:lineRule="auto" w:before="126"/>
        <w:ind w:right="940"/>
        <w:jc w:val="left"/>
        <w:rPr>
          <w:b w:val="0"/>
          <w:bCs w:val="0"/>
        </w:rPr>
      </w:pPr>
      <w:bookmarkStart w:name="52、营业收入和营业成本" w:id="351"/>
      <w:bookmarkEnd w:id="351"/>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552,320,515.43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439,914,354.14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435,377,478.53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351,550,737.72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2,803,817.43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187,443.09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2,834,018.77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550,042.36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555,124,332.86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440,101,797.23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438,211,497.30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352,100,780.08</w:t>
            </w:r>
          </w:p>
        </w:tc>
      </w:tr>
    </w:tbl>
    <w:p>
      <w:pPr>
        <w:spacing w:line="240" w:lineRule="auto" w:before="2"/>
        <w:rPr>
          <w:rFonts w:ascii="宋体" w:hAnsi="宋体" w:cs="宋体" w:eastAsia="宋体" w:hint="default"/>
          <w:sz w:val="19"/>
          <w:szCs w:val="19"/>
        </w:rPr>
      </w:pPr>
    </w:p>
    <w:p>
      <w:pPr>
        <w:pStyle w:val="Heading4"/>
        <w:spacing w:line="240" w:lineRule="auto" w:before="35"/>
        <w:ind w:right="940"/>
        <w:jc w:val="left"/>
        <w:rPr>
          <w:b w:val="0"/>
          <w:bCs w:val="0"/>
        </w:rPr>
      </w:pPr>
      <w:bookmarkStart w:name="53、税金及附加" w:id="352"/>
      <w:bookmarkEnd w:id="352"/>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1,834,773.55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1,357,269.08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1,312,529.67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969,481.95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1,866,230.58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1,835,357.35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697,748.11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640,302.30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8,028.30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375,991.90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327,534.38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56,034.88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65,734.06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74,042.27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13,026.62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6,223,830.96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5,216,734.04</w:t>
            </w:r>
          </w:p>
        </w:tc>
      </w:tr>
    </w:tbl>
    <w:p>
      <w:pPr>
        <w:spacing w:line="240" w:lineRule="auto" w:before="2"/>
        <w:rPr>
          <w:rFonts w:ascii="宋体" w:hAnsi="宋体" w:cs="宋体" w:eastAsia="宋体" w:hint="default"/>
          <w:sz w:val="19"/>
          <w:szCs w:val="19"/>
        </w:rPr>
      </w:pPr>
    </w:p>
    <w:p>
      <w:pPr>
        <w:pStyle w:val="Heading4"/>
        <w:spacing w:line="240" w:lineRule="auto" w:before="35"/>
        <w:ind w:right="940"/>
        <w:jc w:val="left"/>
        <w:rPr>
          <w:b w:val="0"/>
          <w:bCs w:val="0"/>
        </w:rPr>
      </w:pPr>
      <w:bookmarkStart w:name="54、销售费用" w:id="353"/>
      <w:bookmarkEnd w:id="353"/>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10,961,587.04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11,481,700.23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884,612.07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834,210.88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563,880.23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520,941.04</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500" w:bottom="1160" w:left="980" w:right="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14" w:hRule="exact"/>
        </w:trPr>
        <w:tc>
          <w:tcPr>
            <w:tcW w:w="31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运输装卸费</w:t>
            </w:r>
          </w:p>
        </w:tc>
        <w:tc>
          <w:tcPr>
            <w:tcW w:w="31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16,862,357.90</w:t>
            </w:r>
          </w:p>
        </w:tc>
        <w:tc>
          <w:tcPr>
            <w:tcW w:w="31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15,181,699.07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128,605.66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24,032.29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80,822.53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160,993.34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213,801.85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1,241,909.16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421,535.06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106,241.66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274,190.96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30,806,363.88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29,137,507.28</w:t>
            </w:r>
          </w:p>
        </w:tc>
      </w:tr>
    </w:tbl>
    <w:p>
      <w:pPr>
        <w:spacing w:line="240" w:lineRule="auto" w:before="2"/>
        <w:rPr>
          <w:rFonts w:ascii="宋体" w:hAnsi="宋体" w:cs="宋体" w:eastAsia="宋体" w:hint="default"/>
          <w:sz w:val="19"/>
          <w:szCs w:val="19"/>
        </w:rPr>
      </w:pPr>
    </w:p>
    <w:p>
      <w:pPr>
        <w:pStyle w:val="Heading4"/>
        <w:spacing w:line="240" w:lineRule="auto" w:before="35"/>
        <w:ind w:left="114" w:right="1360"/>
        <w:jc w:val="left"/>
        <w:rPr>
          <w:b w:val="0"/>
          <w:bCs w:val="0"/>
        </w:rPr>
      </w:pPr>
      <w:bookmarkStart w:name="55、管理费用" w:id="354"/>
      <w:bookmarkEnd w:id="354"/>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9,137,832.55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9,469,210.04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税金、上缴基金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484,108.28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740,130.83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484,247.81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300,257.35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400,241.32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461,039.06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213,999.61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162,262.19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安全环保费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1,591,236.93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958,730.39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1,043,798.62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917,862.89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854,514.59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912,420.88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224,152.91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154,600.41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358,806.51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303,257.12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283,071.51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253,228.32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458,568.72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533,530.10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3,179,853.39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1,005,642.88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4,614,675.46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4,593,813.50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23,329,108.21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20,765,985.96</w:t>
            </w:r>
          </w:p>
        </w:tc>
      </w:tr>
    </w:tbl>
    <w:p>
      <w:pPr>
        <w:spacing w:line="240" w:lineRule="auto" w:before="2"/>
        <w:rPr>
          <w:rFonts w:ascii="宋体" w:hAnsi="宋体" w:cs="宋体" w:eastAsia="宋体" w:hint="default"/>
          <w:sz w:val="19"/>
          <w:szCs w:val="19"/>
        </w:rPr>
      </w:pPr>
    </w:p>
    <w:p>
      <w:pPr>
        <w:pStyle w:val="Heading4"/>
        <w:spacing w:line="240" w:lineRule="auto" w:before="35"/>
        <w:ind w:left="114" w:right="1360"/>
        <w:jc w:val="left"/>
        <w:rPr>
          <w:b w:val="0"/>
          <w:bCs w:val="0"/>
        </w:rPr>
      </w:pPr>
      <w:bookmarkStart w:name="56、研发费用" w:id="355"/>
      <w:bookmarkEnd w:id="355"/>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11,410,936.84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6,217,123.34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试制材料及其他消耗费用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4,256,463.38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876,838.81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445,460.41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305,131.31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16,112,860.63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7,399,093.46</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500" w:bottom="1160" w:left="102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57、财务费用" w:id="356"/>
      <w:bookmarkEnd w:id="356"/>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9,494,720.51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3,189,493.65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1,152,080.54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842,089.58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-38,346.79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245,069.36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111,362.70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108,414.17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8,415,655.88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2,700,887.60</w:t>
            </w:r>
          </w:p>
        </w:tc>
      </w:tr>
    </w:tbl>
    <w:p>
      <w:pPr>
        <w:spacing w:line="240" w:lineRule="auto" w:before="2"/>
        <w:rPr>
          <w:rFonts w:ascii="宋体" w:hAnsi="宋体" w:cs="宋体" w:eastAsia="宋体" w:hint="default"/>
          <w:sz w:val="19"/>
          <w:szCs w:val="19"/>
        </w:rPr>
      </w:pPr>
    </w:p>
    <w:p>
      <w:pPr>
        <w:pStyle w:val="Heading4"/>
        <w:spacing w:line="240" w:lineRule="auto" w:before="35"/>
        <w:ind w:right="940"/>
        <w:jc w:val="left"/>
        <w:rPr>
          <w:b w:val="0"/>
          <w:bCs w:val="0"/>
        </w:rPr>
      </w:pPr>
      <w:bookmarkStart w:name="58、资产减值损失" w:id="357"/>
      <w:bookmarkEnd w:id="357"/>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1,568,833.31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1,052,054.97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731,680.19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28,394.98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2,300,513.50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1,080,449.95</w:t>
            </w:r>
          </w:p>
        </w:tc>
      </w:tr>
    </w:tbl>
    <w:p>
      <w:pPr>
        <w:spacing w:line="240" w:lineRule="auto" w:before="2"/>
        <w:rPr>
          <w:rFonts w:ascii="宋体" w:hAnsi="宋体" w:cs="宋体" w:eastAsia="宋体" w:hint="default"/>
          <w:sz w:val="19"/>
          <w:szCs w:val="19"/>
        </w:rPr>
      </w:pPr>
    </w:p>
    <w:p>
      <w:pPr>
        <w:pStyle w:val="Heading4"/>
        <w:spacing w:line="240" w:lineRule="auto" w:before="35"/>
        <w:ind w:right="940"/>
        <w:jc w:val="left"/>
        <w:rPr>
          <w:b w:val="0"/>
          <w:bCs w:val="0"/>
        </w:rPr>
      </w:pPr>
      <w:bookmarkStart w:name="59、其他收益" w:id="358"/>
      <w:bookmarkEnd w:id="358"/>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1,934,200.00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2,849,756.00</w:t>
            </w:r>
          </w:p>
        </w:tc>
      </w:tr>
    </w:tbl>
    <w:p>
      <w:pPr>
        <w:spacing w:line="240" w:lineRule="auto" w:before="2"/>
        <w:rPr>
          <w:rFonts w:ascii="宋体" w:hAnsi="宋体" w:cs="宋体" w:eastAsia="宋体" w:hint="default"/>
          <w:sz w:val="19"/>
          <w:szCs w:val="19"/>
        </w:rPr>
      </w:pPr>
    </w:p>
    <w:p>
      <w:pPr>
        <w:pStyle w:val="Heading4"/>
        <w:spacing w:line="240" w:lineRule="auto" w:before="35"/>
        <w:ind w:right="940"/>
        <w:jc w:val="left"/>
        <w:rPr>
          <w:b w:val="0"/>
          <w:bCs w:val="0"/>
        </w:rPr>
      </w:pPr>
      <w:bookmarkStart w:name="60、投资收益" w:id="359"/>
      <w:bookmarkEnd w:id="359"/>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5,774,558.30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5,232,540.18</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5,774,558.30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5,232,540.18</w:t>
            </w:r>
          </w:p>
        </w:tc>
      </w:tr>
    </w:tbl>
    <w:p>
      <w:pPr>
        <w:pStyle w:val="BodyText"/>
        <w:spacing w:line="240" w:lineRule="auto" w:before="51"/>
        <w:ind w:right="94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940"/>
        <w:jc w:val="left"/>
        <w:rPr>
          <w:b w:val="0"/>
          <w:bCs w:val="0"/>
        </w:rPr>
      </w:pPr>
      <w:bookmarkStart w:name="61、公允价值变动收益" w:id="360"/>
      <w:bookmarkEnd w:id="360"/>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62、资产处置收益" w:id="361"/>
      <w:bookmarkEnd w:id="361"/>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51" w:footer="979" w:top="1500" w:bottom="1160" w:left="980" w:right="0"/>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9" w:hRule="exact"/>
        </w:trPr>
        <w:tc>
          <w:tcPr>
            <w:tcW w:w="319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处置非流动资产收益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22,625.85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减：处置非流动资产损失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656,718.84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1,136,913.54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-648,732.03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-1,114,287.69</w:t>
            </w:r>
          </w:p>
        </w:tc>
      </w:tr>
    </w:tbl>
    <w:p>
      <w:pPr>
        <w:spacing w:line="240" w:lineRule="auto" w:before="2"/>
        <w:rPr>
          <w:rFonts w:ascii="宋体" w:hAnsi="宋体" w:cs="宋体" w:eastAsia="宋体" w:hint="default"/>
          <w:sz w:val="19"/>
          <w:szCs w:val="19"/>
        </w:rPr>
      </w:pPr>
    </w:p>
    <w:p>
      <w:pPr>
        <w:pStyle w:val="Heading4"/>
        <w:spacing w:line="240" w:lineRule="auto" w:before="35"/>
        <w:ind w:left="114" w:right="1360"/>
        <w:jc w:val="left"/>
        <w:rPr>
          <w:b w:val="0"/>
          <w:bCs w:val="0"/>
        </w:rPr>
      </w:pPr>
      <w:bookmarkStart w:name="63、营业外收入" w:id="362"/>
      <w:bookmarkEnd w:id="362"/>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66,991.47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66,991.47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800,000.00</w:t>
            </w:r>
          </w:p>
        </w:tc>
      </w:tr>
    </w:tbl>
    <w:p>
      <w:pPr>
        <w:spacing w:line="240" w:lineRule="auto" w:before="2"/>
        <w:rPr>
          <w:rFonts w:ascii="宋体" w:hAnsi="宋体" w:cs="宋体" w:eastAsia="宋体" w:hint="default"/>
          <w:sz w:val="19"/>
          <w:szCs w:val="19"/>
        </w:rPr>
      </w:pPr>
    </w:p>
    <w:p>
      <w:pPr>
        <w:pStyle w:val="Heading4"/>
        <w:spacing w:line="240" w:lineRule="auto" w:before="35"/>
        <w:ind w:left="114" w:right="1360"/>
        <w:jc w:val="left"/>
        <w:rPr>
          <w:b w:val="0"/>
          <w:bCs w:val="0"/>
        </w:rPr>
      </w:pPr>
      <w:bookmarkStart w:name="64、营业外支出" w:id="363"/>
      <w:bookmarkEnd w:id="363"/>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子公司滞纳金及罚款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53,058.00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959,326.50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959,326.50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979,326.50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53,058.01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979,326.50</w:t>
            </w:r>
          </w:p>
        </w:tc>
      </w:tr>
    </w:tbl>
    <w:p>
      <w:pPr>
        <w:pStyle w:val="BodyText"/>
        <w:spacing w:line="240" w:lineRule="auto" w:before="51"/>
        <w:ind w:left="114" w:right="136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4" w:right="1360"/>
        <w:jc w:val="left"/>
        <w:rPr>
          <w:b w:val="0"/>
          <w:bCs w:val="0"/>
        </w:rPr>
      </w:pPr>
      <w:bookmarkStart w:name="65、所得税费用" w:id="364"/>
      <w:bookmarkEnd w:id="364"/>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4" w:right="1360"/>
        <w:jc w:val="left"/>
        <w:rPr>
          <w:b w:val="0"/>
          <w:bCs w:val="0"/>
        </w:rPr>
      </w:pPr>
      <w:bookmarkStart w:name="（1）所得税费用表" w:id="365"/>
      <w:bookmarkEnd w:id="36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4,349,715.91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4,444,631.51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-685,826.23</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-69,801.50</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3,663,889.68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4,374,830.01</w:t>
            </w:r>
          </w:p>
        </w:tc>
      </w:tr>
    </w:tbl>
    <w:p>
      <w:pPr>
        <w:spacing w:line="240" w:lineRule="auto" w:before="2"/>
        <w:rPr>
          <w:rFonts w:ascii="宋体" w:hAnsi="宋体" w:cs="宋体" w:eastAsia="宋体" w:hint="default"/>
          <w:sz w:val="19"/>
          <w:szCs w:val="19"/>
        </w:rPr>
      </w:pPr>
    </w:p>
    <w:p>
      <w:pPr>
        <w:pStyle w:val="Heading4"/>
        <w:spacing w:line="240" w:lineRule="auto" w:before="35"/>
        <w:ind w:left="114" w:right="1360"/>
        <w:jc w:val="left"/>
        <w:rPr>
          <w:b w:val="0"/>
          <w:bCs w:val="0"/>
        </w:rPr>
      </w:pPr>
      <w:bookmarkStart w:name="（2）会计利润与所得税费用调整过程" w:id="366"/>
      <w:bookmarkEnd w:id="36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bl>
    <w:p>
      <w:pPr>
        <w:spacing w:after="0" w:line="240" w:lineRule="auto"/>
        <w:jc w:val="center"/>
        <w:rPr>
          <w:rFonts w:ascii="宋体" w:hAnsi="宋体" w:cs="宋体" w:eastAsia="宋体" w:hint="default"/>
          <w:sz w:val="18"/>
          <w:szCs w:val="18"/>
        </w:rPr>
        <w:sectPr>
          <w:pgSz w:w="11910" w:h="16840"/>
          <w:pgMar w:header="851" w:footer="979" w:top="1500" w:bottom="1160" w:left="1020" w:right="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80"/>
        <w:gridCol w:w="4789"/>
      </w:tblGrid>
      <w:tr>
        <w:trPr>
          <w:trHeight w:val="414" w:hRule="exact"/>
        </w:trPr>
        <w:tc>
          <w:tcPr>
            <w:tcW w:w="478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34,714,902.34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5,207,235.35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-1,296,939.88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-866,183.75</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103,658.00</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2,360,517.49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加计扣除项目的影响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-1,642,708.38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-201,689.15</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3,663,889.68</w:t>
            </w:r>
          </w:p>
        </w:tc>
      </w:tr>
    </w:tbl>
    <w:p>
      <w:pPr>
        <w:spacing w:line="240" w:lineRule="auto" w:before="2"/>
        <w:rPr>
          <w:rFonts w:ascii="宋体" w:hAnsi="宋体" w:cs="宋体" w:eastAsia="宋体" w:hint="default"/>
          <w:sz w:val="19"/>
          <w:szCs w:val="19"/>
        </w:rPr>
      </w:pPr>
    </w:p>
    <w:p>
      <w:pPr>
        <w:pStyle w:val="Heading4"/>
        <w:spacing w:line="240" w:lineRule="auto" w:before="35"/>
        <w:ind w:left="114" w:right="1360"/>
        <w:jc w:val="left"/>
        <w:rPr>
          <w:b w:val="0"/>
          <w:bCs w:val="0"/>
        </w:rPr>
      </w:pPr>
      <w:bookmarkStart w:name="66、其他综合收益" w:id="367"/>
      <w:bookmarkEnd w:id="367"/>
      <w:r>
        <w:rPr>
          <w:b w:val="0"/>
          <w:bCs w:val="0"/>
        </w:rPr>
      </w:r>
      <w:r>
        <w:rPr>
          <w:rFonts w:ascii="Times New Roman" w:hAnsi="Times New Roman" w:cs="Times New Roman" w:eastAsia="Times New Roman" w:hint="default"/>
        </w:rPr>
        <w:t>66</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4" w:right="1360"/>
        <w:jc w:val="left"/>
        <w:rPr>
          <w:b w:val="0"/>
          <w:bCs w:val="0"/>
        </w:rPr>
      </w:pPr>
      <w:bookmarkStart w:name="67、现金流量表项目" w:id="368"/>
      <w:bookmarkEnd w:id="368"/>
      <w:r>
        <w:rPr>
          <w:b w:val="0"/>
          <w:bCs w:val="0"/>
        </w:rPr>
      </w: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4" w:right="1360"/>
        <w:jc w:val="left"/>
        <w:rPr>
          <w:b w:val="0"/>
          <w:bCs w:val="0"/>
        </w:rPr>
      </w:pPr>
      <w:bookmarkStart w:name="（1）收到的其他与经营活动有关的现金" w:id="369"/>
      <w:bookmarkEnd w:id="36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其他往来增加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10,038,234.62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1,696,898.47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2,849,756.00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收到的贷款贴息</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1,152,080.54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842,089.58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66,991.47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14,040,515.16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5,455,735.52</w:t>
            </w:r>
          </w:p>
        </w:tc>
      </w:tr>
    </w:tbl>
    <w:p>
      <w:pPr>
        <w:spacing w:line="240" w:lineRule="auto" w:before="2"/>
        <w:rPr>
          <w:rFonts w:ascii="宋体" w:hAnsi="宋体" w:cs="宋体" w:eastAsia="宋体" w:hint="default"/>
          <w:sz w:val="19"/>
          <w:szCs w:val="19"/>
        </w:rPr>
      </w:pPr>
    </w:p>
    <w:p>
      <w:pPr>
        <w:pStyle w:val="Heading4"/>
        <w:spacing w:line="240" w:lineRule="auto" w:before="35"/>
        <w:ind w:left="114" w:right="1360"/>
        <w:jc w:val="left"/>
        <w:rPr>
          <w:b w:val="0"/>
          <w:bCs w:val="0"/>
        </w:rPr>
      </w:pPr>
      <w:bookmarkStart w:name="（2）支付的其他与经营活动有关的现金" w:id="370"/>
      <w:bookmarkEnd w:id="37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201,026.02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303,257.12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劳动保护费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58,679.32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228,658.65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417,377.88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683,203.23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981,823.36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1,134,468.23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14,498,463.97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13,694,801.09</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500" w:bottom="1160" w:left="1020" w:right="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14" w:hRule="exact"/>
        </w:trPr>
        <w:tc>
          <w:tcPr>
            <w:tcW w:w="318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144,876.85</w:t>
            </w:r>
          </w:p>
        </w:tc>
        <w:tc>
          <w:tcPr>
            <w:tcW w:w="318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144,000.97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环保费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1,591,236.93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958,730.39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15,678.64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35,157.11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420,711.90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533,530.10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1,788,127.83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405,642.88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153,501.93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191,304.37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128,605.66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142,998.09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154,600.41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邮电通信费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373,613.49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467,030.17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33,758.49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438,246.62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诉讼费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2,382.74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90,651.50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1,423,561.62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372,240.03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22,248,569.25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19,964,128.53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35"/>
        <w:ind w:left="114" w:right="1360"/>
        <w:jc w:val="left"/>
        <w:rPr>
          <w:b w:val="0"/>
          <w:bCs w:val="0"/>
        </w:rPr>
      </w:pPr>
      <w:bookmarkStart w:name="（3）收到的其他与投资活动有关的现金" w:id="371"/>
      <w:bookmarkEnd w:id="37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4"/>
        <w:spacing w:line="240" w:lineRule="auto"/>
        <w:ind w:left="114" w:right="1360"/>
        <w:jc w:val="left"/>
        <w:rPr>
          <w:b w:val="0"/>
          <w:bCs w:val="0"/>
        </w:rPr>
      </w:pPr>
      <w:bookmarkStart w:name="（4）支付的其他与投资活动有关的现金" w:id="372"/>
      <w:bookmarkEnd w:id="37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14" w:right="1360"/>
        <w:jc w:val="left"/>
        <w:rPr>
          <w:b w:val="0"/>
          <w:bCs w:val="0"/>
        </w:rPr>
      </w:pPr>
      <w:bookmarkStart w:name="（5）收到的其他与筹资活动有关的现金" w:id="373"/>
      <w:bookmarkEnd w:id="37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收到其他与筹资相关的现金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4" w:right="1360"/>
        <w:jc w:val="left"/>
        <w:rPr>
          <w:b w:val="0"/>
          <w:bCs w:val="0"/>
        </w:rPr>
      </w:pPr>
      <w:bookmarkStart w:name="（6）支付的其他与筹资活动有关的现金" w:id="374"/>
      <w:bookmarkEnd w:id="37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支付其他与筹资相关的现金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32,300.00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500" w:bottom="1160" w:left="1020" w:right="0"/>
        </w:sectPr>
      </w:pPr>
    </w:p>
    <w:p>
      <w:pPr>
        <w:spacing w:line="240" w:lineRule="auto" w:before="12"/>
        <w:rPr>
          <w:rFonts w:ascii="宋体" w:hAnsi="宋体" w:cs="宋体" w:eastAsia="宋体" w:hint="default"/>
          <w:sz w:val="2"/>
          <w:szCs w:val="2"/>
        </w:rPr>
      </w:pPr>
      <w:r>
        <w:rPr/>
        <w:pict>
          <v:group style="position:absolute;margin-left:223.339996pt;margin-top:389.449982pt;width:151.25pt;height:40.9pt;mso-position-horizontal-relative:page;mso-position-vertical-relative:page;z-index:-798568" coordorigin="4467,7789" coordsize="3025,818">
            <v:group style="position:absolute;left:4478;top:7800;width:2;height:393" coordorigin="4478,7800" coordsize="2,393">
              <v:shape style="position:absolute;left:4478;top:7800;width:2;height:393" coordorigin="4478,7800" coordsize="0,393" path="m4478,7800l4478,8193e" filled="false" stroked="true" strokeweight="1.140pt" strokecolor="#ffffff">
                <v:path arrowok="t"/>
              </v:shape>
            </v:group>
            <v:group style="position:absolute;left:4490;top:7800;width:3002;height:393" coordorigin="4490,7800" coordsize="3002,393">
              <v:shape style="position:absolute;left:4490;top:7800;width:3002;height:393" coordorigin="4490,7800" coordsize="3002,393" path="m4490,8193l7491,8193,7491,7800,4490,7800,4490,8193xe" filled="true" fillcolor="#ffffff" stroked="false">
                <v:path arrowok="t"/>
                <v:fill type="solid"/>
              </v:shape>
            </v:group>
            <v:group style="position:absolute;left:4478;top:8202;width:2;height:393" coordorigin="4478,8202" coordsize="2,393">
              <v:shape style="position:absolute;left:4478;top:8202;width:2;height:393" coordorigin="4478,8202" coordsize="0,393" path="m4478,8202l4478,8595e" filled="false" stroked="true" strokeweight="1.140pt" strokecolor="#ffffff">
                <v:path arrowok="t"/>
              </v:shape>
            </v:group>
            <v:group style="position:absolute;left:4490;top:8202;width:3002;height:393" coordorigin="4490,8202" coordsize="3002,393">
              <v:shape style="position:absolute;left:4490;top:8202;width:3002;height:393" coordorigin="4490,8202" coordsize="3002,393" path="m4490,8595l7491,8595,7491,8202,4490,8202,4490,8595xe" filled="true" fillcolor="#ffffff" stroked="false">
                <v:path arrowok="t"/>
                <v:fill type="solid"/>
              </v:shape>
            </v:group>
            <w10:wrap type="none"/>
          </v:group>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68、现金流量表补充资料" w:id="375"/>
      <w:bookmarkEnd w:id="375"/>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0"/>
        <w:jc w:val="left"/>
        <w:rPr>
          <w:b w:val="0"/>
          <w:bCs w:val="0"/>
        </w:rPr>
      </w:pPr>
      <w:bookmarkStart w:name="（1）现金流量表补充资料" w:id="376"/>
      <w:bookmarkEnd w:id="37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122"/>
        <w:gridCol w:w="1947"/>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31,051,012.66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22,417,170.87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2,300,513.50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1,080,449.95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22,183,660.44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20,369,906.81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1,221,608.67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1,029,146.25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1,099,000.00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477,888.24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648,732.03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1,114,287.70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9,565,833.26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3,189,493.65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-5,774,558.30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-5,232,540.18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-680,312.77</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-64,288.04</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-5,513.46</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-5,513.46</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95" w:right="0"/>
              <w:jc w:val="left"/>
              <w:rPr>
                <w:rFonts w:ascii="Times New Roman" w:hAnsi="Times New Roman" w:cs="Times New Roman" w:eastAsia="Times New Roman" w:hint="default"/>
                <w:sz w:val="18"/>
                <w:szCs w:val="18"/>
              </w:rPr>
            </w:pPr>
            <w:r>
              <w:rPr>
                <w:rFonts w:ascii="Times New Roman"/>
                <w:sz w:val="18"/>
              </w:rPr>
              <w:t>11,448,619.91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-19,005,110.48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-31,829,024.96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6,240,477.49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44,323,863.74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20,300,581.64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85,553,434.72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51,911,950.44</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148,262,381.21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132,774,482.64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132,774,482.64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107,578,026.05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15,487,898.57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25,196,456.59</w:t>
            </w:r>
          </w:p>
        </w:tc>
      </w:tr>
    </w:tbl>
    <w:p>
      <w:pPr>
        <w:spacing w:line="240" w:lineRule="auto" w:before="2"/>
        <w:rPr>
          <w:rFonts w:ascii="宋体" w:hAnsi="宋体" w:cs="宋体" w:eastAsia="宋体" w:hint="default"/>
          <w:sz w:val="19"/>
          <w:szCs w:val="19"/>
        </w:rPr>
      </w:pPr>
    </w:p>
    <w:p>
      <w:pPr>
        <w:pStyle w:val="Heading4"/>
        <w:spacing w:line="240" w:lineRule="auto" w:before="35"/>
        <w:ind w:right="940"/>
        <w:jc w:val="left"/>
        <w:rPr>
          <w:b w:val="0"/>
          <w:bCs w:val="0"/>
        </w:rPr>
      </w:pPr>
      <w:bookmarkStart w:name="（2）本期支付的取得子公司的现金净额" w:id="377"/>
      <w:bookmarkEnd w:id="37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500" w:bottom="1160" w:left="980" w:right="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977"/>
        <w:gridCol w:w="4592"/>
      </w:tblGrid>
      <w:tr>
        <w:trPr>
          <w:trHeight w:val="414" w:hRule="exact"/>
        </w:trPr>
        <w:tc>
          <w:tcPr>
            <w:tcW w:w="497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23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20,088,424.07</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3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3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59,911,575.93</w:t>
            </w:r>
          </w:p>
        </w:tc>
      </w:tr>
    </w:tbl>
    <w:p>
      <w:pPr>
        <w:spacing w:line="240" w:lineRule="auto" w:before="2"/>
        <w:rPr>
          <w:rFonts w:ascii="宋体" w:hAnsi="宋体" w:cs="宋体" w:eastAsia="宋体" w:hint="default"/>
          <w:sz w:val="19"/>
          <w:szCs w:val="19"/>
        </w:rPr>
      </w:pPr>
    </w:p>
    <w:p>
      <w:pPr>
        <w:pStyle w:val="Heading4"/>
        <w:spacing w:line="240" w:lineRule="auto" w:before="35"/>
        <w:ind w:left="114" w:right="1360"/>
        <w:jc w:val="left"/>
        <w:rPr>
          <w:b w:val="0"/>
          <w:bCs w:val="0"/>
        </w:rPr>
      </w:pPr>
      <w:bookmarkStart w:name="（3）本期收到的处置子公司的现金净额" w:id="378"/>
      <w:bookmarkEnd w:id="37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4" w:right="1360"/>
        <w:jc w:val="left"/>
        <w:rPr>
          <w:b w:val="0"/>
          <w:bCs w:val="0"/>
        </w:rPr>
      </w:pPr>
      <w:bookmarkStart w:name="（4）现金和现金等价物的构成" w:id="379"/>
      <w:bookmarkEnd w:id="37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148,262,381.21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132,774,482.64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158,563.93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241,151.84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140,345,804.29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131,409,046.61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7,758,012.99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1,124,284.19</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148,262,381.21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132,774,482.64</w:t>
            </w:r>
          </w:p>
        </w:tc>
      </w:tr>
    </w:tbl>
    <w:p>
      <w:pPr>
        <w:spacing w:line="240" w:lineRule="auto" w:before="2"/>
        <w:rPr>
          <w:rFonts w:ascii="宋体" w:hAnsi="宋体" w:cs="宋体" w:eastAsia="宋体" w:hint="default"/>
          <w:sz w:val="19"/>
          <w:szCs w:val="19"/>
        </w:rPr>
      </w:pPr>
    </w:p>
    <w:p>
      <w:pPr>
        <w:pStyle w:val="Heading4"/>
        <w:spacing w:line="240" w:lineRule="auto" w:before="35"/>
        <w:ind w:left="114" w:right="1360"/>
        <w:jc w:val="left"/>
        <w:rPr>
          <w:b w:val="0"/>
          <w:bCs w:val="0"/>
        </w:rPr>
      </w:pPr>
      <w:bookmarkStart w:name="69、所有者权益变动表项目注释" w:id="380"/>
      <w:bookmarkEnd w:id="380"/>
      <w:r>
        <w:rPr>
          <w:b w:val="0"/>
          <w:bCs w:val="0"/>
        </w:rPr>
      </w:r>
      <w:r>
        <w:rPr>
          <w:rFonts w:ascii="Times New Roman" w:hAnsi="Times New Roman" w:cs="Times New Roman" w:eastAsia="Times New Roman" w:hint="default"/>
        </w:rPr>
        <w:t>69</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4" w:right="1360"/>
        <w:jc w:val="left"/>
        <w:rPr>
          <w:b w:val="0"/>
          <w:bCs w:val="0"/>
        </w:rPr>
      </w:pPr>
      <w:bookmarkStart w:name="70、所有权或使用权受到限制的资产" w:id="381"/>
      <w:bookmarkEnd w:id="381"/>
      <w:r>
        <w:rPr>
          <w:b w:val="0"/>
          <w:bCs w:val="0"/>
        </w:rPr>
      </w:r>
      <w:r>
        <w:rPr>
          <w:rFonts w:ascii="Times New Roman" w:hAnsi="Times New Roman" w:cs="Times New Roman" w:eastAsia="Times New Roman" w:hint="default"/>
        </w:rPr>
        <w:t>70</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6,571,097.53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16,034,521.86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应收账款抵押的保理产品</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22,605,619.39</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4" w:right="1360"/>
        <w:jc w:val="left"/>
        <w:rPr>
          <w:b w:val="0"/>
          <w:bCs w:val="0"/>
        </w:rPr>
      </w:pPr>
      <w:bookmarkStart w:name="71、外币货币性项目" w:id="382"/>
      <w:bookmarkEnd w:id="382"/>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4" w:right="1360"/>
        <w:jc w:val="left"/>
        <w:rPr>
          <w:b w:val="0"/>
          <w:bCs w:val="0"/>
        </w:rPr>
      </w:pPr>
      <w:bookmarkStart w:name="（1）外币货币性项目" w:id="383"/>
      <w:bookmarkEnd w:id="38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495"/>
        <w:gridCol w:w="2294"/>
        <w:gridCol w:w="2379"/>
        <w:gridCol w:w="2401"/>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401" w:type="dxa"/>
            <w:tcBorders>
              <w:top w:val="single" w:sz="4" w:space="0" w:color="000000"/>
              <w:left w:val="single" w:sz="13" w:space="0" w:color="D2D2D2"/>
              <w:bottom w:val="single" w:sz="4" w:space="0" w:color="000000"/>
              <w:right w:val="single" w:sz="4" w:space="0" w:color="000000"/>
            </w:tcBorders>
          </w:tcPr>
          <w:p>
            <w:pPr/>
          </w:p>
        </w:tc>
      </w:tr>
    </w:tbl>
    <w:p>
      <w:pPr>
        <w:spacing w:after="0"/>
        <w:sectPr>
          <w:pgSz w:w="11910" w:h="16840"/>
          <w:pgMar w:header="851" w:footer="979" w:top="1500" w:bottom="1160" w:left="1020" w:right="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495"/>
        <w:gridCol w:w="2294"/>
        <w:gridCol w:w="2391"/>
        <w:gridCol w:w="2389"/>
      </w:tblGrid>
      <w:tr>
        <w:trPr>
          <w:trHeight w:val="414" w:hRule="exact"/>
        </w:trPr>
        <w:tc>
          <w:tcPr>
            <w:tcW w:w="249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10" w:space="0" w:color="000000"/>
              <w:left w:val="single" w:sz="9"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40,232.43</w:t>
            </w:r>
          </w:p>
        </w:tc>
        <w:tc>
          <w:tcPr>
            <w:tcW w:w="23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276,123.22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31"/>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282,726.00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1,940,405.08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2,113.22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16,583.07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173,932.00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0.0619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10,764.13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31"/>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4" w:right="1360"/>
        <w:jc w:val="left"/>
      </w:pPr>
      <w:r>
        <w:rPr/>
        <w:t>其他说明：</w:t>
      </w:r>
    </w:p>
    <w:p>
      <w:pPr>
        <w:spacing w:line="240" w:lineRule="auto" w:before="11"/>
        <w:rPr>
          <w:rFonts w:ascii="宋体" w:hAnsi="宋体" w:cs="宋体" w:eastAsia="宋体" w:hint="default"/>
          <w:sz w:val="26"/>
          <w:szCs w:val="26"/>
        </w:rPr>
      </w:pPr>
    </w:p>
    <w:p>
      <w:pPr>
        <w:pStyle w:val="Heading4"/>
        <w:spacing w:line="259" w:lineRule="auto"/>
        <w:ind w:left="114" w:right="1038"/>
        <w:jc w:val="left"/>
        <w:rPr>
          <w:b w:val="0"/>
          <w:bCs w:val="0"/>
        </w:rPr>
      </w:pPr>
      <w:bookmarkStart w:name="（2）境外经营实体说明，包括对于重要的境外经营实体，应披露其境外主要经营地、记账" w:id="384"/>
      <w:bookmarkEnd w:id="38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14" w:right="1360"/>
        <w:jc w:val="left"/>
        <w:rPr>
          <w:b w:val="0"/>
          <w:bCs w:val="0"/>
        </w:rPr>
      </w:pPr>
      <w:bookmarkStart w:name="72、套期" w:id="385"/>
      <w:bookmarkEnd w:id="385"/>
      <w:r>
        <w:rPr>
          <w:b w:val="0"/>
          <w:bCs w:val="0"/>
        </w:rPr>
      </w:r>
      <w:r>
        <w:rPr>
          <w:rFonts w:ascii="Times New Roman" w:hAnsi="Times New Roman" w:cs="Times New Roman" w:eastAsia="Times New Roman" w:hint="default"/>
        </w:rPr>
        <w:t>72</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4" w:right="1360"/>
        <w:jc w:val="left"/>
        <w:rPr>
          <w:b w:val="0"/>
          <w:bCs w:val="0"/>
        </w:rPr>
      </w:pPr>
      <w:bookmarkStart w:name="73、政府补助" w:id="386"/>
      <w:bookmarkEnd w:id="386"/>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4" w:right="1360"/>
        <w:jc w:val="left"/>
        <w:rPr>
          <w:b w:val="0"/>
          <w:bCs w:val="0"/>
        </w:rPr>
      </w:pPr>
      <w:bookmarkStart w:name="（1）政府补助基本情况" w:id="387"/>
      <w:bookmarkEnd w:id="387"/>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因从事国家鼓励和扶持特定 行业、产业而获得的补助（按 国家级政策规定依法取得</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97"/>
              <w:jc w:val="left"/>
              <w:rPr>
                <w:rFonts w:ascii="宋体" w:hAnsi="宋体" w:cs="宋体" w:eastAsia="宋体" w:hint="default"/>
                <w:sz w:val="18"/>
                <w:szCs w:val="18"/>
              </w:rPr>
            </w:pPr>
            <w:r>
              <w:rPr>
                <w:rFonts w:ascii="宋体" w:hAnsi="宋体" w:cs="宋体" w:eastAsia="宋体" w:hint="default"/>
                <w:sz w:val="18"/>
                <w:szCs w:val="18"/>
              </w:rPr>
              <w:t>鼓励大企业申请国家级高新 技术企业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因从事国家鼓励和扶持特定 行业、产业而获得的补助（按 国家级政策规定依法取得</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208"/>
              <w:jc w:val="left"/>
              <w:rPr>
                <w:rFonts w:ascii="宋体" w:hAnsi="宋体" w:cs="宋体" w:eastAsia="宋体" w:hint="default"/>
                <w:sz w:val="18"/>
                <w:szCs w:val="18"/>
              </w:rPr>
            </w:pPr>
            <w:r>
              <w:rPr>
                <w:rFonts w:ascii="宋体" w:hAnsi="宋体" w:cs="宋体" w:eastAsia="宋体" w:hint="default"/>
                <w:sz w:val="18"/>
                <w:szCs w:val="18"/>
              </w:rPr>
              <w:t>关于兑现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三次创 业</w:t>
            </w:r>
            <w:r>
              <w:rPr>
                <w:rFonts w:ascii="Times New Roman" w:hAnsi="Times New Roman" w:cs="Times New Roman" w:eastAsia="Times New Roman" w:hint="default"/>
                <w:sz w:val="18"/>
                <w:szCs w:val="18"/>
              </w:rPr>
              <w:t>”</w:t>
            </w:r>
            <w:r>
              <w:rPr>
                <w:rFonts w:ascii="宋体" w:hAnsi="宋体" w:cs="宋体" w:eastAsia="宋体" w:hint="default"/>
                <w:sz w:val="18"/>
                <w:szCs w:val="18"/>
              </w:rPr>
              <w:t>系列优惠政策</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因从事国家鼓励和扶持特定 行业、产业而获得的补助（按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陕西省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年科技计划（三 批）奖励</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500" w:bottom="1160" w:left="1020" w:right="0"/>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392"/>
        <w:gridCol w:w="2393"/>
        <w:gridCol w:w="2392"/>
        <w:gridCol w:w="2392"/>
      </w:tblGrid>
      <w:tr>
        <w:trPr>
          <w:trHeight w:val="373" w:hRule="exact"/>
        </w:trPr>
        <w:tc>
          <w:tcPr>
            <w:tcW w:w="23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国家级政策规定依法取得</w:t>
            </w:r>
          </w:p>
        </w:tc>
        <w:tc>
          <w:tcPr>
            <w:tcW w:w="2393" w:type="dxa"/>
            <w:tcBorders>
              <w:top w:val="single" w:sz="10" w:space="0" w:color="000000"/>
              <w:left w:val="single" w:sz="4" w:space="0" w:color="000000"/>
              <w:bottom w:val="single" w:sz="4" w:space="0" w:color="000000"/>
              <w:right w:val="single" w:sz="4" w:space="0" w:color="000000"/>
            </w:tcBorders>
          </w:tcPr>
          <w:p>
            <w:pPr/>
          </w:p>
        </w:tc>
        <w:tc>
          <w:tcPr>
            <w:tcW w:w="2392" w:type="dxa"/>
            <w:tcBorders>
              <w:top w:val="single" w:sz="10" w:space="0" w:color="000000"/>
              <w:left w:val="single" w:sz="4" w:space="0" w:color="000000"/>
              <w:bottom w:val="single" w:sz="4" w:space="0" w:color="000000"/>
              <w:right w:val="single" w:sz="4" w:space="0" w:color="000000"/>
            </w:tcBorders>
          </w:tcPr>
          <w:p>
            <w:pPr/>
          </w:p>
        </w:tc>
        <w:tc>
          <w:tcPr>
            <w:tcW w:w="2392" w:type="dxa"/>
            <w:tcBorders>
              <w:top w:val="single" w:sz="10" w:space="0" w:color="000000"/>
              <w:left w:val="single" w:sz="4" w:space="0" w:color="000000"/>
              <w:bottom w:val="single" w:sz="4" w:space="0" w:color="000000"/>
              <w:right w:val="single" w:sz="4" w:space="0" w:color="000000"/>
            </w:tcBorders>
          </w:tcPr>
          <w:p>
            <w:pP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因从事国家鼓励和扶持特定 行业、产业而获得的补助（按 国家级政策规定依法取得</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科技企业保险补贴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117,800.00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因从事国家鼓励和扶持特定 行业、产业而获得的补助（按 国家级政策规定依法取得</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617,400.00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债务融资贴息</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617,400.00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因从事国家鼓励和扶持特定 行业、产业而获得的补助（按 国家级政策规定依法取得</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市级技术储备库企业扶持资 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因从事国家鼓励和扶持特定 行业、产业而获得的补助（按 国家级政策规定依法取得</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鼓励企业稳增长奖励</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因研究开发、技术更新及改造 获得的补助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首次通过认定的国家级高新 技术企业奖励</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因从事国家鼓励和扶持特定 行业、产业而获得的补助（按 国家级政策规定依法取得</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242"/>
              <w:jc w:val="left"/>
              <w:rPr>
                <w:rFonts w:ascii="宋体" w:hAnsi="宋体" w:cs="宋体" w:eastAsia="宋体" w:hint="default"/>
                <w:sz w:val="18"/>
                <w:szCs w:val="18"/>
              </w:rPr>
            </w:pPr>
            <w:r>
              <w:rPr>
                <w:rFonts w:ascii="Times New Roman" w:hAnsi="Times New Roman" w:cs="Times New Roman" w:eastAsia="Times New Roman" w:hint="default"/>
                <w:sz w:val="18"/>
                <w:szCs w:val="18"/>
              </w:rPr>
              <w:t>VOCs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治理企业安装在线监 测、监控系统补助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240,000.00</w:t>
            </w:r>
          </w:p>
        </w:tc>
      </w:tr>
      <w:tr>
        <w:trPr>
          <w:trHeight w:val="102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因从事国家鼓励和扶持特定 行业、产业而获得的补助（按 国家级政策规定依法取得</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年临潼区燃气锅炉低氮 燃烧改造</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r>
    </w:tbl>
    <w:p>
      <w:pPr>
        <w:spacing w:line="240" w:lineRule="auto" w:before="2"/>
        <w:rPr>
          <w:rFonts w:ascii="宋体" w:hAnsi="宋体" w:cs="宋体" w:eastAsia="宋体" w:hint="default"/>
          <w:sz w:val="19"/>
          <w:szCs w:val="19"/>
        </w:rPr>
      </w:pPr>
    </w:p>
    <w:p>
      <w:pPr>
        <w:pStyle w:val="Heading4"/>
        <w:spacing w:line="240" w:lineRule="auto" w:before="35"/>
        <w:ind w:left="134" w:right="1132"/>
        <w:jc w:val="left"/>
        <w:rPr>
          <w:b w:val="0"/>
          <w:bCs w:val="0"/>
        </w:rPr>
      </w:pPr>
      <w:bookmarkStart w:name="（2）政府补助退回情况" w:id="388"/>
      <w:bookmarkEnd w:id="388"/>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3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34" w:right="1132"/>
        <w:jc w:val="left"/>
        <w:rPr>
          <w:b w:val="0"/>
          <w:bCs w:val="0"/>
        </w:rPr>
      </w:pPr>
      <w:bookmarkStart w:name="74、其他" w:id="389"/>
      <w:bookmarkEnd w:id="389"/>
      <w:r>
        <w:rPr>
          <w:b w:val="0"/>
          <w:bCs w:val="0"/>
        </w:rPr>
      </w:r>
      <w:r>
        <w:rPr>
          <w:rFonts w:ascii="Times New Roman" w:hAnsi="Times New Roman" w:cs="Times New Roman" w:eastAsia="Times New Roman" w:hint="default"/>
        </w:rPr>
        <w:t>74</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3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134" w:right="1132"/>
        <w:jc w:val="left"/>
        <w:rPr>
          <w:b w:val="0"/>
          <w:bCs w:val="0"/>
        </w:rPr>
      </w:pPr>
      <w:bookmarkStart w:name="八、合并范围的变更" w:id="390"/>
      <w:bookmarkEnd w:id="390"/>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34" w:right="1132"/>
        <w:jc w:val="left"/>
        <w:rPr>
          <w:b w:val="0"/>
          <w:bCs w:val="0"/>
        </w:rPr>
      </w:pPr>
      <w:bookmarkStart w:name="1、非同一控制下企业合并" w:id="391"/>
      <w:bookmarkEnd w:id="391"/>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34" w:right="1132"/>
        <w:jc w:val="left"/>
        <w:rPr>
          <w:b w:val="0"/>
          <w:bCs w:val="0"/>
        </w:rPr>
      </w:pPr>
      <w:bookmarkStart w:name="（1）本期发生的非同一控制下企业合并" w:id="392"/>
      <w:bookmarkEnd w:id="392"/>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059"/>
        <w:gridCol w:w="1061"/>
        <w:gridCol w:w="1182"/>
        <w:gridCol w:w="1061"/>
        <w:gridCol w:w="1061"/>
        <w:gridCol w:w="1061"/>
        <w:gridCol w:w="1060"/>
        <w:gridCol w:w="1091"/>
        <w:gridCol w:w="1048"/>
      </w:tblGrid>
      <w:tr>
        <w:trPr>
          <w:trHeight w:val="1026" w:hRule="exact"/>
        </w:trPr>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4" w:right="72"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3"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股权取得成本</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5"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3"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4"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9" w:right="89"/>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4" w:right="6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403" w:hRule="exact"/>
        </w:trPr>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霍尔果斯领</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131,860,000.00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4" w:right="0"/>
              <w:jc w:val="left"/>
              <w:rPr>
                <w:rFonts w:ascii="Times New Roman" w:hAnsi="Times New Roman" w:cs="Times New Roman" w:eastAsia="Times New Roman" w:hint="default"/>
                <w:sz w:val="18"/>
                <w:szCs w:val="18"/>
              </w:rPr>
            </w:pPr>
            <w:r>
              <w:rPr>
                <w:rFonts w:ascii="Times New Roman"/>
                <w:sz w:val="18"/>
              </w:rPr>
              <w:t>70.00%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工商变更登</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59,424,335.50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2" w:right="0"/>
              <w:jc w:val="left"/>
              <w:rPr>
                <w:rFonts w:ascii="Times New Roman" w:hAnsi="Times New Roman" w:cs="Times New Roman" w:eastAsia="Times New Roman" w:hint="default"/>
                <w:sz w:val="18"/>
                <w:szCs w:val="18"/>
              </w:rPr>
            </w:pPr>
            <w:r>
              <w:rPr>
                <w:rFonts w:ascii="Times New Roman"/>
                <w:sz w:val="18"/>
              </w:rPr>
              <w:t>7,790,728.68</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79" w:top="1500" w:bottom="1160" w:left="1000" w:right="0"/>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061"/>
        <w:gridCol w:w="1061"/>
        <w:gridCol w:w="1182"/>
        <w:gridCol w:w="1061"/>
        <w:gridCol w:w="1061"/>
        <w:gridCol w:w="1061"/>
        <w:gridCol w:w="1060"/>
        <w:gridCol w:w="1091"/>
        <w:gridCol w:w="1060"/>
      </w:tblGrid>
      <w:tr>
        <w:trPr>
          <w:trHeight w:val="686" w:hRule="exact"/>
        </w:trPr>
        <w:tc>
          <w:tcPr>
            <w:tcW w:w="1061" w:type="dxa"/>
            <w:tcBorders>
              <w:top w:val="single" w:sz="10" w:space="0" w:color="000000"/>
              <w:left w:val="single" w:sz="4" w:space="0" w:color="000000"/>
              <w:bottom w:val="single" w:sz="4" w:space="0" w:color="000000"/>
              <w:right w:val="single" w:sz="4" w:space="0" w:color="000000"/>
            </w:tcBorders>
          </w:tcPr>
          <w:p>
            <w:pPr>
              <w:pStyle w:val="TableParagraph"/>
              <w:spacing w:line="319" w:lineRule="auto" w:before="15"/>
              <w:ind w:left="22" w:right="126"/>
              <w:jc w:val="left"/>
              <w:rPr>
                <w:rFonts w:ascii="宋体" w:hAnsi="宋体" w:cs="宋体" w:eastAsia="宋体" w:hint="default"/>
                <w:sz w:val="18"/>
                <w:szCs w:val="18"/>
              </w:rPr>
            </w:pPr>
            <w:r>
              <w:rPr>
                <w:rFonts w:ascii="宋体" w:hAnsi="宋体" w:cs="宋体" w:eastAsia="宋体" w:hint="default"/>
                <w:sz w:val="18"/>
                <w:szCs w:val="18"/>
              </w:rPr>
              <w:t>凯网络科技 有限公司</w:t>
            </w:r>
          </w:p>
        </w:tc>
        <w:tc>
          <w:tcPr>
            <w:tcW w:w="106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2" w:type="dxa"/>
            <w:tcBorders>
              <w:top w:val="single" w:sz="10" w:space="0" w:color="000000"/>
              <w:left w:val="single" w:sz="4" w:space="0" w:color="000000"/>
              <w:bottom w:val="single" w:sz="4" w:space="0" w:color="000000"/>
              <w:right w:val="single" w:sz="4" w:space="0" w:color="000000"/>
            </w:tcBorders>
          </w:tcPr>
          <w:p>
            <w:pPr/>
          </w:p>
        </w:tc>
        <w:tc>
          <w:tcPr>
            <w:tcW w:w="1061" w:type="dxa"/>
            <w:tcBorders>
              <w:top w:val="single" w:sz="10" w:space="0" w:color="000000"/>
              <w:left w:val="single" w:sz="4" w:space="0" w:color="000000"/>
              <w:bottom w:val="single" w:sz="4" w:space="0" w:color="000000"/>
              <w:right w:val="single" w:sz="4" w:space="0" w:color="000000"/>
            </w:tcBorders>
          </w:tcPr>
          <w:p>
            <w:pPr/>
          </w:p>
        </w:tc>
        <w:tc>
          <w:tcPr>
            <w:tcW w:w="1061" w:type="dxa"/>
            <w:tcBorders>
              <w:top w:val="single" w:sz="10" w:space="0" w:color="000000"/>
              <w:left w:val="single" w:sz="4" w:space="0" w:color="000000"/>
              <w:bottom w:val="single" w:sz="4" w:space="0" w:color="000000"/>
              <w:right w:val="single" w:sz="4" w:space="0" w:color="000000"/>
            </w:tcBorders>
          </w:tcPr>
          <w:p>
            <w:pPr/>
          </w:p>
        </w:tc>
        <w:tc>
          <w:tcPr>
            <w:tcW w:w="106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记</w:t>
            </w:r>
          </w:p>
        </w:tc>
        <w:tc>
          <w:tcPr>
            <w:tcW w:w="1091" w:type="dxa"/>
            <w:tcBorders>
              <w:top w:val="single" w:sz="10" w:space="0" w:color="000000"/>
              <w:left w:val="single" w:sz="4" w:space="0" w:color="000000"/>
              <w:bottom w:val="single" w:sz="4" w:space="0" w:color="000000"/>
              <w:right w:val="single" w:sz="4" w:space="0" w:color="000000"/>
            </w:tcBorders>
          </w:tcPr>
          <w:p>
            <w:pPr/>
          </w:p>
        </w:tc>
        <w:tc>
          <w:tcPr>
            <w:tcW w:w="1060" w:type="dxa"/>
            <w:tcBorders>
              <w:top w:val="single" w:sz="10"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40"/>
        <w:jc w:val="left"/>
        <w:rPr>
          <w:b w:val="0"/>
          <w:bCs w:val="0"/>
        </w:rPr>
      </w:pPr>
      <w:bookmarkStart w:name="（2）合并成本及商誉" w:id="393"/>
      <w:bookmarkEnd w:id="393"/>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131,860,000.00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131,860,000.00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23,763,171.22</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108,096,828.78</w:t>
            </w:r>
          </w:p>
        </w:tc>
      </w:tr>
    </w:tbl>
    <w:p>
      <w:pPr>
        <w:pStyle w:val="BodyText"/>
        <w:spacing w:line="360" w:lineRule="auto" w:before="51"/>
        <w:ind w:right="6072"/>
        <w:jc w:val="left"/>
      </w:pPr>
      <w:r>
        <w:rPr/>
        <w:t>合并成本公允价值的确定方法、或有对价及其变动的说明： 大额商誉形成的主要原因：</w:t>
      </w:r>
    </w:p>
    <w:p>
      <w:pPr>
        <w:pStyle w:val="BodyText"/>
        <w:spacing w:line="364" w:lineRule="auto" w:before="47"/>
        <w:ind w:right="1130" w:firstLine="420"/>
        <w:jc w:val="both"/>
      </w:pPr>
      <w:r>
        <w:rPr>
          <w:spacing w:val="-1"/>
        </w:rPr>
        <w:t>依据</w:t>
      </w:r>
      <w:r>
        <w:rPr>
          <w:rFonts w:ascii="宋体" w:hAnsi="宋体" w:cs="宋体" w:eastAsia="宋体" w:hint="default"/>
          <w:spacing w:val="-1"/>
        </w:rPr>
        <w:t>2018</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1</w:t>
      </w:r>
      <w:r>
        <w:rPr>
          <w:spacing w:val="-1"/>
        </w:rPr>
        <w:t>日召开的第四届董事会第十次会议及</w:t>
      </w:r>
      <w:r>
        <w:rPr>
          <w:rFonts w:ascii="宋体" w:hAnsi="宋体" w:cs="宋体" w:eastAsia="宋体" w:hint="default"/>
          <w:spacing w:val="-1"/>
        </w:rPr>
        <w:t>2018</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24</w:t>
      </w:r>
      <w:r>
        <w:rPr>
          <w:spacing w:val="-1"/>
        </w:rPr>
        <w:t>日召开的</w:t>
      </w:r>
      <w:r>
        <w:rPr>
          <w:rFonts w:ascii="宋体" w:hAnsi="宋体" w:cs="宋体" w:eastAsia="宋体" w:hint="default"/>
          <w:spacing w:val="-1"/>
        </w:rPr>
        <w:t>2018</w:t>
      </w:r>
      <w:r>
        <w:rPr>
          <w:spacing w:val="-1"/>
        </w:rPr>
        <w:t>年第一次临时股东大会审议通过的《关</w:t>
      </w:r>
      <w:r>
        <w:rPr/>
        <w:t> 于收购霍尔果斯领凯网络科技有限公司</w:t>
      </w:r>
      <w:r>
        <w:rPr>
          <w:rFonts w:ascii="宋体" w:hAnsi="宋体" w:cs="宋体" w:eastAsia="宋体" w:hint="default"/>
        </w:rPr>
        <w:t>70%</w:t>
      </w:r>
      <w:r>
        <w:rPr/>
        <w:t>股权的议案》以及《股权转让协议》，本公司本年以人民币</w:t>
      </w:r>
      <w:r>
        <w:rPr>
          <w:rFonts w:ascii="宋体" w:hAnsi="宋体" w:cs="宋体" w:eastAsia="宋体" w:hint="default"/>
        </w:rPr>
        <w:t>13,186</w:t>
      </w:r>
      <w:r>
        <w:rPr/>
        <w:t>万元收购霍尔</w:t>
      </w:r>
      <w:r>
        <w:rPr>
          <w:spacing w:val="-83"/>
        </w:rPr>
        <w:t> </w:t>
      </w:r>
      <w:r>
        <w:rPr/>
        <w:t>果斯领凯网络科技有限公司持</w:t>
      </w:r>
      <w:r>
        <w:rPr>
          <w:rFonts w:ascii="宋体" w:hAnsi="宋体" w:cs="宋体" w:eastAsia="宋体" w:hint="default"/>
        </w:rPr>
        <w:t>70%</w:t>
      </w:r>
      <w:r>
        <w:rPr/>
        <w:t>股权，收购价格与霍尔果斯领凯账面净资产公允价值的差额确认商誉</w:t>
      </w:r>
      <w:r>
        <w:rPr>
          <w:rFonts w:ascii="宋体" w:hAnsi="宋体" w:cs="宋体" w:eastAsia="宋体" w:hint="default"/>
        </w:rPr>
        <w:t>108,096,828.78</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4"/>
        <w:ind w:right="940"/>
        <w:jc w:val="left"/>
        <w:rPr>
          <w:b w:val="0"/>
          <w:bCs w:val="0"/>
        </w:rPr>
      </w:pPr>
      <w:bookmarkStart w:name="（3）被购买方于购买日可辨认资产、负债" w:id="394"/>
      <w:bookmarkEnd w:id="394"/>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8,290,080.92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8,290,080.92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27,524,702.15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27,524,702.15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109,298.95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109,298.95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21,766,575.78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21,766,575.78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47,515.48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47,515.48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38,470.25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38,470.25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209,743.34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209,743.34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61,586,386.87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57,986,386.87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17,929,245.17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17,929,245.17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预收帐款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6,995,284.24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6,995,284.24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53,247.64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53,247.64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2,661,222.36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2,661,222.36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33,947,387.46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30,347,387.46</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500" w:bottom="1160" w:left="980" w:right="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90"/>
      </w:tblGrid>
      <w:tr>
        <w:trPr>
          <w:trHeight w:val="414" w:hRule="exact"/>
        </w:trPr>
        <w:tc>
          <w:tcPr>
            <w:tcW w:w="319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10,184,216.24</w:t>
            </w:r>
          </w:p>
        </w:tc>
        <w:tc>
          <w:tcPr>
            <w:tcW w:w="31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9,104,216.24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23,763,171.22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21,243,171.22</w:t>
            </w:r>
          </w:p>
        </w:tc>
      </w:tr>
    </w:tbl>
    <w:p>
      <w:pPr>
        <w:pStyle w:val="BodyText"/>
        <w:spacing w:line="381" w:lineRule="auto" w:before="51"/>
        <w:ind w:left="534" w:right="1038" w:hanging="420"/>
        <w:jc w:val="left"/>
      </w:pPr>
      <w:r>
        <w:rPr/>
        <w:t>可辨认资产、负债公允价值的确定方法： 软件著作权、专有技术、域名主要系：本公司购买子公司霍尔果斯领凯股权，对取得的霍尔果斯领凯资产进行初始确</w:t>
      </w:r>
    </w:p>
    <w:p>
      <w:pPr>
        <w:pStyle w:val="BodyText"/>
        <w:spacing w:line="364" w:lineRule="auto" w:before="17"/>
        <w:ind w:left="114" w:right="1038"/>
        <w:jc w:val="left"/>
      </w:pPr>
      <w:r>
        <w:rPr>
          <w:spacing w:val="-2"/>
        </w:rPr>
        <w:t>认时，对其拥有的但在其财务报表中未确认的无形资产进行辨认和判断时，识别的软件著作权、专有技术、域名作为无形资</w:t>
      </w:r>
      <w:r>
        <w:rPr>
          <w:spacing w:val="-66"/>
        </w:rPr>
        <w:t> </w:t>
      </w:r>
      <w:r>
        <w:rPr>
          <w:spacing w:val="-66"/>
        </w:rPr>
      </w:r>
      <w:r>
        <w:rPr/>
        <w:t>产核算。</w:t>
      </w:r>
    </w:p>
    <w:p>
      <w:pPr>
        <w:spacing w:line="240" w:lineRule="auto" w:before="0"/>
        <w:rPr>
          <w:rFonts w:ascii="宋体" w:hAnsi="宋体" w:cs="宋体" w:eastAsia="宋体" w:hint="default"/>
          <w:sz w:val="18"/>
          <w:szCs w:val="18"/>
        </w:rPr>
      </w:pPr>
    </w:p>
    <w:p>
      <w:pPr>
        <w:pStyle w:val="BodyText"/>
        <w:spacing w:line="240" w:lineRule="auto" w:before="124"/>
        <w:ind w:left="114" w:right="1360"/>
        <w:jc w:val="left"/>
      </w:pPr>
      <w:r>
        <w:rPr/>
        <w:t>企业合并中承担的被购买方的或有负债：</w:t>
      </w:r>
    </w:p>
    <w:p>
      <w:pPr>
        <w:pStyle w:val="BodyText"/>
        <w:spacing w:line="240" w:lineRule="auto" w:before="116"/>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14" w:right="1360"/>
        <w:jc w:val="left"/>
        <w:rPr>
          <w:b w:val="0"/>
          <w:bCs w:val="0"/>
        </w:rPr>
      </w:pPr>
      <w:bookmarkStart w:name="（4）购买日之前持有的股权按照公允价值重新计量产生的利得或损失" w:id="395"/>
      <w:bookmarkEnd w:id="395"/>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4" w:right="1360"/>
        <w:jc w:val="left"/>
      </w:pPr>
      <w:r>
        <w:rPr/>
        <w:t>是否存在通过多次交易分步实现企业合并且在报告期内取得控制权的交易</w:t>
      </w:r>
    </w:p>
    <w:p>
      <w:pPr>
        <w:pStyle w:val="BodyText"/>
        <w:spacing w:line="240" w:lineRule="auto" w:before="117"/>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4" w:right="1038"/>
        <w:jc w:val="left"/>
        <w:rPr>
          <w:b w:val="0"/>
          <w:bCs w:val="0"/>
        </w:rPr>
      </w:pPr>
      <w:bookmarkStart w:name="（5）购买日或合并当期期末无法合理确定合并对价或被购买方可辨认资产、负债公允价值" w:id="396"/>
      <w:bookmarkEnd w:id="396"/>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4" w:right="1360"/>
        <w:jc w:val="left"/>
        <w:rPr>
          <w:b w:val="0"/>
          <w:bCs w:val="0"/>
        </w:rPr>
      </w:pPr>
      <w:bookmarkStart w:name="（6）其他说明" w:id="397"/>
      <w:bookmarkEnd w:id="397"/>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4" w:right="1360"/>
        <w:jc w:val="left"/>
        <w:rPr>
          <w:b w:val="0"/>
          <w:bCs w:val="0"/>
        </w:rPr>
      </w:pPr>
      <w:bookmarkStart w:name="2、同一控制下企业合并" w:id="398"/>
      <w:bookmarkEnd w:id="398"/>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4" w:right="1360"/>
        <w:jc w:val="left"/>
        <w:rPr>
          <w:b w:val="0"/>
          <w:bCs w:val="0"/>
        </w:rPr>
      </w:pPr>
      <w:bookmarkStart w:name="（1）本期发生的同一控制下企业合并" w:id="399"/>
      <w:bookmarkEnd w:id="399"/>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4" w:right="1360"/>
        <w:jc w:val="left"/>
        <w:rPr>
          <w:b w:val="0"/>
          <w:bCs w:val="0"/>
        </w:rPr>
      </w:pPr>
      <w:bookmarkStart w:name="（2）合并成本" w:id="400"/>
      <w:bookmarkEnd w:id="400"/>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4" w:right="1360"/>
        <w:jc w:val="left"/>
        <w:rPr>
          <w:b w:val="0"/>
          <w:bCs w:val="0"/>
        </w:rPr>
      </w:pPr>
      <w:bookmarkStart w:name="（3）合并日被合并方资产、负债的账面价值" w:id="401"/>
      <w:bookmarkEnd w:id="401"/>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14" w:right="1360"/>
        <w:jc w:val="left"/>
        <w:rPr>
          <w:b w:val="0"/>
          <w:bCs w:val="0"/>
        </w:rPr>
      </w:pPr>
      <w:bookmarkStart w:name="3、反向购买" w:id="402"/>
      <w:bookmarkEnd w:id="402"/>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14" w:right="1360"/>
        <w:jc w:val="left"/>
        <w:rPr>
          <w:b w:val="0"/>
          <w:bCs w:val="0"/>
        </w:rPr>
      </w:pPr>
      <w:bookmarkStart w:name="4、处置子公司" w:id="403"/>
      <w:bookmarkEnd w:id="403"/>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4" w:right="1360"/>
        <w:jc w:val="left"/>
      </w:pPr>
      <w:r>
        <w:rPr/>
        <w:t>是否存在单次处置对子公司投资即丧失控制权的情形</w:t>
      </w:r>
    </w:p>
    <w:p>
      <w:pPr>
        <w:pStyle w:val="BodyText"/>
        <w:spacing w:line="338" w:lineRule="auto" w:before="117"/>
        <w:ind w:left="114" w:right="4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spacing w:after="0" w:line="338" w:lineRule="auto"/>
        <w:jc w:val="left"/>
        <w:sectPr>
          <w:pgSz w:w="11910" w:h="16840"/>
          <w:pgMar w:header="851" w:footer="979" w:top="1500" w:bottom="1160" w:left="1020" w:right="0"/>
        </w:sectPr>
      </w:pPr>
    </w:p>
    <w:p>
      <w:pPr>
        <w:spacing w:line="240" w:lineRule="auto" w:before="12"/>
        <w:rPr>
          <w:rFonts w:ascii="宋体" w:hAnsi="宋体" w:cs="宋体" w:eastAsia="宋体" w:hint="default"/>
          <w:sz w:val="2"/>
          <w:szCs w:val="2"/>
        </w:rPr>
      </w:pPr>
      <w:r>
        <w:rPr/>
        <w:pict>
          <v:shape style="position:absolute;margin-left:347.980011pt;margin-top:674.73999pt;width:84.2pt;height:34.950pt;mso-position-horizontal-relative:page;mso-position-vertical-relative:page;z-index:-79852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15"/>
                      <w:szCs w:val="15"/>
                    </w:rPr>
                  </w:pPr>
                </w:p>
                <w:p>
                  <w:pPr>
                    <w:pStyle w:val="BodyText"/>
                    <w:spacing w:line="240" w:lineRule="auto"/>
                    <w:ind w:left="0" w:right="0"/>
                    <w:jc w:val="left"/>
                  </w:pPr>
                  <w:r>
                    <w:rPr/>
                    <w:t>广告设计、</w:t>
                  </w:r>
                </w:p>
              </w:txbxContent>
            </v:textbox>
            <w10:wrap type="none"/>
          </v:shape>
        </w:pict>
      </w:r>
      <w:r>
        <w:rPr/>
        <w:pict>
          <v:group style="position:absolute;margin-left:390.160004pt;margin-top:674.73999pt;width:42.05pt;height:34.950pt;mso-position-horizontal-relative:page;mso-position-vertical-relative:page;z-index:-798472" coordorigin="7803,13495" coordsize="841,699">
            <v:shape style="position:absolute;left:7803;top:13495;width:841;height:699" coordorigin="7803,13495" coordsize="841,699" path="m7803,14194l8644,14194,8644,13495,7803,13495,7803,14194xe" filled="true" fillcolor="#ffffff" stroked="false">
              <v:path arrowok="t"/>
              <v:fill type="solid"/>
            </v:shape>
            <w10:wrap type="none"/>
          </v:group>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6"/>
        <w:ind w:right="94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5、其他原因的合并范围变动" w:id="404"/>
      <w:bookmarkEnd w:id="404"/>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t>说明其他原因导致的合并范围变动（如，新设子公司、清算子公司等）及其相关情况：</w:t>
      </w:r>
    </w:p>
    <w:p>
      <w:pPr>
        <w:spacing w:line="240" w:lineRule="auto" w:before="10"/>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6、其他" w:id="405"/>
      <w:bookmarkEnd w:id="40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06"/>
      <w:bookmarkEnd w:id="406"/>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07"/>
      <w:bookmarkEnd w:id="407"/>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right="940"/>
        <w:jc w:val="left"/>
        <w:rPr>
          <w:b w:val="0"/>
          <w:bCs w:val="0"/>
        </w:rPr>
      </w:pPr>
      <w:r>
        <w:rPr/>
        <w:pict>
          <v:group style="position:absolute;margin-left:390.160004pt;margin-top:80.853668pt;width:42.05pt;height:49.5pt;mso-position-horizontal-relative:page;mso-position-vertical-relative:paragraph;z-index:-798496" coordorigin="7803,1617" coordsize="841,990">
            <v:group style="position:absolute;left:7803;top:1617;width:841;height:539" coordorigin="7803,1617" coordsize="841,539">
              <v:shape style="position:absolute;left:7803;top:1617;width:841;height:539" coordorigin="7803,1617" coordsize="841,539" path="m7803,2156l8644,2156,8644,1617,7803,1617,7803,2156xe" filled="true" fillcolor="#ffffff" stroked="false">
                <v:path arrowok="t"/>
                <v:fill type="solid"/>
              </v:shape>
            </v:group>
            <v:group style="position:absolute;left:7815;top:2156;width:2;height:440" coordorigin="7815,2156" coordsize="2,440">
              <v:shape style="position:absolute;left:7815;top:2156;width:2;height:440" coordorigin="7815,2156" coordsize="0,440" path="m7815,2156l7815,2595e" filled="false" stroked="true" strokeweight="1.140pt" strokecolor="#ffffff">
                <v:path arrowok="t"/>
              </v:shape>
            </v:group>
            <v:group style="position:absolute;left:7826;top:2156;width:794;height:440" coordorigin="7826,2156" coordsize="794,440">
              <v:shape style="position:absolute;left:7826;top:2156;width:794;height:440" coordorigin="7826,2156" coordsize="794,440" path="m7826,2595l8620,2595,8620,2156,7826,2156,7826,2595xe" filled="true" fillcolor="#ffffff" stroked="false">
                <v:path arrowok="t"/>
                <v:fill type="solid"/>
              </v:shape>
            </v:group>
            <w10:wrap type="none"/>
          </v:group>
        </w:pict>
      </w:r>
      <w:bookmarkStart w:name="（1）企业集团的构成" w:id="408"/>
      <w:bookmarkEnd w:id="40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2558"/>
        <w:gridCol w:w="172"/>
        <w:gridCol w:w="678"/>
        <w:gridCol w:w="692"/>
        <w:gridCol w:w="1366"/>
      </w:tblGrid>
      <w:tr>
        <w:trPr>
          <w:trHeight w:val="449"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5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54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40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49"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2558" w:type="dxa"/>
            <w:vMerge/>
            <w:tcBorders>
              <w:left w:val="single" w:sz="4" w:space="0" w:color="000000"/>
              <w:bottom w:val="single" w:sz="4" w:space="0" w:color="000000"/>
              <w:right w:val="single" w:sz="4" w:space="0" w:color="000000"/>
            </w:tcBorders>
            <w:shd w:val="clear" w:color="auto" w:fill="D2D2D2"/>
          </w:tcPr>
          <w:p>
            <w:pPr/>
          </w:p>
        </w:tc>
        <w:tc>
          <w:tcPr>
            <w:tcW w:w="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3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6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52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367" w:lineRule="auto"/>
              <w:ind w:left="22" w:right="77"/>
              <w:jc w:val="left"/>
              <w:rPr>
                <w:rFonts w:ascii="宋体" w:hAnsi="宋体" w:cs="宋体" w:eastAsia="宋体" w:hint="default"/>
                <w:sz w:val="18"/>
                <w:szCs w:val="18"/>
              </w:rPr>
            </w:pPr>
            <w:r>
              <w:rPr>
                <w:rFonts w:ascii="宋体" w:hAnsi="宋体" w:cs="宋体" w:eastAsia="宋体" w:hint="default"/>
                <w:sz w:val="18"/>
                <w:szCs w:val="18"/>
              </w:rPr>
              <w:t>陕西永鑫纸业包 装有限公司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367" w:lineRule="auto"/>
              <w:ind w:left="22" w:right="72"/>
              <w:jc w:val="left"/>
              <w:rPr>
                <w:rFonts w:ascii="宋体" w:hAnsi="宋体" w:cs="宋体" w:eastAsia="宋体" w:hint="default"/>
                <w:sz w:val="18"/>
                <w:szCs w:val="18"/>
              </w:rPr>
            </w:pPr>
            <w:r>
              <w:rPr>
                <w:rFonts w:ascii="宋体" w:hAnsi="宋体" w:cs="宋体" w:eastAsia="宋体" w:hint="default"/>
                <w:sz w:val="18"/>
                <w:szCs w:val="18"/>
              </w:rPr>
              <w:t>陕西省西安市临 潼区经济开发区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367" w:lineRule="auto"/>
              <w:ind w:left="22" w:right="72"/>
              <w:jc w:val="left"/>
              <w:rPr>
                <w:rFonts w:ascii="宋体" w:hAnsi="宋体" w:cs="宋体" w:eastAsia="宋体" w:hint="default"/>
                <w:sz w:val="18"/>
                <w:szCs w:val="18"/>
              </w:rPr>
            </w:pPr>
            <w:r>
              <w:rPr>
                <w:rFonts w:ascii="宋体" w:hAnsi="宋体" w:cs="宋体" w:eastAsia="宋体" w:hint="default"/>
                <w:sz w:val="18"/>
                <w:szCs w:val="18"/>
              </w:rPr>
              <w:t>陕西省西安市临 潼区经济开发区</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74"/>
              <w:ind w:left="22" w:right="5"/>
              <w:jc w:val="left"/>
              <w:rPr>
                <w:rFonts w:ascii="宋体" w:hAnsi="宋体" w:cs="宋体" w:eastAsia="宋体" w:hint="default"/>
                <w:sz w:val="18"/>
                <w:szCs w:val="18"/>
              </w:rPr>
            </w:pPr>
            <w:r>
              <w:rPr>
                <w:rFonts w:ascii="宋体" w:hAnsi="宋体" w:cs="宋体" w:eastAsia="宋体" w:hint="default"/>
                <w:sz w:val="18"/>
                <w:szCs w:val="18"/>
              </w:rPr>
              <w:t>包装装潢设计、生产和加工各类 </w:t>
            </w:r>
            <w:r>
              <w:rPr>
                <w:rFonts w:ascii="宋体" w:hAnsi="宋体" w:cs="宋体" w:eastAsia="宋体" w:hint="default"/>
                <w:spacing w:val="-8"/>
                <w:sz w:val="18"/>
                <w:szCs w:val="18"/>
              </w:rPr>
              <w:t>包装材料、包装制品，彩色印刷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高档纸板生产，销售塑料零件和</w:t>
            </w:r>
            <w:r>
              <w:rPr>
                <w:rFonts w:ascii="宋体" w:hAnsi="宋体" w:cs="宋体" w:eastAsia="宋体" w:hint="default"/>
                <w:sz w:val="18"/>
                <w:szCs w:val="18"/>
              </w:rPr>
              <w:t> 其它塑料制品，销售自产产品。</w:t>
            </w:r>
          </w:p>
        </w:tc>
        <w:tc>
          <w:tcPr>
            <w:tcW w:w="1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67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2"/>
              <w:ind w:right="21"/>
              <w:jc w:val="right"/>
              <w:rPr>
                <w:rFonts w:ascii="宋体" w:hAnsi="宋体" w:cs="宋体" w:eastAsia="宋体" w:hint="default"/>
                <w:sz w:val="18"/>
                <w:szCs w:val="18"/>
              </w:rPr>
            </w:pPr>
            <w:r>
              <w:rPr>
                <w:rFonts w:ascii="宋体"/>
                <w:sz w:val="18"/>
              </w:rPr>
              <w:t>70.00%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直接出资取得</w:t>
            </w:r>
          </w:p>
        </w:tc>
      </w:tr>
      <w:tr>
        <w:trPr>
          <w:trHeight w:val="2961"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367" w:lineRule="auto"/>
              <w:ind w:left="22" w:right="77"/>
              <w:jc w:val="left"/>
              <w:rPr>
                <w:rFonts w:ascii="宋体" w:hAnsi="宋体" w:cs="宋体" w:eastAsia="宋体" w:hint="default"/>
                <w:sz w:val="18"/>
                <w:szCs w:val="18"/>
              </w:rPr>
            </w:pPr>
            <w:r>
              <w:rPr>
                <w:rFonts w:ascii="宋体" w:hAnsi="宋体" w:cs="宋体" w:eastAsia="宋体" w:hint="default"/>
                <w:sz w:val="18"/>
                <w:szCs w:val="18"/>
              </w:rPr>
              <w:t>西安永旭创新服 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364" w:lineRule="auto"/>
              <w:ind w:left="22" w:right="23"/>
              <w:jc w:val="both"/>
              <w:rPr>
                <w:rFonts w:ascii="宋体" w:hAnsi="宋体" w:cs="宋体" w:eastAsia="宋体" w:hint="default"/>
                <w:sz w:val="18"/>
                <w:szCs w:val="18"/>
              </w:rPr>
            </w:pPr>
            <w:r>
              <w:rPr>
                <w:rFonts w:ascii="宋体" w:hAnsi="宋体" w:cs="宋体" w:eastAsia="宋体" w:hint="default"/>
                <w:sz w:val="18"/>
                <w:szCs w:val="18"/>
              </w:rPr>
              <w:t>西安市高新区科 技一路</w:t>
            </w:r>
            <w:r>
              <w:rPr>
                <w:rFonts w:ascii="宋体" w:hAnsi="宋体" w:cs="宋体" w:eastAsia="宋体" w:hint="default"/>
                <w:spacing w:val="-65"/>
                <w:sz w:val="18"/>
                <w:szCs w:val="18"/>
              </w:rPr>
              <w:t> </w:t>
            </w:r>
            <w:r>
              <w:rPr>
                <w:rFonts w:ascii="宋体" w:hAnsi="宋体" w:cs="宋体" w:eastAsia="宋体" w:hint="default"/>
                <w:sz w:val="18"/>
                <w:szCs w:val="18"/>
              </w:rPr>
              <w:t>32</w:t>
            </w:r>
            <w:r>
              <w:rPr>
                <w:rFonts w:ascii="宋体" w:hAnsi="宋体" w:cs="宋体" w:eastAsia="宋体" w:hint="default"/>
                <w:spacing w:val="-65"/>
                <w:sz w:val="18"/>
                <w:szCs w:val="18"/>
              </w:rPr>
              <w:t> </w:t>
            </w:r>
            <w:r>
              <w:rPr>
                <w:rFonts w:ascii="宋体" w:hAnsi="宋体" w:cs="宋体" w:eastAsia="宋体" w:hint="default"/>
                <w:sz w:val="18"/>
                <w:szCs w:val="18"/>
              </w:rPr>
              <w:t>号西安 医药园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364" w:lineRule="auto"/>
              <w:ind w:left="22" w:right="22"/>
              <w:jc w:val="both"/>
              <w:rPr>
                <w:rFonts w:ascii="宋体" w:hAnsi="宋体" w:cs="宋体" w:eastAsia="宋体" w:hint="default"/>
                <w:sz w:val="18"/>
                <w:szCs w:val="18"/>
              </w:rPr>
            </w:pPr>
            <w:r>
              <w:rPr>
                <w:rFonts w:ascii="宋体" w:hAnsi="宋体" w:cs="宋体" w:eastAsia="宋体" w:hint="default"/>
                <w:sz w:val="18"/>
                <w:szCs w:val="18"/>
              </w:rPr>
              <w:t>西安市高新区科 技一路</w:t>
            </w:r>
            <w:r>
              <w:rPr>
                <w:rFonts w:ascii="宋体" w:hAnsi="宋体" w:cs="宋体" w:eastAsia="宋体" w:hint="default"/>
                <w:spacing w:val="-65"/>
                <w:sz w:val="18"/>
                <w:szCs w:val="18"/>
              </w:rPr>
              <w:t> </w:t>
            </w:r>
            <w:r>
              <w:rPr>
                <w:rFonts w:ascii="宋体" w:hAnsi="宋体" w:cs="宋体" w:eastAsia="宋体" w:hint="default"/>
                <w:sz w:val="18"/>
                <w:szCs w:val="18"/>
              </w:rPr>
              <w:t>32</w:t>
            </w:r>
            <w:r>
              <w:rPr>
                <w:rFonts w:ascii="宋体" w:hAnsi="宋体" w:cs="宋体" w:eastAsia="宋体" w:hint="default"/>
                <w:spacing w:val="-65"/>
                <w:sz w:val="18"/>
                <w:szCs w:val="18"/>
              </w:rPr>
              <w:t> </w:t>
            </w:r>
            <w:r>
              <w:rPr>
                <w:rFonts w:ascii="宋体" w:hAnsi="宋体" w:cs="宋体" w:eastAsia="宋体" w:hint="default"/>
                <w:sz w:val="18"/>
                <w:szCs w:val="18"/>
              </w:rPr>
              <w:t>号西安 医药园</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74"/>
              <w:ind w:left="22" w:right="5"/>
              <w:jc w:val="left"/>
              <w:rPr>
                <w:rFonts w:ascii="宋体" w:hAnsi="宋体" w:cs="宋体" w:eastAsia="宋体" w:hint="default"/>
                <w:sz w:val="18"/>
                <w:szCs w:val="18"/>
              </w:rPr>
            </w:pPr>
            <w:r>
              <w:rPr>
                <w:rFonts w:ascii="宋体" w:hAnsi="宋体" w:cs="宋体" w:eastAsia="宋体" w:hint="default"/>
                <w:sz w:val="18"/>
                <w:szCs w:val="18"/>
              </w:rPr>
              <w:t>出租实验室、办公场地、生产场 地及仓储设施；提供经营管理、 后勤、规章事务等咨询服务；生 产研发日用化工产品（需办理行 </w:t>
            </w:r>
            <w:r>
              <w:rPr>
                <w:rFonts w:ascii="宋体" w:hAnsi="宋体" w:cs="宋体" w:eastAsia="宋体" w:hint="default"/>
                <w:spacing w:val="-7"/>
                <w:sz w:val="18"/>
                <w:szCs w:val="18"/>
              </w:rPr>
              <w:t>政许可的产品除外）；生产、组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装、研发电子产品（需办理行政</w:t>
            </w:r>
            <w:r>
              <w:rPr>
                <w:rFonts w:ascii="宋体" w:hAnsi="宋体" w:cs="宋体" w:eastAsia="宋体" w:hint="default"/>
                <w:sz w:val="18"/>
                <w:szCs w:val="18"/>
              </w:rPr>
              <w:t> </w:t>
            </w:r>
            <w:r>
              <w:rPr>
                <w:rFonts w:ascii="宋体" w:hAnsi="宋体" w:cs="宋体" w:eastAsia="宋体" w:hint="default"/>
                <w:spacing w:val="-7"/>
                <w:sz w:val="18"/>
                <w:szCs w:val="18"/>
              </w:rPr>
              <w:t>许可的产品除外）；设计、加工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硬式礼盒。</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3"/>
              <w:ind w:left="187" w:right="0"/>
              <w:jc w:val="left"/>
              <w:rPr>
                <w:rFonts w:ascii="宋体" w:hAnsi="宋体" w:cs="宋体" w:eastAsia="宋体" w:hint="default"/>
                <w:sz w:val="18"/>
                <w:szCs w:val="18"/>
              </w:rPr>
            </w:pPr>
            <w:r>
              <w:rPr>
                <w:rFonts w:ascii="宋体"/>
                <w:sz w:val="18"/>
              </w:rPr>
              <w:t>100.00%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直接出资取得</w:t>
            </w:r>
          </w:p>
        </w:tc>
      </w:tr>
      <w:tr>
        <w:trPr>
          <w:trHeight w:val="224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367" w:lineRule="auto"/>
              <w:ind w:left="22" w:right="77"/>
              <w:jc w:val="left"/>
              <w:rPr>
                <w:rFonts w:ascii="宋体" w:hAnsi="宋体" w:cs="宋体" w:eastAsia="宋体" w:hint="default"/>
                <w:sz w:val="18"/>
                <w:szCs w:val="18"/>
              </w:rPr>
            </w:pPr>
            <w:r>
              <w:rPr>
                <w:rFonts w:ascii="宋体" w:hAnsi="宋体" w:cs="宋体" w:eastAsia="宋体" w:hint="default"/>
                <w:sz w:val="18"/>
                <w:szCs w:val="18"/>
              </w:rPr>
              <w:t>天津滨海环球印 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367" w:lineRule="auto"/>
              <w:ind w:left="22" w:right="72"/>
              <w:jc w:val="left"/>
              <w:rPr>
                <w:rFonts w:ascii="宋体" w:hAnsi="宋体" w:cs="宋体" w:eastAsia="宋体" w:hint="default"/>
                <w:sz w:val="18"/>
                <w:szCs w:val="18"/>
              </w:rPr>
            </w:pPr>
            <w:r>
              <w:rPr>
                <w:rFonts w:ascii="宋体" w:hAnsi="宋体" w:cs="宋体" w:eastAsia="宋体" w:hint="default"/>
                <w:sz w:val="18"/>
                <w:szCs w:val="18"/>
              </w:rPr>
              <w:t>天津医药医疗器 械工业园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367" w:lineRule="auto"/>
              <w:ind w:left="22" w:right="72"/>
              <w:jc w:val="left"/>
              <w:rPr>
                <w:rFonts w:ascii="宋体" w:hAnsi="宋体" w:cs="宋体" w:eastAsia="宋体" w:hint="default"/>
                <w:sz w:val="18"/>
                <w:szCs w:val="18"/>
              </w:rPr>
            </w:pPr>
            <w:r>
              <w:rPr>
                <w:rFonts w:ascii="宋体" w:hAnsi="宋体" w:cs="宋体" w:eastAsia="宋体" w:hint="default"/>
                <w:sz w:val="18"/>
                <w:szCs w:val="18"/>
              </w:rPr>
              <w:t>天津医药医疗器 械工业园</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74"/>
              <w:ind w:left="22" w:right="21"/>
              <w:jc w:val="both"/>
              <w:rPr>
                <w:rFonts w:ascii="宋体" w:hAnsi="宋体" w:cs="宋体" w:eastAsia="宋体" w:hint="default"/>
                <w:sz w:val="18"/>
                <w:szCs w:val="18"/>
              </w:rPr>
            </w:pPr>
            <w:r>
              <w:rPr>
                <w:rFonts w:ascii="宋体" w:hAnsi="宋体" w:cs="宋体" w:eastAsia="宋体" w:hint="default"/>
                <w:spacing w:val="-2"/>
                <w:sz w:val="18"/>
                <w:szCs w:val="18"/>
              </w:rPr>
              <w:t>包装装潢印刷品印刷、其他印刷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品印刷；包装装潢设计；纸制包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装材料制造、加工、销售；包装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装潢印刷品技术开发（国家有专</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营、专项规定的，按专营、专项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规定办理）</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77" w:right="0"/>
              <w:jc w:val="left"/>
              <w:rPr>
                <w:rFonts w:ascii="宋体" w:hAnsi="宋体" w:cs="宋体" w:eastAsia="宋体" w:hint="default"/>
                <w:sz w:val="18"/>
                <w:szCs w:val="18"/>
              </w:rPr>
            </w:pPr>
            <w:r>
              <w:rPr>
                <w:rFonts w:ascii="宋体"/>
                <w:sz w:val="18"/>
              </w:rPr>
              <w:t>97.50%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08" w:right="0"/>
              <w:jc w:val="left"/>
              <w:rPr>
                <w:rFonts w:ascii="宋体" w:hAnsi="宋体" w:cs="宋体" w:eastAsia="宋体" w:hint="default"/>
                <w:sz w:val="18"/>
                <w:szCs w:val="18"/>
              </w:rPr>
            </w:pPr>
            <w:r>
              <w:rPr>
                <w:rFonts w:ascii="宋体"/>
                <w:sz w:val="18"/>
              </w:rPr>
              <w:t>1.75%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直接出资取得</w:t>
            </w:r>
          </w:p>
        </w:tc>
      </w:tr>
      <w:tr>
        <w:trPr>
          <w:trHeight w:val="184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64" w:lineRule="auto" w:before="122"/>
              <w:ind w:left="22" w:right="77"/>
              <w:jc w:val="left"/>
              <w:rPr>
                <w:rFonts w:ascii="宋体" w:hAnsi="宋体" w:cs="宋体" w:eastAsia="宋体" w:hint="default"/>
                <w:sz w:val="18"/>
                <w:szCs w:val="18"/>
              </w:rPr>
            </w:pPr>
            <w:r>
              <w:rPr>
                <w:rFonts w:ascii="宋体" w:hAnsi="宋体" w:cs="宋体" w:eastAsia="宋体" w:hint="default"/>
                <w:sz w:val="18"/>
                <w:szCs w:val="18"/>
              </w:rPr>
              <w:t>霍尔果斯领凯网 络科技有限公司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64" w:lineRule="auto" w:before="122"/>
              <w:ind w:left="22" w:right="72"/>
              <w:jc w:val="left"/>
              <w:rPr>
                <w:rFonts w:ascii="宋体" w:hAnsi="宋体" w:cs="宋体" w:eastAsia="宋体" w:hint="default"/>
                <w:sz w:val="18"/>
                <w:szCs w:val="18"/>
              </w:rPr>
            </w:pPr>
            <w:r>
              <w:rPr>
                <w:rFonts w:ascii="宋体" w:hAnsi="宋体" w:cs="宋体" w:eastAsia="宋体" w:hint="default"/>
                <w:sz w:val="18"/>
                <w:szCs w:val="18"/>
              </w:rPr>
              <w:t>新疆伊犁州霍尔 果斯经济开发区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64" w:lineRule="auto" w:before="122"/>
              <w:ind w:left="22" w:right="72"/>
              <w:jc w:val="left"/>
              <w:rPr>
                <w:rFonts w:ascii="宋体" w:hAnsi="宋体" w:cs="宋体" w:eastAsia="宋体" w:hint="default"/>
                <w:sz w:val="18"/>
                <w:szCs w:val="18"/>
              </w:rPr>
            </w:pPr>
            <w:r>
              <w:rPr>
                <w:rFonts w:ascii="宋体" w:hAnsi="宋体" w:cs="宋体" w:eastAsia="宋体" w:hint="default"/>
                <w:sz w:val="18"/>
                <w:szCs w:val="18"/>
              </w:rPr>
              <w:t>新疆伊犁州霍尔 果斯经济开发区</w:t>
            </w:r>
          </w:p>
        </w:tc>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74"/>
              <w:ind w:left="22" w:right="23"/>
              <w:jc w:val="left"/>
              <w:rPr>
                <w:rFonts w:ascii="宋体" w:hAnsi="宋体" w:cs="宋体" w:eastAsia="宋体" w:hint="default"/>
                <w:sz w:val="18"/>
                <w:szCs w:val="18"/>
              </w:rPr>
            </w:pPr>
            <w:r>
              <w:rPr>
                <w:rFonts w:ascii="宋体" w:hAnsi="宋体" w:cs="宋体" w:eastAsia="宋体" w:hint="default"/>
                <w:sz w:val="18"/>
                <w:szCs w:val="18"/>
              </w:rPr>
              <w:t>信息技术服务</w:t>
            </w:r>
            <w:r>
              <w:rPr>
                <w:rFonts w:ascii="宋体" w:hAnsi="宋体" w:cs="宋体" w:eastAsia="宋体" w:hint="default"/>
                <w:sz w:val="18"/>
                <w:szCs w:val="18"/>
              </w:rPr>
              <w:t>;</w:t>
            </w:r>
            <w:r>
              <w:rPr>
                <w:rFonts w:ascii="宋体" w:hAnsi="宋体" w:cs="宋体" w:eastAsia="宋体" w:hint="default"/>
                <w:sz w:val="18"/>
                <w:szCs w:val="18"/>
              </w:rPr>
              <w:t>软件服务、广告 </w:t>
            </w:r>
            <w:r>
              <w:rPr>
                <w:rFonts w:ascii="宋体" w:hAnsi="宋体" w:cs="宋体" w:eastAsia="宋体" w:hint="default"/>
                <w:spacing w:val="-6"/>
                <w:sz w:val="18"/>
                <w:szCs w:val="18"/>
              </w:rPr>
              <w:t>策划、信息系统服务、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制作、代理、发布</w:t>
            </w:r>
            <w:r>
              <w:rPr>
                <w:rFonts w:ascii="宋体" w:hAnsi="宋体" w:cs="宋体" w:eastAsia="宋体" w:hint="default"/>
                <w:sz w:val="18"/>
                <w:szCs w:val="18"/>
              </w:rPr>
              <w:t>;</w:t>
            </w:r>
            <w:r>
              <w:rPr>
                <w:rFonts w:ascii="宋体" w:hAnsi="宋体" w:cs="宋体" w:eastAsia="宋体" w:hint="default"/>
                <w:sz w:val="18"/>
                <w:szCs w:val="18"/>
              </w:rPr>
              <w:t>电子商务营 </w:t>
            </w:r>
            <w:r>
              <w:rPr>
                <w:rFonts w:ascii="宋体" w:hAnsi="宋体" w:cs="宋体" w:eastAsia="宋体" w:hint="default"/>
                <w:spacing w:val="-2"/>
                <w:sz w:val="18"/>
                <w:szCs w:val="18"/>
              </w:rPr>
              <w:t>销策划、网页制作与网络工程施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工</w:t>
            </w:r>
            <w:r>
              <w:rPr>
                <w:rFonts w:ascii="宋体" w:hAnsi="宋体" w:cs="宋体" w:eastAsia="宋体" w:hint="default"/>
                <w:sz w:val="18"/>
                <w:szCs w:val="18"/>
              </w:rPr>
              <w:t>;</w:t>
            </w:r>
            <w:r>
              <w:rPr>
                <w:rFonts w:ascii="宋体" w:hAnsi="宋体" w:cs="宋体" w:eastAsia="宋体" w:hint="default"/>
                <w:sz w:val="18"/>
                <w:szCs w:val="18"/>
              </w:rPr>
              <w:t>网站设计与开发</w:t>
            </w:r>
            <w:r>
              <w:rPr>
                <w:rFonts w:ascii="宋体" w:hAnsi="宋体" w:cs="宋体" w:eastAsia="宋体" w:hint="default"/>
                <w:sz w:val="18"/>
                <w:szCs w:val="18"/>
              </w:rPr>
              <w:t>;</w:t>
            </w:r>
            <w:r>
              <w:rPr>
                <w:rFonts w:ascii="宋体" w:hAnsi="宋体" w:cs="宋体" w:eastAsia="宋体" w:hint="default"/>
                <w:sz w:val="18"/>
                <w:szCs w:val="18"/>
              </w:rPr>
              <w:t>网络营销</w:t>
            </w:r>
          </w:p>
        </w:tc>
        <w:tc>
          <w:tcPr>
            <w:tcW w:w="172" w:type="dxa"/>
            <w:tcBorders>
              <w:top w:val="single" w:sz="4" w:space="0" w:color="000000"/>
              <w:left w:val="single" w:sz="4" w:space="0" w:color="000000"/>
              <w:bottom w:val="single" w:sz="4" w:space="0" w:color="000000"/>
              <w:right w:val="nil" w:sz="6" w:space="0" w:color="auto"/>
            </w:tcBorders>
          </w:tcPr>
          <w:p>
            <w:pPr/>
          </w:p>
        </w:tc>
        <w:tc>
          <w:tcPr>
            <w:tcW w:w="67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right="21"/>
              <w:jc w:val="right"/>
              <w:rPr>
                <w:rFonts w:ascii="宋体" w:hAnsi="宋体" w:cs="宋体" w:eastAsia="宋体" w:hint="default"/>
                <w:sz w:val="18"/>
                <w:szCs w:val="18"/>
              </w:rPr>
            </w:pPr>
            <w:r>
              <w:rPr>
                <w:rFonts w:ascii="宋体"/>
                <w:sz w:val="18"/>
              </w:rPr>
              <w:t>70.00%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直接出资取得</w:t>
            </w:r>
          </w:p>
        </w:tc>
      </w:tr>
    </w:tbl>
    <w:p>
      <w:pPr>
        <w:spacing w:after="0" w:line="240" w:lineRule="auto"/>
        <w:jc w:val="left"/>
        <w:rPr>
          <w:rFonts w:ascii="宋体" w:hAnsi="宋体" w:cs="宋体" w:eastAsia="宋体" w:hint="default"/>
          <w:sz w:val="18"/>
          <w:szCs w:val="18"/>
        </w:rPr>
        <w:sectPr>
          <w:pgSz w:w="11910" w:h="16840"/>
          <w:pgMar w:header="851" w:footer="979" w:top="1500" w:bottom="1160" w:left="980" w:right="0"/>
        </w:sectPr>
      </w:pPr>
    </w:p>
    <w:p>
      <w:pPr>
        <w:spacing w:line="240" w:lineRule="auto" w:before="7"/>
        <w:rPr>
          <w:rFonts w:ascii="宋体" w:hAnsi="宋体" w:cs="宋体" w:eastAsia="宋体"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2558"/>
        <w:gridCol w:w="850"/>
        <w:gridCol w:w="692"/>
        <w:gridCol w:w="1366"/>
      </w:tblGrid>
      <w:tr>
        <w:trPr>
          <w:trHeight w:val="1857" w:hRule="exact"/>
        </w:trPr>
        <w:tc>
          <w:tcPr>
            <w:tcW w:w="1372" w:type="dxa"/>
            <w:tcBorders>
              <w:top w:val="single" w:sz="10" w:space="0" w:color="000000"/>
              <w:left w:val="single" w:sz="4" w:space="0" w:color="000000"/>
              <w:bottom w:val="single" w:sz="4" w:space="0" w:color="000000"/>
              <w:right w:val="single" w:sz="4" w:space="0" w:color="000000"/>
            </w:tcBorders>
          </w:tcPr>
          <w:p>
            <w:pPr/>
          </w:p>
        </w:tc>
        <w:tc>
          <w:tcPr>
            <w:tcW w:w="1367" w:type="dxa"/>
            <w:tcBorders>
              <w:top w:val="single" w:sz="10" w:space="0" w:color="000000"/>
              <w:left w:val="single" w:sz="4" w:space="0" w:color="000000"/>
              <w:bottom w:val="single" w:sz="4" w:space="0" w:color="000000"/>
              <w:right w:val="single" w:sz="4" w:space="0" w:color="000000"/>
            </w:tcBorders>
          </w:tcPr>
          <w:p>
            <w:pPr/>
          </w:p>
        </w:tc>
        <w:tc>
          <w:tcPr>
            <w:tcW w:w="1367" w:type="dxa"/>
            <w:tcBorders>
              <w:top w:val="single" w:sz="10" w:space="0" w:color="000000"/>
              <w:left w:val="single" w:sz="4" w:space="0" w:color="000000"/>
              <w:bottom w:val="single" w:sz="4" w:space="0" w:color="000000"/>
              <w:right w:val="single" w:sz="4" w:space="0" w:color="000000"/>
            </w:tcBorders>
          </w:tcPr>
          <w:p>
            <w:pPr/>
          </w:p>
        </w:tc>
        <w:tc>
          <w:tcPr>
            <w:tcW w:w="2558" w:type="dxa"/>
            <w:tcBorders>
              <w:top w:val="single" w:sz="10" w:space="0" w:color="000000"/>
              <w:left w:val="single" w:sz="4" w:space="0" w:color="000000"/>
              <w:bottom w:val="single" w:sz="4" w:space="0" w:color="000000"/>
              <w:right w:val="single" w:sz="4" w:space="0" w:color="000000"/>
            </w:tcBorders>
          </w:tcPr>
          <w:p>
            <w:pPr>
              <w:pStyle w:val="TableParagraph"/>
              <w:spacing w:line="364" w:lineRule="auto" w:before="38"/>
              <w:ind w:left="22" w:right="95"/>
              <w:jc w:val="left"/>
              <w:rPr>
                <w:rFonts w:ascii="宋体" w:hAnsi="宋体" w:cs="宋体" w:eastAsia="宋体" w:hint="default"/>
                <w:sz w:val="18"/>
                <w:szCs w:val="18"/>
              </w:rPr>
            </w:pPr>
            <w:r>
              <w:rPr>
                <w:rFonts w:ascii="宋体" w:hAnsi="宋体" w:cs="宋体" w:eastAsia="宋体" w:hint="default"/>
                <w:sz w:val="18"/>
                <w:szCs w:val="18"/>
              </w:rPr>
              <w:t>与策划</w:t>
            </w:r>
            <w:r>
              <w:rPr>
                <w:rFonts w:ascii="宋体" w:hAnsi="宋体" w:cs="宋体" w:eastAsia="宋体" w:hint="default"/>
                <w:sz w:val="18"/>
                <w:szCs w:val="18"/>
              </w:rPr>
              <w:t>;</w:t>
            </w:r>
            <w:r>
              <w:rPr>
                <w:rFonts w:ascii="宋体" w:hAnsi="宋体" w:cs="宋体" w:eastAsia="宋体" w:hint="default"/>
                <w:sz w:val="18"/>
                <w:szCs w:val="18"/>
              </w:rPr>
              <w:t>电子商务策划</w:t>
            </w:r>
            <w:r>
              <w:rPr>
                <w:rFonts w:ascii="宋体" w:hAnsi="宋体" w:cs="宋体" w:eastAsia="宋体" w:hint="default"/>
                <w:sz w:val="18"/>
                <w:szCs w:val="18"/>
              </w:rPr>
              <w:t>;</w:t>
            </w:r>
            <w:r>
              <w:rPr>
                <w:rFonts w:ascii="宋体" w:hAnsi="宋体" w:cs="宋体" w:eastAsia="宋体" w:hint="default"/>
                <w:sz w:val="18"/>
                <w:szCs w:val="18"/>
              </w:rPr>
              <w:t>企业营 销策划</w:t>
            </w:r>
            <w:r>
              <w:rPr>
                <w:rFonts w:ascii="宋体" w:hAnsi="宋体" w:cs="宋体" w:eastAsia="宋体" w:hint="default"/>
                <w:sz w:val="18"/>
                <w:szCs w:val="18"/>
              </w:rPr>
              <w:t>;</w:t>
            </w:r>
            <w:r>
              <w:rPr>
                <w:rFonts w:ascii="宋体" w:hAnsi="宋体" w:cs="宋体" w:eastAsia="宋体" w:hint="default"/>
                <w:sz w:val="18"/>
                <w:szCs w:val="18"/>
              </w:rPr>
              <w:t>网络营销策划、企业形 象策划</w:t>
            </w:r>
            <w:r>
              <w:rPr>
                <w:rFonts w:ascii="宋体" w:hAnsi="宋体" w:cs="宋体" w:eastAsia="宋体" w:hint="default"/>
                <w:sz w:val="18"/>
                <w:szCs w:val="18"/>
              </w:rPr>
              <w:t>;</w:t>
            </w:r>
            <w:r>
              <w:rPr>
                <w:rFonts w:ascii="宋体" w:hAnsi="宋体" w:cs="宋体" w:eastAsia="宋体" w:hint="default"/>
                <w:sz w:val="18"/>
                <w:szCs w:val="18"/>
              </w:rPr>
              <w:t>企业管理咨询</w:t>
            </w:r>
            <w:r>
              <w:rPr>
                <w:rFonts w:ascii="宋体" w:hAnsi="宋体" w:cs="宋体" w:eastAsia="宋体" w:hint="default"/>
                <w:sz w:val="18"/>
                <w:szCs w:val="18"/>
              </w:rPr>
              <w:t>;</w:t>
            </w:r>
            <w:r>
              <w:rPr>
                <w:rFonts w:ascii="宋体" w:hAnsi="宋体" w:cs="宋体" w:eastAsia="宋体" w:hint="default"/>
                <w:sz w:val="18"/>
                <w:szCs w:val="18"/>
              </w:rPr>
              <w:t>市场营 销策划</w:t>
            </w:r>
            <w:r>
              <w:rPr>
                <w:rFonts w:ascii="宋体" w:hAnsi="宋体" w:cs="宋体" w:eastAsia="宋体" w:hint="default"/>
                <w:sz w:val="18"/>
                <w:szCs w:val="18"/>
              </w:rPr>
              <w:t>;</w:t>
            </w:r>
            <w:r>
              <w:rPr>
                <w:rFonts w:ascii="宋体" w:hAnsi="宋体" w:cs="宋体" w:eastAsia="宋体" w:hint="default"/>
                <w:sz w:val="18"/>
                <w:szCs w:val="18"/>
              </w:rPr>
              <w:t>企业宣传策划</w:t>
            </w:r>
            <w:r>
              <w:rPr>
                <w:rFonts w:ascii="宋体" w:hAnsi="宋体" w:cs="宋体" w:eastAsia="宋体" w:hint="default"/>
                <w:sz w:val="18"/>
                <w:szCs w:val="18"/>
              </w:rPr>
              <w:t>;</w:t>
            </w:r>
            <w:r>
              <w:rPr>
                <w:rFonts w:ascii="宋体" w:hAnsi="宋体" w:cs="宋体" w:eastAsia="宋体" w:hint="default"/>
                <w:sz w:val="18"/>
                <w:szCs w:val="18"/>
              </w:rPr>
              <w:t>会展服 务</w:t>
            </w:r>
            <w:r>
              <w:rPr>
                <w:rFonts w:ascii="宋体" w:hAnsi="宋体" w:cs="宋体" w:eastAsia="宋体" w:hint="default"/>
                <w:sz w:val="18"/>
                <w:szCs w:val="18"/>
              </w:rPr>
              <w:t>;</w:t>
            </w:r>
          </w:p>
        </w:tc>
        <w:tc>
          <w:tcPr>
            <w:tcW w:w="850" w:type="dxa"/>
            <w:tcBorders>
              <w:top w:val="single" w:sz="10" w:space="0" w:color="000000"/>
              <w:left w:val="single" w:sz="4" w:space="0" w:color="000000"/>
              <w:bottom w:val="single" w:sz="4" w:space="0" w:color="000000"/>
              <w:right w:val="single" w:sz="4" w:space="0" w:color="000000"/>
            </w:tcBorders>
          </w:tcPr>
          <w:p>
            <w:pPr/>
          </w:p>
        </w:tc>
        <w:tc>
          <w:tcPr>
            <w:tcW w:w="692" w:type="dxa"/>
            <w:tcBorders>
              <w:top w:val="single" w:sz="10" w:space="0" w:color="000000"/>
              <w:left w:val="single" w:sz="4" w:space="0" w:color="000000"/>
              <w:bottom w:val="single" w:sz="4" w:space="0" w:color="000000"/>
              <w:right w:val="single" w:sz="4" w:space="0" w:color="000000"/>
            </w:tcBorders>
          </w:tcPr>
          <w:p>
            <w:pPr/>
          </w:p>
        </w:tc>
        <w:tc>
          <w:tcPr>
            <w:tcW w:w="1366" w:type="dxa"/>
            <w:tcBorders>
              <w:top w:val="single" w:sz="10"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left="114" w:right="1360"/>
        <w:jc w:val="left"/>
        <w:rPr>
          <w:b w:val="0"/>
          <w:bCs w:val="0"/>
        </w:rPr>
      </w:pPr>
      <w:bookmarkStart w:name="（2）重要的非全资子公司" w:id="409"/>
      <w:bookmarkEnd w:id="409"/>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陕西永鑫纸业包装有限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528,481.34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11,033,936.33</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天津滨海环球印务有限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73,043.01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1,445,718.72</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霍尔果斯领凯网络科技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2,337,218.60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11,175,640.87</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500" w:bottom="1160" w:left="102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29"/>
          <w:footerReference w:type="default" r:id="rId30"/>
          <w:pgSz w:w="16840" w:h="11910" w:orient="landscape"/>
          <w:pgMar w:header="0" w:footer="0" w:top="760" w:bottom="0" w:left="1300" w:right="1300"/>
        </w:sectPr>
      </w:pPr>
    </w:p>
    <w:p>
      <w:pPr>
        <w:spacing w:line="240" w:lineRule="auto" w:before="2"/>
        <w:rPr>
          <w:rFonts w:ascii="宋体" w:hAnsi="宋体" w:cs="宋体" w:eastAsia="宋体" w:hint="default"/>
          <w:sz w:val="25"/>
          <w:szCs w:val="25"/>
        </w:rPr>
      </w:pPr>
    </w:p>
    <w:p>
      <w:pPr>
        <w:pStyle w:val="Heading4"/>
        <w:spacing w:line="240" w:lineRule="auto"/>
        <w:ind w:left="140" w:right="0"/>
        <w:jc w:val="left"/>
        <w:rPr>
          <w:b w:val="0"/>
          <w:bCs w:val="0"/>
        </w:rPr>
      </w:pPr>
      <w:r>
        <w:rPr/>
        <w:pict>
          <v:group style="position:absolute;margin-left:70.5pt;margin-top:.30366pt;width:701pt;height:.1pt;mso-position-horizontal-relative:page;mso-position-vertical-relative:paragraph;z-index:-798448" coordorigin="1410,6" coordsize="14020,2">
            <v:shape style="position:absolute;left:1410;top:6;width:14020;height:2" coordorigin="1410,6" coordsize="14020,0" path="m1410,6l15430,6e" filled="false" stroked="true" strokeweight=".72pt" strokecolor="#000000">
              <v:path arrowok="t"/>
            </v:shape>
            <w10:wrap type="none"/>
          </v:group>
        </w:pict>
      </w:r>
      <w:r>
        <w:rPr/>
        <w:pict>
          <v:shape style="position:absolute;margin-left:289.899994pt;margin-top:-35.206341pt;width:115.5pt;height:30.75pt;mso-position-horizontal-relative:page;mso-position-vertical-relative:paragraph;z-index:4168" type="#_x0000_t75" stroked="false">
            <v:imagedata r:id="rId6" o:title=""/>
          </v:shape>
        </w:pict>
      </w:r>
      <w:bookmarkStart w:name="（3）重要非全资子公司的主要财务信息" w:id="410"/>
      <w:bookmarkEnd w:id="410"/>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pStyle w:val="BodyText"/>
        <w:spacing w:line="240" w:lineRule="auto" w:before="44"/>
        <w:ind w:left="140" w:right="0"/>
        <w:jc w:val="left"/>
      </w:pPr>
      <w:r>
        <w:rPr/>
        <w:br w:type="column"/>
      </w:r>
      <w:r>
        <w:rPr/>
        <w:t>西安环球印务股份有限公司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after="0" w:line="240" w:lineRule="auto"/>
        <w:jc w:val="left"/>
        <w:sectPr>
          <w:type w:val="continuous"/>
          <w:pgSz w:w="16840" w:h="11910" w:orient="landscape"/>
          <w:pgMar w:top="1580" w:bottom="700" w:left="1300" w:right="1300"/>
          <w:cols w:num="2" w:equalWidth="0">
            <w:col w:w="6808" w:space="3282"/>
            <w:col w:w="4150"/>
          </w:cols>
        </w:sectPr>
      </w:pPr>
    </w:p>
    <w:p>
      <w:pPr>
        <w:spacing w:line="240" w:lineRule="auto" w:before="3"/>
        <w:rPr>
          <w:rFonts w:ascii="宋体" w:hAnsi="宋体" w:cs="宋体" w:eastAsia="宋体" w:hint="default"/>
          <w:sz w:val="23"/>
          <w:szCs w:val="23"/>
        </w:rPr>
      </w:pPr>
    </w:p>
    <w:p>
      <w:pPr>
        <w:pStyle w:val="BodyText"/>
        <w:spacing w:line="240" w:lineRule="auto" w:before="44"/>
        <w:ind w:left="0" w:right="235"/>
        <w:jc w:val="right"/>
      </w:pPr>
      <w:r>
        <w:rPr/>
        <w:t>单位： 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917"/>
        <w:gridCol w:w="1091"/>
        <w:gridCol w:w="1181"/>
        <w:gridCol w:w="1175"/>
        <w:gridCol w:w="1092"/>
        <w:gridCol w:w="914"/>
        <w:gridCol w:w="1091"/>
        <w:gridCol w:w="1091"/>
        <w:gridCol w:w="1182"/>
        <w:gridCol w:w="1181"/>
        <w:gridCol w:w="1091"/>
        <w:gridCol w:w="918"/>
        <w:gridCol w:w="1091"/>
      </w:tblGrid>
      <w:tr>
        <w:trPr>
          <w:trHeight w:val="402" w:hRule="exact"/>
        </w:trPr>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63" w:right="91" w:hanging="270"/>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654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55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917"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62" w:right="90" w:hanging="270"/>
              <w:jc w:val="left"/>
              <w:rPr>
                <w:rFonts w:ascii="宋体" w:hAnsi="宋体" w:cs="宋体" w:eastAsia="宋体" w:hint="default"/>
                <w:sz w:val="18"/>
                <w:szCs w:val="18"/>
              </w:rPr>
            </w:pPr>
            <w:r>
              <w:rPr>
                <w:rFonts w:ascii="宋体" w:hAnsi="宋体" w:cs="宋体" w:eastAsia="宋体" w:hint="default"/>
                <w:sz w:val="18"/>
                <w:szCs w:val="18"/>
              </w:rPr>
              <w:t>非流动负 债</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63" w:right="93" w:hanging="270"/>
              <w:jc w:val="left"/>
              <w:rPr>
                <w:rFonts w:ascii="宋体" w:hAnsi="宋体" w:cs="宋体" w:eastAsia="宋体" w:hint="default"/>
                <w:sz w:val="18"/>
                <w:szCs w:val="18"/>
              </w:rPr>
            </w:pPr>
            <w:r>
              <w:rPr>
                <w:rFonts w:ascii="宋体" w:hAnsi="宋体" w:cs="宋体" w:eastAsia="宋体" w:hint="default"/>
                <w:sz w:val="18"/>
                <w:szCs w:val="18"/>
              </w:rPr>
              <w:t>非流动负 债</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负债合计</w:t>
            </w:r>
          </w:p>
        </w:tc>
      </w:tr>
      <w:tr>
        <w:trPr>
          <w:trHeight w:val="1026"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陕西永鑫 纸业包装 有限公司</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36,462,909.38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33,683,999.62</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70,146,909.00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33,251,121.21</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33,367,121.21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40,701,154.60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21,793,046.28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62,494,200.88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27,477,845.87</w:t>
            </w:r>
          </w:p>
        </w:tc>
        <w:tc>
          <w:tcPr>
            <w:tcW w:w="91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27,477,845.87</w:t>
            </w:r>
          </w:p>
        </w:tc>
      </w:tr>
      <w:tr>
        <w:trPr>
          <w:trHeight w:val="1026"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天津滨海 环球印务 有限公司</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89,573,309.72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138,638,528.58</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228,211,838.30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35,449,342.31</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35,449,342.31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80,650,394.94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140,700,699.86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221,351,094.80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38,327,666.46</w:t>
            </w:r>
          </w:p>
        </w:tc>
        <w:tc>
          <w:tcPr>
            <w:tcW w:w="91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38,327,666.46</w:t>
            </w:r>
          </w:p>
        </w:tc>
      </w:tr>
      <w:tr>
        <w:trPr>
          <w:trHeight w:val="1338"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霍尔果斯 领凯网络 科技有限 公司</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55,215,443.69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9,994,051.59</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65,209,495.28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27,957,359.04</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27,957,359.04</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235"/>
        <w:jc w:val="right"/>
      </w:pPr>
      <w:r>
        <w:rPr/>
        <w:t>单位： 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554"/>
        <w:gridCol w:w="1553"/>
        <w:gridCol w:w="1556"/>
        <w:gridCol w:w="1558"/>
        <w:gridCol w:w="1562"/>
        <w:gridCol w:w="1555"/>
        <w:gridCol w:w="1556"/>
        <w:gridCol w:w="1556"/>
        <w:gridCol w:w="1564"/>
      </w:tblGrid>
      <w:tr>
        <w:trPr>
          <w:trHeight w:val="402" w:hRule="exact"/>
        </w:trPr>
        <w:tc>
          <w:tcPr>
            <w:tcW w:w="15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22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623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554" w:type="dxa"/>
            <w:vMerge/>
            <w:tcBorders>
              <w:left w:val="single" w:sz="4" w:space="0" w:color="000000"/>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
              <w:jc w:val="righ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
              <w:jc w:val="righ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714"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陕西永鑫纸业包装 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71,137,044.92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1,761,604.48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1,761,604.48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-14,954,690.47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45,794,211.38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-1,721,155.12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-1,721,155.12</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10,015,418.69</w:t>
            </w:r>
          </w:p>
        </w:tc>
      </w:tr>
      <w:tr>
        <w:trPr>
          <w:trHeight w:val="714"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天津滨海环球印务 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132,043,888.77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9,739,067.65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9,739,067.65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24,776,588.47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122,052,077.99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11,170,753.76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11,170,753.76</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-8,561,848.81</w:t>
            </w:r>
          </w:p>
        </w:tc>
      </w:tr>
      <w:tr>
        <w:trPr>
          <w:trHeight w:val="714"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霍尔果斯领凯网络 科技有限公司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59,424,335.50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7,790,728.68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7,790,728.68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-1,273,426.93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7"/>
        <w:rPr>
          <w:rFonts w:ascii="宋体" w:hAnsi="宋体" w:cs="宋体" w:eastAsia="宋体" w:hint="default"/>
          <w:sz w:val="17"/>
          <w:szCs w:val="17"/>
        </w:rPr>
      </w:pPr>
    </w:p>
    <w:p>
      <w:pPr>
        <w:pStyle w:val="BodyText"/>
        <w:spacing w:line="240" w:lineRule="auto" w:before="76"/>
        <w:ind w:left="0" w:right="136"/>
        <w:jc w:val="right"/>
        <w:rPr>
          <w:rFonts w:ascii="Times New Roman" w:hAnsi="Times New Roman" w:cs="Times New Roman" w:eastAsia="Times New Roman" w:hint="default"/>
        </w:rPr>
      </w:pPr>
      <w:r>
        <w:rPr>
          <w:rFonts w:ascii="Times New Roman"/>
        </w:rPr>
        <w:t>153</w: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15"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580" w:bottom="700" w:left="1300" w:right="1300"/>
        </w:sectPr>
      </w:pPr>
    </w:p>
    <w:p>
      <w:pPr>
        <w:spacing w:line="240" w:lineRule="auto" w:before="4"/>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right="940"/>
        <w:jc w:val="left"/>
        <w:rPr>
          <w:b w:val="0"/>
          <w:bCs w:val="0"/>
        </w:rPr>
      </w:pPr>
      <w:bookmarkStart w:name="（4）使用企业集团资产和清偿企业集团债务的重大限制" w:id="411"/>
      <w:bookmarkEnd w:id="411"/>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0"/>
        <w:jc w:val="left"/>
        <w:rPr>
          <w:b w:val="0"/>
          <w:bCs w:val="0"/>
        </w:rPr>
      </w:pPr>
      <w:bookmarkStart w:name="（5）向纳入合并财务报表范围的结构化主体提供的财务支持或其他支持" w:id="412"/>
      <w:bookmarkEnd w:id="412"/>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0"/>
        <w:jc w:val="left"/>
        <w:rPr>
          <w:b w:val="0"/>
          <w:bCs w:val="0"/>
        </w:rPr>
      </w:pPr>
      <w:bookmarkStart w:name="2、在子公司的所有者权益份额发生变化且仍控制子公司的交易" w:id="413"/>
      <w:bookmarkEnd w:id="413"/>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0"/>
        <w:jc w:val="left"/>
        <w:rPr>
          <w:b w:val="0"/>
          <w:bCs w:val="0"/>
        </w:rPr>
      </w:pPr>
      <w:bookmarkStart w:name="（1）在子公司所有者权益份额发生变化的情况说明" w:id="414"/>
      <w:bookmarkEnd w:id="414"/>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0"/>
        <w:jc w:val="left"/>
        <w:rPr>
          <w:b w:val="0"/>
          <w:bCs w:val="0"/>
        </w:rPr>
      </w:pPr>
      <w:bookmarkStart w:name="（2）交易对于少数股东权益及归属于母公司所有者权益的影响" w:id="415"/>
      <w:bookmarkEnd w:id="415"/>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0"/>
        <w:jc w:val="left"/>
        <w:rPr>
          <w:b w:val="0"/>
          <w:bCs w:val="0"/>
        </w:rPr>
      </w:pPr>
      <w:bookmarkStart w:name="3、在合营安排或联营企业中的权益" w:id="416"/>
      <w:bookmarkEnd w:id="416"/>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0"/>
        <w:jc w:val="left"/>
        <w:rPr>
          <w:b w:val="0"/>
          <w:bCs w:val="0"/>
        </w:rPr>
      </w:pPr>
      <w:bookmarkStart w:name="（1）重要的合营企业或联营企业" w:id="417"/>
      <w:bookmarkEnd w:id="417"/>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896"/>
        <w:gridCol w:w="994"/>
        <w:gridCol w:w="2550"/>
        <w:gridCol w:w="299"/>
        <w:gridCol w:w="729"/>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2" w:right="83" w:hanging="270"/>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5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23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2550" w:type="dxa"/>
            <w:vMerge/>
            <w:tcBorders>
              <w:left w:val="single" w:sz="4" w:space="0" w:color="000000"/>
              <w:bottom w:val="single" w:sz="4" w:space="0" w:color="000000"/>
              <w:right w:val="single" w:sz="4" w:space="0" w:color="000000"/>
            </w:tcBorders>
            <w:shd w:val="clear" w:color="auto" w:fill="D2D2D2"/>
          </w:tcPr>
          <w:p>
            <w:pPr/>
          </w:p>
        </w:tc>
        <w:tc>
          <w:tcPr>
            <w:tcW w:w="10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西安德宝药用包 装有限公司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陕西西安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9"/>
              <w:jc w:val="left"/>
              <w:rPr>
                <w:rFonts w:ascii="宋体" w:hAnsi="宋体" w:cs="宋体" w:eastAsia="宋体" w:hint="default"/>
                <w:sz w:val="18"/>
                <w:szCs w:val="18"/>
              </w:rPr>
            </w:pPr>
            <w:r>
              <w:rPr>
                <w:rFonts w:ascii="宋体" w:hAnsi="宋体" w:cs="宋体" w:eastAsia="宋体" w:hint="default"/>
                <w:sz w:val="18"/>
                <w:szCs w:val="18"/>
              </w:rPr>
              <w:t>西安市高新 区</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开发、生产、销售药用包装铝管</w:t>
            </w:r>
            <w:r>
              <w:rPr>
                <w:rFonts w:ascii="宋体" w:hAnsi="宋体" w:cs="宋体" w:eastAsia="宋体" w:hint="default"/>
                <w:sz w:val="18"/>
                <w:szCs w:val="18"/>
              </w:rPr>
              <w:t> 及相关包装材料产品</w:t>
            </w:r>
          </w:p>
        </w:tc>
        <w:tc>
          <w:tcPr>
            <w:tcW w:w="1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40" w:right="0"/>
              <w:jc w:val="left"/>
              <w:rPr>
                <w:rFonts w:ascii="Times New Roman" w:hAnsi="Times New Roman" w:cs="Times New Roman" w:eastAsia="Times New Roman" w:hint="default"/>
                <w:sz w:val="18"/>
                <w:szCs w:val="18"/>
              </w:rPr>
            </w:pPr>
            <w:r>
              <w:rPr>
                <w:rFonts w:ascii="Times New Roman"/>
                <w:sz w:val="18"/>
              </w:rPr>
              <w:t>46.00%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227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2" w:right="77"/>
              <w:jc w:val="left"/>
              <w:rPr>
                <w:rFonts w:ascii="宋体" w:hAnsi="宋体" w:cs="宋体" w:eastAsia="宋体" w:hint="default"/>
                <w:sz w:val="18"/>
                <w:szCs w:val="18"/>
              </w:rPr>
            </w:pPr>
            <w:r>
              <w:rPr>
                <w:rFonts w:ascii="宋体" w:hAnsi="宋体" w:cs="宋体" w:eastAsia="宋体" w:hint="default"/>
                <w:sz w:val="18"/>
                <w:szCs w:val="18"/>
              </w:rPr>
              <w:t>上海久旭环保科 技股份有限公司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2" w:right="59"/>
              <w:jc w:val="left"/>
              <w:rPr>
                <w:rFonts w:ascii="宋体" w:hAnsi="宋体" w:cs="宋体" w:eastAsia="宋体" w:hint="default"/>
                <w:sz w:val="18"/>
                <w:szCs w:val="18"/>
              </w:rPr>
            </w:pPr>
            <w:r>
              <w:rPr>
                <w:rFonts w:ascii="宋体" w:hAnsi="宋体" w:cs="宋体" w:eastAsia="宋体" w:hint="default"/>
                <w:sz w:val="18"/>
                <w:szCs w:val="18"/>
              </w:rPr>
              <w:t>上海市普陀 区</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
              <w:jc w:val="left"/>
              <w:rPr>
                <w:rFonts w:ascii="宋体" w:hAnsi="宋体" w:cs="宋体" w:eastAsia="宋体" w:hint="default"/>
                <w:sz w:val="18"/>
                <w:szCs w:val="18"/>
              </w:rPr>
            </w:pPr>
            <w:r>
              <w:rPr>
                <w:rFonts w:ascii="宋体" w:hAnsi="宋体" w:cs="宋体" w:eastAsia="宋体" w:hint="default"/>
                <w:spacing w:val="-8"/>
                <w:sz w:val="18"/>
                <w:szCs w:val="18"/>
              </w:rPr>
              <w:t>环保、印务、计算机、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通信、电子、生物、新媒体、农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业科技的技术开发、转让、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服务，计算机技术开发与销售， </w:t>
            </w:r>
            <w:r>
              <w:rPr>
                <w:rFonts w:ascii="宋体" w:hAnsi="宋体" w:cs="宋体" w:eastAsia="宋体" w:hint="default"/>
                <w:spacing w:val="-5"/>
                <w:sz w:val="18"/>
                <w:szCs w:val="18"/>
              </w:rPr>
              <w:t>计算机、电子产品等销售，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通信、电子设备等安装、销售， 商务咨询，进出口业务</w:t>
            </w:r>
          </w:p>
        </w:tc>
        <w:tc>
          <w:tcPr>
            <w:tcW w:w="299" w:type="dxa"/>
            <w:tcBorders>
              <w:top w:val="single" w:sz="4" w:space="0" w:color="000000"/>
              <w:left w:val="single" w:sz="4" w:space="0" w:color="000000"/>
              <w:bottom w:val="single" w:sz="4" w:space="0" w:color="000000"/>
              <w:right w:val="nil" w:sz="6" w:space="0" w:color="auto"/>
            </w:tcBorders>
          </w:tcPr>
          <w:p>
            <w:pPr/>
          </w:p>
        </w:tc>
        <w:tc>
          <w:tcPr>
            <w:tcW w:w="72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940"/>
        <w:jc w:val="left"/>
      </w:pPr>
      <w:r>
        <w:rPr/>
        <w:pict>
          <v:shape style="position:absolute;margin-left:305.429016pt;margin-top:-113.738289pt;width:93.05pt;height:46.85pt;mso-position-horizontal-relative:page;mso-position-vertical-relative:paragraph;z-index:-798376" type="#_x0000_t202" filled="false" stroked="false">
            <v:textbox inset="0,0,0,0">
              <w:txbxContent>
                <w:p>
                  <w:pPr>
                    <w:pStyle w:val="BodyText"/>
                    <w:spacing w:line="240" w:lineRule="auto" w:before="51"/>
                    <w:ind w:left="0" w:right="0"/>
                    <w:jc w:val="left"/>
                  </w:pPr>
                  <w:r>
                    <w:rPr/>
                    <w:t>网络信息、</w:t>
                  </w:r>
                </w:p>
                <w:p>
                  <w:pPr>
                    <w:spacing w:line="240" w:lineRule="auto" w:before="0"/>
                    <w:rPr>
                      <w:rFonts w:ascii="宋体" w:hAnsi="宋体" w:cs="宋体" w:eastAsia="宋体" w:hint="default"/>
                      <w:sz w:val="18"/>
                      <w:szCs w:val="18"/>
                    </w:rPr>
                  </w:pPr>
                </w:p>
                <w:p>
                  <w:pPr>
                    <w:pStyle w:val="BodyText"/>
                    <w:spacing w:line="240" w:lineRule="auto" w:before="152"/>
                    <w:ind w:left="359" w:right="0"/>
                    <w:jc w:val="left"/>
                  </w:pPr>
                  <w:r>
                    <w:rPr/>
                    <w:t>咨询、</w:t>
                  </w:r>
                </w:p>
              </w:txbxContent>
            </v:textbox>
            <w10:wrap type="none"/>
          </v:shape>
        </w:pict>
      </w:r>
      <w:r>
        <w:rPr/>
        <w:pict>
          <v:shape style="position:absolute;margin-left:323.420013pt;margin-top:-47.358292pt;width:75.05pt;height:46.8pt;mso-position-horizontal-relative:page;mso-position-vertical-relative:paragraph;z-index:-798352" type="#_x0000_t202" filled="false" stroked="false">
            <v:textbox inset="0,0,0,0">
              <w:txbxContent>
                <w:p>
                  <w:pPr>
                    <w:pStyle w:val="BodyText"/>
                    <w:spacing w:line="207" w:lineRule="exact"/>
                    <w:ind w:left="0" w:right="0"/>
                    <w:jc w:val="left"/>
                  </w:pPr>
                  <w:r>
                    <w:rPr/>
                    <w:t>智能、</w:t>
                  </w:r>
                </w:p>
              </w:txbxContent>
            </v:textbox>
            <w10:wrap type="none"/>
          </v:shape>
        </w:pict>
      </w:r>
      <w:r>
        <w:rPr/>
        <w:pict>
          <v:group style="position:absolute;margin-left:347.619995pt;margin-top:-113.738289pt;width:50.85pt;height:46.85pt;mso-position-horizontal-relative:page;mso-position-vertical-relative:paragraph;z-index:-798328" coordorigin="6952,-2275" coordsize="1017,937">
            <v:shape style="position:absolute;left:6952;top:-2275;width:1017;height:937" coordorigin="6952,-2275" coordsize="1017,937" path="m6952,-1338l7969,-1338,7969,-2275,6952,-2275,6952,-1338xe" filled="true" fillcolor="#ffffff" stroked="false">
              <v:path arrowok="t"/>
              <v:fill type="solid"/>
            </v:shape>
            <w10:wrap type="none"/>
          </v:group>
        </w:pict>
      </w:r>
      <w:r>
        <w:rPr/>
        <w:pict>
          <v:group style="position:absolute;margin-left:347.619995pt;margin-top:-47.358292pt;width:50.85pt;height:46.8pt;mso-position-horizontal-relative:page;mso-position-vertical-relative:paragraph;z-index:-798304" coordorigin="6952,-947" coordsize="1017,936">
            <v:shape style="position:absolute;left:6952;top:-947;width:1017;height:936" coordorigin="6952,-947" coordsize="1017,936" path="m6952,-11l7969,-11,7969,-947,6952,-947,6952,-11xe" filled="true" fillcolor="#ffffff" stroked="false">
              <v:path arrowok="t"/>
              <v:fill type="solid"/>
            </v:shape>
            <w10:wrap type="none"/>
          </v:group>
        </w:pict>
      </w:r>
      <w:r>
        <w:rPr/>
        <w:t>在合营企业或联营企业的持股比例不同于表决权比例的说明：</w:t>
      </w:r>
    </w:p>
    <w:p>
      <w:pPr>
        <w:pStyle w:val="BodyText"/>
        <w:spacing w:line="240" w:lineRule="auto" w:before="116"/>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40"/>
        <w:jc w:val="left"/>
        <w:rPr>
          <w:b w:val="0"/>
          <w:bCs w:val="0"/>
        </w:rPr>
      </w:pPr>
      <w:bookmarkStart w:name="（2）重要合营企业的主要财务信息" w:id="418"/>
      <w:bookmarkEnd w:id="418"/>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40"/>
        <w:jc w:val="left"/>
        <w:rPr>
          <w:b w:val="0"/>
          <w:bCs w:val="0"/>
        </w:rPr>
      </w:pPr>
      <w:bookmarkStart w:name="（3）重要联营企业的主要财务信息" w:id="419"/>
      <w:bookmarkEnd w:id="419"/>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西安德宝药用包装有限公司</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74,221,127.27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55,856,838.85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45,194,087.02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50,595,379.20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119,415,214.29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106,452,218.05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16,671,481.48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17,033,294.89</w:t>
            </w:r>
          </w:p>
        </w:tc>
      </w:tr>
    </w:tbl>
    <w:p>
      <w:pPr>
        <w:spacing w:after="0" w:line="240" w:lineRule="auto"/>
        <w:jc w:val="right"/>
        <w:rPr>
          <w:rFonts w:ascii="Times New Roman" w:hAnsi="Times New Roman" w:cs="Times New Roman" w:eastAsia="Times New Roman" w:hint="default"/>
          <w:sz w:val="18"/>
          <w:szCs w:val="18"/>
        </w:rPr>
        <w:sectPr>
          <w:footerReference w:type="default" r:id="rId31"/>
          <w:pgSz w:w="11910" w:h="16840"/>
          <w:pgMar w:footer="979" w:header="0" w:top="1500" w:bottom="1160" w:left="980" w:right="0"/>
          <w:pgNumType w:start="154"/>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90"/>
      </w:tblGrid>
      <w:tr>
        <w:trPr>
          <w:trHeight w:val="414" w:hRule="exact"/>
        </w:trPr>
        <w:tc>
          <w:tcPr>
            <w:tcW w:w="319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763,200.00</w:t>
            </w:r>
          </w:p>
        </w:tc>
        <w:tc>
          <w:tcPr>
            <w:tcW w:w="3190"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17,434,681.48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17,033,294.89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46,911,045.09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41,132,732.95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46,911,045.09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41,132,732.95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70,913,680.40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64,677,638.62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12,561,609.65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11,374,332.35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12,561,609.65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11,374,332.35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2,210,308.58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4,798,418.33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35"/>
        <w:ind w:left="114" w:right="1360"/>
        <w:jc w:val="left"/>
        <w:rPr>
          <w:b w:val="0"/>
          <w:bCs w:val="0"/>
        </w:rPr>
      </w:pPr>
      <w:bookmarkStart w:name="（4）不重要的合营企业和联营企业的汇总财务信息" w:id="420"/>
      <w:bookmarkEnd w:id="420"/>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14" w:right="1360"/>
        <w:jc w:val="left"/>
        <w:rPr>
          <w:b w:val="0"/>
          <w:bCs w:val="0"/>
        </w:rPr>
      </w:pPr>
      <w:bookmarkStart w:name="（5）合营企业或联营企业向本公司转移资金的能力存在重大限制的说" w:id="421"/>
      <w:bookmarkEnd w:id="421"/>
      <w:r>
        <w:rPr>
          <w:b w:val="0"/>
          <w:bCs w:val="0"/>
        </w:rPr>
      </w:r>
      <w:r>
        <w:rPr/>
        <w:t>（</w:t>
      </w:r>
      <w:r>
        <w:rPr>
          <w:rFonts w:ascii="Times New Roman" w:hAnsi="Times New Roman" w:cs="Times New Roman" w:eastAsia="Times New Roman" w:hint="default"/>
        </w:rPr>
        <w:t>5</w:t>
      </w:r>
      <w:r>
        <w:rPr/>
        <w:t>）合营企业或联营企业向本公司转移资金的能力存在重大限制的说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14" w:right="1360"/>
        <w:jc w:val="left"/>
        <w:rPr>
          <w:b w:val="0"/>
          <w:bCs w:val="0"/>
        </w:rPr>
      </w:pPr>
      <w:bookmarkStart w:name="（6）合营企业或联营企业发生的超额亏损" w:id="422"/>
      <w:bookmarkEnd w:id="422"/>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4" w:right="1360"/>
        <w:jc w:val="left"/>
        <w:rPr>
          <w:b w:val="0"/>
          <w:bCs w:val="0"/>
        </w:rPr>
      </w:pPr>
      <w:bookmarkStart w:name="（7）与合营企业投资相关的未确认承诺" w:id="423"/>
      <w:bookmarkEnd w:id="423"/>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4" w:right="1360"/>
        <w:jc w:val="left"/>
        <w:rPr>
          <w:b w:val="0"/>
          <w:bCs w:val="0"/>
        </w:rPr>
      </w:pPr>
      <w:bookmarkStart w:name="（8）与合营企业或联营企业投资相关的或有负债" w:id="424"/>
      <w:bookmarkEnd w:id="424"/>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4" w:right="1360"/>
        <w:jc w:val="left"/>
        <w:rPr>
          <w:b w:val="0"/>
          <w:bCs w:val="0"/>
        </w:rPr>
      </w:pPr>
      <w:bookmarkStart w:name="4、重要的共同经营" w:id="425"/>
      <w:bookmarkEnd w:id="425"/>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4" w:right="1360"/>
        <w:jc w:val="left"/>
        <w:rPr>
          <w:b w:val="0"/>
          <w:bCs w:val="0"/>
        </w:rPr>
      </w:pPr>
      <w:bookmarkStart w:name="5、在未纳入合并财务报表范围的结构化主体中的权益" w:id="426"/>
      <w:bookmarkEnd w:id="426"/>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0" w:footer="979" w:top="1500" w:bottom="1160" w:left="102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6、其他" w:id="427"/>
      <w:bookmarkEnd w:id="427"/>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940"/>
        <w:jc w:val="left"/>
        <w:rPr>
          <w:b w:val="0"/>
          <w:bCs w:val="0"/>
        </w:rPr>
      </w:pPr>
      <w:bookmarkStart w:name="十、与金融工具相关的风险" w:id="428"/>
      <w:bookmarkEnd w:id="428"/>
      <w:r>
        <w:rPr>
          <w:b w:val="0"/>
          <w:bCs w:val="0"/>
        </w:rPr>
      </w:r>
      <w:r>
        <w:rPr/>
        <w:t>十、与金融工具相关的风险</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40"/>
        <w:jc w:val="left"/>
        <w:rPr>
          <w:b w:val="0"/>
          <w:bCs w:val="0"/>
        </w:rPr>
      </w:pPr>
      <w:bookmarkStart w:name="十一、公允价值的披露" w:id="429"/>
      <w:bookmarkEnd w:id="429"/>
      <w:r>
        <w:rPr>
          <w:b w:val="0"/>
          <w:bCs w:val="0"/>
        </w:rPr>
      </w:r>
      <w:r>
        <w:rPr/>
        <w:t>十一、公允价值的披露</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40"/>
        <w:jc w:val="left"/>
        <w:rPr>
          <w:b w:val="0"/>
          <w:bCs w:val="0"/>
        </w:rPr>
      </w:pPr>
      <w:bookmarkStart w:name="十二、关联方及关联交易" w:id="430"/>
      <w:bookmarkEnd w:id="430"/>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0"/>
        <w:jc w:val="left"/>
        <w:rPr>
          <w:b w:val="0"/>
          <w:bCs w:val="0"/>
        </w:rPr>
      </w:pPr>
      <w:r>
        <w:rPr/>
        <w:pict>
          <v:shape style="position:absolute;margin-left:224.957001pt;margin-top:67.523666pt;width:150.4pt;height:78pt;mso-position-horizontal-relative:page;mso-position-vertical-relative:paragraph;z-index:-7982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0" w:right="0"/>
                    <w:jc w:val="left"/>
                  </w:pPr>
                  <w:r>
                    <w:rPr/>
                    <w:t>医疗器械的展览展销；</w:t>
                  </w:r>
                </w:p>
              </w:txbxContent>
            </v:textbox>
            <w10:wrap type="none"/>
          </v:shape>
        </w:pict>
      </w:r>
      <w:bookmarkStart w:name="1、本企业的母公司情况" w:id="431"/>
      <w:bookmarkEnd w:id="431"/>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099"/>
        <w:gridCol w:w="2410"/>
        <w:gridCol w:w="1273"/>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352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319" w:lineRule="auto"/>
              <w:ind w:left="22" w:right="120"/>
              <w:jc w:val="left"/>
              <w:rPr>
                <w:rFonts w:ascii="宋体" w:hAnsi="宋体" w:cs="宋体" w:eastAsia="宋体" w:hint="default"/>
                <w:sz w:val="18"/>
                <w:szCs w:val="18"/>
              </w:rPr>
            </w:pPr>
            <w:r>
              <w:rPr>
                <w:rFonts w:ascii="宋体" w:hAnsi="宋体" w:cs="宋体" w:eastAsia="宋体" w:hint="default"/>
                <w:sz w:val="18"/>
                <w:szCs w:val="18"/>
              </w:rPr>
              <w:t>陕西医药控股集团 有限责任公司</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319" w:lineRule="auto"/>
              <w:ind w:left="22" w:right="164"/>
              <w:jc w:val="left"/>
              <w:rPr>
                <w:rFonts w:ascii="宋体" w:hAnsi="宋体" w:cs="宋体" w:eastAsia="宋体" w:hint="default"/>
                <w:sz w:val="18"/>
                <w:szCs w:val="18"/>
              </w:rPr>
            </w:pPr>
            <w:r>
              <w:rPr>
                <w:rFonts w:ascii="宋体" w:hAnsi="宋体" w:cs="宋体" w:eastAsia="宋体" w:hint="default"/>
                <w:sz w:val="18"/>
                <w:szCs w:val="18"/>
              </w:rPr>
              <w:t>西安市高新 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医药及相关产业投资、医药企 业受托管理、资产重组；医药 实业投资项目的咨询服务；办 理药品、 中西药品、生物制品、医药保 健品的开发研制；医药行业的 人员上岗培训</w:t>
            </w:r>
            <w:r>
              <w:rPr>
                <w:rFonts w:ascii="Times New Roman" w:hAnsi="Times New Roman" w:cs="Times New Roman" w:eastAsia="Times New Roman" w:hint="default"/>
                <w:sz w:val="18"/>
                <w:szCs w:val="18"/>
              </w:rPr>
              <w:t>(</w:t>
            </w:r>
            <w:r>
              <w:rPr>
                <w:rFonts w:ascii="宋体" w:hAnsi="宋体" w:cs="宋体" w:eastAsia="宋体" w:hint="default"/>
                <w:sz w:val="18"/>
                <w:szCs w:val="18"/>
              </w:rPr>
              <w:t>上述范围中国 家法律、行政法规和国务院决 定规定必须报经批准的，凭许 可证在有效期内经营；未经批 准不得从事经营活动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1560" w:lineRule="exact"/>
              <w:ind w:right="-51"/>
              <w:jc w:val="left"/>
              <w:rPr>
                <w:rFonts w:ascii="宋体" w:hAnsi="宋体" w:cs="宋体" w:eastAsia="宋体" w:hint="default"/>
                <w:sz w:val="20"/>
                <w:szCs w:val="20"/>
              </w:rPr>
            </w:pPr>
            <w:r>
              <w:rPr>
                <w:rFonts w:ascii="宋体" w:hAnsi="宋体" w:cs="宋体" w:eastAsia="宋体" w:hint="default"/>
                <w:position w:val="-30"/>
                <w:sz w:val="20"/>
                <w:szCs w:val="20"/>
              </w:rPr>
              <w:pict>
                <v:group style="width:63.2pt;height:78pt;mso-position-horizontal-relative:char;mso-position-vertical-relative:line" coordorigin="0,0" coordsize="1264,1560">
                  <v:group style="position:absolute;left:0;top:0;width:1264;height:1560" coordorigin="0,0" coordsize="1264,1560">
                    <v:shape style="position:absolute;left:0;top:0;width:1264;height:1560" coordorigin="0,0" coordsize="1264,1560" path="m0,1560l1264,1560,1264,0,0,0,0,1560xe" filled="true" fillcolor="#ffffff" stroked="false">
                      <v:path arrowok="t"/>
                      <v:fill type="solid"/>
                    </v:shape>
                  </v:group>
                </v:group>
              </w:pict>
            </w:r>
            <w:r>
              <w:rPr>
                <w:rFonts w:ascii="宋体" w:hAnsi="宋体" w:cs="宋体" w:eastAsia="宋体" w:hint="default"/>
                <w:position w:val="-30"/>
                <w:sz w:val="20"/>
                <w:szCs w:val="20"/>
              </w:rPr>
            </w:r>
          </w:p>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167,100.00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46.25%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46.25%</w:t>
            </w:r>
          </w:p>
        </w:tc>
      </w:tr>
    </w:tbl>
    <w:p>
      <w:pPr>
        <w:pStyle w:val="BodyText"/>
        <w:spacing w:line="360" w:lineRule="auto" w:before="51"/>
        <w:ind w:right="7872"/>
        <w:jc w:val="left"/>
      </w:pPr>
      <w:r>
        <w:rPr/>
        <w:t>本企业的母公司情况的说明 本企业最终控制方是陕西省国资委。</w:t>
      </w:r>
    </w:p>
    <w:p>
      <w:pPr>
        <w:spacing w:line="240" w:lineRule="auto" w:before="11"/>
        <w:rPr>
          <w:rFonts w:ascii="宋体" w:hAnsi="宋体" w:cs="宋体" w:eastAsia="宋体" w:hint="default"/>
          <w:sz w:val="19"/>
          <w:szCs w:val="19"/>
        </w:rPr>
      </w:pPr>
    </w:p>
    <w:p>
      <w:pPr>
        <w:pStyle w:val="Heading4"/>
        <w:spacing w:line="240" w:lineRule="auto"/>
        <w:ind w:right="940"/>
        <w:jc w:val="left"/>
        <w:rPr>
          <w:b w:val="0"/>
          <w:bCs w:val="0"/>
        </w:rPr>
      </w:pPr>
      <w:bookmarkStart w:name="2、本企业的子公司情况" w:id="432"/>
      <w:bookmarkEnd w:id="432"/>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right="1117"/>
        <w:jc w:val="left"/>
      </w:pPr>
      <w:r>
        <w:rPr/>
        <w:t>本企业子公司的情况详见附注</w:t>
      </w:r>
      <w:r>
        <w:rPr>
          <w:rFonts w:ascii="Times New Roman" w:hAnsi="Times New Roman" w:cs="Times New Roman" w:eastAsia="Times New Roman" w:hint="default"/>
        </w:rPr>
        <w:t>“</w:t>
      </w:r>
      <w:r>
        <w:rPr/>
        <w:t>第十一节</w:t>
      </w:r>
      <w:r>
        <w:rPr>
          <w:spacing w:val="-14"/>
        </w:rPr>
        <w:t> </w:t>
      </w:r>
      <w:r>
        <w:rPr/>
        <w:t>财务报告</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之</w:t>
      </w:r>
      <w:r>
        <w:rPr>
          <w:rFonts w:ascii="Times New Roman" w:hAnsi="Times New Roman" w:cs="Times New Roman" w:eastAsia="Times New Roman" w:hint="default"/>
        </w:rPr>
        <w:t>“1</w:t>
      </w:r>
      <w:r>
        <w:rPr/>
        <w:t>、在子公司中的权益</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t>）企业集 团的构成</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21"/>
          <w:szCs w:val="21"/>
        </w:rPr>
      </w:pPr>
    </w:p>
    <w:p>
      <w:pPr>
        <w:pStyle w:val="Heading4"/>
        <w:spacing w:line="240" w:lineRule="auto"/>
        <w:ind w:right="940"/>
        <w:jc w:val="left"/>
        <w:rPr>
          <w:b w:val="0"/>
          <w:bCs w:val="0"/>
        </w:rPr>
      </w:pPr>
      <w:bookmarkStart w:name="3、本企业合营和联营企业情况" w:id="433"/>
      <w:bookmarkEnd w:id="433"/>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right="1174"/>
        <w:jc w:val="left"/>
      </w:pPr>
      <w:r>
        <w:rPr/>
        <w:t>本企业重要的合营或联营企业详见附注</w:t>
      </w:r>
      <w:r>
        <w:rPr>
          <w:rFonts w:ascii="Times New Roman" w:hAnsi="Times New Roman" w:cs="Times New Roman" w:eastAsia="Times New Roman" w:hint="default"/>
        </w:rPr>
        <w:t>“</w:t>
      </w:r>
      <w:r>
        <w:rPr/>
        <w:t>第十一节</w:t>
      </w:r>
      <w:r>
        <w:rPr>
          <w:spacing w:val="-2"/>
        </w:rPr>
        <w:t> </w:t>
      </w:r>
      <w:r>
        <w:rPr/>
        <w:t>财务报告</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之</w:t>
      </w:r>
      <w:r>
        <w:rPr>
          <w:rFonts w:ascii="Times New Roman" w:hAnsi="Times New Roman" w:cs="Times New Roman" w:eastAsia="Times New Roman" w:hint="default"/>
        </w:rPr>
        <w:t>“3</w:t>
      </w:r>
      <w:r>
        <w:rPr/>
        <w:t>、在合营安排或联营企业中 的权益</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t>）重要的合营企业或联营企业</w:t>
      </w:r>
      <w:r>
        <w:rPr>
          <w:rFonts w:ascii="Times New Roman" w:hAnsi="Times New Roman" w:cs="Times New Roman" w:eastAsia="Times New Roman" w:hint="default"/>
        </w:rPr>
        <w:t>”</w:t>
      </w:r>
      <w:r>
        <w:rPr/>
        <w:t>。</w:t>
      </w:r>
    </w:p>
    <w:p>
      <w:pPr>
        <w:pStyle w:val="BodyText"/>
        <w:spacing w:line="240" w:lineRule="auto" w:before="52"/>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0"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4、其他关联方情况" w:id="434"/>
      <w:bookmarkEnd w:id="434"/>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香港原石国际有限公司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比特（香港）投资有限公司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厦门吉宏包装科技股份有限公司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金湖县行千里网络传媒服务中心（普通合伙）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陕西医药控股集团新药技术开发有限公司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陕西医药控股集团实业开发有限责任公司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陕西医药控股集团中药产业投资有限责任公司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陕西医药控股集团山海丹药业有限责任公司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山海丹企业集团公司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陕西孙思邈健康有限责任公司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陕西医药控股集团天宁制药有限责任公司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陕西医药控股集团派昂医药有限责任公司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陕西医药产业投资管理有限公司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陕西医药控股医药研究院有限公司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陕西中药研究所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陕西医药控股集团生物制品有限公司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同受控股股东实质控制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西安海欣制药有限公司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受控股股东重大影响</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西安正大制药有限公司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受控股股东重大影响</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国药控股陕西有限公司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受控股股东重大影响</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西安杨森制药有限公司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受控股股东重大影响</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陕西汉江药业集团股份有限公司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受控股股东重大影响</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陕西省外经贸实业集团有限公司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受控股股东重大影响</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陕西孙思邈高新制药有限公司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受控股股东重大影响</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陕西省产业扶贫投资开发有限公司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受控股股东重大影响</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西安尊泽商贸有限公司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高管投资公司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上海久日投资管理有限公司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董事投资公司</w:t>
            </w:r>
          </w:p>
        </w:tc>
      </w:tr>
    </w:tbl>
    <w:p>
      <w:pPr>
        <w:spacing w:line="240" w:lineRule="auto" w:before="2"/>
        <w:rPr>
          <w:rFonts w:ascii="宋体" w:hAnsi="宋体" w:cs="宋体" w:eastAsia="宋体" w:hint="default"/>
          <w:b/>
          <w:bCs/>
          <w:sz w:val="19"/>
          <w:szCs w:val="19"/>
        </w:rPr>
      </w:pPr>
    </w:p>
    <w:p>
      <w:pPr>
        <w:pStyle w:val="Heading4"/>
        <w:spacing w:line="240" w:lineRule="auto" w:before="35"/>
        <w:ind w:right="940"/>
        <w:jc w:val="left"/>
        <w:rPr>
          <w:b w:val="0"/>
          <w:bCs w:val="0"/>
        </w:rPr>
      </w:pPr>
      <w:bookmarkStart w:name="5、关联交易情况" w:id="435"/>
      <w:bookmarkEnd w:id="435"/>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0"/>
        <w:jc w:val="left"/>
        <w:rPr>
          <w:b w:val="0"/>
          <w:bCs w:val="0"/>
        </w:rPr>
      </w:pPr>
      <w:bookmarkStart w:name="（1）购销商品、提供和接受劳务的关联交易" w:id="436"/>
      <w:bookmarkEnd w:id="436"/>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4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after="0" w:line="240" w:lineRule="auto"/>
        <w:jc w:val="right"/>
        <w:sectPr>
          <w:pgSz w:w="11910" w:h="16840"/>
          <w:pgMar w:header="0" w:footer="979" w:top="1500" w:bottom="1160" w:left="980" w:right="0"/>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9" w:hRule="exact"/>
        </w:trPr>
        <w:tc>
          <w:tcPr>
            <w:tcW w:w="154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西安海欣制药有限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仓储管理费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424,800.00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400,754.70</w:t>
            </w: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陕西医药控股集团 实业开发有限责任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8"/>
              <w:jc w:val="both"/>
              <w:rPr>
                <w:rFonts w:ascii="宋体" w:hAnsi="宋体" w:cs="宋体" w:eastAsia="宋体" w:hint="default"/>
                <w:sz w:val="18"/>
                <w:szCs w:val="18"/>
              </w:rPr>
            </w:pPr>
            <w:r>
              <w:rPr>
                <w:rFonts w:ascii="宋体" w:hAnsi="宋体" w:cs="宋体" w:eastAsia="宋体" w:hint="default"/>
                <w:sz w:val="18"/>
                <w:szCs w:val="18"/>
              </w:rPr>
              <w:t>购买生产用水和 供暖用蒸汽及其 他服务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881,100.36</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731,847.85</w:t>
            </w:r>
          </w:p>
        </w:tc>
      </w:tr>
    </w:tbl>
    <w:p>
      <w:pPr>
        <w:pStyle w:val="BodyText"/>
        <w:spacing w:line="240" w:lineRule="auto" w:before="51"/>
        <w:ind w:left="114" w:right="136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西安杨森制药有限公司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23,732,143.91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22,869,565.00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西安海欣制药有限公司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822,203.34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967,732.56</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陕西医药控股集团天宁制药有 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112,762.15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64,948.91</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西安德宝药用包装有限公司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64,510.10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陕西医药控股集团实业开发有 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344,184.32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1,375,183.93</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陕西医药控股集团派昂医药有 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220,405.47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69,084.96</w:t>
            </w:r>
          </w:p>
        </w:tc>
      </w:tr>
    </w:tbl>
    <w:p>
      <w:pPr>
        <w:pStyle w:val="BodyText"/>
        <w:spacing w:line="240" w:lineRule="auto" w:before="51"/>
        <w:ind w:left="114" w:right="136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left="114" w:right="1360"/>
        <w:jc w:val="left"/>
        <w:rPr>
          <w:b w:val="0"/>
          <w:bCs w:val="0"/>
        </w:rPr>
      </w:pPr>
      <w:bookmarkStart w:name="（2）关联受托管理/承包及委托管理/出包情况" w:id="437"/>
      <w:bookmarkEnd w:id="437"/>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4" w:right="1360"/>
        <w:jc w:val="left"/>
        <w:rPr>
          <w:b w:val="0"/>
          <w:bCs w:val="0"/>
        </w:rPr>
      </w:pPr>
      <w:bookmarkStart w:name="（3）关联租赁情况" w:id="438"/>
      <w:bookmarkEnd w:id="438"/>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4" w:right="1360"/>
        <w:jc w:val="left"/>
        <w:rPr>
          <w:b w:val="0"/>
          <w:bCs w:val="0"/>
        </w:rPr>
      </w:pPr>
      <w:bookmarkStart w:name="（4）关联担保情况" w:id="439"/>
      <w:bookmarkEnd w:id="439"/>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4" w:right="1360"/>
        <w:jc w:val="left"/>
      </w:pPr>
      <w:r>
        <w:rPr/>
        <w:t>本公司作为担保方</w:t>
      </w:r>
    </w:p>
    <w:p>
      <w:pPr>
        <w:pStyle w:val="BodyText"/>
        <w:spacing w:line="240" w:lineRule="auto" w:before="116"/>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left="114" w:right="1360"/>
        <w:jc w:val="left"/>
      </w:pPr>
      <w:r>
        <w:rPr/>
        <w:t>本公司作为被担保方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陕西医药控股集团有限 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7"/>
              <w:jc w:val="center"/>
              <w:rPr>
                <w:rFonts w:ascii="宋体" w:hAnsi="宋体" w:cs="宋体" w:eastAsia="宋体" w:hint="default"/>
                <w:sz w:val="18"/>
                <w:szCs w:val="18"/>
              </w:rPr>
            </w:pPr>
            <w:r>
              <w:rPr>
                <w:rFonts w:ascii="宋体" w:hAnsi="宋体" w:cs="宋体" w:eastAsia="宋体" w:hint="default"/>
                <w:sz w:val="18"/>
                <w:szCs w:val="18"/>
              </w:rPr>
              <w:t>陕西医药控股集团有限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979" w:top="1500" w:bottom="1160" w:left="1020" w:right="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373" w:hRule="exact"/>
        </w:trPr>
        <w:tc>
          <w:tcPr>
            <w:tcW w:w="191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916" w:type="dxa"/>
            <w:tcBorders>
              <w:top w:val="single" w:sz="10" w:space="0" w:color="000000"/>
              <w:left w:val="single" w:sz="4" w:space="0" w:color="000000"/>
              <w:bottom w:val="single" w:sz="4" w:space="0" w:color="000000"/>
              <w:right w:val="single" w:sz="4" w:space="0" w:color="000000"/>
            </w:tcBorders>
          </w:tcPr>
          <w:p>
            <w:pPr/>
          </w:p>
        </w:tc>
        <w:tc>
          <w:tcPr>
            <w:tcW w:w="1914" w:type="dxa"/>
            <w:tcBorders>
              <w:top w:val="single" w:sz="10" w:space="0" w:color="000000"/>
              <w:left w:val="single" w:sz="4" w:space="0" w:color="000000"/>
              <w:bottom w:val="single" w:sz="4" w:space="0" w:color="000000"/>
              <w:right w:val="single" w:sz="4" w:space="0" w:color="000000"/>
            </w:tcBorders>
          </w:tcPr>
          <w:p>
            <w:pPr/>
          </w:p>
        </w:tc>
        <w:tc>
          <w:tcPr>
            <w:tcW w:w="1914" w:type="dxa"/>
            <w:tcBorders>
              <w:top w:val="single" w:sz="10" w:space="0" w:color="000000"/>
              <w:left w:val="single" w:sz="4" w:space="0" w:color="000000"/>
              <w:bottom w:val="single" w:sz="4" w:space="0" w:color="000000"/>
              <w:right w:val="single" w:sz="4" w:space="0" w:color="000000"/>
            </w:tcBorders>
          </w:tcPr>
          <w:p>
            <w:pPr/>
          </w:p>
        </w:tc>
        <w:tc>
          <w:tcPr>
            <w:tcW w:w="1914" w:type="dxa"/>
            <w:tcBorders>
              <w:top w:val="single" w:sz="10"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陕西医药控股集团有限 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8"/>
              <w:jc w:val="left"/>
              <w:rPr>
                <w:rFonts w:ascii="宋体" w:hAnsi="宋体" w:cs="宋体" w:eastAsia="宋体" w:hint="default"/>
                <w:sz w:val="18"/>
                <w:szCs w:val="18"/>
              </w:rPr>
            </w:pPr>
            <w:r>
              <w:rPr>
                <w:rFonts w:ascii="宋体" w:hAnsi="宋体" w:cs="宋体" w:eastAsia="宋体" w:hint="default"/>
                <w:sz w:val="18"/>
                <w:szCs w:val="18"/>
              </w:rPr>
              <w:t>陕西医药控股集团有限 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4" w:right="1360"/>
        <w:jc w:val="left"/>
      </w:pPr>
      <w:r>
        <w:rPr/>
        <w:t>关联担保情况说明</w:t>
      </w:r>
    </w:p>
    <w:p>
      <w:pPr>
        <w:spacing w:line="240" w:lineRule="auto" w:before="10"/>
        <w:rPr>
          <w:rFonts w:ascii="宋体" w:hAnsi="宋体" w:cs="宋体" w:eastAsia="宋体" w:hint="default"/>
          <w:sz w:val="26"/>
          <w:szCs w:val="26"/>
        </w:rPr>
      </w:pPr>
    </w:p>
    <w:p>
      <w:pPr>
        <w:pStyle w:val="Heading4"/>
        <w:spacing w:line="240" w:lineRule="auto"/>
        <w:ind w:left="114" w:right="1360"/>
        <w:jc w:val="left"/>
        <w:rPr>
          <w:b w:val="0"/>
          <w:bCs w:val="0"/>
        </w:rPr>
      </w:pPr>
      <w:bookmarkStart w:name="（5）关联方资金拆借" w:id="440"/>
      <w:bookmarkEnd w:id="440"/>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102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陕西医药控股集团有限 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3"/>
                <w:sz w:val="18"/>
                <w:szCs w:val="18"/>
              </w:rPr>
              <w:t>利率：</w:t>
            </w:r>
            <w:r>
              <w:rPr>
                <w:rFonts w:ascii="宋体" w:hAnsi="宋体" w:cs="宋体" w:eastAsia="宋体" w:hint="default"/>
                <w:spacing w:val="-3"/>
                <w:sz w:val="18"/>
                <w:szCs w:val="18"/>
              </w:rPr>
              <w:t>4.35%</w:t>
            </w:r>
            <w:r>
              <w:rPr>
                <w:rFonts w:ascii="宋体" w:hAnsi="宋体" w:cs="宋体" w:eastAsia="宋体" w:hint="default"/>
                <w:spacing w:val="-3"/>
                <w:sz w:val="18"/>
                <w:szCs w:val="18"/>
              </w:rPr>
              <w:t>，借款期限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个月，应付借款利息</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48.94</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5"/>
        <w:ind w:left="114" w:right="1360"/>
        <w:jc w:val="left"/>
        <w:rPr>
          <w:b w:val="0"/>
          <w:bCs w:val="0"/>
        </w:rPr>
      </w:pPr>
      <w:bookmarkStart w:name="（6）关联方资产转让、债务重组情况" w:id="441"/>
      <w:bookmarkEnd w:id="441"/>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4" w:right="1360"/>
        <w:jc w:val="left"/>
        <w:rPr>
          <w:b w:val="0"/>
          <w:bCs w:val="0"/>
        </w:rPr>
      </w:pPr>
      <w:bookmarkStart w:name="（7）关键管理人员报酬" w:id="442"/>
      <w:bookmarkEnd w:id="442"/>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4" w:right="1360"/>
        <w:jc w:val="left"/>
        <w:rPr>
          <w:b w:val="0"/>
          <w:bCs w:val="0"/>
        </w:rPr>
      </w:pPr>
      <w:bookmarkStart w:name="（8）其他关联交易" w:id="443"/>
      <w:bookmarkEnd w:id="443"/>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4" w:right="1360"/>
        <w:jc w:val="left"/>
        <w:rPr>
          <w:b w:val="0"/>
          <w:bCs w:val="0"/>
        </w:rPr>
      </w:pPr>
      <w:bookmarkStart w:name="6、关联方应收应付款项" w:id="444"/>
      <w:bookmarkEnd w:id="444"/>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4" w:right="1360"/>
        <w:jc w:val="left"/>
        <w:rPr>
          <w:b w:val="0"/>
          <w:bCs w:val="0"/>
        </w:rPr>
      </w:pPr>
      <w:bookmarkStart w:name="（1）应收项目" w:id="445"/>
      <w:bookmarkEnd w:id="445"/>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西安杨森制药有限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6,881,034.97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344,051.75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3,624,910.99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181,245.55</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西安海欣制药有限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997,820.10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62,192.12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1,179,530.30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64,748.73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500" w:bottom="1160" w:left="1020" w:right="0"/>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1038" w:hRule="exact"/>
        </w:trPr>
        <w:tc>
          <w:tcPr>
            <w:tcW w:w="159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56"/>
              <w:ind w:left="22" w:right="120"/>
              <w:jc w:val="both"/>
              <w:rPr>
                <w:rFonts w:ascii="宋体" w:hAnsi="宋体" w:cs="宋体" w:eastAsia="宋体" w:hint="default"/>
                <w:sz w:val="18"/>
                <w:szCs w:val="18"/>
              </w:rPr>
            </w:pPr>
            <w:r>
              <w:rPr>
                <w:rFonts w:ascii="宋体" w:hAnsi="宋体" w:cs="宋体" w:eastAsia="宋体" w:hint="default"/>
                <w:sz w:val="18"/>
                <w:szCs w:val="18"/>
              </w:rPr>
              <w:t>陕西医药控股集团 天宁制药有限责任 公司</w:t>
            </w:r>
          </w:p>
        </w:tc>
        <w:tc>
          <w:tcPr>
            <w:tcW w:w="159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165.00</w:t>
            </w:r>
          </w:p>
        </w:tc>
        <w:tc>
          <w:tcPr>
            <w:tcW w:w="15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8.25</w:t>
            </w:r>
          </w:p>
        </w:tc>
        <w:tc>
          <w:tcPr>
            <w:tcW w:w="15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543.95</w:t>
            </w:r>
          </w:p>
        </w:tc>
        <w:tc>
          <w:tcPr>
            <w:tcW w:w="159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27.20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西安德宝药用包装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45,999.94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23.00</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陕西医药控股集团 实业开发有限责任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789,851.00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58,890.41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387,957.20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19,397.86</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陕西医药控股集团 派昂医药有限责任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4,702.10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235.11</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西安德宝药用包装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2,210,308.58</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4" w:right="1360"/>
        <w:jc w:val="left"/>
        <w:rPr>
          <w:b w:val="0"/>
          <w:bCs w:val="0"/>
        </w:rPr>
      </w:pPr>
      <w:bookmarkStart w:name="（2）应付项目" w:id="446"/>
      <w:bookmarkEnd w:id="446"/>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西安海欣制药有限公司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424,800.00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98"/>
              <w:jc w:val="left"/>
              <w:rPr>
                <w:rFonts w:ascii="宋体" w:hAnsi="宋体" w:cs="宋体" w:eastAsia="宋体" w:hint="default"/>
                <w:sz w:val="18"/>
                <w:szCs w:val="18"/>
              </w:rPr>
            </w:pPr>
            <w:r>
              <w:rPr>
                <w:rFonts w:ascii="宋体" w:hAnsi="宋体" w:cs="宋体" w:eastAsia="宋体" w:hint="default"/>
                <w:sz w:val="18"/>
                <w:szCs w:val="18"/>
              </w:rPr>
              <w:t>陕西医药控股集团有限责任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left="114" w:right="1360"/>
        <w:jc w:val="left"/>
        <w:rPr>
          <w:b w:val="0"/>
          <w:bCs w:val="0"/>
        </w:rPr>
      </w:pPr>
      <w:bookmarkStart w:name="7、关联方承诺" w:id="447"/>
      <w:bookmarkEnd w:id="447"/>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14" w:right="8750" w:firstLine="0"/>
        <w:jc w:val="left"/>
        <w:rPr>
          <w:rFonts w:ascii="宋体" w:hAnsi="宋体" w:cs="宋体" w:eastAsia="宋体" w:hint="default"/>
          <w:sz w:val="21"/>
          <w:szCs w:val="21"/>
        </w:rPr>
      </w:pPr>
      <w:bookmarkStart w:name="8、其他" w:id="448"/>
      <w:bookmarkEnd w:id="44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49"/>
      <w:bookmarkEnd w:id="449"/>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50"/>
      <w:bookmarkEnd w:id="45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4" w:right="1360"/>
        <w:jc w:val="left"/>
        <w:rPr>
          <w:b w:val="0"/>
          <w:bCs w:val="0"/>
        </w:rPr>
      </w:pPr>
      <w:bookmarkStart w:name="2、以权益结算的股份支付情况" w:id="451"/>
      <w:bookmarkEnd w:id="451"/>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4" w:right="1360"/>
        <w:jc w:val="left"/>
        <w:rPr>
          <w:b w:val="0"/>
          <w:bCs w:val="0"/>
        </w:rPr>
      </w:pPr>
      <w:bookmarkStart w:name="3、以现金结算的股份支付情况" w:id="452"/>
      <w:bookmarkEnd w:id="452"/>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4" w:right="1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0" w:footer="979" w:top="1500" w:bottom="1160" w:left="102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4、股份支付的修改、终止情况" w:id="453"/>
      <w:bookmarkEnd w:id="453"/>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7872" w:firstLine="0"/>
        <w:jc w:val="left"/>
        <w:rPr>
          <w:rFonts w:ascii="宋体" w:hAnsi="宋体" w:cs="宋体" w:eastAsia="宋体" w:hint="default"/>
          <w:sz w:val="21"/>
          <w:szCs w:val="21"/>
        </w:rPr>
      </w:pPr>
      <w:bookmarkStart w:name="5、其他" w:id="454"/>
      <w:bookmarkEnd w:id="45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55"/>
      <w:bookmarkEnd w:id="455"/>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56"/>
      <w:bookmarkEnd w:id="456"/>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right="940"/>
        <w:jc w:val="left"/>
      </w:pPr>
      <w:r>
        <w:rPr/>
        <w:t>资产负债表日存在的重要承诺</w:t>
      </w:r>
    </w:p>
    <w:p>
      <w:pPr>
        <w:spacing w:line="240" w:lineRule="auto" w:before="10"/>
        <w:rPr>
          <w:rFonts w:ascii="宋体" w:hAnsi="宋体" w:cs="宋体" w:eastAsia="宋体" w:hint="default"/>
          <w:sz w:val="26"/>
          <w:szCs w:val="26"/>
        </w:rPr>
      </w:pPr>
    </w:p>
    <w:p>
      <w:pPr>
        <w:pStyle w:val="Heading4"/>
        <w:spacing w:line="240" w:lineRule="auto"/>
        <w:ind w:right="940"/>
        <w:jc w:val="left"/>
        <w:rPr>
          <w:b w:val="0"/>
          <w:bCs w:val="0"/>
        </w:rPr>
      </w:pPr>
      <w:bookmarkStart w:name="2、或有事项" w:id="457"/>
      <w:bookmarkEnd w:id="457"/>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0"/>
        <w:jc w:val="left"/>
        <w:rPr>
          <w:b w:val="0"/>
          <w:bCs w:val="0"/>
        </w:rPr>
      </w:pPr>
      <w:bookmarkStart w:name="（1）资产负债表日存在的重要或有事项" w:id="458"/>
      <w:bookmarkEnd w:id="458"/>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3"/>
        <w:rPr>
          <w:rFonts w:ascii="宋体" w:hAnsi="宋体" w:cs="宋体" w:eastAsia="宋体" w:hint="default"/>
          <w:b/>
          <w:bCs/>
          <w:sz w:val="28"/>
          <w:szCs w:val="28"/>
        </w:rPr>
      </w:pPr>
    </w:p>
    <w:p>
      <w:pPr>
        <w:pStyle w:val="BodyText"/>
        <w:spacing w:line="240" w:lineRule="auto"/>
        <w:ind w:left="574" w:right="940"/>
        <w:jc w:val="left"/>
      </w:pPr>
      <w:r>
        <w:rPr>
          <w:rFonts w:ascii="宋体" w:hAnsi="宋体" w:cs="宋体" w:eastAsia="宋体" w:hint="default"/>
        </w:rPr>
        <w:t>1</w:t>
      </w:r>
      <w:r>
        <w:rPr/>
        <w:t>、截止资产负债表日，本公司已背书给他人的尚未到期的银行承兑汇票</w:t>
      </w:r>
      <w:r>
        <w:rPr>
          <w:rFonts w:ascii="宋体" w:hAnsi="宋体" w:cs="宋体" w:eastAsia="宋体" w:hint="default"/>
        </w:rPr>
        <w:t>50,419,843.53</w:t>
      </w:r>
      <w:r>
        <w:rPr/>
        <w:t>元。</w:t>
      </w:r>
    </w:p>
    <w:p>
      <w:pPr>
        <w:pStyle w:val="BodyText"/>
        <w:spacing w:line="364" w:lineRule="auto" w:before="123"/>
        <w:ind w:right="1122" w:firstLine="420"/>
        <w:jc w:val="left"/>
      </w:pPr>
      <w:r>
        <w:rPr>
          <w:rFonts w:ascii="宋体" w:hAnsi="宋体" w:cs="宋体" w:eastAsia="宋体" w:hint="default"/>
        </w:rPr>
        <w:t>2</w:t>
      </w:r>
      <w:r>
        <w:rPr/>
        <w:t>、本公司为子公司永鑫包装提供全额担保，永鑫包装存入</w:t>
      </w:r>
      <w:r>
        <w:rPr>
          <w:spacing w:val="30"/>
        </w:rPr>
        <w:t> </w:t>
      </w:r>
      <w:r>
        <w:rPr>
          <w:rFonts w:ascii="宋体" w:hAnsi="宋体" w:cs="宋体" w:eastAsia="宋体" w:hint="default"/>
        </w:rPr>
        <w:t>435,000.00</w:t>
      </w:r>
      <w:r>
        <w:rPr/>
        <w:t>元保证金，取得中国光大银行股份有限公司西 安分行综合授信额度</w:t>
      </w:r>
      <w:r>
        <w:rPr>
          <w:rFonts w:ascii="宋体" w:hAnsi="宋体" w:cs="宋体" w:eastAsia="宋体" w:hint="default"/>
        </w:rPr>
        <w:t>9,000,000.00</w:t>
      </w:r>
      <w:r>
        <w:rPr/>
        <w:t>元，截止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日，永鑫包装实际对外开出银行承兑汇票</w:t>
      </w:r>
      <w:r>
        <w:rPr>
          <w:rFonts w:ascii="宋体" w:hAnsi="宋体" w:cs="宋体" w:eastAsia="宋体" w:hint="default"/>
        </w:rPr>
        <w:t>1,450,000.00</w:t>
      </w:r>
      <w:r>
        <w:rPr/>
        <w:t>元。</w:t>
      </w:r>
    </w:p>
    <w:p>
      <w:pPr>
        <w:pStyle w:val="BodyText"/>
        <w:spacing w:line="240" w:lineRule="auto" w:before="29"/>
        <w:ind w:left="574" w:right="940"/>
        <w:jc w:val="left"/>
      </w:pPr>
      <w:r>
        <w:rPr>
          <w:rFonts w:ascii="宋体" w:hAnsi="宋体" w:cs="宋体" w:eastAsia="宋体" w:hint="default"/>
        </w:rPr>
        <w:t>3</w:t>
      </w:r>
      <w:r>
        <w:rPr/>
        <w:t>、本公司为子公司天津环球提供全额担保，天津环球存入</w:t>
      </w:r>
      <w:r>
        <w:rPr>
          <w:spacing w:val="31"/>
        </w:rPr>
        <w:t> </w:t>
      </w:r>
      <w:r>
        <w:rPr>
          <w:rFonts w:ascii="宋体" w:hAnsi="宋体" w:cs="宋体" w:eastAsia="宋体" w:hint="default"/>
        </w:rPr>
        <w:t>1,024,782.00</w:t>
      </w:r>
      <w:r>
        <w:rPr/>
        <w:t>元保证金，取得浦发银行天津浦嘉支行授信</w:t>
      </w:r>
    </w:p>
    <w:p>
      <w:pPr>
        <w:pStyle w:val="BodyText"/>
        <w:spacing w:line="240" w:lineRule="auto" w:before="123"/>
        <w:ind w:right="940"/>
        <w:jc w:val="left"/>
      </w:pPr>
      <w:r>
        <w:rPr>
          <w:rFonts w:ascii="宋体" w:hAnsi="宋体" w:cs="宋体" w:eastAsia="宋体" w:hint="default"/>
        </w:rPr>
        <w:t>10,000,000 .00</w:t>
      </w:r>
      <w:r>
        <w:rPr/>
        <w:t>元，截止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日，天津环球实际对外开出银行承兑汇票 </w:t>
      </w:r>
      <w:r>
        <w:rPr>
          <w:rFonts w:ascii="宋体" w:hAnsi="宋体" w:cs="宋体" w:eastAsia="宋体" w:hint="default"/>
        </w:rPr>
        <w:t>2,049,561.53</w:t>
      </w:r>
      <w:r>
        <w:rPr/>
        <w:t>元。</w:t>
      </w:r>
    </w:p>
    <w:p>
      <w:pPr>
        <w:pStyle w:val="BodyText"/>
        <w:spacing w:line="240" w:lineRule="auto" w:before="123"/>
        <w:ind w:left="574" w:right="940"/>
        <w:jc w:val="left"/>
      </w:pPr>
      <w:r>
        <w:rPr>
          <w:rFonts w:ascii="宋体" w:hAnsi="宋体" w:cs="宋体" w:eastAsia="宋体" w:hint="default"/>
          <w:spacing w:val="12"/>
        </w:rPr>
        <w:t>4</w:t>
      </w:r>
      <w:r>
        <w:rPr>
          <w:spacing w:val="12"/>
        </w:rPr>
        <w:t>、本公司为子公司天津环球提供全额担保，天津环球存入</w:t>
      </w:r>
      <w:r>
        <w:rPr>
          <w:rFonts w:ascii="宋体" w:hAnsi="宋体" w:cs="宋体" w:eastAsia="宋体" w:hint="default"/>
          <w:spacing w:val="12"/>
        </w:rPr>
        <w:t>669,328.52</w:t>
      </w:r>
      <w:r>
        <w:rPr>
          <w:spacing w:val="12"/>
        </w:rPr>
        <w:t>元保证金，取得汇丰银行天津分行授信</w:t>
      </w:r>
    </w:p>
    <w:p>
      <w:pPr>
        <w:pStyle w:val="BodyText"/>
        <w:spacing w:line="240" w:lineRule="auto" w:before="123"/>
        <w:ind w:right="940"/>
        <w:jc w:val="left"/>
      </w:pPr>
      <w:r>
        <w:rPr>
          <w:rFonts w:ascii="宋体" w:hAnsi="宋体" w:cs="宋体" w:eastAsia="宋体" w:hint="default"/>
        </w:rPr>
        <w:t>20,000,000.00</w:t>
      </w:r>
      <w:r>
        <w:rPr/>
        <w:t>元，截止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日，天津环球实际对外开出银行承兑汇票</w:t>
      </w:r>
      <w:r>
        <w:rPr>
          <w:rFonts w:ascii="宋体" w:hAnsi="宋体" w:cs="宋体" w:eastAsia="宋体" w:hint="default"/>
        </w:rPr>
        <w:t>2,231,095.07</w:t>
      </w:r>
      <w:r>
        <w:rPr/>
        <w:t>元。</w:t>
      </w:r>
    </w:p>
    <w:p>
      <w:pPr>
        <w:pStyle w:val="BodyText"/>
        <w:spacing w:line="240" w:lineRule="auto" w:before="123"/>
        <w:ind w:left="574" w:right="940"/>
        <w:jc w:val="left"/>
      </w:pPr>
      <w:r>
        <w:rPr>
          <w:rFonts w:ascii="宋体" w:hAnsi="宋体" w:cs="宋体" w:eastAsia="宋体" w:hint="default"/>
        </w:rPr>
        <w:t>5</w:t>
      </w:r>
      <w:r>
        <w:rPr/>
        <w:t>、除上述已披露事项外，本公司无其他需要披露的或有事项。</w:t>
      </w:r>
    </w:p>
    <w:p>
      <w:pPr>
        <w:spacing w:line="240" w:lineRule="auto" w:before="0"/>
        <w:rPr>
          <w:rFonts w:ascii="宋体" w:hAnsi="宋体" w:cs="宋体" w:eastAsia="宋体" w:hint="default"/>
          <w:sz w:val="18"/>
          <w:szCs w:val="18"/>
        </w:rPr>
      </w:pPr>
    </w:p>
    <w:p>
      <w:pPr>
        <w:pStyle w:val="Heading4"/>
        <w:spacing w:line="240" w:lineRule="auto" w:before="140"/>
        <w:ind w:right="940"/>
        <w:jc w:val="left"/>
        <w:rPr>
          <w:b w:val="0"/>
          <w:bCs w:val="0"/>
        </w:rPr>
      </w:pPr>
      <w:bookmarkStart w:name="（2）公司没有需要披露的重要或有事项，也应予以说明" w:id="459"/>
      <w:bookmarkEnd w:id="459"/>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3、其他" w:id="460"/>
      <w:bookmarkEnd w:id="46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61"/>
      <w:bookmarkEnd w:id="461"/>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62"/>
      <w:bookmarkEnd w:id="462"/>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40"/>
        <w:jc w:val="left"/>
        <w:rPr>
          <w:b w:val="0"/>
          <w:bCs w:val="0"/>
        </w:rPr>
      </w:pPr>
      <w:bookmarkStart w:name="2、利润分配情况" w:id="463"/>
      <w:bookmarkEnd w:id="463"/>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940"/>
        <w:jc w:val="left"/>
        <w:rPr>
          <w:rFonts w:ascii="Times New Roman" w:hAnsi="Times New Roman" w:cs="Times New Roman" w:eastAsia="Times New Roman" w:hint="default"/>
        </w:rPr>
      </w:pPr>
      <w:r>
        <w:rPr/>
        <w:t>根据本公司</w:t>
      </w:r>
      <w:r>
        <w:rPr>
          <w:spacing w:val="-3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34"/>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34"/>
        </w:rPr>
        <w:t> </w:t>
      </w:r>
      <w:r>
        <w:rPr>
          <w:rFonts w:ascii="Times New Roman" w:hAnsi="Times New Roman" w:cs="Times New Roman" w:eastAsia="Times New Roman" w:hint="default"/>
        </w:rPr>
        <w:t>29</w:t>
      </w:r>
      <w:r>
        <w:rPr>
          <w:rFonts w:ascii="Times New Roman" w:hAnsi="Times New Roman" w:cs="Times New Roman" w:eastAsia="Times New Roman" w:hint="default"/>
          <w:spacing w:val="11"/>
        </w:rPr>
        <w:t> </w:t>
      </w:r>
      <w:r>
        <w:rPr/>
        <w:t>日第四届董事会第十四次会议审议通过的《</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年度利润分配预案》</w:t>
      </w:r>
      <w:r>
        <w:rPr>
          <w:rFonts w:ascii="Times New Roman" w:hAnsi="Times New Roman" w:cs="Times New Roman" w:eastAsia="Times New Roman" w:hint="default"/>
        </w:rPr>
        <w:t>:</w:t>
      </w:r>
      <w:r>
        <w:rPr/>
        <w:t>以</w:t>
      </w:r>
      <w:r>
        <w:rPr>
          <w:spacing w:val="-3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3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34"/>
        </w:rPr>
        <w:t> </w:t>
      </w:r>
      <w:r>
        <w:rPr>
          <w:rFonts w:ascii="Times New Roman" w:hAnsi="Times New Roman" w:cs="Times New Roman" w:eastAsia="Times New Roman" w:hint="default"/>
        </w:rPr>
        <w:t>31</w:t>
      </w:r>
    </w:p>
    <w:p>
      <w:pPr>
        <w:pStyle w:val="BodyText"/>
        <w:spacing w:line="240" w:lineRule="auto" w:before="63"/>
        <w:ind w:right="940"/>
        <w:jc w:val="left"/>
      </w:pPr>
      <w:r>
        <w:rPr/>
        <w:t>日总股本</w:t>
      </w:r>
      <w:r>
        <w:rPr>
          <w:spacing w:val="-46"/>
        </w:rPr>
        <w:t> </w:t>
      </w:r>
      <w:r>
        <w:rPr>
          <w:rFonts w:ascii="Times New Roman" w:hAnsi="Times New Roman" w:cs="Times New Roman" w:eastAsia="Times New Roman" w:hint="default"/>
        </w:rPr>
        <w:t>150,000,000</w:t>
      </w:r>
      <w:r>
        <w:rPr>
          <w:rFonts w:ascii="Times New Roman" w:hAnsi="Times New Roman" w:cs="Times New Roman" w:eastAsia="Times New Roman" w:hint="default"/>
          <w:spacing w:val="-1"/>
        </w:rPr>
        <w:t> </w:t>
      </w:r>
      <w:r>
        <w:rPr/>
        <w:t>股为基数</w:t>
      </w:r>
      <w:r>
        <w:rPr>
          <w:spacing w:val="-10"/>
        </w:rPr>
        <w:t>，</w:t>
      </w:r>
      <w:r>
        <w:rPr/>
        <w:t>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w:t>
      </w:r>
      <w:r>
        <w:rPr>
          <w:spacing w:val="1"/>
        </w:rPr>
        <w:t>发</w:t>
      </w:r>
      <w:r>
        <w:rPr/>
        <w:t>现金红利人民币</w:t>
      </w:r>
      <w:r>
        <w:rPr>
          <w:spacing w:val="-46"/>
        </w:rPr>
        <w:t> </w:t>
      </w:r>
      <w:r>
        <w:rPr>
          <w:rFonts w:ascii="Times New Roman" w:hAnsi="Times New Roman" w:cs="Times New Roman" w:eastAsia="Times New Roman" w:hint="default"/>
        </w:rPr>
        <w:t>0.35</w:t>
      </w:r>
      <w:r>
        <w:rPr>
          <w:rFonts w:ascii="Times New Roman" w:hAnsi="Times New Roman" w:cs="Times New Roman" w:eastAsia="Times New Roman" w:hint="default"/>
          <w:spacing w:val="-1"/>
        </w:rPr>
        <w:t> </w:t>
      </w:r>
      <w:r>
        <w:rPr>
          <w:spacing w:val="-10"/>
        </w:rPr>
        <w:t>元</w:t>
      </w:r>
      <w:r>
        <w:rPr/>
        <w:t>（</w:t>
      </w:r>
      <w:r>
        <w:rPr>
          <w:spacing w:val="1"/>
        </w:rPr>
        <w:t>含</w:t>
      </w:r>
      <w:r>
        <w:rPr/>
        <w:t>税</w:t>
      </w:r>
      <w:r>
        <w:rPr>
          <w:spacing w:val="-90"/>
        </w:rPr>
        <w:t>）</w:t>
      </w:r>
      <w:r>
        <w:rPr>
          <w:spacing w:val="-10"/>
        </w:rPr>
        <w:t>，</w:t>
      </w:r>
      <w:r>
        <w:rPr/>
        <w:t>不送红股</w:t>
      </w:r>
      <w:r>
        <w:rPr>
          <w:spacing w:val="-10"/>
        </w:rPr>
        <w:t>，</w:t>
      </w:r>
      <w:r>
        <w:rPr/>
        <w:t>不以资本公积金转增</w:t>
      </w:r>
    </w:p>
    <w:p>
      <w:pPr>
        <w:pStyle w:val="BodyText"/>
        <w:spacing w:line="240" w:lineRule="auto" w:before="64"/>
        <w:ind w:right="940"/>
        <w:jc w:val="left"/>
      </w:pPr>
      <w:r>
        <w:rPr/>
        <w:t>股本，共派发现金红利人民币</w:t>
      </w:r>
      <w:r>
        <w:rPr>
          <w:spacing w:val="-46"/>
        </w:rPr>
        <w:t> </w:t>
      </w:r>
      <w:r>
        <w:rPr>
          <w:rFonts w:ascii="Times New Roman" w:hAnsi="Times New Roman" w:cs="Times New Roman" w:eastAsia="Times New Roman" w:hint="default"/>
        </w:rPr>
        <w:t>5,250,000</w:t>
      </w:r>
      <w:r>
        <w:rPr>
          <w:rFonts w:ascii="Times New Roman" w:hAnsi="Times New Roman" w:cs="Times New Roman" w:eastAsia="Times New Roman" w:hint="default"/>
          <w:spacing w:val="-1"/>
        </w:rPr>
        <w:t> </w:t>
      </w:r>
      <w:r>
        <w:rPr/>
        <w:t>元。该预案尚需提交公司</w:t>
      </w:r>
      <w:r>
        <w:rPr>
          <w:spacing w:val="-46"/>
        </w:rPr>
        <w:t> </w:t>
      </w:r>
      <w:r>
        <w:rPr>
          <w:rFonts w:ascii="Times New Roman" w:hAnsi="Times New Roman" w:cs="Times New Roman" w:eastAsia="Times New Roman" w:hint="default"/>
        </w:rPr>
        <w:t>2018 </w:t>
      </w:r>
      <w:r>
        <w:rPr/>
        <w:t>年度股东大会审议。</w:t>
      </w:r>
    </w:p>
    <w:p>
      <w:pPr>
        <w:spacing w:after="0" w:line="240" w:lineRule="auto"/>
        <w:jc w:val="left"/>
        <w:sectPr>
          <w:pgSz w:w="11910" w:h="16840"/>
          <w:pgMar w:header="0"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3、销售退回" w:id="464"/>
      <w:bookmarkEnd w:id="464"/>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7695" w:firstLine="0"/>
        <w:jc w:val="left"/>
        <w:rPr>
          <w:rFonts w:ascii="宋体" w:hAnsi="宋体" w:cs="宋体" w:eastAsia="宋体" w:hint="default"/>
          <w:sz w:val="21"/>
          <w:szCs w:val="21"/>
        </w:rPr>
      </w:pPr>
      <w:bookmarkStart w:name="4、其他资产负债表日后事项说明" w:id="465"/>
      <w:bookmarkEnd w:id="46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六、其他重要事项" w:id="466"/>
      <w:bookmarkEnd w:id="466"/>
      <w:r>
        <w:rPr>
          <w:rFonts w:ascii="宋体" w:hAnsi="宋体" w:cs="宋体" w:eastAsia="宋体" w:hint="default"/>
          <w:b/>
          <w:bCs/>
          <w:w w:val="99"/>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67"/>
      <w:bookmarkEnd w:id="46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4"/>
        <w:spacing w:line="240" w:lineRule="auto" w:before="83"/>
        <w:ind w:right="940"/>
        <w:jc w:val="left"/>
        <w:rPr>
          <w:b w:val="0"/>
          <w:bCs w:val="0"/>
        </w:rPr>
      </w:pPr>
      <w:bookmarkStart w:name="（1）追溯重述法" w:id="468"/>
      <w:bookmarkEnd w:id="468"/>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2）未来适用法" w:id="469"/>
      <w:bookmarkEnd w:id="469"/>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40"/>
        <w:jc w:val="left"/>
        <w:rPr>
          <w:b w:val="0"/>
          <w:bCs w:val="0"/>
        </w:rPr>
      </w:pPr>
      <w:bookmarkStart w:name="2、债务重组" w:id="470"/>
      <w:bookmarkEnd w:id="470"/>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0"/>
        <w:jc w:val="left"/>
        <w:rPr>
          <w:b w:val="0"/>
          <w:bCs w:val="0"/>
        </w:rPr>
      </w:pPr>
      <w:bookmarkStart w:name="3、资产置换" w:id="471"/>
      <w:bookmarkEnd w:id="471"/>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0"/>
        <w:jc w:val="left"/>
        <w:rPr>
          <w:b w:val="0"/>
          <w:bCs w:val="0"/>
        </w:rPr>
      </w:pPr>
      <w:bookmarkStart w:name="（1）非货币性资产交换" w:id="472"/>
      <w:bookmarkEnd w:id="472"/>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0"/>
        <w:jc w:val="left"/>
        <w:rPr>
          <w:b w:val="0"/>
          <w:bCs w:val="0"/>
        </w:rPr>
      </w:pPr>
      <w:bookmarkStart w:name="（2）其他资产置换" w:id="473"/>
      <w:bookmarkEnd w:id="473"/>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0"/>
        <w:jc w:val="left"/>
        <w:rPr>
          <w:b w:val="0"/>
          <w:bCs w:val="0"/>
        </w:rPr>
      </w:pPr>
      <w:bookmarkStart w:name="4、年金计划" w:id="474"/>
      <w:bookmarkEnd w:id="474"/>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0"/>
        <w:jc w:val="left"/>
        <w:rPr>
          <w:b w:val="0"/>
          <w:bCs w:val="0"/>
        </w:rPr>
      </w:pPr>
      <w:bookmarkStart w:name="5、终止经营" w:id="475"/>
      <w:bookmarkEnd w:id="475"/>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6、分部信息" w:id="476"/>
      <w:bookmarkEnd w:id="476"/>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940"/>
        <w:jc w:val="left"/>
        <w:rPr>
          <w:b w:val="0"/>
          <w:bCs w:val="0"/>
        </w:rPr>
      </w:pPr>
      <w:bookmarkStart w:name="7、其他对投资者决策有影响的重要交易和事项" w:id="477"/>
      <w:bookmarkEnd w:id="477"/>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6472" w:firstLine="0"/>
        <w:jc w:val="left"/>
        <w:rPr>
          <w:rFonts w:ascii="宋体" w:hAnsi="宋体" w:cs="宋体" w:eastAsia="宋体" w:hint="default"/>
          <w:sz w:val="21"/>
          <w:szCs w:val="21"/>
        </w:rPr>
      </w:pPr>
      <w:bookmarkStart w:name="8、其他" w:id="478"/>
      <w:bookmarkEnd w:id="47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79"/>
      <w:bookmarkEnd w:id="47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票据及应收账款" w:id="480"/>
      <w:bookmarkEnd w:id="480"/>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0" w:footer="979" w:top="1500" w:bottom="1160" w:left="980" w:right="0"/>
        </w:sectPr>
      </w:pPr>
    </w:p>
    <w:p>
      <w:pPr>
        <w:spacing w:line="240" w:lineRule="auto" w:before="7"/>
        <w:rPr>
          <w:rFonts w:ascii="宋体" w:hAnsi="宋体" w:cs="宋体" w:eastAsia="宋体" w:hint="default"/>
          <w:sz w:val="2"/>
          <w:szCs w:val="2"/>
        </w:rPr>
      </w:pPr>
    </w:p>
    <w:tbl>
      <w:tblPr>
        <w:tblW w:w="0" w:type="auto"/>
        <w:jc w:val="left"/>
        <w:tblInd w:w="1089" w:type="dxa"/>
        <w:tblLayout w:type="fixed"/>
        <w:tblCellMar>
          <w:top w:w="0" w:type="dxa"/>
          <w:left w:w="0" w:type="dxa"/>
          <w:bottom w:w="0" w:type="dxa"/>
          <w:right w:w="0" w:type="dxa"/>
        </w:tblCellMar>
        <w:tblLook w:val="01E0"/>
      </w:tblPr>
      <w:tblGrid>
        <w:gridCol w:w="3189"/>
        <w:gridCol w:w="3191"/>
        <w:gridCol w:w="3190"/>
      </w:tblGrid>
      <w:tr>
        <w:trPr>
          <w:trHeight w:val="414" w:hRule="exact"/>
        </w:trPr>
        <w:tc>
          <w:tcPr>
            <w:tcW w:w="3189"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50,470,224.02</w:t>
            </w:r>
          </w:p>
        </w:tc>
        <w:tc>
          <w:tcPr>
            <w:tcW w:w="31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28,296,885.25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113,911,410.03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102,566,595.43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164,381,634.05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130,863,480.68</w:t>
            </w:r>
          </w:p>
        </w:tc>
      </w:tr>
    </w:tbl>
    <w:p>
      <w:pPr>
        <w:spacing w:line="240" w:lineRule="auto" w:before="3"/>
        <w:rPr>
          <w:rFonts w:ascii="宋体" w:hAnsi="宋体" w:cs="宋体" w:eastAsia="宋体" w:hint="default"/>
          <w:sz w:val="19"/>
          <w:szCs w:val="19"/>
        </w:rPr>
      </w:pPr>
    </w:p>
    <w:p>
      <w:pPr>
        <w:pStyle w:val="Heading4"/>
        <w:spacing w:line="240" w:lineRule="auto" w:before="35"/>
        <w:ind w:left="1094" w:right="0"/>
        <w:jc w:val="left"/>
        <w:rPr>
          <w:b w:val="0"/>
          <w:bCs w:val="0"/>
        </w:rPr>
      </w:pPr>
      <w:bookmarkStart w:name="（1）应收票据" w:id="481"/>
      <w:bookmarkEnd w:id="481"/>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094"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0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50,470,224.02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27,995,904.98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300,980.27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50,470,224.02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28,296,885.25</w:t>
            </w:r>
          </w:p>
        </w:tc>
      </w:tr>
    </w:tbl>
    <w:p>
      <w:pPr>
        <w:spacing w:line="240" w:lineRule="auto" w:before="6"/>
        <w:rPr>
          <w:rFonts w:ascii="宋体" w:hAnsi="宋体" w:cs="宋体" w:eastAsia="宋体" w:hint="default"/>
          <w:sz w:val="27"/>
          <w:szCs w:val="27"/>
        </w:rPr>
      </w:pPr>
    </w:p>
    <w:p>
      <w:pPr>
        <w:pStyle w:val="BodyText"/>
        <w:spacing w:line="240" w:lineRule="auto" w:before="44"/>
        <w:ind w:left="1094"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2"/>
        <w:ind w:left="109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left="1094"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0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39,126,126.18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39,126,126.18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094" w:right="0"/>
        <w:jc w:val="left"/>
        <w:rPr>
          <w:b w:val="0"/>
          <w:bCs w:val="0"/>
        </w:rPr>
      </w:pPr>
      <w:bookmarkStart w:name="4)期末公司因出票人未履约而将其转应收账款的票据" w:id="482"/>
      <w:bookmarkEnd w:id="482"/>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09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094" w:right="0"/>
        <w:jc w:val="left"/>
        <w:rPr>
          <w:b w:val="0"/>
          <w:bCs w:val="0"/>
        </w:rPr>
      </w:pPr>
      <w:bookmarkStart w:name="（2）应收账款" w:id="483"/>
      <w:bookmarkEnd w:id="483"/>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094"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291"/>
        <w:gridCol w:w="1193"/>
        <w:gridCol w:w="701"/>
        <w:gridCol w:w="1001"/>
        <w:gridCol w:w="611"/>
        <w:gridCol w:w="1175"/>
        <w:gridCol w:w="1182"/>
        <w:gridCol w:w="701"/>
        <w:gridCol w:w="1002"/>
        <w:gridCol w:w="612"/>
        <w:gridCol w:w="1181"/>
      </w:tblGrid>
      <w:tr>
        <w:trPr>
          <w:trHeight w:val="397" w:hRule="exact"/>
        </w:trPr>
        <w:tc>
          <w:tcPr>
            <w:tcW w:w="1291" w:type="dxa"/>
            <w:vMerge w:val="restart"/>
            <w:tcBorders>
              <w:top w:val="single" w:sz="4" w:space="0" w:color="000000"/>
              <w:left w:val="single" w:sz="4" w:space="0" w:color="000000"/>
              <w:right w:val="single" w:sz="4" w:space="0" w:color="000000"/>
            </w:tcBorders>
            <w:shd w:val="clear" w:color="auto" w:fill="D2D2D2"/>
          </w:tcPr>
          <w:p>
            <w:pPr/>
          </w:p>
        </w:tc>
        <w:tc>
          <w:tcPr>
            <w:tcW w:w="46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67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291" w:type="dxa"/>
            <w:vMerge/>
            <w:tcBorders>
              <w:left w:val="single" w:sz="4" w:space="0" w:color="000000"/>
              <w:bottom w:val="nil" w:sz="6" w:space="0" w:color="auto"/>
              <w:right w:val="single" w:sz="4" w:space="0" w:color="000000"/>
            </w:tcBorders>
            <w:shd w:val="clear" w:color="auto" w:fill="D2D2D2"/>
          </w:tcPr>
          <w:p>
            <w:pPr/>
          </w:p>
        </w:tc>
        <w:tc>
          <w:tcPr>
            <w:tcW w:w="18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75" w:type="dxa"/>
            <w:vMerge w:val="restart"/>
            <w:tcBorders>
              <w:top w:val="single" w:sz="4" w:space="0" w:color="000000"/>
              <w:left w:val="single" w:sz="4" w:space="0" w:color="000000"/>
              <w:right w:val="single" w:sz="4" w:space="0" w:color="000000"/>
            </w:tcBorders>
            <w:shd w:val="clear" w:color="auto" w:fill="D2D2D2"/>
          </w:tcPr>
          <w:p>
            <w:pPr/>
          </w:p>
        </w:tc>
        <w:tc>
          <w:tcPr>
            <w:tcW w:w="188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7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4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2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94" w:type="dxa"/>
            <w:gridSpan w:val="2"/>
            <w:vMerge/>
            <w:tcBorders>
              <w:left w:val="single" w:sz="4" w:space="0" w:color="000000"/>
              <w:bottom w:val="single" w:sz="4" w:space="0" w:color="000000"/>
              <w:right w:val="single" w:sz="4" w:space="0" w:color="000000"/>
            </w:tcBorders>
            <w:shd w:val="clear" w:color="auto" w:fill="D2D2D2"/>
          </w:tcPr>
          <w:p>
            <w:pPr/>
          </w:p>
        </w:tc>
        <w:tc>
          <w:tcPr>
            <w:tcW w:w="1612" w:type="dxa"/>
            <w:gridSpan w:val="2"/>
            <w:vMerge/>
            <w:tcBorders>
              <w:left w:val="single" w:sz="4" w:space="0" w:color="000000"/>
              <w:bottom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883" w:type="dxa"/>
            <w:gridSpan w:val="2"/>
            <w:vMerge/>
            <w:tcBorders>
              <w:left w:val="single" w:sz="4" w:space="0" w:color="000000"/>
              <w:bottom w:val="single" w:sz="4" w:space="0" w:color="000000"/>
              <w:right w:val="single" w:sz="4" w:space="0" w:color="000000"/>
            </w:tcBorders>
            <w:shd w:val="clear" w:color="auto" w:fill="D2D2D2"/>
          </w:tcPr>
          <w:p>
            <w:pPr/>
          </w:p>
        </w:tc>
        <w:tc>
          <w:tcPr>
            <w:tcW w:w="1614" w:type="dxa"/>
            <w:gridSpan w:val="2"/>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291" w:type="dxa"/>
            <w:vMerge/>
            <w:tcBorders>
              <w:left w:val="single" w:sz="4" w:space="0" w:color="000000"/>
              <w:bottom w:val="nil" w:sz="6" w:space="0" w:color="auto"/>
              <w:right w:val="single" w:sz="4" w:space="0" w:color="000000"/>
            </w:tcBorders>
            <w:shd w:val="clear" w:color="auto" w:fill="D2D2D2"/>
          </w:tcPr>
          <w:p>
            <w:pP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6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09" w:right="2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2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2" w:type="dxa"/>
            <w:tcBorders>
              <w:top w:val="single" w:sz="4" w:space="0" w:color="000000"/>
              <w:left w:val="single" w:sz="4" w:space="0" w:color="000000"/>
              <w:bottom w:val="nil" w:sz="6" w:space="0" w:color="auto"/>
              <w:right w:val="single" w:sz="4" w:space="0" w:color="000000"/>
            </w:tcBorders>
            <w:shd w:val="clear" w:color="auto" w:fill="D2D2D2"/>
          </w:tcPr>
          <w:p>
            <w:pPr/>
          </w:p>
        </w:tc>
        <w:tc>
          <w:tcPr>
            <w:tcW w:w="61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09" w:right="3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291" w:type="dxa"/>
            <w:vMerge w:val="restart"/>
            <w:tcBorders>
              <w:top w:val="nil" w:sz="6" w:space="0" w:color="auto"/>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1" w:type="dxa"/>
            <w:vMerge/>
            <w:tcBorders>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1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2"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91"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611" w:type="dxa"/>
            <w:vMerge/>
            <w:tcBorders>
              <w:left w:val="single" w:sz="4" w:space="0" w:color="000000"/>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
        </w:tc>
        <w:tc>
          <w:tcPr>
            <w:tcW w:w="1182"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1002" w:type="dxa"/>
            <w:vMerge/>
            <w:tcBorders>
              <w:left w:val="single" w:sz="4" w:space="0" w:color="000000"/>
              <w:bottom w:val="nil" w:sz="6" w:space="0" w:color="auto"/>
              <w:right w:val="single" w:sz="4" w:space="0" w:color="000000"/>
            </w:tcBorders>
            <w:shd w:val="clear" w:color="auto" w:fill="D2D2D2"/>
          </w:tcPr>
          <w:p>
            <w:pPr/>
          </w:p>
        </w:tc>
        <w:tc>
          <w:tcPr>
            <w:tcW w:w="612"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91"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611" w:type="dxa"/>
            <w:vMerge/>
            <w:tcBorders>
              <w:left w:val="single" w:sz="4" w:space="0" w:color="000000"/>
              <w:bottom w:val="single" w:sz="4" w:space="0" w:color="000000"/>
              <w:right w:val="single" w:sz="4" w:space="0" w:color="000000"/>
            </w:tcBorders>
            <w:shd w:val="clear" w:color="auto" w:fill="D2D2D2"/>
          </w:tcPr>
          <w:p>
            <w:pPr/>
          </w:p>
        </w:tc>
        <w:tc>
          <w:tcPr>
            <w:tcW w:w="1175" w:type="dxa"/>
            <w:vMerge/>
            <w:tcBorders>
              <w:left w:val="single" w:sz="4" w:space="0" w:color="000000"/>
              <w:bottom w:val="single" w:sz="4" w:space="0" w:color="000000"/>
              <w:right w:val="single" w:sz="4" w:space="0" w:color="000000"/>
            </w:tcBorders>
            <w:shd w:val="clear" w:color="auto" w:fill="D2D2D2"/>
          </w:tcPr>
          <w:p>
            <w:pPr/>
          </w:p>
        </w:tc>
        <w:tc>
          <w:tcPr>
            <w:tcW w:w="11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12"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87"/>
              <w:jc w:val="both"/>
              <w:rPr>
                <w:rFonts w:ascii="宋体" w:hAnsi="宋体" w:cs="宋体" w:eastAsia="宋体" w:hint="default"/>
                <w:sz w:val="18"/>
                <w:szCs w:val="18"/>
              </w:rPr>
            </w:pPr>
            <w:r>
              <w:rPr>
                <w:rFonts w:ascii="宋体" w:hAnsi="宋体" w:cs="宋体" w:eastAsia="宋体" w:hint="default"/>
                <w:sz w:val="18"/>
                <w:szCs w:val="18"/>
              </w:rPr>
              <w:t>按信用风险特 征组合计提坏 账准备的应收 账款</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118,833,499.98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98.72%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4,937,682.41</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4.16%</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113,895,817.57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106,702,480.68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98.60%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4,503,749.96</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4.22%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102,198,730.72</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500" w:bottom="1160" w:left="40" w:right="0"/>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314"/>
        <w:gridCol w:w="1182"/>
        <w:gridCol w:w="701"/>
        <w:gridCol w:w="1001"/>
        <w:gridCol w:w="611"/>
        <w:gridCol w:w="1175"/>
        <w:gridCol w:w="1182"/>
        <w:gridCol w:w="701"/>
        <w:gridCol w:w="1002"/>
        <w:gridCol w:w="612"/>
        <w:gridCol w:w="1181"/>
      </w:tblGrid>
      <w:tr>
        <w:trPr>
          <w:trHeight w:val="1350" w:hRule="exact"/>
        </w:trPr>
        <w:tc>
          <w:tcPr>
            <w:tcW w:w="131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3" w:right="200"/>
              <w:jc w:val="both"/>
              <w:rPr>
                <w:rFonts w:ascii="宋体" w:hAnsi="宋体" w:cs="宋体" w:eastAsia="宋体" w:hint="default"/>
                <w:sz w:val="18"/>
                <w:szCs w:val="18"/>
              </w:rPr>
            </w:pPr>
            <w:r>
              <w:rPr>
                <w:rFonts w:ascii="宋体" w:hAnsi="宋体" w:cs="宋体" w:eastAsia="宋体" w:hint="default"/>
                <w:sz w:val="18"/>
                <w:szCs w:val="18"/>
              </w:rPr>
              <w:t>单项金额不重 大但单独计提 坏账准备的应 收账款</w:t>
            </w:r>
          </w:p>
        </w:tc>
        <w:tc>
          <w:tcPr>
            <w:tcW w:w="118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1,542,480.57</w:t>
            </w:r>
          </w:p>
        </w:tc>
        <w:tc>
          <w:tcPr>
            <w:tcW w:w="70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w:t>
            </w:r>
          </w:p>
        </w:tc>
        <w:tc>
          <w:tcPr>
            <w:tcW w:w="100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1,526,888.11</w:t>
            </w:r>
          </w:p>
        </w:tc>
        <w:tc>
          <w:tcPr>
            <w:tcW w:w="61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98.99%</w:t>
            </w:r>
          </w:p>
        </w:tc>
        <w:tc>
          <w:tcPr>
            <w:tcW w:w="117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15,592.46</w:t>
            </w:r>
          </w:p>
        </w:tc>
        <w:tc>
          <w:tcPr>
            <w:tcW w:w="118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1,511,377.90</w:t>
            </w:r>
          </w:p>
        </w:tc>
        <w:tc>
          <w:tcPr>
            <w:tcW w:w="70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w:t>
            </w:r>
          </w:p>
        </w:tc>
        <w:tc>
          <w:tcPr>
            <w:tcW w:w="100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1,143,513.19</w:t>
            </w:r>
          </w:p>
        </w:tc>
        <w:tc>
          <w:tcPr>
            <w:tcW w:w="61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75.66%</w:t>
            </w:r>
          </w:p>
        </w:tc>
        <w:tc>
          <w:tcPr>
            <w:tcW w:w="118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367,864.71</w:t>
            </w:r>
          </w:p>
        </w:tc>
      </w:tr>
      <w:tr>
        <w:trPr>
          <w:trHeight w:val="402" w:hRule="exact"/>
        </w:trPr>
        <w:tc>
          <w:tcPr>
            <w:tcW w:w="1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120,375,980.55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6,464,570.52</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113,911,410.03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108,213,858.58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5,647,263.15</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102,566,595.43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500" w:bottom="1160" w:left="20" w:right="0"/>
        </w:sectPr>
      </w:pPr>
    </w:p>
    <w:p>
      <w:pPr>
        <w:pStyle w:val="BodyText"/>
        <w:spacing w:line="240" w:lineRule="auto" w:before="51"/>
        <w:ind w:left="1114" w:right="-20"/>
        <w:jc w:val="left"/>
      </w:pPr>
      <w:r>
        <w:rPr/>
        <w:t>期末单项金额重大并单项计提坏账准备的应收账款：</w:t>
      </w:r>
    </w:p>
    <w:p>
      <w:pPr>
        <w:pStyle w:val="BodyText"/>
        <w:spacing w:line="338" w:lineRule="auto" w:before="117"/>
        <w:ind w:left="1114"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left="111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095" w:right="1111"/>
        <w:jc w:val="center"/>
      </w:pPr>
      <w:r>
        <w:rPr/>
        <w:t>单位： 元</w:t>
      </w:r>
    </w:p>
    <w:p>
      <w:pPr>
        <w:spacing w:after="0" w:line="240" w:lineRule="auto"/>
        <w:jc w:val="center"/>
        <w:sectPr>
          <w:type w:val="continuous"/>
          <w:pgSz w:w="11910" w:h="16840"/>
          <w:pgMar w:top="1580" w:bottom="700" w:left="20" w:right="0"/>
          <w:cols w:num="2" w:equalWidth="0">
            <w:col w:w="5255" w:space="3575"/>
            <w:col w:w="3060"/>
          </w:cols>
        </w:sectPr>
      </w:pPr>
    </w:p>
    <w:p>
      <w:pPr>
        <w:spacing w:line="240" w:lineRule="auto" w:before="13"/>
        <w:rPr>
          <w:rFonts w:ascii="宋体" w:hAnsi="宋体" w:cs="宋体" w:eastAsia="宋体" w:hint="default"/>
          <w:sz w:val="7"/>
          <w:szCs w:val="7"/>
        </w:rPr>
      </w:pPr>
    </w:p>
    <w:tbl>
      <w:tblPr>
        <w:tblW w:w="0" w:type="auto"/>
        <w:jc w:val="left"/>
        <w:tblInd w:w="110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95,548,009.92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4,777,400.50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1,034,146.43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103,414.64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189,557.57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56,867.27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96,771,713.92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4,937,682.41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w:t>
            </w:r>
          </w:p>
        </w:tc>
      </w:tr>
    </w:tbl>
    <w:p>
      <w:pPr>
        <w:pStyle w:val="BodyText"/>
        <w:spacing w:line="240" w:lineRule="auto" w:before="51"/>
        <w:ind w:left="1114" w:right="0"/>
        <w:jc w:val="left"/>
      </w:pPr>
      <w:r>
        <w:rPr/>
        <w:t>确定该组合依据的说明：</w:t>
      </w:r>
    </w:p>
    <w:p>
      <w:pPr>
        <w:pStyle w:val="BodyText"/>
        <w:spacing w:line="240" w:lineRule="auto" w:before="139"/>
        <w:ind w:left="1540" w:right="0"/>
        <w:jc w:val="left"/>
      </w:pPr>
      <w:r>
        <w:rPr/>
        <w:t>①单项金额重大并单项计提坏账准备的应收账款：账面金额人民币</w:t>
      </w:r>
      <w:r>
        <w:rPr>
          <w:rFonts w:ascii="宋体" w:hAnsi="宋体" w:cs="宋体" w:eastAsia="宋体" w:hint="default"/>
        </w:rPr>
        <w:t>500</w:t>
      </w:r>
      <w:r>
        <w:rPr/>
        <w:t>万元以上或公司应收账款前五名客户。</w:t>
      </w:r>
    </w:p>
    <w:p>
      <w:pPr>
        <w:pStyle w:val="BodyText"/>
        <w:spacing w:line="364" w:lineRule="auto" w:before="123"/>
        <w:ind w:left="1114" w:right="1130" w:firstLine="426"/>
        <w:jc w:val="both"/>
      </w:pPr>
      <w:r>
        <w:rPr>
          <w:spacing w:val="-2"/>
        </w:rPr>
        <w:t>②单项金额不重大但按信用风险特征组合后该组合的风险较大的应收账款：账龄超过</w:t>
      </w:r>
      <w:r>
        <w:rPr>
          <w:rFonts w:ascii="宋体" w:hAnsi="宋体" w:cs="宋体" w:eastAsia="宋体" w:hint="default"/>
          <w:spacing w:val="-2"/>
        </w:rPr>
        <w:t>3</w:t>
      </w:r>
      <w:r>
        <w:rPr>
          <w:spacing w:val="-2"/>
        </w:rPr>
        <w:t>年以上的应收款项以及与对方存</w:t>
      </w:r>
      <w:r>
        <w:rPr/>
        <w:t> 在争议或涉及诉讼、仲裁的应收款项；已有明显迹象表明债务人很可能无法履行还款义务的应收款项。</w:t>
      </w:r>
    </w:p>
    <w:p>
      <w:pPr>
        <w:pStyle w:val="BodyText"/>
        <w:spacing w:line="364" w:lineRule="auto" w:before="29"/>
        <w:ind w:left="1114" w:right="1133" w:firstLine="390"/>
        <w:jc w:val="both"/>
      </w:pPr>
      <w:r>
        <w:rPr/>
        <w:t>③按组合计提坏账准备的应收账款：除上述第①、②种情形以外的其他应收账款。本公司对其他不重大应收账款分为 </w:t>
      </w:r>
      <w:r>
        <w:rPr>
          <w:spacing w:val="-2"/>
        </w:rPr>
        <w:t>二个组合：按账龄分析组合，按账龄分析计提坏账准备；公司及所属子公司往来款项的组合系指公司及所控制的公司之间的</w:t>
      </w:r>
      <w:r>
        <w:rPr>
          <w:spacing w:val="-66"/>
        </w:rPr>
        <w:t> </w:t>
      </w:r>
      <w:r>
        <w:rPr>
          <w:spacing w:val="-66"/>
        </w:rPr>
      </w:r>
      <w:r>
        <w:rPr/>
        <w:t>往来，不计提坏账准备。</w:t>
      </w:r>
    </w:p>
    <w:p>
      <w:pPr>
        <w:spacing w:line="240" w:lineRule="auto" w:before="0"/>
        <w:rPr>
          <w:rFonts w:ascii="宋体" w:hAnsi="宋体" w:cs="宋体" w:eastAsia="宋体" w:hint="default"/>
          <w:sz w:val="18"/>
          <w:szCs w:val="18"/>
        </w:rPr>
      </w:pPr>
    </w:p>
    <w:p>
      <w:pPr>
        <w:pStyle w:val="BodyText"/>
        <w:spacing w:line="240" w:lineRule="auto" w:before="124"/>
        <w:ind w:left="1114" w:right="0"/>
        <w:jc w:val="left"/>
      </w:pPr>
      <w:r>
        <w:rPr/>
        <w:t>组合中，采用余额百分比法计提坏账准备的应收账款：</w:t>
      </w:r>
    </w:p>
    <w:p>
      <w:pPr>
        <w:pStyle w:val="BodyText"/>
        <w:spacing w:line="348" w:lineRule="auto" w:before="117"/>
        <w:ind w:left="1114"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84" w:lineRule="auto" w:before="35"/>
        <w:ind w:left="1114" w:right="4332" w:firstLine="300"/>
        <w:jc w:val="left"/>
      </w:pPr>
      <w:r>
        <w:rPr/>
        <w:t>本期计提坏账准备金额</w:t>
      </w:r>
      <w:r>
        <w:rPr>
          <w:rFonts w:ascii="宋体" w:hAnsi="宋体" w:cs="宋体" w:eastAsia="宋体" w:hint="default"/>
        </w:rPr>
        <w:t>817,307.37</w:t>
      </w:r>
      <w:r>
        <w:rPr/>
        <w:t>元；本期收回或转回坏账准备金额</w:t>
      </w:r>
      <w:r>
        <w:rPr>
          <w:rFonts w:ascii="宋体" w:hAnsi="宋体" w:cs="宋体" w:eastAsia="宋体" w:hint="default"/>
        </w:rPr>
        <w:t>0.00</w:t>
      </w:r>
      <w:r>
        <w:rPr/>
        <w:t>元。 其中本期坏账准备收回或转回金额重要的：</w:t>
      </w:r>
    </w:p>
    <w:p>
      <w:pPr>
        <w:pStyle w:val="BodyText"/>
        <w:spacing w:line="240" w:lineRule="auto" w:before="8"/>
        <w:ind w:left="11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1114" w:right="0"/>
        <w:jc w:val="left"/>
      </w:pPr>
      <w:r>
        <w:rPr>
          <w:rFonts w:ascii="Times New Roman" w:hAnsi="Times New Roman" w:cs="Times New Roman" w:eastAsia="Times New Roman" w:hint="default"/>
        </w:rPr>
        <w:t>3)</w:t>
      </w:r>
      <w:r>
        <w:rPr/>
        <w:t>本期实际核销的应收账款情况</w:t>
      </w:r>
    </w:p>
    <w:p>
      <w:pPr>
        <w:pStyle w:val="BodyText"/>
        <w:spacing w:line="338" w:lineRule="auto" w:before="102"/>
        <w:ind w:left="1114" w:right="82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其中重要的应收账款核销情况：</w:t>
      </w:r>
    </w:p>
    <w:p>
      <w:pPr>
        <w:pStyle w:val="BodyText"/>
        <w:spacing w:line="338" w:lineRule="auto" w:before="43"/>
        <w:ind w:left="1114"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应收账款核销说明：</w:t>
      </w:r>
    </w:p>
    <w:p>
      <w:pPr>
        <w:pStyle w:val="BodyText"/>
        <w:spacing w:line="240" w:lineRule="auto" w:before="42"/>
        <w:ind w:left="1114" w:right="0"/>
        <w:jc w:val="left"/>
      </w:pPr>
      <w:r>
        <w:rPr>
          <w:rFonts w:ascii="Times New Roman" w:hAnsi="Times New Roman" w:cs="Times New Roman" w:eastAsia="Times New Roman" w:hint="default"/>
        </w:rPr>
        <w:t>4)</w:t>
      </w:r>
      <w:r>
        <w:rPr/>
        <w:t>按欠款方归集的期末余额前五名的应收账款情况</w:t>
      </w:r>
    </w:p>
    <w:p>
      <w:pPr>
        <w:spacing w:after="0" w:line="240" w:lineRule="auto"/>
        <w:jc w:val="left"/>
        <w:sectPr>
          <w:type w:val="continuous"/>
          <w:pgSz w:w="11910" w:h="16840"/>
          <w:pgMar w:top="1580" w:bottom="700" w:left="20" w:right="0"/>
        </w:sectPr>
      </w:pPr>
    </w:p>
    <w:p>
      <w:pPr>
        <w:spacing w:line="240" w:lineRule="auto" w:before="12"/>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996"/>
        <w:gridCol w:w="1827"/>
        <w:gridCol w:w="1406"/>
        <w:gridCol w:w="1644"/>
        <w:gridCol w:w="1514"/>
        <w:gridCol w:w="284"/>
      </w:tblGrid>
      <w:tr>
        <w:trPr>
          <w:trHeight w:val="661" w:hRule="exact"/>
        </w:trPr>
        <w:tc>
          <w:tcPr>
            <w:tcW w:w="2996"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大额债务人名称</w:t>
            </w:r>
          </w:p>
        </w:tc>
        <w:tc>
          <w:tcPr>
            <w:tcW w:w="1827"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06"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0"/>
              <w:ind w:left="262" w:right="247" w:hanging="1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占应收帐款 总额比例</w:t>
            </w:r>
            <w:r>
              <w:rPr>
                <w:rFonts w:ascii="Times New Roman" w:hAnsi="Times New Roman" w:cs="Times New Roman" w:eastAsia="Times New Roman" w:hint="default"/>
                <w:sz w:val="18"/>
                <w:szCs w:val="18"/>
              </w:rPr>
              <w:t>%</w:t>
            </w:r>
          </w:p>
        </w:tc>
        <w:tc>
          <w:tcPr>
            <w:tcW w:w="1644"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14"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0"/>
              <w:ind w:left="572" w:right="390"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284" w:type="dxa"/>
            <w:vMerge w:val="restart"/>
            <w:tcBorders>
              <w:top w:val="single" w:sz="6" w:space="0" w:color="000000"/>
              <w:left w:val="single" w:sz="4" w:space="0" w:color="000000"/>
              <w:right w:val="nil" w:sz="6" w:space="0" w:color="auto"/>
            </w:tcBorders>
          </w:tcPr>
          <w:p>
            <w:pPr/>
          </w:p>
        </w:tc>
      </w:tr>
      <w:tr>
        <w:trPr>
          <w:trHeight w:val="34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客户一</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22,061,786.06</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18.33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84" w:type="dxa"/>
            <w:vMerge/>
            <w:tcBorders>
              <w:left w:val="single" w:sz="4" w:space="0" w:color="000000"/>
              <w:right w:val="nil" w:sz="6" w:space="0" w:color="auto"/>
            </w:tcBorders>
          </w:tcPr>
          <w:p>
            <w:pPr/>
          </w:p>
        </w:tc>
      </w:tr>
      <w:tr>
        <w:trPr>
          <w:trHeight w:val="342"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客户二</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16,633,873.10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13.82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84" w:type="dxa"/>
            <w:vMerge/>
            <w:tcBorders>
              <w:left w:val="single" w:sz="4" w:space="0" w:color="000000"/>
              <w:right w:val="nil" w:sz="6" w:space="0" w:color="auto"/>
            </w:tcBorders>
          </w:tcPr>
          <w:p>
            <w:pPr/>
          </w:p>
        </w:tc>
      </w:tr>
      <w:tr>
        <w:trPr>
          <w:trHeight w:val="342"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客户三</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11,526,083.79</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9.58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84" w:type="dxa"/>
            <w:vMerge/>
            <w:tcBorders>
              <w:left w:val="single" w:sz="4" w:space="0" w:color="000000"/>
              <w:right w:val="nil" w:sz="6" w:space="0" w:color="auto"/>
            </w:tcBorders>
          </w:tcPr>
          <w:p>
            <w:pPr/>
          </w:p>
        </w:tc>
      </w:tr>
      <w:tr>
        <w:trPr>
          <w:trHeight w:val="342"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客户四</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6,445,151.35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5.35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84" w:type="dxa"/>
            <w:vMerge/>
            <w:tcBorders>
              <w:left w:val="single" w:sz="4" w:space="0" w:color="000000"/>
              <w:right w:val="nil" w:sz="6" w:space="0" w:color="auto"/>
            </w:tcBorders>
          </w:tcPr>
          <w:p>
            <w:pPr/>
          </w:p>
        </w:tc>
      </w:tr>
      <w:tr>
        <w:trPr>
          <w:trHeight w:val="342"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客户五</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4,883,139.66</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4.06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84" w:type="dxa"/>
            <w:vMerge/>
            <w:tcBorders>
              <w:left w:val="single" w:sz="4" w:space="0" w:color="000000"/>
              <w:right w:val="nil" w:sz="6" w:space="0" w:color="auto"/>
            </w:tcBorders>
          </w:tcPr>
          <w:p>
            <w:pPr/>
          </w:p>
        </w:tc>
      </w:tr>
      <w:tr>
        <w:trPr>
          <w:trHeight w:val="344"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61,550,033.96</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51.13</w:t>
            </w:r>
          </w:p>
        </w:tc>
        <w:tc>
          <w:tcPr>
            <w:tcW w:w="164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284" w:type="dxa"/>
            <w:vMerge/>
            <w:tcBorders>
              <w:left w:val="single" w:sz="4" w:space="0" w:color="000000"/>
              <w:bottom w:val="nil" w:sz="6" w:space="0" w:color="auto"/>
              <w:right w:val="nil" w:sz="6" w:space="0" w:color="auto"/>
            </w:tcBorders>
          </w:tcPr>
          <w:p>
            <w:pPr/>
          </w:p>
        </w:tc>
      </w:tr>
    </w:tbl>
    <w:p>
      <w:pPr>
        <w:pStyle w:val="BodyText"/>
        <w:spacing w:line="240" w:lineRule="auto" w:before="49"/>
        <w:ind w:left="134" w:right="1132"/>
        <w:jc w:val="left"/>
      </w:pPr>
      <w:r>
        <w:rPr>
          <w:rFonts w:ascii="Times New Roman" w:hAnsi="Times New Roman" w:cs="Times New Roman" w:eastAsia="Times New Roman" w:hint="default"/>
        </w:rPr>
        <w:t>5)</w:t>
      </w:r>
      <w:r>
        <w:rPr/>
        <w:t>因金融资产转移而终止确认的应收账款</w:t>
      </w:r>
    </w:p>
    <w:p>
      <w:pPr>
        <w:pStyle w:val="BodyText"/>
        <w:spacing w:line="240" w:lineRule="auto" w:before="103"/>
        <w:ind w:left="13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134" w:right="1132"/>
        <w:jc w:val="left"/>
      </w:pPr>
      <w:r>
        <w:rPr>
          <w:rFonts w:ascii="Times New Roman" w:hAnsi="Times New Roman" w:cs="Times New Roman" w:eastAsia="Times New Roman" w:hint="default"/>
        </w:rPr>
        <w:t>6)</w:t>
      </w:r>
      <w:r>
        <w:rPr/>
        <w:t>转移应收账款且继续涉入形成的资产、负债金额</w:t>
      </w:r>
    </w:p>
    <w:p>
      <w:pPr>
        <w:pStyle w:val="BodyText"/>
        <w:spacing w:line="240" w:lineRule="auto" w:before="102"/>
        <w:ind w:left="13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34" w:right="1132"/>
        <w:jc w:val="left"/>
        <w:rPr>
          <w:b w:val="0"/>
          <w:bCs w:val="0"/>
        </w:rPr>
      </w:pPr>
      <w:bookmarkStart w:name="2、其他应收款" w:id="484"/>
      <w:bookmarkEnd w:id="48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2,210,308.58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7,878,303.13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8,712,284.91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7,878,303.13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10,922,593.49</w:t>
            </w:r>
          </w:p>
        </w:tc>
      </w:tr>
    </w:tbl>
    <w:p>
      <w:pPr>
        <w:spacing w:line="240" w:lineRule="auto" w:before="2"/>
        <w:rPr>
          <w:rFonts w:ascii="宋体" w:hAnsi="宋体" w:cs="宋体" w:eastAsia="宋体" w:hint="default"/>
          <w:sz w:val="19"/>
          <w:szCs w:val="19"/>
        </w:rPr>
      </w:pPr>
    </w:p>
    <w:p>
      <w:pPr>
        <w:pStyle w:val="Heading4"/>
        <w:spacing w:line="240" w:lineRule="auto" w:before="35"/>
        <w:ind w:left="134" w:right="1132"/>
        <w:jc w:val="left"/>
        <w:rPr>
          <w:b w:val="0"/>
          <w:bCs w:val="0"/>
        </w:rPr>
      </w:pPr>
      <w:bookmarkStart w:name="（1）应收利息" w:id="485"/>
      <w:bookmarkEnd w:id="485"/>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3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34" w:right="1132"/>
        <w:jc w:val="left"/>
        <w:rPr>
          <w:b w:val="0"/>
          <w:bCs w:val="0"/>
        </w:rPr>
      </w:pPr>
      <w:bookmarkStart w:name="（2）应收股利" w:id="486"/>
      <w:bookmarkEnd w:id="486"/>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34" w:right="1132"/>
        <w:jc w:val="left"/>
      </w:pPr>
      <w:r>
        <w:rPr>
          <w:rFonts w:ascii="Times New Roman" w:hAnsi="Times New Roman" w:cs="Times New Roman" w:eastAsia="Times New Roman" w:hint="default"/>
        </w:rPr>
        <w:t>1)</w:t>
      </w:r>
      <w:r>
        <w:rPr/>
        <w:t>应收股利</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西安德宝药用包装有限公司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2,210,308.58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2,210,308.58</w:t>
            </w:r>
          </w:p>
        </w:tc>
      </w:tr>
    </w:tbl>
    <w:p>
      <w:pPr>
        <w:spacing w:line="240" w:lineRule="auto" w:before="2"/>
        <w:rPr>
          <w:rFonts w:ascii="宋体" w:hAnsi="宋体" w:cs="宋体" w:eastAsia="宋体" w:hint="default"/>
          <w:sz w:val="19"/>
          <w:szCs w:val="19"/>
        </w:rPr>
      </w:pPr>
    </w:p>
    <w:p>
      <w:pPr>
        <w:pStyle w:val="Heading4"/>
        <w:spacing w:line="240" w:lineRule="auto" w:before="35"/>
        <w:ind w:left="134" w:right="1132"/>
        <w:jc w:val="left"/>
        <w:rPr>
          <w:b w:val="0"/>
          <w:bCs w:val="0"/>
        </w:rPr>
      </w:pPr>
      <w:bookmarkStart w:name="（3）其他应收款" w:id="487"/>
      <w:bookmarkEnd w:id="487"/>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34" w:right="1132"/>
        <w:jc w:val="left"/>
      </w:pPr>
      <w:r>
        <w:rPr>
          <w:rFonts w:ascii="Times New Roman" w:hAnsi="Times New Roman" w:cs="Times New Roman" w:eastAsia="Times New Roman" w:hint="default"/>
        </w:rPr>
        <w:t>1)</w:t>
      </w:r>
      <w:r>
        <w:rPr/>
        <w:t>其他应收款分类披露</w:t>
      </w:r>
    </w:p>
    <w:p>
      <w:pPr>
        <w:pStyle w:val="BodyText"/>
        <w:spacing w:line="240" w:lineRule="auto" w:before="10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538"/>
        <w:gridCol w:w="1703"/>
        <w:gridCol w:w="1292"/>
        <w:gridCol w:w="1001"/>
        <w:gridCol w:w="1702"/>
        <w:gridCol w:w="1459"/>
        <w:gridCol w:w="989"/>
      </w:tblGrid>
      <w:tr>
        <w:trPr>
          <w:trHeight w:val="402" w:hRule="exact"/>
        </w:trPr>
        <w:tc>
          <w:tcPr>
            <w:tcW w:w="15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38" w:type="dxa"/>
            <w:vMerge/>
            <w:tcBorders>
              <w:left w:val="single" w:sz="4" w:space="0" w:color="000000"/>
              <w:bottom w:val="single" w:sz="4" w:space="0" w:color="000000"/>
              <w:right w:val="single" w:sz="4" w:space="0" w:color="000000"/>
            </w:tcBorders>
            <w:shd w:val="clear" w:color="auto" w:fill="D2D2D2"/>
          </w:tcPr>
          <w:p>
            <w:pPr/>
          </w:p>
        </w:tc>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0" w:footer="979" w:top="1500" w:bottom="1160" w:left="1000" w:right="0"/>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515"/>
        <w:gridCol w:w="1013"/>
        <w:gridCol w:w="701"/>
        <w:gridCol w:w="770"/>
        <w:gridCol w:w="522"/>
        <w:gridCol w:w="1001"/>
        <w:gridCol w:w="1001"/>
        <w:gridCol w:w="701"/>
        <w:gridCol w:w="776"/>
        <w:gridCol w:w="683"/>
        <w:gridCol w:w="1001"/>
      </w:tblGrid>
      <w:tr>
        <w:trPr>
          <w:trHeight w:val="173" w:hRule="exact"/>
        </w:trPr>
        <w:tc>
          <w:tcPr>
            <w:tcW w:w="1515" w:type="dxa"/>
            <w:vMerge w:val="restart"/>
            <w:tcBorders>
              <w:top w:val="single" w:sz="10" w:space="0" w:color="000000"/>
              <w:left w:val="single" w:sz="4" w:space="0" w:color="000000"/>
              <w:right w:val="single" w:sz="4" w:space="0" w:color="000000"/>
            </w:tcBorders>
            <w:shd w:val="clear" w:color="auto" w:fill="D2D2D2"/>
          </w:tcPr>
          <w:p>
            <w:pPr/>
          </w:p>
        </w:tc>
        <w:tc>
          <w:tcPr>
            <w:tcW w:w="1013" w:type="dxa"/>
            <w:tcBorders>
              <w:top w:val="single" w:sz="10" w:space="0" w:color="000000"/>
              <w:left w:val="single" w:sz="4" w:space="0" w:color="000000"/>
              <w:bottom w:val="nil" w:sz="6" w:space="0" w:color="auto"/>
              <w:right w:val="single" w:sz="4" w:space="0" w:color="000000"/>
            </w:tcBorders>
            <w:shd w:val="clear" w:color="auto" w:fill="D2D2D2"/>
          </w:tcPr>
          <w:p>
            <w:pPr/>
          </w:p>
        </w:tc>
        <w:tc>
          <w:tcPr>
            <w:tcW w:w="701" w:type="dxa"/>
            <w:tcBorders>
              <w:top w:val="single" w:sz="10" w:space="0" w:color="000000"/>
              <w:left w:val="single" w:sz="4" w:space="0" w:color="000000"/>
              <w:bottom w:val="nil" w:sz="6" w:space="0" w:color="auto"/>
              <w:right w:val="single" w:sz="4" w:space="0" w:color="000000"/>
            </w:tcBorders>
            <w:shd w:val="clear" w:color="auto" w:fill="D2D2D2"/>
          </w:tcPr>
          <w:p>
            <w:pPr/>
          </w:p>
        </w:tc>
        <w:tc>
          <w:tcPr>
            <w:tcW w:w="770" w:type="dxa"/>
            <w:tcBorders>
              <w:top w:val="single" w:sz="10" w:space="0" w:color="000000"/>
              <w:left w:val="single" w:sz="4" w:space="0" w:color="000000"/>
              <w:bottom w:val="nil" w:sz="6" w:space="0" w:color="auto"/>
              <w:right w:val="single" w:sz="4" w:space="0" w:color="000000"/>
            </w:tcBorders>
            <w:shd w:val="clear" w:color="auto" w:fill="D2D2D2"/>
          </w:tcPr>
          <w:p>
            <w:pPr/>
          </w:p>
        </w:tc>
        <w:tc>
          <w:tcPr>
            <w:tcW w:w="522" w:type="dxa"/>
            <w:vMerge w:val="restart"/>
            <w:tcBorders>
              <w:top w:val="single" w:sz="10" w:space="0" w:color="000000"/>
              <w:left w:val="single" w:sz="4" w:space="0" w:color="000000"/>
              <w:right w:val="single" w:sz="4" w:space="0" w:color="000000"/>
            </w:tcBorders>
            <w:shd w:val="clear" w:color="auto" w:fill="D2D2D2"/>
          </w:tcPr>
          <w:p>
            <w:pPr>
              <w:pStyle w:val="TableParagraph"/>
              <w:spacing w:line="316" w:lineRule="auto" w:before="56"/>
              <w:ind w:left="76" w:right="73"/>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01" w:type="dxa"/>
            <w:vMerge w:val="restart"/>
            <w:tcBorders>
              <w:top w:val="single" w:sz="10" w:space="0" w:color="000000"/>
              <w:left w:val="single" w:sz="4" w:space="0" w:color="000000"/>
              <w:right w:val="single" w:sz="4" w:space="0" w:color="000000"/>
            </w:tcBorders>
            <w:shd w:val="clear" w:color="auto" w:fill="D2D2D2"/>
          </w:tcPr>
          <w:p>
            <w:pPr/>
          </w:p>
        </w:tc>
        <w:tc>
          <w:tcPr>
            <w:tcW w:w="1001" w:type="dxa"/>
            <w:tcBorders>
              <w:top w:val="single" w:sz="10" w:space="0" w:color="000000"/>
              <w:left w:val="single" w:sz="4" w:space="0" w:color="000000"/>
              <w:bottom w:val="nil" w:sz="6" w:space="0" w:color="auto"/>
              <w:right w:val="single" w:sz="4" w:space="0" w:color="000000"/>
            </w:tcBorders>
            <w:shd w:val="clear" w:color="auto" w:fill="D2D2D2"/>
          </w:tcPr>
          <w:p>
            <w:pPr/>
          </w:p>
        </w:tc>
        <w:tc>
          <w:tcPr>
            <w:tcW w:w="701" w:type="dxa"/>
            <w:tcBorders>
              <w:top w:val="single" w:sz="10" w:space="0" w:color="000000"/>
              <w:left w:val="single" w:sz="4" w:space="0" w:color="000000"/>
              <w:bottom w:val="nil" w:sz="6" w:space="0" w:color="auto"/>
              <w:right w:val="single" w:sz="4" w:space="0" w:color="000000"/>
            </w:tcBorders>
            <w:shd w:val="clear" w:color="auto" w:fill="D2D2D2"/>
          </w:tcPr>
          <w:p>
            <w:pPr/>
          </w:p>
        </w:tc>
        <w:tc>
          <w:tcPr>
            <w:tcW w:w="776" w:type="dxa"/>
            <w:tcBorders>
              <w:top w:val="single" w:sz="10" w:space="0" w:color="000000"/>
              <w:left w:val="single" w:sz="4" w:space="0" w:color="000000"/>
              <w:bottom w:val="nil" w:sz="6" w:space="0" w:color="auto"/>
              <w:right w:val="single" w:sz="4" w:space="0" w:color="000000"/>
            </w:tcBorders>
            <w:shd w:val="clear" w:color="auto" w:fill="D2D2D2"/>
          </w:tcPr>
          <w:p>
            <w:pPr/>
          </w:p>
        </w:tc>
        <w:tc>
          <w:tcPr>
            <w:tcW w:w="683" w:type="dxa"/>
            <w:vMerge w:val="restart"/>
            <w:tcBorders>
              <w:top w:val="single" w:sz="10" w:space="0" w:color="000000"/>
              <w:left w:val="single" w:sz="4" w:space="0" w:color="000000"/>
              <w:right w:val="single" w:sz="4" w:space="0" w:color="000000"/>
            </w:tcBorders>
            <w:shd w:val="clear" w:color="auto" w:fill="D2D2D2"/>
          </w:tcPr>
          <w:p>
            <w:pPr>
              <w:pStyle w:val="TableParagraph"/>
              <w:spacing w:line="316" w:lineRule="auto" w:before="56"/>
              <w:ind w:left="245" w:right="6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01" w:type="dxa"/>
            <w:vMerge w:val="restart"/>
            <w:tcBorders>
              <w:top w:val="single" w:sz="10" w:space="0" w:color="000000"/>
              <w:left w:val="single" w:sz="4" w:space="0" w:color="000000"/>
              <w:right w:val="single" w:sz="4" w:space="0" w:color="000000"/>
            </w:tcBorders>
            <w:shd w:val="clear" w:color="auto" w:fill="D2D2D2"/>
          </w:tcPr>
          <w:p>
            <w:pPr/>
          </w:p>
        </w:tc>
      </w:tr>
      <w:tr>
        <w:trPr>
          <w:trHeight w:val="392" w:hRule="exact"/>
        </w:trPr>
        <w:tc>
          <w:tcPr>
            <w:tcW w:w="1515" w:type="dxa"/>
            <w:vMerge/>
            <w:tcBorders>
              <w:left w:val="single" w:sz="4" w:space="0" w:color="000000"/>
              <w:right w:val="single" w:sz="4" w:space="0" w:color="000000"/>
            </w:tcBorders>
            <w:shd w:val="clear" w:color="auto" w:fill="D2D2D2"/>
          </w:tcPr>
          <w:p>
            <w:pPr/>
          </w:p>
        </w:tc>
        <w:tc>
          <w:tcPr>
            <w:tcW w:w="10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2" w:type="dxa"/>
            <w:vMerge/>
            <w:tcBorders>
              <w:left w:val="single" w:sz="4" w:space="0" w:color="000000"/>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83" w:type="dxa"/>
            <w:vMerge/>
            <w:tcBorders>
              <w:left w:val="single" w:sz="4" w:space="0" w:color="000000"/>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r>
      <w:tr>
        <w:trPr>
          <w:trHeight w:val="161" w:hRule="exact"/>
        </w:trPr>
        <w:tc>
          <w:tcPr>
            <w:tcW w:w="1515" w:type="dxa"/>
            <w:vMerge/>
            <w:tcBorders>
              <w:left w:val="single" w:sz="4" w:space="0" w:color="000000"/>
              <w:bottom w:val="single" w:sz="4" w:space="0" w:color="000000"/>
              <w:right w:val="single" w:sz="4" w:space="0" w:color="000000"/>
            </w:tcBorders>
            <w:shd w:val="clear" w:color="auto" w:fill="D2D2D2"/>
          </w:tcPr>
          <w:p>
            <w:pPr/>
          </w:p>
        </w:tc>
        <w:tc>
          <w:tcPr>
            <w:tcW w:w="101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522"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3"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10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7,928,350.24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50,047.11</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9.22%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7,878,303.13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8,795,257.38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82,972.47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8,712,284.91</w:t>
            </w:r>
          </w:p>
        </w:tc>
      </w:tr>
      <w:tr>
        <w:trPr>
          <w:trHeight w:val="402" w:hRule="exact"/>
        </w:trPr>
        <w:tc>
          <w:tcPr>
            <w:tcW w:w="1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7,928,350.24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50,047.11</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9.22%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7,878,303.13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8,795,257.38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82,972.47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8,712,284.91</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500" w:bottom="1160" w:left="1000" w:right="0"/>
        </w:sectPr>
      </w:pPr>
    </w:p>
    <w:p>
      <w:pPr>
        <w:pStyle w:val="BodyText"/>
        <w:spacing w:line="240" w:lineRule="auto" w:before="51"/>
        <w:ind w:left="134" w:right="-20"/>
        <w:jc w:val="left"/>
      </w:pPr>
      <w:r>
        <w:rPr/>
        <w:t>期末单项金额重大并单项计提坏账准备的其他应收款：</w:t>
      </w:r>
    </w:p>
    <w:p>
      <w:pPr>
        <w:pStyle w:val="BodyText"/>
        <w:spacing w:line="338" w:lineRule="auto" w:before="117"/>
        <w:ind w:left="134"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33" w:right="0"/>
        <w:jc w:val="left"/>
      </w:pPr>
      <w:r>
        <w:rPr/>
        <w:t>单位： 元</w:t>
      </w:r>
    </w:p>
    <w:p>
      <w:pPr>
        <w:spacing w:after="0" w:line="240" w:lineRule="auto"/>
        <w:jc w:val="left"/>
        <w:sectPr>
          <w:type w:val="continuous"/>
          <w:pgSz w:w="11910" w:h="16840"/>
          <w:pgMar w:top="1580" w:bottom="700" w:left="1000" w:right="0"/>
          <w:cols w:num="2" w:equalWidth="0">
            <w:col w:w="4455" w:space="4375"/>
            <w:col w:w="2080"/>
          </w:cols>
        </w:sectPr>
      </w:pP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484,142.26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24,207.11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542,542.26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50,047.11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w:t>
            </w:r>
          </w:p>
        </w:tc>
      </w:tr>
    </w:tbl>
    <w:p>
      <w:pPr>
        <w:pStyle w:val="BodyText"/>
        <w:spacing w:line="240" w:lineRule="auto" w:before="51"/>
        <w:ind w:left="134" w:right="1132"/>
        <w:jc w:val="left"/>
      </w:pPr>
      <w:r>
        <w:rPr/>
        <w:t>确定该组合依据的说明：</w:t>
      </w:r>
    </w:p>
    <w:p>
      <w:pPr>
        <w:pStyle w:val="BodyText"/>
        <w:spacing w:line="240" w:lineRule="auto" w:before="139"/>
        <w:ind w:left="404" w:right="1132"/>
        <w:jc w:val="left"/>
      </w:pPr>
      <w:r>
        <w:rPr/>
        <w:t>（</w:t>
      </w:r>
      <w:r>
        <w:rPr>
          <w:rFonts w:ascii="宋体" w:hAnsi="宋体" w:cs="宋体" w:eastAsia="宋体" w:hint="default"/>
        </w:rPr>
        <w:t>1</w:t>
      </w:r>
      <w:r>
        <w:rPr/>
        <w:t>）单项金额重大并单项计提坏账准备的其他应收款：单项金额在</w:t>
      </w:r>
      <w:r>
        <w:rPr>
          <w:rFonts w:ascii="宋体" w:hAnsi="宋体" w:cs="宋体" w:eastAsia="宋体" w:hint="default"/>
        </w:rPr>
        <w:t>50</w:t>
      </w:r>
      <w:r>
        <w:rPr/>
        <w:t>万元以上的往来单位。</w:t>
      </w:r>
    </w:p>
    <w:p>
      <w:pPr>
        <w:pStyle w:val="BodyText"/>
        <w:spacing w:line="364" w:lineRule="auto" w:before="123"/>
        <w:ind w:left="134" w:right="1130" w:firstLine="270"/>
        <w:jc w:val="both"/>
      </w:pPr>
      <w:r>
        <w:rPr/>
        <w:t>（</w:t>
      </w:r>
      <w:r>
        <w:rPr>
          <w:rFonts w:ascii="宋体" w:hAnsi="宋体" w:cs="宋体" w:eastAsia="宋体" w:hint="default"/>
        </w:rPr>
        <w:t>2</w:t>
      </w:r>
      <w:r>
        <w:rPr/>
        <w:t>）单项金额虽不重大但单项计提坏账准备的其他应收款：账龄超过</w:t>
      </w:r>
      <w:r>
        <w:rPr>
          <w:rFonts w:ascii="宋体" w:hAnsi="宋体" w:cs="宋体" w:eastAsia="宋体" w:hint="default"/>
        </w:rPr>
        <w:t>3</w:t>
      </w:r>
      <w:r>
        <w:rPr/>
        <w:t>年以上的应收款项以及与对方存在争议或涉及诉 讼、仲裁的应收款项；已有明显迹象表明债务人很可能无法履行还款义务的应收款项。</w:t>
      </w:r>
    </w:p>
    <w:p>
      <w:pPr>
        <w:pStyle w:val="BodyText"/>
        <w:spacing w:line="364" w:lineRule="auto" w:before="29"/>
        <w:ind w:left="134" w:right="1132" w:firstLine="270"/>
        <w:jc w:val="both"/>
      </w:pPr>
      <w:r>
        <w:rPr>
          <w:spacing w:val="-2"/>
        </w:rPr>
        <w:t>（</w:t>
      </w:r>
      <w:r>
        <w:rPr>
          <w:rFonts w:ascii="宋体" w:hAnsi="宋体" w:cs="宋体" w:eastAsia="宋体" w:hint="default"/>
          <w:spacing w:val="-2"/>
        </w:rPr>
        <w:t>3</w:t>
      </w:r>
      <w:r>
        <w:rPr>
          <w:spacing w:val="-2"/>
        </w:rPr>
        <w:t>）按组合计提坏账准备的其他应收款：除上述（</w:t>
      </w:r>
      <w:r>
        <w:rPr>
          <w:rFonts w:ascii="宋体" w:hAnsi="宋体" w:cs="宋体" w:eastAsia="宋体" w:hint="default"/>
          <w:spacing w:val="-2"/>
        </w:rPr>
        <w:t>1</w:t>
      </w:r>
      <w:r>
        <w:rPr>
          <w:spacing w:val="-2"/>
        </w:rPr>
        <w:t>）、（</w:t>
      </w:r>
      <w:r>
        <w:rPr>
          <w:rFonts w:ascii="宋体" w:hAnsi="宋体" w:cs="宋体" w:eastAsia="宋体" w:hint="default"/>
          <w:spacing w:val="-2"/>
        </w:rPr>
        <w:t>2</w:t>
      </w:r>
      <w:r>
        <w:rPr>
          <w:spacing w:val="-2"/>
        </w:rPr>
        <w:t>）以外的其他应收款项。本公司对其他不重大其他应收款分</w:t>
      </w:r>
      <w:r>
        <w:rPr/>
        <w:t> </w:t>
      </w:r>
      <w:r>
        <w:rPr>
          <w:spacing w:val="-2"/>
        </w:rPr>
        <w:t>为二个组合：按账龄分析组合，按账龄分析计提坏账准备；公司及所属子公司往来款项的组合系指公司及所控制的公司之间</w:t>
      </w:r>
      <w:r>
        <w:rPr>
          <w:spacing w:val="-66"/>
        </w:rPr>
        <w:t> </w:t>
      </w:r>
      <w:r>
        <w:rPr>
          <w:spacing w:val="-66"/>
        </w:rPr>
      </w:r>
      <w:r>
        <w:rPr/>
        <w:t>的往来，不计提坏账准备。</w:t>
      </w:r>
    </w:p>
    <w:p>
      <w:pPr>
        <w:pStyle w:val="BodyText"/>
        <w:spacing w:line="240" w:lineRule="auto" w:before="47"/>
        <w:ind w:left="134" w:right="1132"/>
        <w:jc w:val="left"/>
      </w:pPr>
      <w:r>
        <w:rPr/>
        <w:t>组合中，采用余额百分比法计提坏账准备的其他应收款：</w:t>
      </w:r>
    </w:p>
    <w:p>
      <w:pPr>
        <w:pStyle w:val="BodyText"/>
        <w:spacing w:line="338" w:lineRule="auto" w:before="117"/>
        <w:ind w:left="134"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3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134" w:right="1132"/>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2"/>
        <w:ind w:left="134" w:right="4668"/>
        <w:jc w:val="left"/>
      </w:pPr>
      <w:r>
        <w:rPr/>
        <w:t>本期计提坏账准备金额</w:t>
      </w:r>
      <w:r>
        <w:rPr>
          <w:rFonts w:ascii="Times New Roman" w:hAnsi="Times New Roman" w:cs="Times New Roman" w:eastAsia="Times New Roman" w:hint="default"/>
        </w:rPr>
        <w:t>-32,925.36</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3)</w:t>
      </w:r>
      <w:r>
        <w:rPr/>
        <w:t>本期实际核销的其他应收款情况</w:t>
      </w:r>
    </w:p>
    <w:p>
      <w:pPr>
        <w:pStyle w:val="BodyText"/>
        <w:spacing w:line="338" w:lineRule="auto" w:before="20"/>
        <w:ind w:left="134"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其中重要的其他应收款核销情况：</w:t>
      </w:r>
    </w:p>
    <w:p>
      <w:pPr>
        <w:pStyle w:val="BodyText"/>
        <w:spacing w:line="338" w:lineRule="auto" w:before="43"/>
        <w:ind w:left="134" w:right="89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其他应收款核销说明：</w:t>
      </w:r>
    </w:p>
    <w:p>
      <w:pPr>
        <w:spacing w:after="0" w:line="338" w:lineRule="auto"/>
        <w:jc w:val="left"/>
        <w:sectPr>
          <w:type w:val="continuous"/>
          <w:pgSz w:w="11910" w:h="16840"/>
          <w:pgMar w:top="1580" w:bottom="700" w:left="100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6"/>
        <w:ind w:right="940"/>
        <w:jc w:val="left"/>
      </w:pPr>
      <w:r>
        <w:rPr>
          <w:rFonts w:ascii="Times New Roman" w:hAnsi="Times New Roman" w:cs="Times New Roman" w:eastAsia="Times New Roman" w:hint="default"/>
        </w:rPr>
        <w:t>4)</w:t>
      </w:r>
      <w:r>
        <w:rPr/>
        <w:t>其他应收款按款项性质分类情况</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7,385,807.98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7,385,807.98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238,400.00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155,000.00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53,142.26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201,922.64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251,000.00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1,052,526.76</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7,928,350.24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8,795,257.38</w:t>
            </w:r>
          </w:p>
        </w:tc>
      </w:tr>
    </w:tbl>
    <w:p>
      <w:pPr>
        <w:pStyle w:val="BodyText"/>
        <w:spacing w:line="240" w:lineRule="auto" w:before="51"/>
        <w:ind w:right="94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西安永旭创新服务有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7,385,807.98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93.16%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西安市公物拍卖行</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固定资产处置款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12,550.00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长春生物制品研究所 有限责任公司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马应龙药业集团股份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郎致集团有限公司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7,791,807.98</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98.28%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20,300.00</w:t>
            </w:r>
          </w:p>
        </w:tc>
      </w:tr>
    </w:tbl>
    <w:p>
      <w:pPr>
        <w:pStyle w:val="BodyText"/>
        <w:spacing w:line="240" w:lineRule="auto" w:before="51"/>
        <w:ind w:right="940"/>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940"/>
        <w:jc w:val="left"/>
      </w:pPr>
      <w:r>
        <w:rPr>
          <w:rFonts w:ascii="Times New Roman" w:hAnsi="Times New Roman" w:cs="Times New Roman" w:eastAsia="Times New Roman" w:hint="default"/>
        </w:rPr>
        <w:t>7)</w:t>
      </w:r>
      <w:r>
        <w:rPr/>
        <w:t>因金融资产转移而终止确认的其他应收款</w:t>
      </w:r>
    </w:p>
    <w:p>
      <w:pPr>
        <w:pStyle w:val="BodyText"/>
        <w:spacing w:line="240" w:lineRule="auto" w:before="102"/>
        <w:ind w:right="940"/>
        <w:jc w:val="left"/>
      </w:pPr>
      <w:r>
        <w:rPr>
          <w:rFonts w:ascii="Times New Roman" w:hAnsi="Times New Roman" w:cs="Times New Roman" w:eastAsia="Times New Roman" w:hint="default"/>
        </w:rPr>
        <w:t>8)</w:t>
      </w:r>
      <w:r>
        <w:rPr/>
        <w:t>转移其他应收款且继续涉入形成的资产、负债金额</w:t>
      </w:r>
    </w:p>
    <w:p>
      <w:pPr>
        <w:spacing w:line="240" w:lineRule="auto" w:before="10"/>
        <w:rPr>
          <w:rFonts w:ascii="宋体" w:hAnsi="宋体" w:cs="宋体" w:eastAsia="宋体" w:hint="default"/>
          <w:sz w:val="25"/>
          <w:szCs w:val="25"/>
        </w:rPr>
      </w:pPr>
    </w:p>
    <w:p>
      <w:pPr>
        <w:pStyle w:val="Heading4"/>
        <w:spacing w:line="240" w:lineRule="auto"/>
        <w:ind w:right="940"/>
        <w:jc w:val="left"/>
        <w:rPr>
          <w:b w:val="0"/>
          <w:bCs w:val="0"/>
        </w:rPr>
      </w:pPr>
      <w:bookmarkStart w:name="3、长期股权投资" w:id="488"/>
      <w:bookmarkEnd w:id="488"/>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330,828,826.38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330,828,826.38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198,968,826.38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198,968,826.38</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71,907,638.55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71,907,638.55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66,133,080.25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66,133,080.25</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402,736,464.93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402,736,464.93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265,101,906.63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265,101,906.63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1）对子公司投资" w:id="489"/>
      <w:bookmarkEnd w:id="489"/>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陕西永鑫纸业包 装有限公司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16,869,533.93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16,869,533.93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西安永旭创新服 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22,148,192.45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22,148,192.45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天津滨海环球印 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159,951,100.00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159,951,100.00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霍尔果斯领凯网 络科技有限公司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131,860,000.00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131,860,000.00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198,968,826.38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131,860,000.00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330,828,826.38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40"/>
        <w:jc w:val="left"/>
        <w:rPr>
          <w:b w:val="0"/>
          <w:bCs w:val="0"/>
        </w:rPr>
      </w:pPr>
      <w:bookmarkStart w:name="（2）对联营、合营企业投资" w:id="490"/>
      <w:bookmarkEnd w:id="490"/>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722"/>
        <w:gridCol w:w="1092"/>
        <w:gridCol w:w="721"/>
        <w:gridCol w:w="725"/>
        <w:gridCol w:w="1001"/>
        <w:gridCol w:w="724"/>
        <w:gridCol w:w="724"/>
        <w:gridCol w:w="725"/>
        <w:gridCol w:w="724"/>
        <w:gridCol w:w="724"/>
        <w:gridCol w:w="1092"/>
        <w:gridCol w:w="722"/>
      </w:tblGrid>
      <w:tr>
        <w:trPr>
          <w:trHeight w:val="402"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265" w:right="84"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06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86" w:right="84"/>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5" w:right="84"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6" w:right="86"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5" w:right="45"/>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6" w:right="85"/>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6" w:right="85"/>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7" w:right="85"/>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6" w:right="87"/>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2" w:type="dxa"/>
            <w:vMerge/>
            <w:tcBorders>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69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69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西安德 宝药用 包装有 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41,132,732.95</w:t>
            </w:r>
          </w:p>
        </w:tc>
        <w:tc>
          <w:tcPr>
            <w:tcW w:w="72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5,778,340.44</w:t>
            </w:r>
          </w:p>
        </w:tc>
        <w:tc>
          <w:tcPr>
            <w:tcW w:w="72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46,911,073.39</w:t>
            </w: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上海久 旭环保 科技股 份有限 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25,000,347.30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-3,782.14</w:t>
            </w:r>
            <w:r>
              <w:rPr>
                <w:rFonts w:ascii="Times New Roman"/>
                <w:sz w:val="18"/>
              </w:rPr>
            </w:r>
          </w:p>
        </w:tc>
        <w:tc>
          <w:tcPr>
            <w:tcW w:w="72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24,996,565.16</w:t>
            </w: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66,133,080.25</w:t>
            </w:r>
          </w:p>
        </w:tc>
        <w:tc>
          <w:tcPr>
            <w:tcW w:w="72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71,907,638.55</w:t>
            </w: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66,133,080.25</w:t>
            </w:r>
          </w:p>
        </w:tc>
        <w:tc>
          <w:tcPr>
            <w:tcW w:w="72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71,907,638.55</w:t>
            </w:r>
          </w:p>
        </w:tc>
        <w:tc>
          <w:tcPr>
            <w:tcW w:w="7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3）其他说明" w:id="491"/>
      <w:bookmarkEnd w:id="491"/>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0"/>
        <w:jc w:val="left"/>
        <w:rPr>
          <w:b w:val="0"/>
          <w:bCs w:val="0"/>
        </w:rPr>
      </w:pPr>
      <w:bookmarkStart w:name="4、营业收入和营业成本" w:id="492"/>
      <w:bookmarkEnd w:id="492"/>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380,559,310.53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302,891,760.19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350,997,186.55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287,759,997.22</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3,817,935.68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2,470,314.03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4,395,085.42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3,084,384.59</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384,377,246.21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305,362,074.22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355,392,271.97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290,844,381.81</w:t>
            </w:r>
          </w:p>
        </w:tc>
      </w:tr>
    </w:tbl>
    <w:p>
      <w:pPr>
        <w:spacing w:line="240" w:lineRule="auto" w:before="2"/>
        <w:rPr>
          <w:rFonts w:ascii="宋体" w:hAnsi="宋体" w:cs="宋体" w:eastAsia="宋体" w:hint="default"/>
          <w:sz w:val="19"/>
          <w:szCs w:val="19"/>
        </w:rPr>
      </w:pPr>
    </w:p>
    <w:p>
      <w:pPr>
        <w:pStyle w:val="Heading4"/>
        <w:spacing w:line="240" w:lineRule="auto" w:before="35"/>
        <w:ind w:right="940"/>
        <w:jc w:val="left"/>
        <w:rPr>
          <w:b w:val="0"/>
          <w:bCs w:val="0"/>
        </w:rPr>
      </w:pPr>
      <w:bookmarkStart w:name="5、投资收益" w:id="493"/>
      <w:bookmarkEnd w:id="493"/>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5,774,558.30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5,232,540.18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5,774,558.30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5,232,540.18</w:t>
            </w:r>
          </w:p>
        </w:tc>
      </w:tr>
    </w:tbl>
    <w:p>
      <w:pPr>
        <w:spacing w:line="240" w:lineRule="auto" w:before="2"/>
        <w:rPr>
          <w:rFonts w:ascii="宋体" w:hAnsi="宋体" w:cs="宋体" w:eastAsia="宋体" w:hint="default"/>
          <w:sz w:val="19"/>
          <w:szCs w:val="19"/>
        </w:rPr>
      </w:pPr>
    </w:p>
    <w:p>
      <w:pPr>
        <w:pStyle w:val="Heading4"/>
        <w:spacing w:line="240" w:lineRule="auto" w:before="35"/>
        <w:ind w:right="940"/>
        <w:jc w:val="left"/>
        <w:rPr>
          <w:b w:val="0"/>
          <w:bCs w:val="0"/>
        </w:rPr>
      </w:pPr>
      <w:bookmarkStart w:name="6、其他" w:id="494"/>
      <w:bookmarkEnd w:id="494"/>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940"/>
        <w:jc w:val="left"/>
        <w:rPr>
          <w:b w:val="0"/>
          <w:bCs w:val="0"/>
        </w:rPr>
      </w:pPr>
      <w:bookmarkStart w:name="十八、补充资料" w:id="495"/>
      <w:bookmarkEnd w:id="495"/>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0"/>
        <w:jc w:val="left"/>
        <w:rPr>
          <w:b w:val="0"/>
          <w:bCs w:val="0"/>
        </w:rPr>
      </w:pPr>
      <w:bookmarkStart w:name="1、当期非经常性损益明细表" w:id="496"/>
      <w:bookmarkEnd w:id="496"/>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63"/>
        <w:gridCol w:w="2709"/>
        <w:gridCol w:w="3186"/>
      </w:tblGrid>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7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-648,732.03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处置固定资产损失</w:t>
            </w:r>
          </w:p>
        </w:tc>
      </w:tr>
      <w:tr>
        <w:trPr>
          <w:trHeight w:val="1026"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 关，按照国家统一标准定额或定量享受的政府 补助除外）</w:t>
            </w:r>
          </w:p>
        </w:tc>
        <w:tc>
          <w:tcPr>
            <w:tcW w:w="27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1,934,200.00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收到政府补助</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7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-179,326.50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7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190,101.26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7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247,536.63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0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668,503.58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4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0" w:footer="979" w:top="150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940"/>
        <w:jc w:val="left"/>
        <w:rPr>
          <w:b w:val="0"/>
          <w:bCs w:val="0"/>
        </w:rPr>
      </w:pPr>
      <w:bookmarkStart w:name="2、净资产收益率及每股收益" w:id="497"/>
      <w:bookmarkEnd w:id="49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7"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r>
    </w:tbl>
    <w:p>
      <w:pPr>
        <w:spacing w:line="240" w:lineRule="auto" w:before="2"/>
        <w:rPr>
          <w:rFonts w:ascii="宋体" w:hAnsi="宋体" w:cs="宋体" w:eastAsia="宋体" w:hint="default"/>
          <w:b/>
          <w:bCs/>
          <w:sz w:val="19"/>
          <w:szCs w:val="19"/>
        </w:rPr>
      </w:pPr>
    </w:p>
    <w:p>
      <w:pPr>
        <w:pStyle w:val="Heading4"/>
        <w:spacing w:line="240" w:lineRule="auto" w:before="35"/>
        <w:ind w:right="940"/>
        <w:jc w:val="left"/>
        <w:rPr>
          <w:b w:val="0"/>
          <w:bCs w:val="0"/>
        </w:rPr>
      </w:pPr>
      <w:bookmarkStart w:name="3、境内外会计准则下会计数据差异" w:id="498"/>
      <w:bookmarkEnd w:id="498"/>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0"/>
        <w:jc w:val="left"/>
        <w:rPr>
          <w:b w:val="0"/>
          <w:bCs w:val="0"/>
        </w:rPr>
      </w:pPr>
      <w:bookmarkStart w:name="（1）同时按照国际会计准则与按中国会计准则披露的财务报告中净利润和净资产差异情况" w:id="499"/>
      <w:bookmarkEnd w:id="499"/>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40"/>
        <w:jc w:val="left"/>
        <w:rPr>
          <w:b w:val="0"/>
          <w:bCs w:val="0"/>
        </w:rPr>
      </w:pPr>
      <w:bookmarkStart w:name="（2）同时按照境外会计准则与按中国会计准则披露的财务报告中净利润和净资产差异情况" w:id="500"/>
      <w:bookmarkEnd w:id="500"/>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59" w:lineRule="auto"/>
        <w:ind w:right="940"/>
        <w:jc w:val="left"/>
        <w:rPr>
          <w:b w:val="0"/>
          <w:bCs w:val="0"/>
        </w:rPr>
      </w:pPr>
      <w:bookmarkStart w:name="（3）境内外会计准则下会计数据差异原因说明，对已经境外审计机构审计的数据进行差异" w:id="501"/>
      <w:bookmarkEnd w:id="501"/>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0"/>
        <w:jc w:val="left"/>
        <w:rPr>
          <w:b w:val="0"/>
          <w:bCs w:val="0"/>
        </w:rPr>
      </w:pPr>
      <w:bookmarkStart w:name="4、其他" w:id="502"/>
      <w:bookmarkEnd w:id="502"/>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0" w:footer="979" w:top="150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11"/>
          <w:szCs w:val="11"/>
        </w:rPr>
      </w:pPr>
    </w:p>
    <w:p>
      <w:pPr>
        <w:pStyle w:val="Heading1"/>
        <w:spacing w:line="240" w:lineRule="auto"/>
        <w:ind w:left="3286" w:right="940"/>
        <w:jc w:val="left"/>
        <w:rPr>
          <w:b w:val="0"/>
          <w:bCs w:val="0"/>
        </w:rPr>
      </w:pPr>
      <w:bookmarkStart w:name="第十二节 备查文件目录" w:id="503"/>
      <w:bookmarkEnd w:id="503"/>
      <w:r>
        <w:rPr>
          <w:b w:val="0"/>
          <w:bCs w:val="0"/>
        </w:rPr>
      </w:r>
      <w:bookmarkStart w:name="_bookmark11" w:id="504"/>
      <w:bookmarkEnd w:id="504"/>
      <w:r>
        <w:rPr>
          <w:b w:val="0"/>
          <w:bCs w:val="0"/>
        </w:rPr>
      </w:r>
      <w:r>
        <w:rPr/>
        <w:t>第十二节</w:t>
      </w:r>
      <w:r>
        <w:rPr>
          <w:spacing w:val="-8"/>
        </w:rPr>
        <w:t> </w:t>
      </w:r>
      <w:r>
        <w:rPr/>
        <w:t>备查文件目录</w:t>
      </w:r>
      <w:r>
        <w:rPr>
          <w:b w:val="0"/>
          <w:bCs w:val="0"/>
        </w:rPr>
      </w:r>
    </w:p>
    <w:p>
      <w:pPr>
        <w:spacing w:line="240" w:lineRule="auto" w:before="10"/>
        <w:rPr>
          <w:rFonts w:ascii="宋体" w:hAnsi="宋体" w:cs="宋体" w:eastAsia="宋体" w:hint="default"/>
          <w:b/>
          <w:bCs/>
          <w:sz w:val="44"/>
          <w:szCs w:val="44"/>
        </w:rPr>
      </w:pPr>
    </w:p>
    <w:p>
      <w:pPr>
        <w:pStyle w:val="Heading3"/>
        <w:spacing w:line="357" w:lineRule="auto"/>
        <w:ind w:right="994"/>
        <w:jc w:val="left"/>
      </w:pPr>
      <w:r>
        <w:rPr/>
        <w:t>一、载有公司法定代表人签名的</w:t>
      </w:r>
      <w:r>
        <w:rPr>
          <w:rFonts w:ascii="宋体" w:hAnsi="宋体" w:cs="宋体" w:eastAsia="宋体" w:hint="default"/>
        </w:rPr>
        <w:t>2018</w:t>
      </w:r>
      <w:r>
        <w:rPr/>
        <w:t>年度报告文本。 二、载有公司法定代表人、主管会计工作负责人、会计机构负责人签名并盖章的财务报表。 </w:t>
      </w:r>
      <w:r>
        <w:rPr>
          <w:spacing w:val="-2"/>
        </w:rPr>
        <w:t>三、报告期内公司在中国证监会指定报纸上公开披露过的所有公司文件的正本及公告的原稿。</w:t>
      </w:r>
      <w:r>
        <w:rPr/>
        <w:t> 四、其他有关资料。</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6"/>
          <w:szCs w:val="26"/>
        </w:rPr>
      </w:pPr>
    </w:p>
    <w:p>
      <w:pPr>
        <w:pStyle w:val="Heading3"/>
        <w:spacing w:line="240" w:lineRule="auto"/>
        <w:ind w:left="6913" w:right="940"/>
        <w:jc w:val="left"/>
      </w:pPr>
      <w:r>
        <w:rPr/>
        <w:t>西安环球印务股份有限公司</w:t>
      </w:r>
    </w:p>
    <w:p>
      <w:pPr>
        <w:pStyle w:val="Heading3"/>
        <w:spacing w:line="357" w:lineRule="auto" w:before="154"/>
        <w:ind w:left="7153" w:right="1113" w:firstLine="960"/>
        <w:jc w:val="left"/>
      </w:pPr>
      <w:r>
        <w:rPr/>
        <w:t>董事长：李移岭 二零一九年三月二十九日</w:t>
      </w:r>
    </w:p>
    <w:sectPr>
      <w:pgSz w:w="11910" w:h="16840"/>
      <w:pgMar w:header="0" w:footer="979" w:top="15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01568"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01040" type="#_x0000_t75" stroked="false">
          <v:imagedata r:id="rId1" o:title=""/>
        </v:shape>
      </w:pict>
    </w:r>
    <w:r>
      <w:rPr/>
      <w:pict>
        <v:shape style="position:absolute;margin-left:55.700001pt;margin-top:752.005615pt;width:70.9pt;height:11.5pt;mso-position-horizontal-relative:page;mso-position-vertical-relative:page;z-index:-80101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txbxContent>
          </v:textbox>
          <w10:wrap type="none"/>
        </v:shape>
      </w:pict>
    </w:r>
    <w:r>
      <w:rPr/>
      <w:pict>
        <v:shape style="position:absolute;margin-left:523.179993pt;margin-top:781.957947pt;width:17.5pt;height:11pt;mso-position-horizontal-relative:page;mso-position-vertical-relative:page;z-index:-8009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00968" type="#_x0000_t75" stroked="false">
          <v:imagedata r:id="rId1" o:title=""/>
        </v:shape>
      </w:pict>
    </w:r>
    <w:r>
      <w:rPr/>
      <w:pict>
        <v:shape style="position:absolute;margin-left:523.179993pt;margin-top:781.957947pt;width:17.5pt;height:11pt;mso-position-horizontal-relative:page;mso-position-vertical-relative:page;z-index:-8009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00920" type="#_x0000_t75" stroked="false">
          <v:imagedata r:id="rId1" o:title=""/>
        </v:shape>
      </w:pict>
    </w:r>
    <w:r>
      <w:rPr/>
      <w:pict>
        <v:shape style="position:absolute;margin-left:523.179993pt;margin-top:781.957947pt;width:17.5pt;height:11pt;mso-position-horizontal-relative:page;mso-position-vertical-relative:page;z-index:-8008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01472" type="#_x0000_t75" stroked="false">
          <v:imagedata r:id="rId1" o:title=""/>
        </v:shape>
      </w:pict>
    </w:r>
    <w:r>
      <w:rPr/>
      <w:pict>
        <v:shape style="position:absolute;margin-left:527.679993pt;margin-top:781.957947pt;width:13pt;height:11pt;mso-position-horizontal-relative:page;mso-position-vertical-relative:page;z-index:-8014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01424" type="#_x0000_t75" stroked="false">
          <v:imagedata r:id="rId1" o:title=""/>
        </v:shape>
      </w:pict>
    </w:r>
    <w:r>
      <w:rPr/>
      <w:pict>
        <v:shape style="position:absolute;margin-left:527.679993pt;margin-top:781.957947pt;width:13pt;height:11pt;mso-position-horizontal-relative:page;mso-position-vertical-relative:page;z-index:-8014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801328" type="#_x0000_t75" stroked="false">
          <v:imagedata r:id="rId1" o:title=""/>
        </v:shape>
      </w:pict>
    </w:r>
    <w:r>
      <w:rPr/>
      <w:pict>
        <v:shape style="position:absolute;margin-left:758.97998pt;margin-top:535.357971pt;width:13pt;height:11pt;mso-position-horizontal-relative:page;mso-position-vertical-relative:page;z-index:-8013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801280" type="#_x0000_t75" stroked="false">
          <v:imagedata r:id="rId1" o:title=""/>
        </v:shape>
      </w:pict>
    </w:r>
    <w:r>
      <w:rPr/>
      <w:pict>
        <v:shape style="position:absolute;margin-left:758.97998pt;margin-top:535.357971pt;width:13pt;height:11pt;mso-position-horizontal-relative:page;mso-position-vertical-relative:page;z-index:-8012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01184" type="#_x0000_t75" stroked="false">
          <v:imagedata r:id="rId1" o:title=""/>
        </v:shape>
      </w:pict>
    </w:r>
    <w:r>
      <w:rPr/>
      <w:pict>
        <v:shape style="position:absolute;margin-left:527.679993pt;margin-top:781.957947pt;width:13pt;height:11pt;mso-position-horizontal-relative:page;mso-position-vertical-relative:page;z-index:-8011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01136" type="#_x0000_t75" stroked="false">
          <v:imagedata r:id="rId1" o:title=""/>
        </v:shape>
      </w:pict>
    </w:r>
    <w:r>
      <w:rPr/>
      <w:pict>
        <v:shape style="position:absolute;margin-left:524.179993pt;margin-top:781.957947pt;width:15.5pt;height:11pt;mso-position-horizontal-relative:page;mso-position-vertical-relative:page;z-index:-8011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01088" type="#_x0000_t75" stroked="false">
          <v:imagedata r:id="rId1" o:title=""/>
        </v:shape>
      </w:pict>
    </w:r>
    <w:r>
      <w:rPr/>
      <w:pict>
        <v:shape style="position:absolute;margin-left:523.179993pt;margin-top:781.957947pt;width:17.5pt;height:11pt;mso-position-horizontal-relative:page;mso-position-vertical-relative:page;z-index:-8010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599998pt;margin-top:42.549984pt;width:115.5pt;height:30.75pt;mso-position-horizontal-relative:page;mso-position-vertical-relative:page;z-index:-801544" type="#_x0000_t75" stroked="false">
          <v:imagedata r:id="rId1" o:title=""/>
        </v:shape>
      </w:pict>
    </w:r>
    <w:r>
      <w:rPr/>
      <w:pict>
        <v:group style="position:absolute;margin-left:55.200001pt;margin-top:78.059982pt;width:485pt;height:.1pt;mso-position-horizontal-relative:page;mso-position-vertical-relative:page;z-index:-801520" coordorigin="1104,1561" coordsize="9700,2">
          <v:shape style="position:absolute;left:1104;top:1561;width:9700;height:2" coordorigin="1104,1561" coordsize="9700,0" path="m1104,1561l10804,156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44.220001pt;margin-top:65.305611pt;width:195.5pt;height:11.5pt;mso-position-horizontal-relative:page;mso-position-vertical-relative:page;z-index:-801496" type="#_x0000_t202" filled="false" stroked="false">
          <v:textbox inset="0,0,0,0">
            <w:txbxContent>
              <w:p>
                <w:pPr>
                  <w:pStyle w:val="BodyText"/>
                  <w:spacing w:line="214" w:lineRule="exact"/>
                  <w:ind w:left="20" w:right="0"/>
                  <w:jc w:val="left"/>
                </w:pPr>
                <w:r>
                  <w:rPr/>
                  <w:t>西安环球印务股份有限公司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99994pt;margin-top:42.550007pt;width:115.5pt;height:30.75pt;mso-position-horizontal-relative:page;mso-position-vertical-relative:page;z-index:-801376" type="#_x0000_t75" stroked="false">
          <v:imagedata r:id="rId1" o:title=""/>
        </v:shape>
      </w:pict>
    </w:r>
    <w:r>
      <w:rPr/>
      <w:pict>
        <v:shape style="position:absolute;margin-left:575.520020pt;margin-top:65.305634pt;width:195.5pt;height:11.5pt;mso-position-horizontal-relative:page;mso-position-vertical-relative:page;z-index:-801352" type="#_x0000_t202" filled="false" stroked="false">
          <v:textbox inset="0,0,0,0">
            <w:txbxContent>
              <w:p>
                <w:pPr>
                  <w:pStyle w:val="BodyText"/>
                  <w:spacing w:line="214" w:lineRule="exact"/>
                  <w:ind w:left="20" w:right="0"/>
                  <w:jc w:val="left"/>
                </w:pPr>
                <w:r>
                  <w:rPr/>
                  <w:t>西安环球印务股份有限公司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599998pt;margin-top:42.549984pt;width:115.5pt;height:30.75pt;mso-position-horizontal-relative:page;mso-position-vertical-relative:page;z-index:-801232" type="#_x0000_t75" stroked="false">
          <v:imagedata r:id="rId1" o:title=""/>
        </v:shape>
      </w:pict>
    </w:r>
    <w:r>
      <w:rPr/>
      <w:pict>
        <v:shape style="position:absolute;margin-left:344.220001pt;margin-top:65.305611pt;width:195.5pt;height:11.5pt;mso-position-horizontal-relative:page;mso-position-vertical-relative:page;z-index:-801208" type="#_x0000_t202" filled="false" stroked="false">
          <v:textbox inset="0,0,0,0">
            <w:txbxContent>
              <w:p>
                <w:pPr>
                  <w:pStyle w:val="BodyText"/>
                  <w:spacing w:line="214" w:lineRule="exact"/>
                  <w:ind w:left="20" w:right="0"/>
                  <w:jc w:val="left"/>
                </w:pPr>
                <w:r>
                  <w:rPr/>
                  <w:t>西安环球印务股份有限公司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3"/>
      <w:ind w:left="154"/>
    </w:pPr>
    <w:rPr>
      <w:rFonts w:ascii="宋体" w:hAnsi="宋体" w:eastAsia="宋体"/>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40"/>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ind w:left="154"/>
      <w:outlineLvl w:val="5"/>
    </w:pPr>
    <w:rPr>
      <w:rFonts w:ascii="宋体" w:hAnsi="宋体" w:eastAsia="宋体"/>
      <w:sz w:val="21"/>
      <w:szCs w:val="21"/>
    </w:rPr>
  </w:style>
  <w:style w:styleId="Heading6" w:type="paragraph">
    <w:name w:val="Heading 6"/>
    <w:basedOn w:val="Normal"/>
    <w:uiPriority w:val="1"/>
    <w:qFormat/>
    <w:pPr>
      <w:ind w:left="154"/>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globalprinting.cn/" TargetMode="External"/><Relationship Id="rId10" Type="http://schemas.openxmlformats.org/officeDocument/2006/relationships/hyperlink" Target="mailto:security@globalprinting.cn"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image" Target="media/image1.jpeg"/><Relationship Id="rId16" Type="http://schemas.openxmlformats.org/officeDocument/2006/relationships/footer" Target="footer4.xml"/><Relationship Id="rId17" Type="http://schemas.openxmlformats.org/officeDocument/2006/relationships/hyperlink" Target="http://www.cninfo.com/" TargetMode="External"/><Relationship Id="rId18" Type="http://schemas.openxmlformats.org/officeDocument/2006/relationships/image" Target="media/image4.jpeg"/><Relationship Id="rId19" Type="http://schemas.openxmlformats.org/officeDocument/2006/relationships/header" Target="header3.xml"/><Relationship Id="rId20" Type="http://schemas.openxmlformats.org/officeDocument/2006/relationships/footer" Target="footer5.xml"/><Relationship Id="rId21" Type="http://schemas.openxmlformats.org/officeDocument/2006/relationships/header" Target="header4.xml"/><Relationship Id="rId22" Type="http://schemas.openxmlformats.org/officeDocument/2006/relationships/footer" Target="footer6.xml"/><Relationship Id="rId23" Type="http://schemas.openxmlformats.org/officeDocument/2006/relationships/header" Target="header5.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6.xml"/><Relationship Id="rId30" Type="http://schemas.openxmlformats.org/officeDocument/2006/relationships/footer" Target="footer12.xml"/><Relationship Id="rId31" Type="http://schemas.openxmlformats.org/officeDocument/2006/relationships/footer" Target="footer1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西安环球印务股份有限公司</dc:creator>
  <dc:title>西安环球印务股份有限公司2018年年度报告全文</dc:title>
  <dcterms:created xsi:type="dcterms:W3CDTF">2020-05-05T05:46:26Z</dcterms:created>
  <dcterms:modified xsi:type="dcterms:W3CDTF">2020-05-05T05:46:26Z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2019-05-17T00:00:00Z</vt:filetime>
  </property>
  <property fmtid="{D5CDD505-2E9C-101B-9397-08002B2CF9AE}" pid="3" name="Creator">
    <vt:lpwstr>Microsoft® Office Word 2007</vt:lpwstr>
  </property>
  <property fmtid="{D5CDD505-2E9C-101B-9397-08002B2CF9AE}" pid="4" name="LastSaved">
    <vt:filetime>2020-05-04T00:00:00Z</vt:filetime>
  </property>
</Properties>
</file>