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3"/>
          <w:szCs w:val="23"/>
        </w:rPr>
      </w:pPr>
    </w:p>
    <w:p>
      <w:pPr>
        <w:spacing w:line="460" w:lineRule="exact" w:before="0"/>
        <w:ind w:left="2083" w:right="3764" w:firstLine="0"/>
        <w:jc w:val="center"/>
        <w:rPr>
          <w:rFonts w:ascii="宋体" w:hAnsi="宋体" w:cs="宋体" w:eastAsia="宋体" w:hint="default"/>
          <w:sz w:val="36"/>
          <w:szCs w:val="36"/>
        </w:rPr>
      </w:pPr>
      <w:r>
        <w:rPr>
          <w:rFonts w:ascii="宋体" w:hAnsi="宋体" w:cs="宋体" w:eastAsia="宋体" w:hint="default"/>
          <w:b/>
          <w:bCs/>
          <w:sz w:val="36"/>
          <w:szCs w:val="36"/>
        </w:rPr>
        <w:t>西安环球印务股份有限公司</w:t>
      </w:r>
      <w:r>
        <w:rPr>
          <w:rFonts w:ascii="宋体" w:hAnsi="宋体" w:cs="宋体" w:eastAsia="宋体" w:hint="default"/>
          <w:sz w:val="36"/>
          <w:szCs w:val="36"/>
        </w:rPr>
      </w:r>
    </w:p>
    <w:p>
      <w:pPr>
        <w:spacing w:line="240" w:lineRule="auto" w:before="0"/>
        <w:rPr>
          <w:rFonts w:ascii="宋体" w:hAnsi="宋体" w:cs="宋体" w:eastAsia="宋体" w:hint="default"/>
          <w:b/>
          <w:bCs/>
          <w:sz w:val="31"/>
          <w:szCs w:val="31"/>
        </w:rPr>
      </w:pPr>
    </w:p>
    <w:p>
      <w:pPr>
        <w:spacing w:before="0"/>
        <w:ind w:left="2083" w:right="376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8"/>
          <w:szCs w:val="28"/>
        </w:rPr>
      </w:pPr>
    </w:p>
    <w:p>
      <w:pPr>
        <w:spacing w:line="612" w:lineRule="exact"/>
        <w:ind w:left="3119" w:right="0" w:firstLine="0"/>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1459694" cy="38862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1459694" cy="388620"/>
                    </a:xfrm>
                    <a:prstGeom prst="rect">
                      <a:avLst/>
                    </a:prstGeom>
                  </pic:spPr>
                </pic:pic>
              </a:graphicData>
            </a:graphic>
          </wp:inline>
        </w:drawing>
      </w:r>
      <w:r>
        <w:rPr>
          <w:rFonts w:ascii="宋体" w:hAnsi="宋体" w:cs="宋体" w:eastAsia="宋体" w:hint="default"/>
          <w:position w:val="-11"/>
          <w:sz w:val="20"/>
          <w:szCs w:val="2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8"/>
        <w:rPr>
          <w:rFonts w:ascii="宋体" w:hAnsi="宋体" w:cs="宋体" w:eastAsia="宋体" w:hint="default"/>
          <w:b/>
          <w:bCs/>
          <w:sz w:val="43"/>
          <w:szCs w:val="43"/>
        </w:rPr>
      </w:pPr>
    </w:p>
    <w:p>
      <w:pPr>
        <w:spacing w:before="0"/>
        <w:ind w:left="2083" w:right="375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footerReference w:type="default" r:id="rId5"/>
          <w:type w:val="continuous"/>
          <w:pgSz w:w="11910" w:h="16840"/>
          <w:pgMar w:footer="504" w:top="1580" w:bottom="700" w:left="16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Heading1"/>
        <w:spacing w:line="240" w:lineRule="auto"/>
        <w:ind w:left="2803"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
        </w:rPr>
        <w:t> </w:t>
      </w:r>
      <w:r>
        <w:rPr/>
        <w:t>重要提示、目录和释义</w:t>
      </w:r>
      <w:r>
        <w:rPr>
          <w:b w:val="0"/>
          <w:bCs w:val="0"/>
        </w:rPr>
      </w:r>
    </w:p>
    <w:p>
      <w:pPr>
        <w:spacing w:line="240" w:lineRule="auto" w:before="12"/>
        <w:rPr>
          <w:rFonts w:ascii="宋体" w:hAnsi="宋体" w:cs="宋体" w:eastAsia="宋体" w:hint="default"/>
          <w:b/>
          <w:bCs/>
          <w:sz w:val="47"/>
          <w:szCs w:val="47"/>
        </w:rPr>
      </w:pPr>
    </w:p>
    <w:p>
      <w:pPr>
        <w:spacing w:line="408" w:lineRule="auto" w:before="0"/>
        <w:ind w:left="153" w:right="1141"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实、准确、完整，不存在虚假记载、误导性陈述或重大遗漏，并承担个别和连</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带的法律责任。</w:t>
      </w:r>
      <w:r>
        <w:rPr>
          <w:rFonts w:ascii="宋体" w:hAnsi="宋体" w:cs="宋体" w:eastAsia="宋体" w:hint="default"/>
          <w:spacing w:val="2"/>
          <w:sz w:val="28"/>
          <w:szCs w:val="28"/>
        </w:rPr>
      </w:r>
    </w:p>
    <w:p>
      <w:pPr>
        <w:spacing w:line="386" w:lineRule="auto" w:before="162"/>
        <w:ind w:left="153" w:right="1127" w:firstLine="561"/>
        <w:jc w:val="both"/>
        <w:rPr>
          <w:rFonts w:ascii="宋体" w:hAnsi="宋体" w:cs="宋体" w:eastAsia="宋体" w:hint="default"/>
          <w:sz w:val="28"/>
          <w:szCs w:val="28"/>
        </w:rPr>
      </w:pPr>
      <w:r>
        <w:rPr>
          <w:rFonts w:ascii="宋体" w:hAnsi="宋体" w:cs="宋体" w:eastAsia="宋体" w:hint="default"/>
          <w:b/>
          <w:bCs/>
          <w:spacing w:val="2"/>
          <w:w w:val="95"/>
          <w:sz w:val="28"/>
          <w:szCs w:val="28"/>
        </w:rPr>
        <w:t>公司负责人李移岭、主管会计工作负责人林蔚及会计机构负责人</w:t>
      </w:r>
      <w:r>
        <w:rPr>
          <w:rFonts w:ascii="Times New Roman" w:hAnsi="Times New Roman" w:cs="Times New Roman" w:eastAsia="Times New Roman" w:hint="default"/>
          <w:b/>
          <w:bCs/>
          <w:spacing w:val="2"/>
          <w:w w:val="95"/>
          <w:sz w:val="28"/>
          <w:szCs w:val="28"/>
        </w:rPr>
        <w:t>(</w:t>
      </w:r>
      <w:r>
        <w:rPr>
          <w:rFonts w:ascii="宋体" w:hAnsi="宋体" w:cs="宋体" w:eastAsia="宋体" w:hint="default"/>
          <w:b/>
          <w:bCs/>
          <w:spacing w:val="2"/>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人员</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夏美莹声明：保证年度报告中财务报告的真实、准确、完整。</w:t>
      </w:r>
      <w:r>
        <w:rPr>
          <w:rFonts w:ascii="宋体" w:hAnsi="宋体" w:cs="宋体" w:eastAsia="宋体" w:hint="default"/>
          <w:spacing w:val="2"/>
          <w:sz w:val="28"/>
          <w:szCs w:val="28"/>
        </w:rPr>
      </w:r>
    </w:p>
    <w:p>
      <w:pPr>
        <w:spacing w:line="408" w:lineRule="auto" w:before="148"/>
        <w:ind w:left="153" w:right="1131"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本报告已经公司第四届董事会第二十一次会议审议通过，所有董事均出席</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了本次董事会会议。</w:t>
      </w:r>
      <w:r>
        <w:rPr>
          <w:rFonts w:ascii="宋体" w:hAnsi="宋体" w:cs="宋体" w:eastAsia="宋体" w:hint="default"/>
          <w:spacing w:val="2"/>
          <w:sz w:val="28"/>
          <w:szCs w:val="28"/>
        </w:rPr>
      </w:r>
    </w:p>
    <w:p>
      <w:pPr>
        <w:spacing w:line="408" w:lineRule="auto" w:before="162"/>
        <w:ind w:left="153" w:right="1141"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本报告所涉及未来计划等前瞻性陈述，不构成公司对投资者的实质承诺，</w:t>
      </w:r>
      <w:r>
        <w:rPr>
          <w:rFonts w:ascii="宋体" w:hAnsi="宋体" w:cs="宋体" w:eastAsia="宋体" w:hint="default"/>
          <w:b/>
          <w:bCs/>
          <w:w w:val="99"/>
          <w:sz w:val="28"/>
          <w:szCs w:val="28"/>
        </w:rPr>
        <w:t> </w:t>
      </w:r>
      <w:r>
        <w:rPr>
          <w:rFonts w:ascii="宋体" w:hAnsi="宋体" w:cs="宋体" w:eastAsia="宋体" w:hint="default"/>
          <w:b/>
          <w:bCs/>
          <w:spacing w:val="2"/>
          <w:sz w:val="28"/>
          <w:szCs w:val="28"/>
        </w:rPr>
        <w:t>请投资者注意投资风险。</w:t>
      </w:r>
      <w:r>
        <w:rPr>
          <w:rFonts w:ascii="宋体" w:hAnsi="宋体" w:cs="宋体" w:eastAsia="宋体" w:hint="default"/>
          <w:spacing w:val="2"/>
          <w:sz w:val="28"/>
          <w:szCs w:val="28"/>
        </w:rPr>
      </w:r>
    </w:p>
    <w:p>
      <w:pPr>
        <w:spacing w:line="386" w:lineRule="auto" w:before="158"/>
        <w:ind w:left="153" w:right="112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公司在本报告第四节</w:t>
      </w:r>
      <w:r>
        <w:rPr>
          <w:rFonts w:ascii="Times New Roman" w:hAnsi="Times New Roman" w:cs="Times New Roman" w:eastAsia="Times New Roman" w:hint="default"/>
          <w:b/>
          <w:bCs/>
          <w:spacing w:val="4"/>
          <w:w w:val="95"/>
          <w:sz w:val="28"/>
          <w:szCs w:val="28"/>
        </w:rPr>
        <w:t>“</w:t>
      </w:r>
      <w:r>
        <w:rPr>
          <w:rFonts w:ascii="宋体" w:hAnsi="宋体" w:cs="宋体" w:eastAsia="宋体" w:hint="default"/>
          <w:b/>
          <w:bCs/>
          <w:spacing w:val="4"/>
          <w:w w:val="95"/>
          <w:sz w:val="28"/>
          <w:szCs w:val="28"/>
        </w:rPr>
        <w:t>经营情况讨论与分析</w:t>
      </w:r>
      <w:r>
        <w:rPr>
          <w:rFonts w:ascii="Times New Roman" w:hAnsi="Times New Roman" w:cs="Times New Roman" w:eastAsia="Times New Roman" w:hint="default"/>
          <w:b/>
          <w:bCs/>
          <w:spacing w:val="4"/>
          <w:w w:val="95"/>
          <w:sz w:val="28"/>
          <w:szCs w:val="28"/>
        </w:rPr>
        <w:t>”</w:t>
      </w:r>
      <w:r>
        <w:rPr>
          <w:rFonts w:ascii="宋体" w:hAnsi="宋体" w:cs="宋体" w:eastAsia="宋体" w:hint="default"/>
          <w:b/>
          <w:bCs/>
          <w:spacing w:val="4"/>
          <w:w w:val="95"/>
          <w:sz w:val="28"/>
          <w:szCs w:val="28"/>
        </w:rPr>
        <w:t>中</w:t>
      </w:r>
      <w:r>
        <w:rPr>
          <w:rFonts w:ascii="Times New Roman" w:hAnsi="Times New Roman" w:cs="Times New Roman" w:eastAsia="Times New Roman" w:hint="default"/>
          <w:b/>
          <w:bCs/>
          <w:spacing w:val="4"/>
          <w:w w:val="95"/>
          <w:sz w:val="28"/>
          <w:szCs w:val="28"/>
        </w:rPr>
        <w:t>“</w:t>
      </w:r>
      <w:r>
        <w:rPr>
          <w:rFonts w:ascii="宋体" w:hAnsi="宋体" w:cs="宋体" w:eastAsia="宋体" w:hint="default"/>
          <w:b/>
          <w:bCs/>
          <w:spacing w:val="4"/>
          <w:w w:val="95"/>
          <w:sz w:val="28"/>
          <w:szCs w:val="28"/>
        </w:rPr>
        <w:t>九、公司未来发展的展望</w:t>
      </w:r>
      <w:r>
        <w:rPr>
          <w:rFonts w:ascii="Times New Roman" w:hAnsi="Times New Roman" w:cs="Times New Roman" w:eastAsia="Times New Roman" w:hint="default"/>
          <w:b/>
          <w:bCs/>
          <w:spacing w:val="4"/>
          <w:w w:val="95"/>
          <w:sz w:val="28"/>
          <w:szCs w:val="28"/>
        </w:rPr>
        <w:t>”</w:t>
      </w:r>
      <w:r>
        <w:rPr>
          <w:rFonts w:ascii="Times New Roman" w:hAnsi="Times New Roman" w:cs="Times New Roman" w:eastAsia="Times New Roman" w:hint="default"/>
          <w:b/>
          <w:bCs/>
          <w:w w:val="99"/>
          <w:sz w:val="28"/>
          <w:szCs w:val="28"/>
        </w:rPr>
        <w:t> </w:t>
      </w:r>
      <w:r>
        <w:rPr>
          <w:rFonts w:ascii="宋体" w:hAnsi="宋体" w:cs="宋体" w:eastAsia="宋体" w:hint="default"/>
          <w:b/>
          <w:bCs/>
          <w:spacing w:val="2"/>
          <w:sz w:val="28"/>
          <w:szCs w:val="28"/>
        </w:rPr>
        <w:t>部分，详细描述了公司经营中可能存在的风险，敬请投资者关注相关内容。</w:t>
      </w:r>
      <w:r>
        <w:rPr>
          <w:rFonts w:ascii="宋体" w:hAnsi="宋体" w:cs="宋体" w:eastAsia="宋体" w:hint="default"/>
          <w:spacing w:val="2"/>
          <w:sz w:val="28"/>
          <w:szCs w:val="28"/>
        </w:rPr>
      </w:r>
    </w:p>
    <w:p>
      <w:pPr>
        <w:spacing w:before="187"/>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7"/>
          <w:sz w:val="28"/>
          <w:szCs w:val="28"/>
        </w:rPr>
        <w:t> </w:t>
      </w:r>
      <w:r>
        <w:rPr>
          <w:rFonts w:ascii="Times New Roman" w:hAnsi="Times New Roman" w:cs="Times New Roman" w:eastAsia="Times New Roman" w:hint="default"/>
          <w:b/>
          <w:bCs/>
          <w:sz w:val="28"/>
          <w:szCs w:val="28"/>
        </w:rPr>
        <w:t>150,000,000</w:t>
      </w:r>
      <w:r>
        <w:rPr>
          <w:rFonts w:ascii="Times New Roman" w:hAnsi="Times New Roman" w:cs="Times New Roman" w:eastAsia="Times New Roman" w:hint="default"/>
          <w:b/>
          <w:bCs/>
          <w:spacing w:val="-24"/>
          <w:sz w:val="28"/>
          <w:szCs w:val="28"/>
        </w:rPr>
        <w:t> </w:t>
      </w:r>
      <w:r>
        <w:rPr>
          <w:rFonts w:ascii="宋体" w:hAnsi="宋体" w:cs="宋体" w:eastAsia="宋体" w:hint="default"/>
          <w:b/>
          <w:bCs/>
          <w:spacing w:val="-5"/>
          <w:sz w:val="28"/>
          <w:szCs w:val="28"/>
        </w:rPr>
        <w:t>为基数，向</w:t>
      </w:r>
      <w:r>
        <w:rPr>
          <w:rFonts w:ascii="宋体" w:hAnsi="宋体" w:cs="宋体" w:eastAsia="宋体" w:hint="default"/>
          <w:spacing w:val="-5"/>
          <w:sz w:val="28"/>
          <w:szCs w:val="28"/>
        </w:rPr>
      </w:r>
    </w:p>
    <w:p>
      <w:pPr>
        <w:spacing w:before="237"/>
        <w:ind w:left="153" w:right="0" w:firstLine="0"/>
        <w:jc w:val="left"/>
        <w:rPr>
          <w:rFonts w:ascii="宋体" w:hAnsi="宋体" w:cs="宋体" w:eastAsia="宋体" w:hint="default"/>
          <w:sz w:val="28"/>
          <w:szCs w:val="28"/>
        </w:rPr>
      </w:pPr>
      <w:r>
        <w:rPr>
          <w:rFonts w:ascii="宋体" w:hAnsi="宋体" w:cs="宋体" w:eastAsia="宋体" w:hint="default"/>
          <w:b/>
          <w:bCs/>
          <w:spacing w:val="4"/>
          <w:w w:val="99"/>
          <w:sz w:val="28"/>
          <w:szCs w:val="28"/>
        </w:rPr>
        <w:t>全体</w:t>
      </w:r>
      <w:r>
        <w:rPr>
          <w:rFonts w:ascii="宋体" w:hAnsi="宋体" w:cs="宋体" w:eastAsia="宋体" w:hint="default"/>
          <w:b/>
          <w:bCs/>
          <w:w w:val="99"/>
          <w:sz w:val="28"/>
          <w:szCs w:val="28"/>
        </w:rPr>
        <w:t>股东每</w:t>
      </w:r>
      <w:r>
        <w:rPr>
          <w:rFonts w:ascii="宋体" w:hAnsi="宋体" w:cs="宋体" w:eastAsia="宋体" w:hint="default"/>
          <w:b/>
          <w:bCs/>
          <w:spacing w:val="-64"/>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4"/>
          <w:w w:val="99"/>
          <w:sz w:val="28"/>
          <w:szCs w:val="28"/>
        </w:rPr>
        <w:t>派发</w:t>
      </w:r>
      <w:r>
        <w:rPr>
          <w:rFonts w:ascii="宋体" w:hAnsi="宋体" w:cs="宋体" w:eastAsia="宋体" w:hint="default"/>
          <w:b/>
          <w:bCs/>
          <w:w w:val="99"/>
          <w:sz w:val="28"/>
          <w:szCs w:val="28"/>
        </w:rPr>
        <w:t>现</w:t>
      </w:r>
      <w:r>
        <w:rPr>
          <w:rFonts w:ascii="宋体" w:hAnsi="宋体" w:cs="宋体" w:eastAsia="宋体" w:hint="default"/>
          <w:b/>
          <w:bCs/>
          <w:spacing w:val="4"/>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3"/>
          <w:sz w:val="28"/>
          <w:szCs w:val="28"/>
        </w:rPr>
        <w:t> </w:t>
      </w:r>
      <w:r>
        <w:rPr>
          <w:rFonts w:ascii="Times New Roman" w:hAnsi="Times New Roman" w:cs="Times New Roman" w:eastAsia="Times New Roman" w:hint="default"/>
          <w:b/>
          <w:bCs/>
          <w:w w:val="99"/>
          <w:sz w:val="28"/>
          <w:szCs w:val="28"/>
        </w:rPr>
        <w:t>1</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10"/>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4"/>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10"/>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4"/>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0"/>
          <w:w w:val="99"/>
          <w:sz w:val="28"/>
          <w:szCs w:val="28"/>
        </w:rPr>
        <w:t>股</w:t>
      </w:r>
      <w:r>
        <w:rPr>
          <w:rFonts w:ascii="宋体" w:hAnsi="宋体" w:cs="宋体" w:eastAsia="宋体" w:hint="default"/>
          <w:b/>
          <w:bCs/>
          <w:w w:val="99"/>
          <w:sz w:val="28"/>
          <w:szCs w:val="28"/>
        </w:rPr>
        <w:t>（</w:t>
      </w:r>
      <w:r>
        <w:rPr>
          <w:rFonts w:ascii="宋体" w:hAnsi="宋体" w:cs="宋体" w:eastAsia="宋体" w:hint="default"/>
          <w:b/>
          <w:bCs/>
          <w:spacing w:val="4"/>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35"/>
          <w:w w:val="99"/>
          <w:sz w:val="28"/>
          <w:szCs w:val="28"/>
        </w:rPr>
        <w:t>）</w:t>
      </w:r>
      <w:r>
        <w:rPr>
          <w:rFonts w:ascii="宋体" w:hAnsi="宋体" w:cs="宋体" w:eastAsia="宋体" w:hint="default"/>
          <w:b/>
          <w:bCs/>
          <w:spacing w:val="-15"/>
          <w:w w:val="99"/>
          <w:sz w:val="28"/>
          <w:szCs w:val="28"/>
        </w:rPr>
        <w:t>，</w:t>
      </w:r>
      <w:r>
        <w:rPr>
          <w:rFonts w:ascii="宋体" w:hAnsi="宋体" w:cs="宋体" w:eastAsia="宋体" w:hint="default"/>
          <w:b/>
          <w:bCs/>
          <w:spacing w:val="4"/>
          <w:w w:val="99"/>
          <w:sz w:val="28"/>
          <w:szCs w:val="28"/>
        </w:rPr>
        <w:t>以</w:t>
      </w:r>
      <w:r>
        <w:rPr>
          <w:rFonts w:ascii="宋体" w:hAnsi="宋体" w:cs="宋体" w:eastAsia="宋体" w:hint="default"/>
          <w:b/>
          <w:bCs/>
          <w:w w:val="99"/>
          <w:sz w:val="28"/>
          <w:szCs w:val="28"/>
        </w:rPr>
        <w:t>资</w:t>
      </w:r>
      <w:r>
        <w:rPr>
          <w:rFonts w:ascii="宋体" w:hAnsi="宋体" w:cs="宋体" w:eastAsia="宋体" w:hint="default"/>
          <w:b/>
          <w:bCs/>
          <w:spacing w:val="4"/>
          <w:w w:val="99"/>
          <w:sz w:val="28"/>
          <w:szCs w:val="28"/>
        </w:rPr>
        <w:t>本</w:t>
      </w:r>
      <w:r>
        <w:rPr>
          <w:rFonts w:ascii="宋体" w:hAnsi="宋体" w:cs="宋体" w:eastAsia="宋体" w:hint="default"/>
          <w:b/>
          <w:bCs/>
          <w:w w:val="99"/>
          <w:sz w:val="28"/>
          <w:szCs w:val="28"/>
        </w:rPr>
        <w:t>公积</w:t>
      </w:r>
      <w:r>
        <w:rPr>
          <w:rFonts w:ascii="宋体" w:hAnsi="宋体" w:cs="宋体" w:eastAsia="宋体" w:hint="default"/>
          <w:sz w:val="28"/>
          <w:szCs w:val="28"/>
        </w:rPr>
      </w:r>
    </w:p>
    <w:p>
      <w:pPr>
        <w:spacing w:before="236"/>
        <w:ind w:left="153"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pacing w:val="-3"/>
          <w:sz w:val="28"/>
          <w:szCs w:val="28"/>
        </w:rPr>
        <w:t>10</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股转增</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2</w:t>
      </w:r>
      <w:r>
        <w:rPr>
          <w:rFonts w:ascii="Times New Roman" w:hAnsi="Times New Roman" w:cs="Times New Roman" w:eastAsia="Times New Roman" w:hint="default"/>
          <w:b/>
          <w:bCs/>
          <w:spacing w:val="-10"/>
          <w:sz w:val="28"/>
          <w:szCs w:val="28"/>
        </w:rPr>
        <w:t> </w:t>
      </w:r>
      <w:r>
        <w:rPr>
          <w:rFonts w:ascii="宋体" w:hAnsi="宋体" w:cs="宋体" w:eastAsia="宋体" w:hint="default"/>
          <w:b/>
          <w:bCs/>
          <w:spacing w:val="4"/>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headerReference w:type="default" r:id="rId7"/>
          <w:footerReference w:type="default" r:id="rId8"/>
          <w:pgSz w:w="11910" w:h="16840"/>
          <w:pgMar w:header="460" w:footer="979" w:top="1100" w:bottom="1160" w:left="98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spacing w:line="460" w:lineRule="exact" w:before="0"/>
        <w:ind w:left="3750" w:right="4724" w:firstLine="0"/>
        <w:jc w:val="center"/>
        <w:rPr>
          <w:rFonts w:ascii="宋体" w:hAnsi="宋体" w:cs="宋体" w:eastAsia="宋体" w:hint="default"/>
          <w:sz w:val="36"/>
          <w:szCs w:val="36"/>
        </w:rPr>
      </w:pPr>
      <w:r>
        <w:rPr>
          <w:rFonts w:ascii="宋体" w:hAnsi="宋体" w:cs="宋体" w:eastAsia="宋体" w:hint="default"/>
          <w:b/>
          <w:bCs/>
          <w:spacing w:val="4"/>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5"/>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5"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1">
            <w:r>
              <w:rPr/>
              <w:t>第二节</w:t>
            </w:r>
            <w:r>
              <w:rPr>
                <w:spacing w:val="-2"/>
              </w:rPr>
              <w:t> </w:t>
            </w:r>
            <w:r>
              <w:rPr/>
              <w:t>公司简介和主要财务指标</w:t>
            </w:r>
            <w:r>
              <w:rPr>
                <w:rFonts w:ascii="宋体" w:hAnsi="宋体" w:cs="宋体" w:eastAsia="宋体" w:hint="default"/>
              </w:rPr>
              <w:tab/>
              <w:t>5</w:t>
            </w:r>
            <w:r>
              <w:rPr>
                <w:rFonts w:ascii="宋体" w:hAnsi="宋体" w:cs="宋体" w:eastAsia="宋体" w:hint="default"/>
                <w:b w:val="0"/>
                <w:bCs w:val="0"/>
              </w:rPr>
            </w:r>
          </w:hyperlink>
        </w:p>
        <w:p>
          <w:pPr>
            <w:pStyle w:val="TOC1"/>
            <w:tabs>
              <w:tab w:pos="9785" w:val="right" w:leader="dot"/>
            </w:tabs>
            <w:spacing w:line="240" w:lineRule="auto" w:before="195"/>
            <w:ind w:right="0"/>
            <w:jc w:val="left"/>
            <w:rPr>
              <w:rFonts w:ascii="宋体" w:hAnsi="宋体" w:cs="宋体" w:eastAsia="宋体" w:hint="default"/>
              <w:b w:val="0"/>
              <w:bCs w:val="0"/>
            </w:rPr>
          </w:pPr>
          <w:hyperlink w:history="true" w:anchor="_bookmark2">
            <w:r>
              <w:rPr/>
              <w:t>第三节公司业务概要</w:t>
            </w:r>
            <w:r>
              <w:rPr>
                <w:rFonts w:ascii="宋体" w:hAnsi="宋体" w:cs="宋体" w:eastAsia="宋体" w:hint="default"/>
              </w:rPr>
              <w:tab/>
              <w:t>9</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3">
            <w:r>
              <w:rPr/>
              <w:t>第四节</w:t>
            </w:r>
            <w:r>
              <w:rPr>
                <w:spacing w:val="-2"/>
              </w:rPr>
              <w:t> </w:t>
            </w:r>
            <w:r>
              <w:rPr/>
              <w:t>经营情况讨论与分析</w:t>
            </w:r>
            <w:r>
              <w:rPr>
                <w:rFonts w:ascii="宋体" w:hAnsi="宋体" w:cs="宋体" w:eastAsia="宋体" w:hint="default"/>
              </w:rPr>
              <w:tab/>
              <w:t>15</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2"/>
              </w:rPr>
              <w:t> </w:t>
            </w:r>
            <w:r>
              <w:rPr/>
              <w:t>重要事项</w:t>
            </w:r>
            <w:r>
              <w:rPr>
                <w:rFonts w:ascii="宋体" w:hAnsi="宋体" w:cs="宋体" w:eastAsia="宋体" w:hint="default"/>
              </w:rPr>
              <w:tab/>
              <w:t>36</w:t>
            </w:r>
            <w:r>
              <w:rPr>
                <w:rFonts w:ascii="宋体" w:hAnsi="宋体" w:cs="宋体" w:eastAsia="宋体" w:hint="default"/>
                <w:b w:val="0"/>
                <w:bCs w:val="0"/>
              </w:rPr>
            </w:r>
          </w:hyperlink>
        </w:p>
        <w:p>
          <w:pPr>
            <w:pStyle w:val="TOC1"/>
            <w:tabs>
              <w:tab w:pos="9785" w:val="right" w:leader="dot"/>
            </w:tabs>
            <w:spacing w:line="240" w:lineRule="auto" w:before="195"/>
            <w:ind w:right="0"/>
            <w:jc w:val="left"/>
            <w:rPr>
              <w:rFonts w:ascii="宋体" w:hAnsi="宋体" w:cs="宋体" w:eastAsia="宋体" w:hint="default"/>
              <w:b w:val="0"/>
              <w:bCs w:val="0"/>
            </w:rPr>
          </w:pPr>
          <w:hyperlink w:history="true" w:anchor="_bookmark5">
            <w:r>
              <w:rPr/>
              <w:t>第六节</w:t>
            </w:r>
            <w:r>
              <w:rPr>
                <w:spacing w:val="-2"/>
              </w:rPr>
              <w:t> </w:t>
            </w:r>
            <w:r>
              <w:rPr/>
              <w:t>股份变动及股东情况</w:t>
            </w:r>
            <w:r>
              <w:rPr>
                <w:rFonts w:ascii="宋体" w:hAnsi="宋体" w:cs="宋体" w:eastAsia="宋体" w:hint="default"/>
              </w:rPr>
              <w:tab/>
              <w:t>62</w:t>
            </w:r>
            <w:r>
              <w:rPr>
                <w:rFonts w:ascii="宋体" w:hAnsi="宋体" w:cs="宋体" w:eastAsia="宋体" w:hint="default"/>
                <w:b w:val="0"/>
                <w:bCs w:val="0"/>
              </w:rPr>
            </w:r>
          </w:hyperlink>
        </w:p>
        <w:p>
          <w:pPr>
            <w:pStyle w:val="TOC1"/>
            <w:tabs>
              <w:tab w:pos="9785" w:val="right" w:leader="dot"/>
            </w:tabs>
            <w:spacing w:line="240" w:lineRule="auto" w:before="190"/>
            <w:ind w:right="0"/>
            <w:jc w:val="left"/>
            <w:rPr>
              <w:rFonts w:ascii="宋体" w:hAnsi="宋体" w:cs="宋体" w:eastAsia="宋体" w:hint="default"/>
              <w:b w:val="0"/>
              <w:bCs w:val="0"/>
            </w:rPr>
          </w:pPr>
          <w:hyperlink w:history="true" w:anchor="_bookmark6">
            <w:r>
              <w:rPr/>
              <w:t>第七节</w:t>
            </w:r>
            <w:r>
              <w:rPr>
                <w:spacing w:val="-2"/>
              </w:rPr>
              <w:t> </w:t>
            </w:r>
            <w:r>
              <w:rPr/>
              <w:t>优先股相关情况</w:t>
            </w:r>
            <w:r>
              <w:rPr>
                <w:rFonts w:ascii="宋体" w:hAnsi="宋体" w:cs="宋体" w:eastAsia="宋体" w:hint="default"/>
              </w:rPr>
              <w:tab/>
              <w:t>67</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7">
            <w:r>
              <w:rPr/>
              <w:t>第八节</w:t>
            </w:r>
            <w:r>
              <w:rPr>
                <w:spacing w:val="-2"/>
              </w:rPr>
              <w:t> </w:t>
            </w:r>
            <w:r>
              <w:rPr/>
              <w:t>可转换公司债券相关情况</w:t>
            </w:r>
            <w:r>
              <w:rPr>
                <w:rFonts w:ascii="宋体" w:hAnsi="宋体" w:cs="宋体" w:eastAsia="宋体" w:hint="default"/>
              </w:rPr>
              <w:tab/>
              <w:t>68</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8">
            <w:r>
              <w:rPr/>
              <w:t>第九节</w:t>
            </w:r>
            <w:r>
              <w:rPr>
                <w:spacing w:val="-2"/>
              </w:rPr>
              <w:t> </w:t>
            </w:r>
            <w:r>
              <w:rPr/>
              <w:t>董事、监事、高级管理人员和员工情况</w:t>
            </w:r>
            <w:r>
              <w:rPr>
                <w:rFonts w:ascii="宋体" w:hAnsi="宋体" w:cs="宋体" w:eastAsia="宋体" w:hint="default"/>
              </w:rPr>
              <w:tab/>
              <w:t>69</w:t>
            </w:r>
            <w:r>
              <w:rPr>
                <w:rFonts w:ascii="宋体" w:hAnsi="宋体" w:cs="宋体" w:eastAsia="宋体" w:hint="default"/>
                <w:b w:val="0"/>
                <w:bCs w:val="0"/>
              </w:rPr>
            </w:r>
          </w:hyperlink>
        </w:p>
        <w:p>
          <w:pPr>
            <w:pStyle w:val="TOC1"/>
            <w:tabs>
              <w:tab w:pos="9785" w:val="right" w:leader="dot"/>
            </w:tabs>
            <w:spacing w:line="240" w:lineRule="auto" w:before="195"/>
            <w:ind w:right="0"/>
            <w:jc w:val="left"/>
            <w:rPr>
              <w:rFonts w:ascii="宋体" w:hAnsi="宋体" w:cs="宋体" w:eastAsia="宋体" w:hint="default"/>
              <w:b w:val="0"/>
              <w:bCs w:val="0"/>
            </w:rPr>
          </w:pPr>
          <w:hyperlink w:history="true" w:anchor="_bookmark9">
            <w:r>
              <w:rPr/>
              <w:t>第十节</w:t>
            </w:r>
            <w:r>
              <w:rPr>
                <w:spacing w:val="-2"/>
              </w:rPr>
              <w:t> </w:t>
            </w:r>
            <w:r>
              <w:rPr/>
              <w:t>公司治理</w:t>
            </w:r>
            <w:r>
              <w:rPr>
                <w:rFonts w:ascii="宋体" w:hAnsi="宋体" w:cs="宋体" w:eastAsia="宋体" w:hint="default"/>
              </w:rPr>
              <w:tab/>
              <w:t>74</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10">
            <w:r>
              <w:rPr/>
              <w:t>第十一节</w:t>
            </w:r>
            <w:r>
              <w:rPr>
                <w:spacing w:val="-2"/>
              </w:rPr>
              <w:t> </w:t>
            </w:r>
            <w:r>
              <w:rPr/>
              <w:t>公司债券相关情况</w:t>
            </w:r>
            <w:r>
              <w:rPr>
                <w:rFonts w:ascii="宋体" w:hAnsi="宋体" w:cs="宋体" w:eastAsia="宋体" w:hint="default"/>
              </w:rPr>
              <w:tab/>
              <w:t>82</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11">
            <w:r>
              <w:rPr/>
              <w:t>第十二节</w:t>
            </w:r>
            <w:r>
              <w:rPr>
                <w:spacing w:val="-1"/>
              </w:rPr>
              <w:t> </w:t>
            </w:r>
            <w:r>
              <w:rPr/>
              <w:t>财务报告</w:t>
            </w:r>
            <w:r>
              <w:rPr>
                <w:rFonts w:ascii="宋体" w:hAnsi="宋体" w:cs="宋体" w:eastAsia="宋体" w:hint="default"/>
              </w:rPr>
              <w:tab/>
              <w:t>83</w:t>
            </w:r>
            <w:r>
              <w:rPr>
                <w:rFonts w:ascii="宋体" w:hAnsi="宋体" w:cs="宋体" w:eastAsia="宋体" w:hint="default"/>
                <w:b w:val="0"/>
                <w:bCs w:val="0"/>
              </w:rPr>
            </w:r>
          </w:hyperlink>
        </w:p>
        <w:p>
          <w:pPr>
            <w:pStyle w:val="TOC1"/>
            <w:tabs>
              <w:tab w:pos="9785" w:val="right" w:leader="dot"/>
            </w:tabs>
            <w:spacing w:line="240" w:lineRule="auto" w:before="190"/>
            <w:ind w:right="0"/>
            <w:jc w:val="left"/>
            <w:rPr>
              <w:rFonts w:ascii="宋体" w:hAnsi="宋体" w:cs="宋体" w:eastAsia="宋体" w:hint="default"/>
              <w:b w:val="0"/>
              <w:bCs w:val="0"/>
            </w:rPr>
          </w:pPr>
          <w:hyperlink w:history="true" w:anchor="_bookmark12">
            <w:r>
              <w:rPr/>
              <w:t>第十三节</w:t>
            </w:r>
            <w:r>
              <w:rPr>
                <w:spacing w:val="-1"/>
              </w:rPr>
              <w:t> </w:t>
            </w:r>
            <w:r>
              <w:rPr/>
              <w:t>备查文件目录</w:t>
            </w:r>
            <w:r>
              <w:rPr>
                <w:rFonts w:ascii="宋体" w:hAnsi="宋体" w:cs="宋体" w:eastAsia="宋体" w:hint="default"/>
              </w:rPr>
              <w:tab/>
              <w:t>209</w:t>
            </w:r>
            <w:r>
              <w:rPr>
                <w:rFonts w:ascii="宋体" w:hAnsi="宋体" w:cs="宋体" w:eastAsia="宋体" w:hint="default"/>
                <w:b w:val="0"/>
                <w:bCs w:val="0"/>
              </w:rPr>
            </w:r>
          </w:hyperlink>
        </w:p>
        <w:p>
          <w:pPr/>
          <w:r>
            <w:fldChar w:fldCharType="end"/>
          </w:r>
        </w:p>
      </w:sdtContent>
    </w:sdt>
    <w:p>
      <w:pPr>
        <w:spacing w:after="0"/>
        <w:sectPr>
          <w:pgSz w:w="11910" w:h="16840"/>
          <w:pgMar w:header="460" w:footer="979" w:top="1100" w:bottom="1160" w:left="980" w:right="0"/>
        </w:sectPr>
      </w:pPr>
    </w:p>
    <w:p>
      <w:pPr>
        <w:spacing w:before="898"/>
        <w:ind w:left="3750" w:right="472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537"/>
        <w:gridCol w:w="600"/>
        <w:gridCol w:w="5438"/>
      </w:tblGrid>
      <w:tr>
        <w:trPr>
          <w:trHeight w:val="403" w:hRule="exact"/>
        </w:trPr>
        <w:tc>
          <w:tcPr>
            <w:tcW w:w="3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环球印务、公司、本公司</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西安环球印务股份有限公司</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陕药集团、实际控制人</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陕西医药控股集团有限责任公司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易诺和创</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西安易诺和创科技发展有限公司，本公司子公司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永鑫包装</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陕西永鑫纸业包装有限公司，本公司子公司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天津环球</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天津滨海环球印务有限公司，本公司子公司</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领凯科技</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霍尔果斯领凯网络科技有限公司，本公司子公司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北京金印联</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北京金印联国际供应链管理有限公司，本公司子公司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西安德宝</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西安德宝药用包装有限公司，本公司参股公司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460" w:footer="979" w:top="1100" w:bottom="1160" w:left="980" w:right="0"/>
        </w:sectPr>
      </w:pPr>
    </w:p>
    <w:p>
      <w:pPr>
        <w:spacing w:line="240" w:lineRule="auto" w:before="0"/>
        <w:rPr>
          <w:rFonts w:ascii="宋体" w:hAnsi="宋体" w:cs="宋体" w:eastAsia="宋体" w:hint="default"/>
          <w:b/>
          <w:bCs/>
          <w:sz w:val="20"/>
          <w:szCs w:val="20"/>
        </w:rPr>
      </w:pPr>
      <w:r>
        <w:rPr/>
        <w:pict>
          <v:group style="position:absolute;margin-left:171.190002pt;margin-top:272.109985pt;width:362.8pt;height:20.9pt;mso-position-horizontal-relative:page;mso-position-vertical-relative:page;z-index:-957664" coordorigin="3424,5442" coordsize="7256,418">
            <v:group style="position:absolute;left:3436;top:5454;width:2;height:394" coordorigin="3436,5454" coordsize="2,394">
              <v:shape style="position:absolute;left:3436;top:5454;width:2;height:394" coordorigin="3436,5454" coordsize="0,394" path="m3436,5454l3436,5848e" filled="false" stroked="true" strokeweight="1.2pt" strokecolor="#ffffff">
                <v:path arrowok="t"/>
              </v:shape>
            </v:group>
            <v:group style="position:absolute;left:3448;top:5454;width:7232;height:394" coordorigin="3448,5454" coordsize="7232,394">
              <v:shape style="position:absolute;left:3448;top:5454;width:7232;height:394" coordorigin="3448,5454" coordsize="7232,394" path="m3448,5848l10679,5848,10679,5454,3448,5454,3448,5848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1"/>
        <w:spacing w:line="240" w:lineRule="auto"/>
        <w:ind w:left="2645"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286"/>
        <w:gridCol w:w="2965"/>
        <w:gridCol w:w="2144"/>
        <w:gridCol w:w="2180"/>
      </w:tblGrid>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环球印务</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002799</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股票上市证券交易所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西安环球印务股份有限公司</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环球印务</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pacing w:val="-3"/>
                <w:sz w:val="18"/>
              </w:rPr>
              <w:t>XI'AN </w:t>
            </w:r>
            <w:r>
              <w:rPr>
                <w:rFonts w:ascii="Times New Roman"/>
                <w:sz w:val="18"/>
              </w:rPr>
              <w:t>GLOBAL </w:t>
            </w:r>
            <w:r>
              <w:rPr>
                <w:rFonts w:ascii="Times New Roman"/>
                <w:spacing w:val="-3"/>
                <w:sz w:val="18"/>
              </w:rPr>
              <w:t>PRINTING  </w:t>
            </w:r>
            <w:r>
              <w:rPr>
                <w:rFonts w:ascii="Times New Roman"/>
                <w:spacing w:val="-4"/>
                <w:sz w:val="18"/>
              </w:rPr>
              <w:t>CO.,LTD</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34"/>
              <w:jc w:val="left"/>
              <w:rPr>
                <w:rFonts w:ascii="宋体" w:hAnsi="宋体" w:cs="宋体" w:eastAsia="宋体" w:hint="default"/>
                <w:sz w:val="18"/>
                <w:szCs w:val="18"/>
              </w:rPr>
            </w:pPr>
            <w:r>
              <w:rPr>
                <w:rFonts w:ascii="宋体" w:hAnsi="宋体" w:cs="宋体" w:eastAsia="宋体" w:hint="default"/>
                <w:spacing w:val="-7"/>
                <w:sz w:val="18"/>
                <w:szCs w:val="18"/>
              </w:rPr>
              <w:t>公司的外文名称缩写（如有）</w:t>
            </w:r>
            <w:r>
              <w:rPr>
                <w:rFonts w:ascii="宋体" w:hAnsi="宋体" w:cs="宋体" w:eastAsia="宋体" w:hint="default"/>
                <w:sz w:val="18"/>
                <w:szCs w:val="18"/>
              </w:rPr>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pacing w:val="-3"/>
                <w:sz w:val="18"/>
              </w:rPr>
              <w:t>XI'AN</w:t>
            </w:r>
            <w:r>
              <w:rPr>
                <w:rFonts w:ascii="Times New Roman"/>
                <w:spacing w:val="11"/>
                <w:sz w:val="18"/>
              </w:rPr>
              <w:t> </w:t>
            </w:r>
            <w:r>
              <w:rPr>
                <w:rFonts w:ascii="Times New Roman"/>
                <w:sz w:val="18"/>
              </w:rPr>
              <w:t>GLOBAL</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李移岭</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西安市高新区科技一路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710075</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西安市高新区科技一路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710075</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9">
              <w:r>
                <w:rPr>
                  <w:rFonts w:ascii="Times New Roman"/>
                  <w:sz w:val="18"/>
                </w:rPr>
                <w:t>www.globalprinting.cn</w:t>
              </w:r>
            </w:hyperlink>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security@globalprinting.cn</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6"/>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林蔚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屈颖君</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西安市高新区科技一路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西安市高新区科技一路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029-68712188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029-68712188</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029-88310756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029-88310756</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hyperlink r:id="rId10">
              <w:r>
                <w:rPr>
                  <w:rFonts w:ascii="Times New Roman"/>
                  <w:sz w:val="18"/>
                </w:rPr>
                <w:t>security@globalprinting.cn</w:t>
              </w:r>
            </w:hyperlink>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security@globalprinting.cn</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6"/>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983"/>
        <w:gridCol w:w="5587"/>
      </w:tblGrid>
      <w:tr>
        <w:trPr>
          <w:trHeight w:val="398"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中</w:t>
            </w:r>
            <w:r>
              <w:rPr>
                <w:rFonts w:ascii="宋体" w:hAnsi="宋体" w:cs="宋体" w:eastAsia="宋体" w:hint="default"/>
                <w:w w:val="101"/>
                <w:sz w:val="18"/>
                <w:szCs w:val="18"/>
              </w:rPr>
              <w:t>国</w:t>
            </w:r>
            <w:r>
              <w:rPr>
                <w:rFonts w:ascii="宋体" w:hAnsi="宋体" w:cs="宋体" w:eastAsia="宋体" w:hint="default"/>
                <w:spacing w:val="-5"/>
                <w:w w:val="101"/>
                <w:sz w:val="18"/>
                <w:szCs w:val="18"/>
              </w:rPr>
              <w:t>证</w:t>
            </w:r>
            <w:r>
              <w:rPr>
                <w:rFonts w:ascii="宋体" w:hAnsi="宋体" w:cs="宋体" w:eastAsia="宋体" w:hint="default"/>
                <w:w w:val="101"/>
                <w:sz w:val="18"/>
                <w:szCs w:val="18"/>
              </w:rPr>
              <w:t>券报</w:t>
            </w:r>
            <w:r>
              <w:rPr>
                <w:rFonts w:ascii="宋体" w:hAnsi="宋体" w:cs="宋体" w:eastAsia="宋体" w:hint="default"/>
                <w:spacing w:val="-96"/>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时</w:t>
            </w:r>
            <w:r>
              <w:rPr>
                <w:rFonts w:ascii="宋体" w:hAnsi="宋体" w:cs="宋体" w:eastAsia="宋体" w:hint="default"/>
                <w:spacing w:val="-5"/>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403"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403"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公司证券投资部</w:t>
            </w:r>
          </w:p>
        </w:tc>
      </w:tr>
    </w:tbl>
    <w:p>
      <w:pPr>
        <w:spacing w:after="0" w:line="240" w:lineRule="auto"/>
        <w:jc w:val="left"/>
        <w:rPr>
          <w:rFonts w:ascii="宋体" w:hAnsi="宋体" w:cs="宋体" w:eastAsia="宋体" w:hint="default"/>
          <w:sz w:val="18"/>
          <w:szCs w:val="18"/>
        </w:rPr>
        <w:sectPr>
          <w:pgSz w:w="11910" w:h="16840"/>
          <w:pgMar w:header="460" w:footer="979" w:top="1100" w:bottom="1160" w:left="980" w:right="0"/>
        </w:sectPr>
      </w:pPr>
    </w:p>
    <w:p>
      <w:pPr>
        <w:spacing w:line="240" w:lineRule="auto" w:before="7"/>
        <w:rPr>
          <w:rFonts w:ascii="宋体" w:hAnsi="宋体" w:cs="宋体" w:eastAsia="宋体" w:hint="default"/>
          <w:b/>
          <w:bCs/>
          <w:sz w:val="19"/>
          <w:szCs w:val="19"/>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93"/>
        <w:gridCol w:w="6377"/>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71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94"/>
              <w:jc w:val="left"/>
              <w:rPr>
                <w:rFonts w:ascii="宋体" w:hAnsi="宋体" w:cs="宋体" w:eastAsia="宋体" w:hint="default"/>
                <w:sz w:val="18"/>
                <w:szCs w:val="18"/>
              </w:rPr>
            </w:pPr>
            <w:r>
              <w:rPr>
                <w:rFonts w:ascii="宋体" w:hAnsi="宋体" w:cs="宋体" w:eastAsia="宋体" w:hint="default"/>
                <w:spacing w:val="-3"/>
                <w:sz w:val="18"/>
                <w:szCs w:val="18"/>
              </w:rPr>
              <w:t>公司上市以来主营业务的变化情况（如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有）</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历次控股股东的变更情况（如有）</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公司聘请的会计师事务所</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希格玛会计师事务所（特殊普通合伙）</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西安市浐灞生态区浐灞大道一号外事大厦六层</w:t>
            </w: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杨树杰、卞薄海</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公司聘请的报告期内履行持续督导职责的保荐机构</w:t>
      </w:r>
    </w:p>
    <w:p>
      <w:pPr>
        <w:spacing w:line="338" w:lineRule="auto" w:before="119"/>
        <w:ind w:left="153" w:right="6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公司聘请的报告期内履行持续督导职责的财务顾问</w:t>
      </w:r>
    </w:p>
    <w:p>
      <w:pPr>
        <w:spacing w:before="4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公司是否需追溯调整或重述以前年度会计数据</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0"/>
        <w:gridCol w:w="1738"/>
        <w:gridCol w:w="1738"/>
        <w:gridCol w:w="1738"/>
      </w:tblGrid>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pacing w:val="-3"/>
                <w:sz w:val="18"/>
                <w:szCs w:val="18"/>
              </w:rPr>
              <w:t>本年比上年增减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1,247,341,573.24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555,124,332.86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124.70%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438,211,497.30</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66,562,444.36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28,112,269.71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136.77%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22,608,687.67</w:t>
            </w:r>
          </w:p>
        </w:tc>
      </w:tr>
      <w:tr>
        <w:trPr>
          <w:trHeight w:val="71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48"/>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常性损益的净利润（元）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63,052,141.42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27,443,766.13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129.75%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21,089,329.53</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139,913,384.06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85,553,434.72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51,911,950.44</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131.58%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0.15</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131.58%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0.15</w:t>
            </w:r>
          </w:p>
        </w:tc>
      </w:tr>
      <w:tr>
        <w:trPr>
          <w:trHeight w:val="39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11.59%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4.37%</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pacing w:val="-3"/>
                <w:sz w:val="18"/>
                <w:szCs w:val="18"/>
              </w:rPr>
              <w:t>本年末比上年末增减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1,378,211,428.82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988,516,197.59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765,141,149.28</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604,817,969.10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543,698,499.20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11.24%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518,725,135.60</w:t>
            </w:r>
          </w:p>
        </w:tc>
      </w:tr>
    </w:tbl>
    <w:p>
      <w:pPr>
        <w:spacing w:after="0" w:line="240" w:lineRule="auto"/>
        <w:jc w:val="right"/>
        <w:rPr>
          <w:rFonts w:ascii="Times New Roman" w:hAnsi="Times New Roman" w:cs="Times New Roman" w:eastAsia="Times New Roman" w:hint="default"/>
          <w:sz w:val="18"/>
          <w:szCs w:val="18"/>
        </w:rPr>
        <w:sectPr>
          <w:pgSz w:w="11910" w:h="16840"/>
          <w:pgMar w:header="460" w:footer="979" w:top="1100" w:bottom="1160" w:left="980" w:right="0"/>
        </w:sect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2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公司报告期不存在按照国际会计准则与按照中国会计准则披露的财务报告中净利润和净资产差异情况。</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2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公司报告期不存在按照境外会计准则与按照中国会计准则披露的财务报告中净利润和净资产差异情况。</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5"/>
        <w:gridCol w:w="1738"/>
        <w:gridCol w:w="1738"/>
        <w:gridCol w:w="1733"/>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190,225,091.88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256,580,400.54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394,737,866.63</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405,798,214.19</w:t>
            </w:r>
          </w:p>
        </w:tc>
      </w:tr>
      <w:tr>
        <w:trPr>
          <w:trHeight w:val="39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14,058,482.68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14,370,466.63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16,236,302.79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21,897,192.26</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48"/>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常性损益的净利润</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14,057,842.77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12,887,905.23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14,917,961.68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21,188,431.74</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14,361,392.20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-30,728,944.47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92,717,328.05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63,563,608.28</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上述财务指标或其加总数是否与公司已披露季度报告、半年度报告相关财务指标存在重大差异</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0"/>
        <w:rPr>
          <w:rFonts w:ascii="宋体" w:hAnsi="宋体" w:cs="宋体" w:eastAsia="宋体" w:hint="default"/>
          <w:b/>
          <w:bCs/>
          <w:sz w:val="24"/>
          <w:szCs w:val="24"/>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5"/>
        <w:gridCol w:w="1530"/>
        <w:gridCol w:w="1522"/>
        <w:gridCol w:w="1522"/>
        <w:gridCol w:w="1709"/>
      </w:tblGrid>
      <w:tr>
        <w:trPr>
          <w:trHeight w:val="399"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值准备的冲销部分）</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-232,223.39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-648,732.03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-1,114,287.69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处置固定资产损失</w:t>
            </w:r>
          </w:p>
        </w:tc>
      </w:tr>
      <w:tr>
        <w:trPr>
          <w:trHeight w:val="1028"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5,538,115.95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1,934,200.00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2,849,756.00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50"/>
              <w:jc w:val="left"/>
              <w:rPr>
                <w:rFonts w:ascii="宋体" w:hAnsi="宋体" w:cs="宋体" w:eastAsia="宋体" w:hint="default"/>
                <w:sz w:val="18"/>
                <w:szCs w:val="18"/>
              </w:rPr>
            </w:pPr>
            <w:r>
              <w:rPr>
                <w:rFonts w:ascii="宋体" w:hAnsi="宋体" w:cs="宋体" w:eastAsia="宋体" w:hint="default"/>
                <w:spacing w:val="-3"/>
                <w:sz w:val="18"/>
                <w:szCs w:val="18"/>
              </w:rPr>
              <w:t>收到政府补助及税收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优惠</w:t>
            </w: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-69,104.25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-179,326.50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13,933.46</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675,848.09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190,101.26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328,602.03</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少数股东权益影响额（税后）</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1,050,637.28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247,536.63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-98,558.40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3,510,302.94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668,503.58</w:t>
            </w:r>
          </w:p>
        </w:tc>
        <w:tc>
          <w:tcPr>
            <w:tcW w:w="1522"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1,519,358.14</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w w:val="101"/>
          <w:sz w:val="18"/>
          <w:szCs w:val="18"/>
        </w:rPr>
        <w:t>对</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根</w:t>
      </w:r>
      <w:r>
        <w:rPr>
          <w:rFonts w:ascii="宋体" w:hAnsi="宋体" w:cs="宋体" w:eastAsia="宋体" w:hint="default"/>
          <w:spacing w:val="-68"/>
          <w:w w:val="101"/>
          <w:sz w:val="18"/>
          <w:szCs w:val="18"/>
        </w:rPr>
        <w:t>据</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的</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信</w:t>
      </w:r>
      <w:r>
        <w:rPr>
          <w:rFonts w:ascii="宋体" w:hAnsi="宋体" w:cs="宋体" w:eastAsia="宋体" w:hint="default"/>
          <w:spacing w:val="-5"/>
          <w:w w:val="101"/>
          <w:sz w:val="18"/>
          <w:szCs w:val="18"/>
        </w:rPr>
        <w:t>息</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w w:val="101"/>
          <w:sz w:val="18"/>
          <w:szCs w:val="18"/>
        </w:rPr>
        <w:t>解</w:t>
      </w:r>
      <w:r>
        <w:rPr>
          <w:rFonts w:ascii="宋体" w:hAnsi="宋体" w:cs="宋体" w:eastAsia="宋体" w:hint="default"/>
          <w:spacing w:val="-5"/>
          <w:w w:val="101"/>
          <w:sz w:val="18"/>
          <w:szCs w:val="18"/>
        </w:rPr>
        <w:t>释</w:t>
      </w:r>
      <w:r>
        <w:rPr>
          <w:rFonts w:ascii="宋体" w:hAnsi="宋体" w:cs="宋体" w:eastAsia="宋体" w:hint="default"/>
          <w:w w:val="101"/>
          <w:sz w:val="18"/>
          <w:szCs w:val="18"/>
        </w:rPr>
        <w:t>性</w:t>
      </w:r>
      <w:r>
        <w:rPr>
          <w:rFonts w:ascii="宋体" w:hAnsi="宋体" w:cs="宋体" w:eastAsia="宋体" w:hint="default"/>
          <w:spacing w:val="-5"/>
          <w:w w:val="101"/>
          <w:sz w:val="18"/>
          <w:szCs w:val="18"/>
        </w:rPr>
        <w:t>公</w:t>
      </w:r>
      <w:r>
        <w:rPr>
          <w:rFonts w:ascii="宋体" w:hAnsi="宋体" w:cs="宋体" w:eastAsia="宋体" w:hint="default"/>
          <w:w w:val="101"/>
          <w:sz w:val="18"/>
          <w:szCs w:val="18"/>
        </w:rPr>
        <w:t>告第</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非</w:t>
      </w:r>
      <w:r>
        <w:rPr>
          <w:rFonts w:ascii="宋体" w:hAnsi="宋体" w:cs="宋体" w:eastAsia="宋体" w:hint="default"/>
          <w:spacing w:val="-5"/>
          <w:w w:val="101"/>
          <w:sz w:val="18"/>
          <w:szCs w:val="18"/>
        </w:rPr>
        <w:t>经</w:t>
      </w:r>
      <w:r>
        <w:rPr>
          <w:rFonts w:ascii="宋体" w:hAnsi="宋体" w:cs="宋体" w:eastAsia="宋体" w:hint="default"/>
          <w:w w:val="101"/>
          <w:sz w:val="18"/>
          <w:szCs w:val="18"/>
        </w:rPr>
        <w:t>常</w:t>
      </w:r>
      <w:r>
        <w:rPr>
          <w:rFonts w:ascii="宋体" w:hAnsi="宋体" w:cs="宋体" w:eastAsia="宋体" w:hint="default"/>
          <w:spacing w:val="-5"/>
          <w:w w:val="101"/>
          <w:sz w:val="18"/>
          <w:szCs w:val="18"/>
        </w:rPr>
        <w:t>性</w:t>
      </w:r>
      <w:r>
        <w:rPr>
          <w:rFonts w:ascii="宋体" w:hAnsi="宋体" w:cs="宋体" w:eastAsia="宋体" w:hint="default"/>
          <w:w w:val="101"/>
          <w:sz w:val="18"/>
          <w:szCs w:val="18"/>
        </w:rPr>
        <w:t>损益</w:t>
      </w:r>
      <w:r>
        <w:rPr>
          <w:rFonts w:ascii="宋体" w:hAnsi="宋体" w:cs="宋体" w:eastAsia="宋体" w:hint="default"/>
          <w:spacing w:val="-73"/>
          <w:w w:val="101"/>
          <w:sz w:val="18"/>
          <w:szCs w:val="18"/>
        </w:rPr>
        <w:t>》</w:t>
      </w:r>
      <w:r>
        <w:rPr>
          <w:rFonts w:ascii="宋体" w:hAnsi="宋体" w:cs="宋体" w:eastAsia="宋体" w:hint="default"/>
          <w:w w:val="101"/>
          <w:sz w:val="18"/>
          <w:szCs w:val="18"/>
        </w:rPr>
        <w:t>定</w:t>
      </w:r>
      <w:r>
        <w:rPr>
          <w:rFonts w:ascii="宋体" w:hAnsi="宋体" w:cs="宋体" w:eastAsia="宋体" w:hint="default"/>
          <w:spacing w:val="-5"/>
          <w:w w:val="101"/>
          <w:sz w:val="18"/>
          <w:szCs w:val="18"/>
        </w:rPr>
        <w:t>义</w:t>
      </w:r>
      <w:r>
        <w:rPr>
          <w:rFonts w:ascii="宋体" w:hAnsi="宋体" w:cs="宋体" w:eastAsia="宋体" w:hint="default"/>
          <w:w w:val="101"/>
          <w:sz w:val="18"/>
          <w:szCs w:val="18"/>
        </w:rPr>
        <w:t>界</w:t>
      </w:r>
      <w:r>
        <w:rPr>
          <w:rFonts w:ascii="宋体" w:hAnsi="宋体" w:cs="宋体" w:eastAsia="宋体" w:hint="default"/>
          <w:spacing w:val="-5"/>
          <w:w w:val="101"/>
          <w:sz w:val="18"/>
          <w:szCs w:val="18"/>
        </w:rPr>
        <w:t>定</w:t>
      </w:r>
      <w:r>
        <w:rPr>
          <w:rFonts w:ascii="宋体" w:hAnsi="宋体" w:cs="宋体" w:eastAsia="宋体" w:hint="default"/>
          <w:w w:val="101"/>
          <w:sz w:val="18"/>
          <w:szCs w:val="18"/>
        </w:rPr>
        <w:t>的</w:t>
      </w:r>
      <w:r>
        <w:rPr>
          <w:rFonts w:ascii="宋体" w:hAnsi="宋体" w:cs="宋体" w:eastAsia="宋体" w:hint="default"/>
          <w:spacing w:val="-5"/>
          <w:w w:val="101"/>
          <w:sz w:val="18"/>
          <w:szCs w:val="18"/>
        </w:rPr>
        <w:t>非</w:t>
      </w:r>
      <w:r>
        <w:rPr>
          <w:rFonts w:ascii="宋体" w:hAnsi="宋体" w:cs="宋体" w:eastAsia="宋体" w:hint="default"/>
          <w:w w:val="101"/>
          <w:sz w:val="18"/>
          <w:szCs w:val="18"/>
        </w:rPr>
        <w:t>经</w:t>
      </w:r>
      <w:r>
        <w:rPr>
          <w:rFonts w:ascii="宋体" w:hAnsi="宋体" w:cs="宋体" w:eastAsia="宋体" w:hint="default"/>
          <w:spacing w:val="-5"/>
          <w:w w:val="101"/>
          <w:sz w:val="18"/>
          <w:szCs w:val="18"/>
        </w:rPr>
        <w:t>常</w:t>
      </w:r>
      <w:r>
        <w:rPr>
          <w:rFonts w:ascii="宋体" w:hAnsi="宋体" w:cs="宋体" w:eastAsia="宋体" w:hint="default"/>
          <w:w w:val="101"/>
          <w:sz w:val="18"/>
          <w:szCs w:val="18"/>
        </w:rPr>
        <w:t>性</w:t>
      </w:r>
      <w:r>
        <w:rPr>
          <w:rFonts w:ascii="宋体" w:hAnsi="宋体" w:cs="宋体" w:eastAsia="宋体" w:hint="default"/>
          <w:spacing w:val="-5"/>
          <w:w w:val="101"/>
          <w:sz w:val="18"/>
          <w:szCs w:val="18"/>
        </w:rPr>
        <w:t>损</w:t>
      </w:r>
      <w:r>
        <w:rPr>
          <w:rFonts w:ascii="宋体" w:hAnsi="宋体" w:cs="宋体" w:eastAsia="宋体" w:hint="default"/>
          <w:w w:val="101"/>
          <w:sz w:val="18"/>
          <w:szCs w:val="18"/>
        </w:rPr>
        <w:t>益</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68"/>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w:t>
      </w:r>
      <w:r>
        <w:rPr>
          <w:rFonts w:ascii="宋体" w:hAnsi="宋体" w:cs="宋体" w:eastAsia="宋体" w:hint="default"/>
          <w:spacing w:val="-73"/>
          <w:w w:val="101"/>
          <w:sz w:val="18"/>
          <w:szCs w:val="18"/>
        </w:rPr>
        <w:t>把</w:t>
      </w:r>
      <w:r>
        <w:rPr>
          <w:rFonts w:ascii="宋体" w:hAnsi="宋体" w:cs="宋体" w:eastAsia="宋体" w:hint="default"/>
          <w:w w:val="101"/>
          <w:sz w:val="18"/>
          <w:szCs w:val="18"/>
        </w:rPr>
        <w:t>《公</w:t>
      </w:r>
      <w:r>
        <w:rPr>
          <w:rFonts w:ascii="宋体" w:hAnsi="宋体" w:cs="宋体" w:eastAsia="宋体" w:hint="default"/>
          <w:sz w:val="18"/>
          <w:szCs w:val="18"/>
        </w:rPr>
      </w:r>
    </w:p>
    <w:p>
      <w:pPr>
        <w:spacing w:before="58"/>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开发行证券的公司信息披露解释性公告第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非经常性损益》中列举的非经常性损益项目界定为经常性损益的项目，应</w:t>
      </w:r>
    </w:p>
    <w:p>
      <w:pPr>
        <w:spacing w:after="0"/>
        <w:jc w:val="left"/>
        <w:rPr>
          <w:rFonts w:ascii="宋体" w:hAnsi="宋体" w:cs="宋体" w:eastAsia="宋体" w:hint="default"/>
          <w:sz w:val="18"/>
          <w:szCs w:val="18"/>
        </w:rPr>
        <w:sectPr>
          <w:pgSz w:w="11910" w:h="16840"/>
          <w:pgMar w:header="460" w:footer="979" w:top="1100" w:bottom="1160" w:left="980" w:right="0"/>
        </w:sectPr>
      </w:pPr>
    </w:p>
    <w:p>
      <w:pPr>
        <w:spacing w:line="240" w:lineRule="auto" w:before="3"/>
        <w:rPr>
          <w:rFonts w:ascii="宋体" w:hAnsi="宋体" w:cs="宋体" w:eastAsia="宋体" w:hint="default"/>
          <w:sz w:val="22"/>
          <w:szCs w:val="22"/>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说明原因</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304" w:lineRule="auto" w:before="101"/>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公司报告期不存在将根据《公开发行证券的公司信息披露解释性公告第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非经常性损益》定义、列举的非经常性损益</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3"/>
          <w:sz w:val="18"/>
          <w:szCs w:val="18"/>
        </w:rPr>
        <w:t>项目界定为经常性损益的项目的情形。</w:t>
      </w:r>
    </w:p>
    <w:p>
      <w:pPr>
        <w:spacing w:after="0" w:line="304" w:lineRule="auto"/>
        <w:jc w:val="left"/>
        <w:rPr>
          <w:rFonts w:ascii="宋体" w:hAnsi="宋体" w:cs="宋体" w:eastAsia="宋体" w:hint="default"/>
          <w:sz w:val="18"/>
          <w:szCs w:val="18"/>
        </w:rPr>
        <w:sectPr>
          <w:pgSz w:w="11910" w:h="16840"/>
          <w:pgMar w:header="46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529" w:right="0"/>
        <w:jc w:val="left"/>
        <w:rPr>
          <w:b w:val="0"/>
          <w:bCs w:val="0"/>
        </w:rPr>
      </w:pPr>
      <w:bookmarkStart w:name="第三节公司业务概要" w:id="16"/>
      <w:bookmarkEnd w:id="16"/>
      <w:r>
        <w:rPr>
          <w:b w:val="0"/>
          <w:bCs w:val="0"/>
        </w:rPr>
      </w:r>
      <w:bookmarkStart w:name="_bookmark2" w:id="17"/>
      <w:bookmarkEnd w:id="17"/>
      <w:r>
        <w:rPr>
          <w:b w:val="0"/>
          <w:bCs w:val="0"/>
        </w:rPr>
      </w:r>
      <w:r>
        <w:rPr/>
        <w:t>第三节公司业务概要</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pStyle w:val="Heading3"/>
        <w:spacing w:line="240" w:lineRule="auto" w:before="26"/>
        <w:ind w:right="0"/>
        <w:jc w:val="left"/>
        <w:rPr>
          <w:b w:val="0"/>
          <w:bCs w:val="0"/>
        </w:rPr>
      </w:pPr>
      <w:bookmarkStart w:name="一、报告期内公司从事的主要业务" w:id="18"/>
      <w:bookmarkEnd w:id="18"/>
      <w:r>
        <w:rPr>
          <w:b w:val="0"/>
          <w:bCs w:val="0"/>
        </w:rPr>
      </w:r>
      <w:r>
        <w:rPr>
          <w:sz w:val="24"/>
          <w:szCs w:val="24"/>
        </w:rPr>
        <w:t>一</w:t>
      </w:r>
      <w:r>
        <w:rPr/>
        <w:t>、报告期内公司从事的主要业务</w:t>
      </w:r>
      <w:r>
        <w:rPr>
          <w:b w:val="0"/>
          <w:bCs w:val="0"/>
        </w:rPr>
      </w:r>
    </w:p>
    <w:p>
      <w:pPr>
        <w:pStyle w:val="Heading3"/>
        <w:spacing w:line="720" w:lineRule="exact" w:before="38"/>
        <w:ind w:left="633" w:right="8517" w:hanging="144"/>
        <w:jc w:val="left"/>
        <w:rPr>
          <w:b w:val="0"/>
          <w:bCs w:val="0"/>
        </w:rPr>
      </w:pPr>
      <w:r>
        <w:rPr/>
        <w:t>（一）医药包装业务</w:t>
      </w:r>
      <w:r>
        <w:rPr>
          <w:spacing w:val="-103"/>
        </w:rPr>
        <w:t> </w:t>
      </w:r>
      <w:r>
        <w:rPr>
          <w:rFonts w:ascii="宋体" w:hAnsi="宋体" w:cs="宋体" w:eastAsia="宋体" w:hint="default"/>
        </w:rPr>
        <w:t>1</w:t>
      </w:r>
      <w:r>
        <w:rPr/>
        <w:t>、主要业务发展</w:t>
      </w:r>
      <w:r>
        <w:rPr>
          <w:b w:val="0"/>
          <w:bCs w:val="0"/>
        </w:rPr>
      </w:r>
    </w:p>
    <w:p>
      <w:pPr>
        <w:pStyle w:val="BodyText"/>
        <w:spacing w:line="241" w:lineRule="exact" w:before="0"/>
        <w:ind w:left="580" w:right="0" w:firstLine="480"/>
        <w:jc w:val="both"/>
      </w:pPr>
      <w:r>
        <w:rPr>
          <w:spacing w:val="-4"/>
        </w:rPr>
        <w:t>公司作为专业的医药包装方案解决供应商，主要从事医药包装产品的研发、生产、销售，并</w:t>
      </w:r>
    </w:p>
    <w:p>
      <w:pPr>
        <w:pStyle w:val="BodyText"/>
        <w:spacing w:line="312" w:lineRule="auto" w:before="85"/>
        <w:ind w:left="580" w:right="1553"/>
        <w:jc w:val="both"/>
      </w:pPr>
      <w:r>
        <w:rPr>
          <w:spacing w:val="-3"/>
        </w:rPr>
        <w:t>为客户提供平面设计、结构设计、仓储管理、物流配送等一体化的包装解决方案。自成立以来环</w:t>
      </w:r>
      <w:r>
        <w:rPr>
          <w:spacing w:val="-19"/>
        </w:rPr>
        <w:t> </w:t>
      </w:r>
      <w:r>
        <w:rPr>
          <w:spacing w:val="-19"/>
        </w:rPr>
      </w:r>
      <w:r>
        <w:rPr>
          <w:spacing w:val="-3"/>
        </w:rPr>
        <w:t>球印务始终致力于医药包装领域深耕细作，不断完善医药包装产业链，在医药初级包装、次级包</w:t>
      </w:r>
      <w:r>
        <w:rPr>
          <w:spacing w:val="-14"/>
        </w:rPr>
        <w:t> </w:t>
      </w:r>
      <w:r>
        <w:rPr>
          <w:spacing w:val="-14"/>
        </w:rPr>
      </w:r>
      <w:r>
        <w:rPr>
          <w:spacing w:val="-3"/>
        </w:rPr>
        <w:t>装等领域均大力拓展，形成整体医药包装营销模式，使制药企业在环球印务享受一站式服务，帮</w:t>
      </w:r>
      <w:r>
        <w:rPr>
          <w:spacing w:val="-14"/>
        </w:rPr>
        <w:t> </w:t>
      </w:r>
      <w:r>
        <w:rPr>
          <w:spacing w:val="-14"/>
        </w:rPr>
      </w:r>
      <w:r>
        <w:rPr/>
        <w:t>助客户优化供应链管理，同时有利于公司产业链的延伸。</w:t>
      </w:r>
    </w:p>
    <w:p>
      <w:pPr>
        <w:pStyle w:val="BodyText"/>
        <w:spacing w:line="314" w:lineRule="auto" w:before="22"/>
        <w:ind w:left="580" w:right="1550" w:firstLine="480"/>
        <w:jc w:val="both"/>
      </w:pPr>
      <w:r>
        <w:rPr>
          <w:spacing w:val="-4"/>
        </w:rPr>
        <w:t>公司秉承“为顾客创造价值，为员工创造福利，为股东创造回报”的企业宗旨，坚持以提供</w:t>
      </w:r>
      <w:r>
        <w:rPr>
          <w:w w:val="100"/>
        </w:rPr>
        <w:t> </w:t>
      </w:r>
      <w:r>
        <w:rPr>
          <w:spacing w:val="-2"/>
        </w:rPr>
        <w:t>绿色的、友善的包装产品及服务为己任，突破以往印刷企业的传统纯加工以及技术运用模式，紧</w:t>
      </w:r>
      <w:r>
        <w:rPr>
          <w:spacing w:val="-54"/>
        </w:rPr>
        <w:t> </w:t>
      </w:r>
      <w:r>
        <w:rPr>
          <w:spacing w:val="-54"/>
        </w:rPr>
      </w:r>
      <w:r>
        <w:rPr>
          <w:spacing w:val="-3"/>
        </w:rPr>
        <w:t>跟国内外政策趋势，在药品初级、次级包装技术领域不断探索，不断推出适应最先进的自动高速</w:t>
      </w:r>
      <w:r>
        <w:rPr>
          <w:spacing w:val="-14"/>
        </w:rPr>
        <w:t> </w:t>
      </w:r>
      <w:r>
        <w:rPr>
          <w:spacing w:val="-14"/>
        </w:rPr>
      </w:r>
      <w:r>
        <w:rPr>
          <w:spacing w:val="-3"/>
        </w:rPr>
        <w:t>生产线的各种药品包装产品，以及应用于防伪、防混淆、可追溯等功能的多项技术，尤其在药品</w:t>
      </w:r>
      <w:r>
        <w:rPr>
          <w:spacing w:val="-19"/>
        </w:rPr>
        <w:t> </w:t>
      </w:r>
      <w:r>
        <w:rPr>
          <w:spacing w:val="-19"/>
        </w:rPr>
      </w:r>
      <w:r>
        <w:rPr>
          <w:spacing w:val="-3"/>
        </w:rPr>
        <w:t>包装的溯源保证上具备强大的技术支持，使得药品包装所承载得越来越多的功能和附加价值得以</w:t>
      </w:r>
      <w:r>
        <w:rPr>
          <w:spacing w:val="-18"/>
        </w:rPr>
        <w:t> </w:t>
      </w:r>
      <w:r>
        <w:rPr>
          <w:spacing w:val="-18"/>
        </w:rPr>
      </w:r>
      <w:r>
        <w:rPr/>
        <w:t>保证。</w:t>
      </w:r>
    </w:p>
    <w:p>
      <w:pPr>
        <w:pStyle w:val="BodyText"/>
        <w:spacing w:line="312" w:lineRule="auto"/>
        <w:ind w:left="580" w:right="1552" w:firstLine="480"/>
        <w:jc w:val="both"/>
      </w:pPr>
      <w:r>
        <w:rPr>
          <w:spacing w:val="-4"/>
        </w:rPr>
        <w:t>公司依靠医药包装所形成的规模效应、技术储备及品牌影响力等多个竞争优势，不断夯实公</w:t>
      </w:r>
      <w:r>
        <w:rPr>
          <w:w w:val="100"/>
        </w:rPr>
        <w:t> </w:t>
      </w:r>
      <w:r>
        <w:rPr>
          <w:spacing w:val="-3"/>
        </w:rPr>
        <w:t>司医药包装的核心竞争力，始终占据着国内医药折叠纸盒包装领域及药用铝管包装领域的领先地</w:t>
      </w:r>
      <w:r>
        <w:rPr>
          <w:spacing w:val="-18"/>
        </w:rPr>
        <w:t> </w:t>
      </w:r>
      <w:r>
        <w:rPr>
          <w:spacing w:val="-18"/>
        </w:rPr>
      </w:r>
      <w:r>
        <w:rPr/>
        <w:t>位</w:t>
      </w:r>
      <w:r>
        <w:rPr>
          <w:rFonts w:ascii="宋体" w:hAnsi="宋体" w:cs="宋体" w:eastAsia="宋体" w:hint="default"/>
        </w:rPr>
        <w:t>,</w:t>
      </w:r>
      <w:r>
        <w:rPr>
          <w:rFonts w:ascii="宋体" w:hAnsi="宋体" w:cs="宋体" w:eastAsia="宋体" w:hint="default"/>
          <w:spacing w:val="-1"/>
        </w:rPr>
        <w:t> </w:t>
      </w:r>
      <w:r>
        <w:rPr/>
        <w:t>并持续向其他医药包装高附加值产业链领域拓展。</w:t>
      </w:r>
    </w:p>
    <w:p>
      <w:pPr>
        <w:spacing w:line="240" w:lineRule="auto" w:before="3"/>
        <w:rPr>
          <w:rFonts w:ascii="宋体" w:hAnsi="宋体" w:cs="宋体" w:eastAsia="宋体" w:hint="default"/>
          <w:sz w:val="29"/>
          <w:szCs w:val="29"/>
        </w:rPr>
      </w:pPr>
    </w:p>
    <w:p>
      <w:pPr>
        <w:spacing w:line="348" w:lineRule="auto" w:before="0"/>
        <w:ind w:left="979" w:right="0" w:hanging="347"/>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、行业发展与市场占有率</w:t>
      </w:r>
      <w:r>
        <w:rPr>
          <w:rFonts w:ascii="宋体" w:hAnsi="宋体" w:cs="宋体" w:eastAsia="宋体" w:hint="default"/>
          <w:b/>
          <w:bCs/>
          <w:spacing w:val="-102"/>
          <w:sz w:val="21"/>
          <w:szCs w:val="21"/>
        </w:rPr>
        <w:t> </w:t>
      </w:r>
      <w:r>
        <w:rPr>
          <w:rFonts w:ascii="宋体" w:hAnsi="宋体" w:cs="宋体" w:eastAsia="宋体" w:hint="default"/>
          <w:spacing w:val="-2"/>
          <w:sz w:val="21"/>
          <w:szCs w:val="21"/>
        </w:rPr>
        <w:t>近年来，制药行业已经充分认识到了产品包装的重要性，加之政府对医疗卫生事业投入的不</w:t>
      </w:r>
    </w:p>
    <w:p>
      <w:pPr>
        <w:pStyle w:val="BodyText"/>
        <w:spacing w:line="261" w:lineRule="exact" w:before="0"/>
        <w:ind w:left="498" w:right="0"/>
        <w:jc w:val="both"/>
      </w:pPr>
      <w:r>
        <w:rPr>
          <w:spacing w:val="-3"/>
        </w:rPr>
        <w:t>断加大，我国的医药包装市场将会迎来较快的增长，年均增长率保持</w:t>
      </w:r>
      <w:r>
        <w:rPr>
          <w:rFonts w:ascii="宋体" w:hAnsi="宋体" w:cs="宋体" w:eastAsia="宋体" w:hint="default"/>
          <w:spacing w:val="-3"/>
        </w:rPr>
        <w:t>10%</w:t>
      </w:r>
      <w:r>
        <w:rPr>
          <w:spacing w:val="-3"/>
        </w:rPr>
        <w:t>以上，其生产总值已占全</w:t>
      </w:r>
    </w:p>
    <w:p>
      <w:pPr>
        <w:pStyle w:val="BodyText"/>
        <w:spacing w:line="314" w:lineRule="auto" w:before="85"/>
        <w:ind w:left="498" w:right="1554"/>
        <w:jc w:val="both"/>
      </w:pPr>
      <w:r>
        <w:rPr/>
        <w:t>国包装业生产总值的</w:t>
      </w:r>
      <w:r>
        <w:rPr>
          <w:rFonts w:ascii="宋体" w:hAnsi="宋体" w:cs="宋体" w:eastAsia="宋体" w:hint="default"/>
        </w:rPr>
        <w:t>10%</w:t>
      </w:r>
      <w:r>
        <w:rPr/>
        <w:t>以上，高于制药工业占全国工业总产值的比例。根据《</w:t>
      </w:r>
      <w:r>
        <w:rPr>
          <w:rFonts w:ascii="宋体" w:hAnsi="宋体" w:cs="宋体" w:eastAsia="宋体" w:hint="default"/>
        </w:rPr>
        <w:t>2019-2025</w:t>
      </w:r>
      <w:r>
        <w:rPr/>
        <w:t>年中国</w:t>
      </w:r>
      <w:r>
        <w:rPr>
          <w:spacing w:val="-63"/>
        </w:rPr>
        <w:t> </w:t>
      </w:r>
      <w:r>
        <w:rPr>
          <w:spacing w:val="-63"/>
        </w:rPr>
      </w:r>
      <w:r>
        <w:rPr>
          <w:spacing w:val="-5"/>
        </w:rPr>
        <w:t>医药包装材料行业市场竞争格局及投资前景报告》，我国医药包装行业市场规模稳定增长，从</w:t>
      </w:r>
      <w:r>
        <w:rPr>
          <w:rFonts w:ascii="宋体" w:hAnsi="宋体" w:cs="宋体" w:eastAsia="宋体" w:hint="default"/>
          <w:spacing w:val="-5"/>
        </w:rPr>
        <w:t>2012</w:t>
      </w:r>
      <w:r>
        <w:rPr>
          <w:rFonts w:ascii="宋体" w:hAnsi="宋体" w:cs="宋体" w:eastAsia="宋体" w:hint="default"/>
          <w:spacing w:val="-45"/>
        </w:rPr>
        <w:t> </w:t>
      </w:r>
      <w:r>
        <w:rPr>
          <w:rFonts w:ascii="宋体" w:hAnsi="宋体" w:cs="宋体" w:eastAsia="宋体" w:hint="default"/>
          <w:spacing w:val="-45"/>
        </w:rPr>
      </w:r>
      <w:r>
        <w:rPr/>
        <w:t>年的</w:t>
      </w:r>
      <w:r>
        <w:rPr>
          <w:rFonts w:ascii="宋体" w:hAnsi="宋体" w:cs="宋体" w:eastAsia="宋体" w:hint="default"/>
        </w:rPr>
        <w:t>575.4</w:t>
      </w:r>
      <w:r>
        <w:rPr/>
        <w:t>亿元增长到</w:t>
      </w:r>
      <w:r>
        <w:rPr>
          <w:rFonts w:ascii="宋体" w:hAnsi="宋体" w:cs="宋体" w:eastAsia="宋体" w:hint="default"/>
        </w:rPr>
        <w:t>2018</w:t>
      </w:r>
      <w:r>
        <w:rPr/>
        <w:t>年的</w:t>
      </w:r>
      <w:r>
        <w:rPr>
          <w:rFonts w:ascii="宋体" w:hAnsi="宋体" w:cs="宋体" w:eastAsia="宋体" w:hint="default"/>
        </w:rPr>
        <w:t>1070.4</w:t>
      </w:r>
      <w:r>
        <w:rPr/>
        <w:t>亿元，已破千亿大关。</w:t>
      </w:r>
    </w:p>
    <w:p>
      <w:pPr>
        <w:spacing w:after="0" w:line="314" w:lineRule="auto"/>
        <w:jc w:val="both"/>
        <w:sectPr>
          <w:pgSz w:w="11910" w:h="16840"/>
          <w:pgMar w:header="460" w:footer="979" w:top="1100" w:bottom="1160" w:left="980" w:right="0"/>
        </w:sectPr>
      </w:pPr>
    </w:p>
    <w:p>
      <w:pPr>
        <w:spacing w:line="240" w:lineRule="auto" w:before="3"/>
        <w:rPr>
          <w:rFonts w:ascii="宋体" w:hAnsi="宋体" w:cs="宋体" w:eastAsia="宋体" w:hint="default"/>
          <w:sz w:val="25"/>
          <w:szCs w:val="25"/>
        </w:rPr>
      </w:pPr>
    </w:p>
    <w:p>
      <w:pPr>
        <w:spacing w:line="5910" w:lineRule="exact"/>
        <w:ind w:left="861" w:right="0" w:firstLine="0"/>
        <w:rPr>
          <w:rFonts w:ascii="宋体" w:hAnsi="宋体" w:cs="宋体" w:eastAsia="宋体" w:hint="default"/>
          <w:sz w:val="20"/>
          <w:szCs w:val="20"/>
        </w:rPr>
      </w:pPr>
      <w:r>
        <w:rPr>
          <w:rFonts w:ascii="宋体" w:hAnsi="宋体" w:cs="宋体" w:eastAsia="宋体" w:hint="default"/>
          <w:position w:val="-117"/>
          <w:sz w:val="20"/>
          <w:szCs w:val="20"/>
        </w:rPr>
        <w:drawing>
          <wp:inline distT="0" distB="0" distL="0" distR="0">
            <wp:extent cx="5457824" cy="375285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5457824" cy="3752850"/>
                    </a:xfrm>
                    <a:prstGeom prst="rect">
                      <a:avLst/>
                    </a:prstGeom>
                  </pic:spPr>
                </pic:pic>
              </a:graphicData>
            </a:graphic>
          </wp:inline>
        </w:drawing>
      </w:r>
      <w:r>
        <w:rPr>
          <w:rFonts w:ascii="宋体" w:hAnsi="宋体" w:cs="宋体" w:eastAsia="宋体" w:hint="default"/>
          <w:position w:val="-117"/>
          <w:sz w:val="20"/>
          <w:szCs w:val="20"/>
        </w:rPr>
      </w:r>
    </w:p>
    <w:p>
      <w:pPr>
        <w:pStyle w:val="BodyText"/>
        <w:spacing w:line="312" w:lineRule="auto" w:before="63"/>
        <w:ind w:left="498" w:right="1557" w:firstLine="480"/>
        <w:jc w:val="both"/>
      </w:pPr>
      <w:r>
        <w:rPr>
          <w:spacing w:val="-2"/>
        </w:rPr>
        <w:t>在新产品、新药剂型层出不穷的今天，与之相配套的药品包装跟进速度还比较慢，具有很大</w:t>
      </w:r>
      <w:r>
        <w:rPr>
          <w:w w:val="100"/>
        </w:rPr>
        <w:t> </w:t>
      </w:r>
      <w:r>
        <w:rPr/>
        <w:t>的潜力可挖，我国医药包装产业的市场空间广阔。但距发达国家医药包装产业占医药工业总产值</w:t>
      </w:r>
      <w:r>
        <w:rPr>
          <w:spacing w:val="-60"/>
        </w:rPr>
        <w:t> </w:t>
      </w:r>
      <w:r>
        <w:rPr>
          <w:spacing w:val="-60"/>
        </w:rPr>
      </w:r>
      <w:r>
        <w:rPr>
          <w:rFonts w:ascii="宋体" w:hAnsi="宋体" w:cs="宋体" w:eastAsia="宋体" w:hint="default"/>
        </w:rPr>
        <w:t>30%</w:t>
      </w:r>
      <w:r>
        <w:rPr/>
        <w:t>以上的水平还有一定差距</w:t>
      </w:r>
      <w:r>
        <w:rPr>
          <w:rFonts w:ascii="宋体" w:hAnsi="宋体" w:cs="宋体" w:eastAsia="宋体" w:hint="default"/>
        </w:rPr>
        <w:t>,</w:t>
      </w:r>
      <w:r>
        <w:rPr/>
        <w:t>我国医药包装产业的“天花板”还远远没有到来。</w:t>
      </w:r>
    </w:p>
    <w:p>
      <w:pPr>
        <w:pStyle w:val="BodyText"/>
        <w:spacing w:line="312" w:lineRule="auto" w:before="65"/>
        <w:ind w:left="498" w:right="1555" w:firstLine="480"/>
        <w:jc w:val="both"/>
      </w:pPr>
      <w:r>
        <w:rPr>
          <w:spacing w:val="-2"/>
        </w:rPr>
        <w:t>随着人民生活水平和健康观念的不断提升，以及老龄化水平上升带来的慢性病需求增加，患</w:t>
      </w:r>
      <w:r>
        <w:rPr>
          <w:w w:val="100"/>
        </w:rPr>
        <w:t> </w:t>
      </w:r>
      <w:r>
        <w:rPr/>
        <w:t>者自行选择药品的比例逐步提高，加之全国推行“带量采购”之后部分药企加大在院外市场的投</w:t>
      </w:r>
      <w:r>
        <w:rPr>
          <w:spacing w:val="-59"/>
        </w:rPr>
        <w:t> </w:t>
      </w:r>
      <w:r>
        <w:rPr>
          <w:spacing w:val="-59"/>
        </w:rPr>
      </w:r>
      <w:r>
        <w:rPr>
          <w:spacing w:val="-3"/>
        </w:rPr>
        <w:t>入力度，药品零售市场存在巨大增长空间。随着</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1</w:t>
      </w:r>
      <w:r>
        <w:rPr>
          <w:spacing w:val="-3"/>
        </w:rPr>
        <w:t>日新《药品管理法》正式实施，药品</w:t>
      </w:r>
      <w:r>
        <w:rPr>
          <w:spacing w:val="-30"/>
        </w:rPr>
        <w:t> </w:t>
      </w:r>
      <w:r>
        <w:rPr>
          <w:spacing w:val="-30"/>
        </w:rPr>
      </w:r>
      <w:r>
        <w:rPr/>
        <w:t>追溯制度的全面深入推进，对高品质医药包装纸盒的需求拉动尤为显著。为同时具有追溯码批量</w:t>
      </w:r>
      <w:r>
        <w:rPr>
          <w:spacing w:val="-60"/>
        </w:rPr>
        <w:t> </w:t>
      </w:r>
      <w:r>
        <w:rPr>
          <w:spacing w:val="-60"/>
        </w:rPr>
      </w:r>
      <w:r>
        <w:rPr/>
        <w:t>生产能力和医药纸盒规模化生产能力的企业，创造了巨大的市场机遇。</w:t>
      </w:r>
    </w:p>
    <w:p>
      <w:pPr>
        <w:pStyle w:val="BodyText"/>
        <w:spacing w:line="312" w:lineRule="auto" w:before="65"/>
        <w:ind w:left="498" w:right="1556" w:firstLine="480"/>
        <w:jc w:val="both"/>
      </w:pPr>
      <w:r>
        <w:rPr>
          <w:spacing w:val="-2"/>
        </w:rPr>
        <w:t>公司作为国内医药包装龙头企业，在医药包装领域始终占据领先地位。在医药折叠纸盒等次</w:t>
      </w:r>
      <w:r>
        <w:rPr>
          <w:w w:val="100"/>
        </w:rPr>
        <w:t> </w:t>
      </w:r>
      <w:r>
        <w:rPr>
          <w:spacing w:val="-3"/>
        </w:rPr>
        <w:t>级包装领域，公司与国内知名的制药企业均保持良好的合作关系，</w:t>
      </w:r>
      <w:r>
        <w:rPr>
          <w:rFonts w:ascii="宋体" w:hAnsi="宋体" w:cs="宋体" w:eastAsia="宋体" w:hint="default"/>
          <w:spacing w:val="-3"/>
        </w:rPr>
        <w:t>2019</w:t>
      </w:r>
      <w:r>
        <w:rPr>
          <w:spacing w:val="-3"/>
        </w:rPr>
        <w:t>年国内</w:t>
      </w:r>
      <w:r>
        <w:rPr>
          <w:rFonts w:ascii="宋体" w:hAnsi="宋体" w:cs="宋体" w:eastAsia="宋体" w:hint="default"/>
          <w:spacing w:val="-3"/>
        </w:rPr>
        <w:t>500</w:t>
      </w:r>
      <w:r>
        <w:rPr>
          <w:spacing w:val="-3"/>
        </w:rPr>
        <w:t>强企业中的制药</w:t>
      </w:r>
      <w:r>
        <w:rPr>
          <w:spacing w:val="-31"/>
        </w:rPr>
        <w:t> </w:t>
      </w:r>
      <w:r>
        <w:rPr>
          <w:spacing w:val="-31"/>
        </w:rPr>
      </w:r>
      <w:r>
        <w:rPr>
          <w:spacing w:val="-3"/>
        </w:rPr>
        <w:t>企业与公司合作的占</w:t>
      </w:r>
      <w:r>
        <w:rPr>
          <w:rFonts w:ascii="宋体" w:hAnsi="宋体" w:cs="宋体" w:eastAsia="宋体" w:hint="default"/>
          <w:spacing w:val="-3"/>
        </w:rPr>
        <w:t>50%</w:t>
      </w:r>
      <w:r>
        <w:rPr>
          <w:spacing w:val="-3"/>
        </w:rPr>
        <w:t>以上，进入世界</w:t>
      </w:r>
      <w:r>
        <w:rPr>
          <w:rFonts w:ascii="宋体" w:hAnsi="宋体" w:cs="宋体" w:eastAsia="宋体" w:hint="default"/>
          <w:spacing w:val="-3"/>
        </w:rPr>
        <w:t>500</w:t>
      </w:r>
      <w:r>
        <w:rPr>
          <w:spacing w:val="-3"/>
        </w:rPr>
        <w:t>强中的</w:t>
      </w:r>
      <w:r>
        <w:rPr>
          <w:rFonts w:ascii="宋体" w:hAnsi="宋体" w:cs="宋体" w:eastAsia="宋体" w:hint="default"/>
          <w:spacing w:val="-3"/>
        </w:rPr>
        <w:t>11</w:t>
      </w:r>
      <w:r>
        <w:rPr>
          <w:spacing w:val="-3"/>
        </w:rPr>
        <w:t>家制药企业中，有</w:t>
      </w:r>
      <w:r>
        <w:rPr>
          <w:rFonts w:ascii="宋体" w:hAnsi="宋体" w:cs="宋体" w:eastAsia="宋体" w:hint="default"/>
          <w:spacing w:val="-3"/>
        </w:rPr>
        <w:t>8</w:t>
      </w:r>
      <w:r>
        <w:rPr>
          <w:spacing w:val="-3"/>
        </w:rPr>
        <w:t>家（强生，辉瑞，拜耳医</w:t>
      </w:r>
      <w:r>
        <w:rPr>
          <w:spacing w:val="-32"/>
        </w:rPr>
        <w:t> </w:t>
      </w:r>
      <w:r>
        <w:rPr>
          <w:spacing w:val="-32"/>
        </w:rPr>
      </w:r>
      <w:r>
        <w:rPr/>
        <w:t>药、中国医药集团，诺华制药，赛诺菲，默沙东，葛兰素史克）均与公司有长期而稳定的合作。</w:t>
      </w:r>
      <w:r>
        <w:rPr>
          <w:spacing w:val="-60"/>
        </w:rPr>
        <w:t> </w:t>
      </w:r>
      <w:r>
        <w:rPr>
          <w:spacing w:val="-60"/>
        </w:rPr>
      </w:r>
      <w:r>
        <w:rPr/>
        <w:t>在中高端铝管等医药初级包装领域，公司的业务除覆盖至全国大部分地区外，还延伸至香港、日</w:t>
      </w:r>
      <w:r>
        <w:rPr>
          <w:spacing w:val="-59"/>
        </w:rPr>
        <w:t> </w:t>
      </w:r>
      <w:r>
        <w:rPr>
          <w:spacing w:val="-59"/>
        </w:rPr>
      </w:r>
      <w:r>
        <w:rPr/>
        <w:t>本及东南亚、欧洲等地区，合作的客户均为外资及国内大中型知名企业，包括西安杨森、中美史</w:t>
      </w:r>
      <w:r>
        <w:rPr>
          <w:spacing w:val="-60"/>
        </w:rPr>
        <w:t> </w:t>
      </w:r>
      <w:r>
        <w:rPr>
          <w:spacing w:val="-60"/>
        </w:rPr>
      </w:r>
      <w:r>
        <w:rPr>
          <w:spacing w:val="-6"/>
        </w:rPr>
        <w:t>克、诺华制药、拜耳医药、香港澳美、兴齐眼药、三九制药等。同时，公司还积极开发药妆市场，</w:t>
      </w:r>
      <w:r>
        <w:rPr>
          <w:spacing w:val="-19"/>
        </w:rPr>
        <w:t> </w:t>
      </w:r>
      <w:r>
        <w:rPr>
          <w:spacing w:val="-19"/>
        </w:rPr>
      </w:r>
      <w:r>
        <w:rPr/>
        <w:t>国际著名企业欧莱雅也是公司铝管包装业务的重要客户之一。未来，公司医药包装业务仍将保持</w:t>
      </w:r>
      <w:r>
        <w:rPr>
          <w:spacing w:val="-60"/>
        </w:rPr>
        <w:t> </w:t>
      </w:r>
      <w:r>
        <w:rPr>
          <w:spacing w:val="-60"/>
        </w:rPr>
      </w:r>
      <w:r>
        <w:rPr/>
        <w:t>稳定的增长。</w:t>
      </w:r>
    </w:p>
    <w:p>
      <w:pPr>
        <w:spacing w:line="240" w:lineRule="auto" w:before="0"/>
        <w:rPr>
          <w:rFonts w:ascii="宋体" w:hAnsi="宋体" w:cs="宋体" w:eastAsia="宋体" w:hint="default"/>
          <w:sz w:val="20"/>
          <w:szCs w:val="20"/>
        </w:rPr>
      </w:pPr>
    </w:p>
    <w:p>
      <w:pPr>
        <w:pStyle w:val="Heading3"/>
        <w:spacing w:line="240" w:lineRule="auto" w:before="159"/>
        <w:ind w:right="0"/>
        <w:jc w:val="left"/>
        <w:rPr>
          <w:b w:val="0"/>
          <w:bCs w:val="0"/>
        </w:rPr>
      </w:pPr>
      <w:r>
        <w:rPr/>
        <w:t>（二）消费品包装业务</w:t>
      </w:r>
      <w:r>
        <w:rPr>
          <w:b w:val="0"/>
          <w:bCs w:val="0"/>
        </w:rPr>
      </w:r>
    </w:p>
    <w:p>
      <w:pPr>
        <w:pStyle w:val="BodyText"/>
        <w:spacing w:line="309" w:lineRule="auto" w:before="129"/>
        <w:ind w:left="498" w:right="1462" w:firstLine="480"/>
        <w:jc w:val="both"/>
      </w:pPr>
      <w:r>
        <w:rPr/>
        <w:t>公司依靠医药包装所形成的规模优势、品牌优势、技术优势、管理优势、资源设备优势等，</w:t>
      </w:r>
      <w:r>
        <w:rPr>
          <w:w w:val="100"/>
        </w:rPr>
        <w:t> </w:t>
      </w:r>
      <w:r>
        <w:rPr/>
        <w:t>开始逐步向消费品包装领域辐射，目前业务已涵盖快速消费品、医疗器械、保健食品、精细化工</w:t>
      </w:r>
    </w:p>
    <w:p>
      <w:pPr>
        <w:spacing w:after="0" w:line="309" w:lineRule="auto"/>
        <w:jc w:val="both"/>
        <w:sectPr>
          <w:pgSz w:w="11910" w:h="16840"/>
          <w:pgMar w:header="460" w:footer="979" w:top="1100" w:bottom="1160" w:left="980" w:right="0"/>
        </w:sectPr>
      </w:pPr>
    </w:p>
    <w:p>
      <w:pPr>
        <w:spacing w:line="240" w:lineRule="auto" w:before="7"/>
        <w:rPr>
          <w:rFonts w:ascii="宋体" w:hAnsi="宋体" w:cs="宋体" w:eastAsia="宋体" w:hint="default"/>
          <w:sz w:val="22"/>
          <w:szCs w:val="22"/>
        </w:rPr>
      </w:pPr>
    </w:p>
    <w:p>
      <w:pPr>
        <w:pStyle w:val="BodyText"/>
        <w:spacing w:line="352" w:lineRule="auto" w:before="36"/>
        <w:ind w:left="979" w:right="0" w:hanging="481"/>
        <w:jc w:val="left"/>
      </w:pPr>
      <w:r>
        <w:rPr/>
        <w:t>及电子产品等领域的包装服务。</w:t>
      </w:r>
      <w:r>
        <w:rPr>
          <w:w w:val="100"/>
        </w:rPr>
        <w:t> </w:t>
      </w:r>
      <w:r>
        <w:rPr/>
        <w:t>消费品包装是公司将持续开拓的新业务领域。</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29</w:t>
      </w:r>
      <w:r>
        <w:rPr/>
        <w:t>日，国家发改委就《进一步优化</w:t>
      </w:r>
    </w:p>
    <w:p>
      <w:pPr>
        <w:pStyle w:val="BodyText"/>
        <w:spacing w:line="257" w:lineRule="exact" w:before="0"/>
        <w:ind w:left="498" w:right="0"/>
        <w:jc w:val="both"/>
      </w:pPr>
      <w:r>
        <w:rPr/>
        <w:t>供给推动消费平稳增长促进形成强大国内市场的实施方案（</w:t>
      </w:r>
      <w:r>
        <w:rPr>
          <w:rFonts w:ascii="宋体" w:hAnsi="宋体" w:cs="宋体" w:eastAsia="宋体" w:hint="default"/>
        </w:rPr>
        <w:t>2019</w:t>
      </w:r>
      <w:r>
        <w:rPr/>
        <w:t>年）》有关情况举行发布会，对</w:t>
      </w:r>
    </w:p>
    <w:p>
      <w:pPr>
        <w:pStyle w:val="BodyText"/>
        <w:spacing w:line="312" w:lineRule="auto" w:before="85"/>
        <w:ind w:left="498" w:right="1554"/>
        <w:jc w:val="both"/>
      </w:pPr>
      <w:r>
        <w:rPr/>
        <w:t>当前消费形势概括为“总体平稳，有所波动，但消费升级趋势依然强劲”，</w:t>
      </w:r>
      <w:r>
        <w:rPr>
          <w:rFonts w:ascii="宋体" w:hAnsi="宋体" w:cs="宋体" w:eastAsia="宋体" w:hint="default"/>
        </w:rPr>
        <w:t>2018</w:t>
      </w:r>
      <w:r>
        <w:rPr/>
        <w:t>年社会消费品零</w:t>
      </w:r>
      <w:r>
        <w:rPr>
          <w:spacing w:val="-59"/>
        </w:rPr>
        <w:t> </w:t>
      </w:r>
      <w:r>
        <w:rPr/>
        <w:t>售总额超过</w:t>
      </w:r>
      <w:r>
        <w:rPr>
          <w:rFonts w:ascii="宋体" w:hAnsi="宋体" w:cs="宋体" w:eastAsia="宋体" w:hint="default"/>
        </w:rPr>
        <w:t>38</w:t>
      </w:r>
      <w:r>
        <w:rPr/>
        <w:t>万亿元，同比增长</w:t>
      </w:r>
      <w:r>
        <w:rPr>
          <w:rFonts w:ascii="宋体" w:hAnsi="宋体" w:cs="宋体" w:eastAsia="宋体" w:hint="default"/>
        </w:rPr>
        <w:t>9%</w:t>
      </w:r>
      <w:r>
        <w:rPr/>
        <w:t>，消费贡献率进一步增强，最终消费对经济增长的贡献率达到</w:t>
      </w:r>
      <w:r>
        <w:rPr>
          <w:spacing w:val="-59"/>
        </w:rPr>
        <w:t> </w:t>
      </w:r>
      <w:r>
        <w:rPr>
          <w:spacing w:val="-59"/>
        </w:rPr>
      </w:r>
      <w:r>
        <w:rPr>
          <w:rFonts w:ascii="宋体" w:hAnsi="宋体" w:cs="宋体" w:eastAsia="宋体" w:hint="default"/>
        </w:rPr>
        <w:t>76.2%</w:t>
      </w:r>
      <w:r>
        <w:rPr/>
        <w:t>，比</w:t>
      </w:r>
      <w:r>
        <w:rPr>
          <w:rFonts w:ascii="宋体" w:hAnsi="宋体" w:cs="宋体" w:eastAsia="宋体" w:hint="default"/>
        </w:rPr>
        <w:t>2017</w:t>
      </w:r>
      <w:r>
        <w:rPr/>
        <w:t>年提高</w:t>
      </w:r>
      <w:r>
        <w:rPr>
          <w:rFonts w:ascii="宋体" w:hAnsi="宋体" w:cs="宋体" w:eastAsia="宋体" w:hint="default"/>
        </w:rPr>
        <w:t>18.6%</w:t>
      </w:r>
      <w:r>
        <w:rPr/>
        <w:t>，消费已连续五年成为拉动经济增长的主引擎。</w:t>
      </w:r>
    </w:p>
    <w:p>
      <w:pPr>
        <w:pStyle w:val="BodyText"/>
        <w:spacing w:line="312" w:lineRule="auto" w:before="65"/>
        <w:ind w:left="498" w:right="1554" w:firstLine="480"/>
        <w:jc w:val="both"/>
      </w:pPr>
      <w:r>
        <w:rPr>
          <w:spacing w:val="-2"/>
        </w:rPr>
        <w:t>结合消费品的总量来看，尽管目前中国包装市场规模增长较快，但人均包装消费量仅为</w:t>
      </w:r>
      <w:r>
        <w:rPr>
          <w:rFonts w:ascii="宋体" w:hAnsi="宋体" w:cs="宋体" w:eastAsia="宋体" w:hint="default"/>
          <w:spacing w:val="-2"/>
        </w:rPr>
        <w:t>12</w:t>
      </w:r>
      <w:r>
        <w:rPr>
          <w:spacing w:val="-2"/>
        </w:rPr>
        <w:t>美</w:t>
      </w:r>
      <w:r>
        <w:rPr>
          <w:w w:val="100"/>
        </w:rPr>
        <w:t> </w:t>
      </w:r>
      <w:r>
        <w:rPr>
          <w:spacing w:val="-3"/>
        </w:rPr>
        <w:t>元</w:t>
      </w:r>
      <w:r>
        <w:rPr>
          <w:rFonts w:ascii="宋体" w:hAnsi="宋体" w:cs="宋体" w:eastAsia="宋体" w:hint="default"/>
          <w:spacing w:val="-3"/>
        </w:rPr>
        <w:t>/</w:t>
      </w:r>
      <w:r>
        <w:rPr>
          <w:spacing w:val="-3"/>
        </w:rPr>
        <w:t>年，与全球发达国家及地区相比仍然存在较大差距。随着人民生活水平的提高，消费品包装呈</w:t>
      </w:r>
      <w:r>
        <w:rPr>
          <w:spacing w:val="-40"/>
        </w:rPr>
        <w:t> </w:t>
      </w:r>
      <w:r>
        <w:rPr>
          <w:spacing w:val="-40"/>
        </w:rPr>
      </w:r>
      <w:r>
        <w:rPr/>
        <w:t>现出小型化、环保性能提升的特点，储运包装随电商渗透率的提升而需求增大。中国包装行业的</w:t>
      </w:r>
      <w:r>
        <w:rPr>
          <w:spacing w:val="-60"/>
        </w:rPr>
        <w:t> </w:t>
      </w:r>
      <w:r>
        <w:rPr>
          <w:spacing w:val="-60"/>
        </w:rPr>
      </w:r>
      <w:r>
        <w:rPr/>
        <w:t>市场规模有望进一步扩大，供求结构也有望持续升级，公司将持续开拓消费品包装领域。</w:t>
      </w:r>
    </w:p>
    <w:p>
      <w:pPr>
        <w:pStyle w:val="BodyText"/>
        <w:spacing w:line="312" w:lineRule="auto" w:before="65"/>
        <w:ind w:left="498" w:right="1556" w:firstLine="480"/>
        <w:jc w:val="both"/>
      </w:pPr>
      <w:r>
        <w:rPr>
          <w:spacing w:val="-2"/>
        </w:rPr>
        <w:t>公司精准定位快消品、电商平台及工业品包装市场，如乳业、饮料、食品、日化等，近年来</w:t>
      </w:r>
      <w:r>
        <w:rPr>
          <w:w w:val="100"/>
        </w:rPr>
        <w:t> </w:t>
      </w:r>
      <w:r>
        <w:rPr/>
        <w:t>在消费品包装领域实现扩产、产线布局及设备技术改造更新后，已成为亚洲乳业第一的内蒙古伊</w:t>
      </w:r>
      <w:r>
        <w:rPr>
          <w:spacing w:val="-59"/>
        </w:rPr>
        <w:t> </w:t>
      </w:r>
      <w:r>
        <w:rPr>
          <w:spacing w:val="-59"/>
        </w:rPr>
      </w:r>
      <w:r>
        <w:rPr>
          <w:spacing w:val="-3"/>
        </w:rPr>
        <w:t>利实业集团陕西地区唯一</w:t>
      </w:r>
      <w:r>
        <w:rPr>
          <w:rFonts w:ascii="宋体" w:hAnsi="宋体" w:cs="宋体" w:eastAsia="宋体" w:hint="default"/>
          <w:spacing w:val="-3"/>
        </w:rPr>
        <w:t>A</w:t>
      </w:r>
      <w:r>
        <w:rPr>
          <w:spacing w:val="-3"/>
        </w:rPr>
        <w:t>级瓦楞包装战略供应商，并通过持续技术改造及管理革新，经营业绩持</w:t>
      </w:r>
      <w:r>
        <w:rPr>
          <w:spacing w:val="-42"/>
        </w:rPr>
        <w:t> </w:t>
      </w:r>
      <w:r>
        <w:rPr>
          <w:spacing w:val="-42"/>
        </w:rPr>
      </w:r>
      <w:r>
        <w:rPr/>
        <w:t>续稳步提升。</w:t>
      </w:r>
    </w:p>
    <w:p>
      <w:pPr>
        <w:spacing w:line="240" w:lineRule="auto" w:before="0"/>
        <w:rPr>
          <w:rFonts w:ascii="宋体" w:hAnsi="宋体" w:cs="宋体" w:eastAsia="宋体" w:hint="default"/>
          <w:sz w:val="20"/>
          <w:szCs w:val="20"/>
        </w:rPr>
      </w:pPr>
    </w:p>
    <w:p>
      <w:pPr>
        <w:pStyle w:val="Heading3"/>
        <w:spacing w:line="240" w:lineRule="auto" w:before="159"/>
        <w:ind w:right="0"/>
        <w:jc w:val="left"/>
        <w:rPr>
          <w:b w:val="0"/>
          <w:bCs w:val="0"/>
        </w:rPr>
      </w:pPr>
      <w:r>
        <w:rPr/>
        <w:t>（三）供应链管理业务</w:t>
      </w:r>
      <w:r>
        <w:rPr>
          <w:b w:val="0"/>
          <w:bCs w:val="0"/>
        </w:rPr>
      </w:r>
    </w:p>
    <w:p>
      <w:pPr>
        <w:pStyle w:val="BodyText"/>
        <w:spacing w:line="312" w:lineRule="auto" w:before="124"/>
        <w:ind w:left="498" w:right="1555" w:firstLine="480"/>
        <w:jc w:val="both"/>
      </w:pPr>
      <w:r>
        <w:rPr>
          <w:spacing w:val="-2"/>
        </w:rPr>
        <w:t>为顺应行业发展趋势及工业技术升级的要求，公司以行业供应链管理为切入点，报告期收购</w:t>
      </w:r>
      <w:r>
        <w:rPr>
          <w:w w:val="100"/>
        </w:rPr>
        <w:t> </w:t>
      </w:r>
      <w:r>
        <w:rPr/>
        <w:t>了北京金印联国际供应链管理有限公司</w:t>
      </w:r>
      <w:r>
        <w:rPr>
          <w:rFonts w:ascii="宋体" w:hAnsi="宋体" w:cs="宋体" w:eastAsia="宋体" w:hint="default"/>
        </w:rPr>
        <w:t>70%</w:t>
      </w:r>
      <w:r>
        <w:rPr/>
        <w:t>股权</w:t>
      </w:r>
      <w:r>
        <w:rPr>
          <w:rFonts w:ascii="宋体" w:hAnsi="宋体" w:cs="宋体" w:eastAsia="宋体" w:hint="default"/>
        </w:rPr>
        <w:t>,</w:t>
      </w:r>
      <w:r>
        <w:rPr/>
        <w:t>在收购北京金印联后建立供应链管理平台，以此</w:t>
      </w:r>
      <w:r>
        <w:rPr>
          <w:spacing w:val="-59"/>
        </w:rPr>
        <w:t> </w:t>
      </w:r>
      <w:r>
        <w:rPr>
          <w:spacing w:val="-59"/>
        </w:rPr>
      </w:r>
      <w:r>
        <w:rPr/>
        <w:t>整合行业上下游资源。</w:t>
      </w:r>
    </w:p>
    <w:p>
      <w:pPr>
        <w:pStyle w:val="BodyText"/>
        <w:spacing w:line="312" w:lineRule="auto" w:before="65"/>
        <w:ind w:left="498" w:right="1554" w:firstLine="480"/>
        <w:jc w:val="both"/>
      </w:pPr>
      <w:r>
        <w:rPr>
          <w:spacing w:val="-2"/>
        </w:rPr>
        <w:t>北京金印联是一家专注从事印刷包装产业供应链服务的企业。为出版印刷、商务印刷、药品</w:t>
      </w:r>
      <w:r>
        <w:rPr>
          <w:w w:val="100"/>
        </w:rPr>
        <w:t> </w:t>
      </w:r>
      <w:r>
        <w:rPr/>
        <w:t>包装印刷、食品消费品印刷及烟包印刷等各类企业提供国内外知名品牌的纸张、油墨、水性光油</w:t>
      </w:r>
      <w:r>
        <w:rPr>
          <w:spacing w:val="-58"/>
        </w:rPr>
        <w:t> </w:t>
      </w:r>
      <w:r>
        <w:rPr>
          <w:spacing w:val="-58"/>
        </w:rPr>
      </w:r>
      <w:r>
        <w:rPr/>
        <w:t>等包装印刷综合性原辅材料并提供专业化的技术支持及服务。未来公司将搭建线上产品及服务平</w:t>
      </w:r>
      <w:r>
        <w:rPr>
          <w:spacing w:val="-60"/>
        </w:rPr>
        <w:t> </w:t>
      </w:r>
      <w:r>
        <w:rPr>
          <w:spacing w:val="-60"/>
        </w:rPr>
      </w:r>
      <w:r>
        <w:rPr/>
        <w:t>台，持续深耕上述各细分领域，精心打造从终端用户需求出发的</w:t>
      </w:r>
      <w:r>
        <w:rPr>
          <w:rFonts w:ascii="宋体" w:hAnsi="宋体" w:cs="宋体" w:eastAsia="宋体" w:hint="default"/>
        </w:rPr>
        <w:t>C2B</w:t>
      </w:r>
      <w:r>
        <w:rPr/>
        <w:t>反向供应链整合新模式。</w:t>
      </w:r>
    </w:p>
    <w:p>
      <w:pPr>
        <w:spacing w:line="240" w:lineRule="auto" w:before="3"/>
        <w:rPr>
          <w:rFonts w:ascii="宋体" w:hAnsi="宋体" w:cs="宋体" w:eastAsia="宋体" w:hint="default"/>
          <w:sz w:val="29"/>
          <w:szCs w:val="29"/>
        </w:rPr>
      </w:pPr>
    </w:p>
    <w:p>
      <w:pPr>
        <w:spacing w:line="314" w:lineRule="auto" w:before="0"/>
        <w:ind w:left="633" w:right="0" w:hanging="480"/>
        <w:jc w:val="left"/>
        <w:rPr>
          <w:rFonts w:ascii="宋体" w:hAnsi="宋体" w:cs="宋体" w:eastAsia="宋体" w:hint="default"/>
          <w:sz w:val="21"/>
          <w:szCs w:val="21"/>
        </w:rPr>
      </w:pPr>
      <w:r>
        <w:rPr>
          <w:rFonts w:ascii="宋体" w:hAnsi="宋体" w:cs="宋体" w:eastAsia="宋体" w:hint="default"/>
          <w:b/>
          <w:bCs/>
          <w:sz w:val="21"/>
          <w:szCs w:val="21"/>
        </w:rPr>
        <w:t>（四）互联网精准营销业务</w:t>
      </w:r>
      <w:r>
        <w:rPr>
          <w:rFonts w:ascii="宋体" w:hAnsi="宋体" w:cs="宋体" w:eastAsia="宋体" w:hint="default"/>
          <w:b/>
          <w:bCs/>
          <w:spacing w:val="-102"/>
          <w:sz w:val="21"/>
          <w:szCs w:val="21"/>
        </w:rPr>
        <w:t> </w:t>
      </w:r>
      <w:r>
        <w:rPr>
          <w:rFonts w:ascii="宋体" w:hAnsi="宋体" w:cs="宋体" w:eastAsia="宋体" w:hint="default"/>
          <w:spacing w:val="-4"/>
          <w:sz w:val="21"/>
          <w:szCs w:val="21"/>
        </w:rPr>
        <w:t>目前，我国互联网营销行业尚处于发展的起步阶段，行业市场规模较大，在互联网营销模式下，营销</w:t>
      </w:r>
    </w:p>
    <w:p>
      <w:pPr>
        <w:pStyle w:val="BodyText"/>
        <w:spacing w:line="240" w:lineRule="auto" w:before="16"/>
        <w:ind w:right="0"/>
        <w:jc w:val="left"/>
      </w:pPr>
      <w:r>
        <w:rPr/>
        <w:t>服务提供商需要更多关注客户的需求，通过技术分析、商业模式创新等手段为客户创造更大的价值。</w:t>
      </w:r>
    </w:p>
    <w:p>
      <w:pPr>
        <w:spacing w:line="240" w:lineRule="auto" w:before="12"/>
        <w:rPr>
          <w:rFonts w:ascii="宋体" w:hAnsi="宋体" w:cs="宋体" w:eastAsia="宋体" w:hint="default"/>
          <w:sz w:val="21"/>
          <w:szCs w:val="21"/>
        </w:rPr>
      </w:pPr>
    </w:p>
    <w:p>
      <w:pPr>
        <w:pStyle w:val="BodyText"/>
        <w:spacing w:line="314" w:lineRule="auto" w:before="0"/>
        <w:ind w:right="1122" w:firstLine="480"/>
        <w:jc w:val="both"/>
      </w:pPr>
      <w:r>
        <w:rPr>
          <w:spacing w:val="-4"/>
        </w:rPr>
        <w:t>公司是该产业链中的营销服务提供商，为客户提供互联网精准营销服务，是连结广告主、互联网媒体</w:t>
      </w:r>
      <w:r>
        <w:rPr>
          <w:w w:val="100"/>
        </w:rPr>
        <w:t> </w:t>
      </w:r>
      <w:r>
        <w:rPr>
          <w:spacing w:val="-2"/>
        </w:rPr>
        <w:t>及终端用户的平台。公司通过对广告平台大数据工具的持续投入和技术优势驱动，使用融合“技术</w:t>
      </w:r>
      <w:r>
        <w:rPr>
          <w:rFonts w:ascii="宋体" w:hAnsi="宋体" w:cs="宋体" w:eastAsia="宋体" w:hint="default"/>
          <w:spacing w:val="-2"/>
        </w:rPr>
        <w:t>+</w:t>
      </w:r>
      <w:r>
        <w:rPr>
          <w:spacing w:val="-2"/>
        </w:rPr>
        <w:t>创意</w:t>
      </w:r>
      <w:r>
        <w:rPr>
          <w:rFonts w:ascii="宋体" w:hAnsi="宋体" w:cs="宋体" w:eastAsia="宋体" w:hint="default"/>
          <w:spacing w:val="-2"/>
        </w:rPr>
        <w:t>+</w:t>
      </w:r>
      <w:r>
        <w:rPr>
          <w:rFonts w:ascii="宋体" w:hAnsi="宋体" w:cs="宋体" w:eastAsia="宋体" w:hint="default"/>
          <w:spacing w:val="-28"/>
        </w:rPr>
        <w:t> </w:t>
      </w:r>
      <w:r>
        <w:rPr>
          <w:spacing w:val="-2"/>
        </w:rPr>
        <w:t>服务”的模式为客户提供精准营销定向推送服务。利用大数据分析能力，优化展现更全面的需求信息并挖</w:t>
      </w:r>
      <w:r>
        <w:rPr>
          <w:spacing w:val="-33"/>
        </w:rPr>
        <w:t> </w:t>
      </w:r>
      <w:r>
        <w:rPr>
          <w:spacing w:val="-33"/>
        </w:rPr>
      </w:r>
      <w:r>
        <w:rPr>
          <w:spacing w:val="-2"/>
        </w:rPr>
        <w:t>掘价值数据用于分析判断，帮助客户利用数据及社交网络实现与消费者效果直达的沟通及互动，实现直接</w:t>
      </w:r>
      <w:r>
        <w:rPr>
          <w:spacing w:val="-33"/>
        </w:rPr>
        <w:t> </w:t>
      </w:r>
      <w:r>
        <w:rPr>
          <w:spacing w:val="-33"/>
        </w:rPr>
      </w:r>
      <w:r>
        <w:rPr>
          <w:spacing w:val="-2"/>
        </w:rPr>
        <w:t>经营顾客效果。未来公司将持续推动大数据融合升级，同时探索互联网精准营销业务与公司制药、消费品</w:t>
      </w:r>
      <w:r>
        <w:rPr>
          <w:spacing w:val="-33"/>
        </w:rPr>
        <w:t> </w:t>
      </w:r>
      <w:r>
        <w:rPr>
          <w:spacing w:val="-33"/>
        </w:rPr>
      </w:r>
      <w:r>
        <w:rPr/>
        <w:t>客户的市场推广的契合点，以寻求新的业务增长模式，并增加客户粘性。</w:t>
      </w:r>
    </w:p>
    <w:p>
      <w:pPr>
        <w:spacing w:line="240" w:lineRule="auto" w:before="8"/>
        <w:rPr>
          <w:rFonts w:ascii="宋体" w:hAnsi="宋体" w:cs="宋体" w:eastAsia="宋体" w:hint="default"/>
          <w:sz w:val="16"/>
          <w:szCs w:val="16"/>
        </w:rPr>
      </w:pPr>
    </w:p>
    <w:p>
      <w:pPr>
        <w:spacing w:line="314" w:lineRule="auto" w:before="0"/>
        <w:ind w:left="633" w:right="0" w:hanging="480"/>
        <w:jc w:val="left"/>
        <w:rPr>
          <w:rFonts w:ascii="宋体" w:hAnsi="宋体" w:cs="宋体" w:eastAsia="宋体" w:hint="default"/>
          <w:sz w:val="21"/>
          <w:szCs w:val="21"/>
        </w:rPr>
      </w:pPr>
      <w:r>
        <w:rPr>
          <w:rFonts w:ascii="宋体" w:hAnsi="宋体" w:cs="宋体" w:eastAsia="宋体" w:hint="default"/>
          <w:b/>
          <w:bCs/>
          <w:sz w:val="21"/>
          <w:szCs w:val="21"/>
        </w:rPr>
        <w:t>（五）顺应国家科技发展战略，探索“区块链”领域</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4"/>
          <w:sz w:val="21"/>
          <w:szCs w:val="21"/>
        </w:rPr>
        <w:t>目前区块链产业发展的政策体系逐步完善，各地政府积极从产业高度定位区块链技术，区块链技术已</w:t>
      </w:r>
    </w:p>
    <w:p>
      <w:pPr>
        <w:pStyle w:val="BodyText"/>
        <w:spacing w:line="309" w:lineRule="auto"/>
        <w:ind w:right="0"/>
        <w:jc w:val="left"/>
      </w:pPr>
      <w:r>
        <w:rPr/>
        <w:t>经上升到国家科技战略层面。随着药品溯源制度的全面深入推进，公司与北京爱斯瑞特合作成立新公司，</w:t>
      </w:r>
      <w:r>
        <w:rPr>
          <w:spacing w:val="-33"/>
        </w:rPr>
        <w:t> </w:t>
      </w:r>
      <w:r>
        <w:rPr>
          <w:spacing w:val="-33"/>
        </w:rPr>
      </w:r>
      <w:r>
        <w:rPr>
          <w:spacing w:val="-2"/>
        </w:rPr>
        <w:t>旨在充分利用双方股东在专业制造和区块链技术的平台优势、资源优势、技术优势和经验优势，促成区块</w:t>
      </w:r>
    </w:p>
    <w:p>
      <w:pPr>
        <w:spacing w:after="0" w:line="309" w:lineRule="auto"/>
        <w:jc w:val="left"/>
        <w:sectPr>
          <w:pgSz w:w="11910" w:h="16840"/>
          <w:pgMar w:header="460" w:footer="979" w:top="1100" w:bottom="1160" w:left="980" w:right="0"/>
        </w:sectPr>
      </w:pPr>
    </w:p>
    <w:p>
      <w:pPr>
        <w:spacing w:line="240" w:lineRule="auto" w:before="7"/>
        <w:rPr>
          <w:rFonts w:ascii="宋体" w:hAnsi="宋体" w:cs="宋体" w:eastAsia="宋体" w:hint="default"/>
          <w:sz w:val="22"/>
          <w:szCs w:val="22"/>
        </w:rPr>
      </w:pPr>
    </w:p>
    <w:p>
      <w:pPr>
        <w:pStyle w:val="BodyText"/>
        <w:spacing w:line="314" w:lineRule="auto" w:before="36"/>
        <w:ind w:right="0"/>
        <w:jc w:val="left"/>
      </w:pPr>
      <w:r>
        <w:rPr>
          <w:spacing w:val="-2"/>
        </w:rPr>
        <w:t>链技术在医药溯源、医药物流、消费者安全用药、医保控费、供应链平台等领域的开发和应用，共同培育</w:t>
      </w:r>
      <w:r>
        <w:rPr>
          <w:spacing w:val="-38"/>
        </w:rPr>
        <w:t> </w:t>
      </w:r>
      <w:r>
        <w:rPr>
          <w:spacing w:val="-38"/>
        </w:rPr>
      </w:r>
      <w:r>
        <w:rPr/>
        <w:t>和打造新一代区块链技术产品和服务。</w:t>
      </w:r>
    </w:p>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4"/>
        <w:gridCol w:w="6699"/>
      </w:tblGrid>
      <w:tr>
        <w:trPr>
          <w:trHeight w:val="764"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7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23632.91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万元，增幅</w:t>
            </w:r>
            <w:r>
              <w:rPr>
                <w:rFonts w:ascii="宋体" w:hAnsi="宋体" w:cs="宋体" w:eastAsia="宋体" w:hint="default"/>
                <w:spacing w:val="-23"/>
                <w:sz w:val="18"/>
                <w:szCs w:val="18"/>
              </w:rPr>
              <w:t> </w:t>
            </w:r>
            <w:r>
              <w:rPr>
                <w:rFonts w:ascii="Times New Roman" w:hAnsi="Times New Roman" w:cs="Times New Roman" w:eastAsia="Times New Roman" w:hint="default"/>
                <w:spacing w:val="-3"/>
                <w:sz w:val="18"/>
                <w:szCs w:val="18"/>
              </w:rPr>
              <w:t>52.63%</w:t>
            </w:r>
            <w:r>
              <w:rPr>
                <w:rFonts w:ascii="宋体" w:hAnsi="宋体" w:cs="宋体" w:eastAsia="宋体" w:hint="default"/>
                <w:spacing w:val="-3"/>
                <w:sz w:val="18"/>
                <w:szCs w:val="18"/>
              </w:rPr>
              <w:t>，主要系报告期纳入合并范围子公司增加及期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末回款增加。</w:t>
            </w:r>
          </w:p>
        </w:tc>
      </w:tr>
      <w:tr>
        <w:trPr>
          <w:trHeight w:val="715"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23" w:right="14"/>
              <w:jc w:val="left"/>
              <w:rPr>
                <w:rFonts w:ascii="宋体" w:hAnsi="宋体" w:cs="宋体" w:eastAsia="宋体"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2773.41 </w:t>
            </w:r>
            <w:r>
              <w:rPr>
                <w:rFonts w:ascii="宋体" w:hAnsi="宋体" w:cs="宋体" w:eastAsia="宋体" w:hint="default"/>
                <w:spacing w:val="-4"/>
                <w:sz w:val="18"/>
                <w:szCs w:val="18"/>
              </w:rPr>
              <w:t>万元，降幅 </w:t>
            </w:r>
            <w:r>
              <w:rPr>
                <w:rFonts w:ascii="Times New Roman" w:hAnsi="Times New Roman" w:cs="Times New Roman" w:eastAsia="Times New Roman" w:hint="default"/>
                <w:spacing w:val="-4"/>
                <w:sz w:val="18"/>
                <w:szCs w:val="18"/>
              </w:rPr>
              <w:t>49.45%</w:t>
            </w:r>
            <w:r>
              <w:rPr>
                <w:rFonts w:ascii="宋体" w:hAnsi="宋体" w:cs="宋体" w:eastAsia="宋体" w:hint="default"/>
                <w:spacing w:val="-4"/>
                <w:sz w:val="18"/>
                <w:szCs w:val="18"/>
              </w:rPr>
              <w:t>，主要系统筹规划资金的使用，报告期增加了应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收票据贴现。</w:t>
            </w:r>
          </w:p>
        </w:tc>
      </w:tr>
      <w:tr>
        <w:trPr>
          <w:trHeight w:val="716"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4"/>
              <w:ind w:left="23" w:right="7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28961.28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万元，增幅</w:t>
            </w:r>
            <w:r>
              <w:rPr>
                <w:rFonts w:ascii="宋体" w:hAnsi="宋体" w:cs="宋体" w:eastAsia="宋体" w:hint="default"/>
                <w:spacing w:val="-23"/>
                <w:sz w:val="18"/>
                <w:szCs w:val="18"/>
              </w:rPr>
              <w:t> </w:t>
            </w:r>
            <w:r>
              <w:rPr>
                <w:rFonts w:ascii="Times New Roman" w:hAnsi="Times New Roman" w:cs="Times New Roman" w:eastAsia="Times New Roman" w:hint="default"/>
                <w:spacing w:val="-3"/>
                <w:sz w:val="18"/>
                <w:szCs w:val="18"/>
              </w:rPr>
              <w:t>84.79%</w:t>
            </w:r>
            <w:r>
              <w:rPr>
                <w:rFonts w:ascii="宋体" w:hAnsi="宋体" w:cs="宋体" w:eastAsia="宋体" w:hint="default"/>
                <w:spacing w:val="-3"/>
                <w:sz w:val="18"/>
                <w:szCs w:val="18"/>
              </w:rPr>
              <w:t>，主要系及报告期纳入合并范围子公司增加，</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应收账款增加。</w:t>
            </w:r>
          </w:p>
        </w:tc>
      </w:tr>
      <w:tr>
        <w:trPr>
          <w:trHeight w:val="715"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8"/>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11280.91</w:t>
            </w:r>
            <w:r>
              <w:rPr>
                <w:rFonts w:ascii="Times New Roman" w:hAnsi="Times New Roman" w:cs="Times New Roman" w:eastAsia="Times New Roman" w:hint="default"/>
                <w:spacing w:val="13"/>
                <w:sz w:val="18"/>
                <w:szCs w:val="18"/>
              </w:rPr>
              <w:t> </w:t>
            </w:r>
            <w:r>
              <w:rPr>
                <w:rFonts w:ascii="宋体" w:hAnsi="宋体" w:cs="宋体" w:eastAsia="宋体" w:hint="default"/>
                <w:spacing w:val="-4"/>
                <w:sz w:val="18"/>
                <w:szCs w:val="18"/>
              </w:rPr>
              <w:t>万元，增幅</w:t>
            </w:r>
            <w:r>
              <w:rPr>
                <w:rFonts w:ascii="宋体" w:hAnsi="宋体" w:cs="宋体" w:eastAsia="宋体" w:hint="default"/>
                <w:spacing w:val="-26"/>
                <w:sz w:val="18"/>
                <w:szCs w:val="18"/>
              </w:rPr>
              <w:t> </w:t>
            </w:r>
            <w:r>
              <w:rPr>
                <w:rFonts w:ascii="Times New Roman" w:hAnsi="Times New Roman" w:cs="Times New Roman" w:eastAsia="Times New Roman" w:hint="default"/>
                <w:spacing w:val="-3"/>
                <w:sz w:val="18"/>
                <w:szCs w:val="18"/>
              </w:rPr>
              <w:t>305.30%</w:t>
            </w:r>
            <w:r>
              <w:rPr>
                <w:rFonts w:ascii="宋体" w:hAnsi="宋体" w:cs="宋体" w:eastAsia="宋体" w:hint="default"/>
                <w:spacing w:val="-3"/>
                <w:sz w:val="18"/>
                <w:szCs w:val="18"/>
              </w:rPr>
              <w:t>，主要系已与供应商结算但尚未与客户结算的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流量成本。</w:t>
            </w:r>
          </w:p>
        </w:tc>
      </w:tr>
      <w:tr>
        <w:trPr>
          <w:trHeight w:val="39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1088.80 </w:t>
            </w:r>
            <w:r>
              <w:rPr>
                <w:rFonts w:ascii="宋体" w:hAnsi="宋体" w:cs="宋体" w:eastAsia="宋体" w:hint="default"/>
                <w:sz w:val="18"/>
                <w:szCs w:val="18"/>
              </w:rPr>
              <w:t>万元，增幅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561.74%</w:t>
            </w:r>
            <w:r>
              <w:rPr>
                <w:rFonts w:ascii="宋体" w:hAnsi="宋体" w:cs="宋体" w:eastAsia="宋体" w:hint="default"/>
                <w:sz w:val="18"/>
                <w:szCs w:val="18"/>
              </w:rPr>
              <w:t>，主要系报告期合并范围增加。</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8068.91 </w:t>
            </w:r>
            <w:r>
              <w:rPr>
                <w:rFonts w:ascii="宋体" w:hAnsi="宋体" w:cs="宋体" w:eastAsia="宋体" w:hint="default"/>
                <w:sz w:val="18"/>
                <w:szCs w:val="18"/>
              </w:rPr>
              <w:t>万元，增幅</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7.91%</w:t>
            </w:r>
            <w:r>
              <w:rPr>
                <w:rFonts w:ascii="宋体" w:hAnsi="宋体" w:cs="宋体" w:eastAsia="宋体" w:hint="default"/>
                <w:spacing w:val="-3"/>
                <w:sz w:val="18"/>
                <w:szCs w:val="18"/>
              </w:rPr>
              <w:t>，增幅属正常范围内。</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697.74.</w:t>
            </w:r>
            <w:r>
              <w:rPr>
                <w:rFonts w:ascii="宋体" w:hAnsi="宋体" w:cs="宋体" w:eastAsia="宋体" w:hint="default"/>
                <w:sz w:val="18"/>
                <w:szCs w:val="18"/>
              </w:rPr>
              <w:t>万元，增幅</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258.21%</w:t>
            </w:r>
            <w:r>
              <w:rPr>
                <w:rFonts w:ascii="宋体" w:hAnsi="宋体" w:cs="宋体" w:eastAsia="宋体" w:hint="default"/>
                <w:spacing w:val="-3"/>
                <w:sz w:val="18"/>
                <w:szCs w:val="18"/>
              </w:rPr>
              <w:t>，主要系待抵扣进项税增加。</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7815.50 </w:t>
            </w:r>
            <w:r>
              <w:rPr>
                <w:rFonts w:ascii="宋体" w:hAnsi="宋体" w:cs="宋体" w:eastAsia="宋体" w:hint="default"/>
                <w:sz w:val="18"/>
                <w:szCs w:val="18"/>
              </w:rPr>
              <w:t>万元，增幅</w:t>
            </w:r>
            <w:r>
              <w:rPr>
                <w:rFonts w:ascii="宋体" w:hAnsi="宋体" w:cs="宋体" w:eastAsia="宋体" w:hint="default"/>
                <w:spacing w:val="-24"/>
                <w:sz w:val="18"/>
                <w:szCs w:val="18"/>
              </w:rPr>
              <w:t> </w:t>
            </w:r>
            <w:r>
              <w:rPr>
                <w:rFonts w:ascii="Times New Roman" w:hAnsi="Times New Roman" w:cs="Times New Roman" w:eastAsia="Times New Roman" w:hint="default"/>
                <w:spacing w:val="-3"/>
                <w:sz w:val="18"/>
                <w:szCs w:val="18"/>
              </w:rPr>
              <w:t>8.69%</w:t>
            </w:r>
            <w:r>
              <w:rPr>
                <w:rFonts w:ascii="宋体" w:hAnsi="宋体" w:cs="宋体" w:eastAsia="宋体" w:hint="default"/>
                <w:spacing w:val="-3"/>
                <w:sz w:val="18"/>
                <w:szCs w:val="18"/>
              </w:rPr>
              <w:t>，主要系报告期权益法计算的投资收益。</w:t>
            </w:r>
          </w:p>
        </w:tc>
      </w:tr>
      <w:tr>
        <w:trPr>
          <w:trHeight w:val="39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27982.74 </w:t>
            </w:r>
            <w:r>
              <w:rPr>
                <w:rFonts w:ascii="宋体" w:hAnsi="宋体" w:cs="宋体" w:eastAsia="宋体" w:hint="default"/>
                <w:sz w:val="18"/>
                <w:szCs w:val="18"/>
              </w:rPr>
              <w:t>万元，增幅</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1.93%</w:t>
            </w:r>
            <w:r>
              <w:rPr>
                <w:rFonts w:ascii="宋体" w:hAnsi="宋体" w:cs="宋体" w:eastAsia="宋体" w:hint="default"/>
                <w:spacing w:val="-3"/>
                <w:sz w:val="18"/>
                <w:szCs w:val="18"/>
              </w:rPr>
              <w:t>，报告期无显著变动。</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2936.82  </w:t>
            </w:r>
            <w:r>
              <w:rPr>
                <w:rFonts w:ascii="宋体" w:hAnsi="宋体" w:cs="宋体" w:eastAsia="宋体" w:hint="default"/>
                <w:sz w:val="18"/>
                <w:szCs w:val="18"/>
              </w:rPr>
              <w:t>万元，增幅</w:t>
            </w:r>
            <w:r>
              <w:rPr>
                <w:rFonts w:ascii="宋体" w:hAnsi="宋体" w:cs="宋体" w:eastAsia="宋体" w:hint="default"/>
                <w:spacing w:val="-63"/>
                <w:sz w:val="18"/>
                <w:szCs w:val="18"/>
              </w:rPr>
              <w:t> </w:t>
            </w:r>
            <w:r>
              <w:rPr>
                <w:rFonts w:ascii="Times New Roman" w:hAnsi="Times New Roman" w:cs="Times New Roman" w:eastAsia="Times New Roman" w:hint="default"/>
                <w:spacing w:val="-3"/>
                <w:sz w:val="18"/>
                <w:szCs w:val="18"/>
              </w:rPr>
              <w:t>74.73%</w:t>
            </w:r>
            <w:r>
              <w:rPr>
                <w:rFonts w:ascii="宋体" w:hAnsi="宋体" w:cs="宋体" w:eastAsia="宋体" w:hint="default"/>
                <w:spacing w:val="-3"/>
                <w:sz w:val="18"/>
                <w:szCs w:val="18"/>
              </w:rPr>
              <w:t>，主要系购入关键生产设备及研发中心投入。</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3346.25 </w:t>
            </w:r>
            <w:r>
              <w:rPr>
                <w:rFonts w:ascii="宋体" w:hAnsi="宋体" w:cs="宋体" w:eastAsia="宋体" w:hint="default"/>
                <w:sz w:val="18"/>
                <w:szCs w:val="18"/>
              </w:rPr>
              <w:t>万元，增幅</w:t>
            </w:r>
            <w:r>
              <w:rPr>
                <w:rFonts w:ascii="宋体" w:hAnsi="宋体" w:cs="宋体" w:eastAsia="宋体" w:hint="default"/>
                <w:spacing w:val="-23"/>
                <w:sz w:val="18"/>
                <w:szCs w:val="18"/>
              </w:rPr>
              <w:t> </w:t>
            </w:r>
            <w:r>
              <w:rPr>
                <w:rFonts w:ascii="Times New Roman" w:hAnsi="Times New Roman" w:cs="Times New Roman" w:eastAsia="Times New Roman" w:hint="default"/>
                <w:spacing w:val="-3"/>
                <w:sz w:val="18"/>
                <w:szCs w:val="18"/>
              </w:rPr>
              <w:t>13.07%</w:t>
            </w:r>
            <w:r>
              <w:rPr>
                <w:rFonts w:ascii="宋体" w:hAnsi="宋体" w:cs="宋体" w:eastAsia="宋体" w:hint="default"/>
                <w:spacing w:val="-3"/>
                <w:sz w:val="18"/>
                <w:szCs w:val="18"/>
              </w:rPr>
              <w:t>，主要系子公司开发支出转入无形资产。</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0 </w:t>
            </w:r>
            <w:r>
              <w:rPr>
                <w:rFonts w:ascii="宋体" w:hAnsi="宋体" w:cs="宋体" w:eastAsia="宋体" w:hint="default"/>
                <w:sz w:val="18"/>
                <w:szCs w:val="18"/>
              </w:rPr>
              <w:t>元，降幅</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，主要系报告期转入无形资产。</w:t>
            </w:r>
          </w:p>
        </w:tc>
      </w:tr>
      <w:tr>
        <w:trPr>
          <w:trHeight w:val="71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7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18061.67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万元，增幅</w:t>
            </w:r>
            <w:r>
              <w:rPr>
                <w:rFonts w:ascii="宋体" w:hAnsi="宋体" w:cs="宋体" w:eastAsia="宋体" w:hint="default"/>
                <w:spacing w:val="-23"/>
                <w:sz w:val="18"/>
                <w:szCs w:val="18"/>
              </w:rPr>
              <w:t> </w:t>
            </w:r>
            <w:r>
              <w:rPr>
                <w:rFonts w:ascii="Times New Roman" w:hAnsi="Times New Roman" w:cs="Times New Roman" w:eastAsia="Times New Roman" w:hint="default"/>
                <w:spacing w:val="-3"/>
                <w:sz w:val="18"/>
                <w:szCs w:val="18"/>
              </w:rPr>
              <w:t>66.81%</w:t>
            </w:r>
            <w:r>
              <w:rPr>
                <w:rFonts w:ascii="宋体" w:hAnsi="宋体" w:cs="宋体" w:eastAsia="宋体" w:hint="default"/>
                <w:spacing w:val="-3"/>
                <w:sz w:val="18"/>
                <w:szCs w:val="18"/>
              </w:rPr>
              <w:t>，主要系收购价格与北京金印联账面净资产公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允价值的差额确认商誉。</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553.54 </w:t>
            </w:r>
            <w:r>
              <w:rPr>
                <w:rFonts w:ascii="宋体" w:hAnsi="宋体" w:cs="宋体" w:eastAsia="宋体" w:hint="default"/>
                <w:sz w:val="18"/>
                <w:szCs w:val="18"/>
              </w:rPr>
              <w:t>万元，增幅</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84.77%</w:t>
            </w:r>
            <w:r>
              <w:rPr>
                <w:rFonts w:ascii="宋体" w:hAnsi="宋体" w:cs="宋体" w:eastAsia="宋体" w:hint="default"/>
                <w:spacing w:val="-3"/>
                <w:sz w:val="18"/>
                <w:szCs w:val="18"/>
              </w:rPr>
              <w:t>，主要系报告期合并范围增加。</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1"/>
        <w:rPr>
          <w:rFonts w:ascii="宋体" w:hAnsi="宋体" w:cs="宋体" w:eastAsia="宋体" w:hint="default"/>
          <w:b/>
          <w:bCs/>
          <w:sz w:val="27"/>
          <w:szCs w:val="27"/>
        </w:rPr>
      </w:pPr>
    </w:p>
    <w:p>
      <w:pPr>
        <w:pStyle w:val="BodyText"/>
        <w:spacing w:line="312" w:lineRule="auto" w:before="0"/>
        <w:ind w:left="278" w:right="1127" w:firstLine="292"/>
        <w:jc w:val="both"/>
      </w:pPr>
      <w:r>
        <w:rPr>
          <w:spacing w:val="-7"/>
        </w:rPr>
        <w:t>近年来，公司持续保持在医药包装领域的领先地位，进一步向上游延伸，以行业供应链管理为切入点，</w:t>
      </w:r>
      <w:r>
        <w:rPr>
          <w:w w:val="100"/>
        </w:rPr>
        <w:t> </w:t>
      </w:r>
      <w:r>
        <w:rPr/>
        <w:t>提升行业内竞争能力；同时，紧密围绕包装主营业务，通过“质量、效益、管理”等措施提质增效，以</w:t>
      </w:r>
      <w:r>
        <w:rPr>
          <w:spacing w:val="-46"/>
        </w:rPr>
        <w:t> </w:t>
      </w:r>
      <w:r>
        <w:rPr>
          <w:spacing w:val="-46"/>
        </w:rPr>
      </w:r>
      <w:r>
        <w:rPr>
          <w:spacing w:val="-5"/>
        </w:rPr>
        <w:t>降低企业内部运营成本。并积极调整产业结构，促进各项改革措施有效落实，不断提高公司核心竞争力。</w:t>
      </w:r>
      <w:r>
        <w:rPr>
          <w:spacing w:val="-19"/>
        </w:rPr>
        <w:t> </w:t>
      </w:r>
      <w:r>
        <w:rPr>
          <w:spacing w:val="-19"/>
        </w:rPr>
      </w:r>
      <w:r>
        <w:rPr/>
        <w:t>公司竞争优势主要体现在以下几个方面：</w:t>
      </w:r>
    </w:p>
    <w:p>
      <w:pPr>
        <w:spacing w:after="0" w:line="312" w:lineRule="auto"/>
        <w:jc w:val="both"/>
        <w:sectPr>
          <w:pgSz w:w="11910" w:h="16840"/>
          <w:pgMar w:header="460" w:footer="979" w:top="1100" w:bottom="1160" w:left="980" w:right="0"/>
        </w:sectPr>
      </w:pPr>
    </w:p>
    <w:p>
      <w:pPr>
        <w:spacing w:line="240" w:lineRule="auto" w:before="7"/>
        <w:rPr>
          <w:rFonts w:ascii="宋体" w:hAnsi="宋体" w:cs="宋体" w:eastAsia="宋体" w:hint="default"/>
          <w:sz w:val="22"/>
          <w:szCs w:val="22"/>
        </w:rPr>
      </w:pPr>
    </w:p>
    <w:p>
      <w:pPr>
        <w:pStyle w:val="Heading3"/>
        <w:spacing w:line="487" w:lineRule="auto" w:before="36"/>
        <w:ind w:left="633" w:right="7635" w:hanging="480"/>
        <w:jc w:val="left"/>
        <w:rPr>
          <w:b w:val="0"/>
          <w:bCs w:val="0"/>
        </w:rPr>
      </w:pPr>
      <w:r>
        <w:rPr/>
        <w:t>（一）医药包装业务优势</w:t>
      </w:r>
      <w:r>
        <w:rPr>
          <w:spacing w:val="-102"/>
        </w:rPr>
        <w:t> </w:t>
      </w:r>
      <w:r>
        <w:rPr>
          <w:rFonts w:ascii="宋体" w:hAnsi="宋体" w:cs="宋体" w:eastAsia="宋体" w:hint="default"/>
        </w:rPr>
        <w:t>1</w:t>
      </w:r>
      <w:r>
        <w:rPr/>
        <w:t>、品牌优势及客户资源优势</w:t>
      </w:r>
      <w:r>
        <w:rPr>
          <w:b w:val="0"/>
          <w:bCs w:val="0"/>
        </w:rPr>
      </w:r>
    </w:p>
    <w:p>
      <w:pPr>
        <w:pStyle w:val="BodyText"/>
        <w:spacing w:line="314" w:lineRule="auto" w:before="71"/>
        <w:ind w:right="0" w:firstLine="480"/>
        <w:jc w:val="left"/>
      </w:pPr>
      <w:r>
        <w:rPr>
          <w:spacing w:val="-4"/>
        </w:rPr>
        <w:t>公司服务的制药行业从长期发展来看，各类药品及保健品仍具备持续快速增长能力，公司与国内外制</w:t>
      </w:r>
      <w:r>
        <w:rPr>
          <w:w w:val="100"/>
        </w:rPr>
        <w:t> </w:t>
      </w:r>
      <w:r>
        <w:rPr>
          <w:spacing w:val="-7"/>
        </w:rPr>
        <w:t>药领先企业具备长期合作关系，公司不断完善医药包装产业链，在药品初级、次级包装等领域均大力拓展，</w:t>
      </w:r>
      <w:r>
        <w:rPr>
          <w:spacing w:val="-6"/>
        </w:rPr>
        <w:t> </w:t>
      </w:r>
      <w:r>
        <w:rPr>
          <w:spacing w:val="-6"/>
        </w:rPr>
      </w:r>
      <w:r>
        <w:rPr>
          <w:spacing w:val="-2"/>
        </w:rPr>
        <w:t>形成整体包装营销模式，经过多年的品牌经营与维护，树立了行业认知度高、专业突出的品牌形象。公司</w:t>
      </w:r>
      <w:r>
        <w:rPr>
          <w:spacing w:val="-33"/>
        </w:rPr>
        <w:t> </w:t>
      </w:r>
      <w:r>
        <w:rPr>
          <w:spacing w:val="-33"/>
        </w:rPr>
      </w:r>
      <w:r>
        <w:rPr/>
        <w:t>与国内许多知名制药企业均保持良好的合作关系，经公司统计国内</w:t>
      </w:r>
      <w:r>
        <w:rPr>
          <w:rFonts w:ascii="宋体" w:hAnsi="宋体" w:cs="宋体" w:eastAsia="宋体" w:hint="default"/>
        </w:rPr>
        <w:t>500</w:t>
      </w:r>
      <w:r>
        <w:rPr/>
        <w:t>强企业中的制药企业与公司合作的</w:t>
      </w:r>
      <w:r>
        <w:rPr>
          <w:w w:val="100"/>
        </w:rPr>
        <w:t> </w:t>
      </w:r>
      <w:r>
        <w:rPr/>
        <w:t>占比达</w:t>
      </w:r>
      <w:r>
        <w:rPr>
          <w:rFonts w:ascii="宋体" w:hAnsi="宋体" w:cs="宋体" w:eastAsia="宋体" w:hint="default"/>
        </w:rPr>
        <w:t>50%</w:t>
      </w:r>
      <w:r>
        <w:rPr/>
        <w:t>以上，进入</w:t>
      </w:r>
      <w:r>
        <w:rPr>
          <w:rFonts w:ascii="宋体" w:hAnsi="宋体" w:cs="宋体" w:eastAsia="宋体" w:hint="default"/>
        </w:rPr>
        <w:t>2019</w:t>
      </w:r>
      <w:r>
        <w:rPr/>
        <w:t>年世界</w:t>
      </w:r>
      <w:r>
        <w:rPr>
          <w:rFonts w:ascii="宋体" w:hAnsi="宋体" w:cs="宋体" w:eastAsia="宋体" w:hint="default"/>
        </w:rPr>
        <w:t>500</w:t>
      </w:r>
      <w:r>
        <w:rPr/>
        <w:t>强中的</w:t>
      </w:r>
      <w:r>
        <w:rPr>
          <w:rFonts w:ascii="宋体" w:hAnsi="宋体" w:cs="宋体" w:eastAsia="宋体" w:hint="default"/>
        </w:rPr>
        <w:t>11</w:t>
      </w:r>
      <w:r>
        <w:rPr/>
        <w:t>家制药企业中，有</w:t>
      </w:r>
      <w:r>
        <w:rPr>
          <w:rFonts w:ascii="宋体" w:hAnsi="宋体" w:cs="宋体" w:eastAsia="宋体" w:hint="default"/>
        </w:rPr>
        <w:t>8</w:t>
      </w:r>
      <w:r>
        <w:rPr/>
        <w:t>家均与公司有战略合作关系。</w:t>
      </w:r>
    </w:p>
    <w:p>
      <w:pPr>
        <w:spacing w:line="562" w:lineRule="exact" w:before="12"/>
        <w:ind w:left="633"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、规模化、区位化、一体化、智能化的制造优势</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4"/>
          <w:sz w:val="21"/>
          <w:szCs w:val="21"/>
        </w:rPr>
        <w:t>公司凭借着在药品包装行业多年的积累，在产能方面、营销方面、生产规范方面、人才输出方面、标</w:t>
      </w:r>
    </w:p>
    <w:p>
      <w:pPr>
        <w:pStyle w:val="BodyText"/>
        <w:spacing w:line="314" w:lineRule="auto" w:before="0"/>
        <w:ind w:right="0"/>
        <w:jc w:val="left"/>
      </w:pPr>
      <w:r>
        <w:rPr>
          <w:spacing w:val="-2"/>
        </w:rPr>
        <w:t>准输出方面、管理模式方面，均已显示出规模化经营的优势。伴随着产能的不断扩大和供货品类能力的提</w:t>
      </w:r>
      <w:r>
        <w:rPr>
          <w:spacing w:val="-33"/>
        </w:rPr>
        <w:t> </w:t>
      </w:r>
      <w:r>
        <w:rPr>
          <w:spacing w:val="-33"/>
        </w:rPr>
      </w:r>
      <w:r>
        <w:rPr/>
        <w:t>升，同时对产品质量和成本进行了更为有效地控制，规模化生产的效应已经不断彰显。</w:t>
      </w:r>
    </w:p>
    <w:p>
      <w:pPr>
        <w:spacing w:line="240" w:lineRule="auto" w:before="12"/>
        <w:rPr>
          <w:rFonts w:ascii="宋体" w:hAnsi="宋体" w:cs="宋体" w:eastAsia="宋体" w:hint="default"/>
          <w:sz w:val="16"/>
          <w:szCs w:val="16"/>
        </w:rPr>
      </w:pPr>
    </w:p>
    <w:p>
      <w:pPr>
        <w:pStyle w:val="BodyText"/>
        <w:spacing w:line="309" w:lineRule="auto" w:before="0"/>
        <w:ind w:right="0" w:firstLine="480"/>
        <w:jc w:val="left"/>
      </w:pPr>
      <w:r>
        <w:rPr>
          <w:spacing w:val="-1"/>
        </w:rPr>
        <w:t>公司通过区域化布局，已形成覆盖全国的四个生产基地，在地域上可实现对国内东北、华北、中原、</w:t>
      </w:r>
      <w:r>
        <w:rPr>
          <w:w w:val="100"/>
        </w:rPr>
        <w:t> </w:t>
      </w:r>
      <w:r>
        <w:rPr/>
        <w:t>西北和西南地区的无缝覆盖，缩短服务半径，提高响应速度。</w:t>
      </w:r>
    </w:p>
    <w:p>
      <w:pPr>
        <w:spacing w:line="240" w:lineRule="auto" w:before="3"/>
        <w:rPr>
          <w:rFonts w:ascii="宋体" w:hAnsi="宋体" w:cs="宋体" w:eastAsia="宋体" w:hint="default"/>
          <w:sz w:val="17"/>
          <w:szCs w:val="17"/>
        </w:rPr>
      </w:pPr>
    </w:p>
    <w:p>
      <w:pPr>
        <w:pStyle w:val="BodyText"/>
        <w:spacing w:line="312" w:lineRule="auto" w:before="0"/>
        <w:ind w:right="1122" w:firstLine="480"/>
        <w:jc w:val="right"/>
      </w:pPr>
      <w:r>
        <w:rPr>
          <w:spacing w:val="-3"/>
        </w:rPr>
        <w:t>公司的产品线涵盖药用包装盒、药用铝管、药品说明书以及外包装箱等，一站式服务使客户供应链管</w:t>
      </w:r>
      <w:r>
        <w:rPr>
          <w:w w:val="100"/>
        </w:rPr>
        <w:t> </w:t>
      </w:r>
      <w:r>
        <w:rPr>
          <w:spacing w:val="-2"/>
        </w:rPr>
        <w:t>理更为高效、便捷。此外，公司利用现有的市场网络，整合资源后，凭借互联网精准营销优势，利用精准</w:t>
      </w:r>
      <w:r>
        <w:rPr>
          <w:spacing w:val="-48"/>
        </w:rPr>
        <w:t> </w:t>
      </w:r>
      <w:r>
        <w:rPr>
          <w:spacing w:val="-48"/>
        </w:rPr>
      </w:r>
      <w:r>
        <w:rPr>
          <w:spacing w:val="-7"/>
        </w:rPr>
        <w:t>数字化网络服务技能，可深度发掘客户需求，达成客户诉求，增强客户粘性，持续稳定促进公司业务成长。</w:t>
      </w:r>
    </w:p>
    <w:p>
      <w:pPr>
        <w:spacing w:line="240" w:lineRule="auto" w:before="1"/>
        <w:rPr>
          <w:rFonts w:ascii="宋体" w:hAnsi="宋体" w:cs="宋体" w:eastAsia="宋体" w:hint="default"/>
          <w:sz w:val="17"/>
          <w:szCs w:val="17"/>
        </w:rPr>
      </w:pPr>
    </w:p>
    <w:p>
      <w:pPr>
        <w:pStyle w:val="BodyText"/>
        <w:spacing w:line="312" w:lineRule="auto" w:before="0"/>
        <w:ind w:right="1126" w:firstLine="480"/>
        <w:jc w:val="both"/>
      </w:pPr>
      <w:r>
        <w:rPr>
          <w:spacing w:val="-4"/>
        </w:rPr>
        <w:t>为了应对日益庞大的生产规模，公司积极实施“两化融合”项目，通过信息化项目构建，打造公司数</w:t>
      </w:r>
      <w:r>
        <w:rPr>
          <w:w w:val="100"/>
        </w:rPr>
        <w:t> </w:t>
      </w:r>
      <w:r>
        <w:rPr>
          <w:spacing w:val="-2"/>
        </w:rPr>
        <w:t>字化、网络化、智能化转型的信息平台，实现公司内部及产业上下游、跨领域生产设备与信息系统互联互</w:t>
      </w:r>
      <w:r>
        <w:rPr>
          <w:spacing w:val="-33"/>
        </w:rPr>
        <w:t> </w:t>
      </w:r>
      <w:r>
        <w:rPr>
          <w:spacing w:val="-33"/>
        </w:rPr>
      </w:r>
      <w:r>
        <w:rPr/>
        <w:t>通。在行业内首家使用物联网技术，进行数据实时采集及上传，实现了制造领域的智能化。</w:t>
      </w:r>
    </w:p>
    <w:p>
      <w:pPr>
        <w:pStyle w:val="BodyText"/>
        <w:spacing w:line="556" w:lineRule="exact" w:before="24"/>
        <w:ind w:left="633" w:right="0"/>
        <w:jc w:val="left"/>
      </w:pPr>
      <w:r>
        <w:rPr>
          <w:rFonts w:ascii="宋体" w:hAnsi="宋体" w:cs="宋体" w:eastAsia="宋体" w:hint="default"/>
          <w:b/>
          <w:bCs/>
        </w:rPr>
        <w:t>3</w:t>
      </w:r>
      <w:r>
        <w:rPr>
          <w:rFonts w:ascii="宋体" w:hAnsi="宋体" w:cs="宋体" w:eastAsia="宋体" w:hint="default"/>
          <w:b/>
          <w:bCs/>
        </w:rPr>
        <w:t>、技术创新优势</w:t>
      </w:r>
      <w:r>
        <w:rPr>
          <w:rFonts w:ascii="宋体" w:hAnsi="宋体" w:cs="宋体" w:eastAsia="宋体" w:hint="default"/>
          <w:b/>
          <w:bCs/>
          <w:spacing w:val="-104"/>
        </w:rPr>
        <w:t> </w:t>
      </w:r>
      <w:r>
        <w:rPr>
          <w:spacing w:val="-3"/>
        </w:rPr>
        <w:t>公司作为医药包装折叠纸盒行业的标准制定者，以及防伪行业“十强”企业，在行业内具有技术研发</w:t>
      </w:r>
    </w:p>
    <w:p>
      <w:pPr>
        <w:pStyle w:val="BodyText"/>
        <w:spacing w:line="312" w:lineRule="auto" w:before="4"/>
        <w:ind w:right="0"/>
        <w:jc w:val="left"/>
      </w:pPr>
      <w:r>
        <w:rPr>
          <w:spacing w:val="-2"/>
        </w:rPr>
        <w:t>和品牌效应的竞争优势。报告期内，公司新获得专利</w:t>
      </w:r>
      <w:r>
        <w:rPr>
          <w:rFonts w:ascii="宋体" w:hAnsi="宋体" w:cs="宋体" w:eastAsia="宋体" w:hint="default"/>
          <w:spacing w:val="-2"/>
        </w:rPr>
        <w:t>8</w:t>
      </w:r>
      <w:r>
        <w:rPr>
          <w:spacing w:val="-2"/>
        </w:rPr>
        <w:t>项，累计获得专利</w:t>
      </w:r>
      <w:r>
        <w:rPr>
          <w:rFonts w:ascii="宋体" w:hAnsi="宋体" w:cs="宋体" w:eastAsia="宋体" w:hint="default"/>
          <w:spacing w:val="-2"/>
        </w:rPr>
        <w:t>75</w:t>
      </w:r>
      <w:r>
        <w:rPr>
          <w:spacing w:val="-2"/>
        </w:rPr>
        <w:t>项，其中发明专利</w:t>
      </w:r>
      <w:r>
        <w:rPr>
          <w:rFonts w:ascii="宋体" w:hAnsi="宋体" w:cs="宋体" w:eastAsia="宋体" w:hint="default"/>
          <w:spacing w:val="-2"/>
        </w:rPr>
        <w:t>4</w:t>
      </w:r>
      <w:r>
        <w:rPr>
          <w:spacing w:val="-2"/>
        </w:rPr>
        <w:t>项，外观设</w:t>
      </w:r>
      <w:r>
        <w:rPr>
          <w:spacing w:val="-31"/>
        </w:rPr>
        <w:t> </w:t>
      </w:r>
      <w:r>
        <w:rPr>
          <w:spacing w:val="-31"/>
        </w:rPr>
      </w:r>
      <w:r>
        <w:rPr/>
        <w:t>计</w:t>
      </w:r>
      <w:r>
        <w:rPr>
          <w:rFonts w:ascii="宋体" w:hAnsi="宋体" w:cs="宋体" w:eastAsia="宋体" w:hint="default"/>
        </w:rPr>
        <w:t>2</w:t>
      </w:r>
      <w:r>
        <w:rPr/>
        <w:t>项；已获得计算机软件著作权</w:t>
      </w:r>
      <w:r>
        <w:rPr>
          <w:rFonts w:ascii="宋体" w:hAnsi="宋体" w:cs="宋体" w:eastAsia="宋体" w:hint="default"/>
        </w:rPr>
        <w:t>32</w:t>
      </w:r>
      <w:r>
        <w:rPr/>
        <w:t>项，继续保持了行业中的领先地位。公司积极与当地科研单位、院校</w:t>
      </w:r>
      <w:r>
        <w:rPr>
          <w:w w:val="100"/>
        </w:rPr>
        <w:t> </w:t>
      </w:r>
      <w:r>
        <w:rPr/>
        <w:t>合作，以提高科研成果的转化率。</w:t>
      </w:r>
    </w:p>
    <w:p>
      <w:pPr>
        <w:spacing w:line="240" w:lineRule="auto" w:before="1"/>
        <w:rPr>
          <w:rFonts w:ascii="宋体" w:hAnsi="宋体" w:cs="宋体" w:eastAsia="宋体" w:hint="default"/>
          <w:sz w:val="17"/>
          <w:szCs w:val="17"/>
        </w:rPr>
      </w:pPr>
    </w:p>
    <w:p>
      <w:pPr>
        <w:pStyle w:val="BodyText"/>
        <w:spacing w:line="312" w:lineRule="auto" w:before="0"/>
        <w:ind w:right="0" w:firstLine="480"/>
        <w:jc w:val="left"/>
      </w:pPr>
      <w:r>
        <w:rPr>
          <w:spacing w:val="-3"/>
        </w:rPr>
        <w:t>公司通过印刷标准化项目的实施，使得新产品在研发试制阶段就能按照印刷国际标准</w:t>
      </w:r>
      <w:r>
        <w:rPr>
          <w:rFonts w:ascii="宋体" w:hAnsi="宋体" w:cs="宋体" w:eastAsia="宋体" w:hint="default"/>
          <w:spacing w:val="-3"/>
        </w:rPr>
        <w:t>ISO12647</w:t>
      </w:r>
      <w:r>
        <w:rPr>
          <w:spacing w:val="-3"/>
        </w:rPr>
        <w:t>建立印</w:t>
      </w:r>
      <w:r>
        <w:rPr>
          <w:w w:val="100"/>
        </w:rPr>
        <w:t> </w:t>
      </w:r>
      <w:r>
        <w:rPr/>
        <w:t>刷数据标准规范，为高效批量生产的产品提供可测量化的数据和质量管控的依据。公司取得了</w:t>
      </w:r>
      <w:r>
        <w:rPr>
          <w:spacing w:val="3"/>
        </w:rPr>
        <w:t> </w:t>
      </w:r>
      <w:r>
        <w:rPr/>
        <w:t>“GMI认</w:t>
      </w:r>
      <w:r>
        <w:rPr>
          <w:w w:val="100"/>
        </w:rPr>
        <w:t> </w:t>
      </w:r>
      <w:r>
        <w:rPr>
          <w:spacing w:val="-2"/>
        </w:rPr>
        <w:t>证”，标志着公司具备承接国际制药大型连锁买家等客户业务的能力，能够满足高端客户对产品严格的色</w:t>
      </w:r>
      <w:r>
        <w:rPr>
          <w:spacing w:val="-32"/>
        </w:rPr>
        <w:t> </w:t>
      </w:r>
      <w:r>
        <w:rPr>
          <w:spacing w:val="-32"/>
        </w:rPr>
      </w:r>
      <w:r>
        <w:rPr/>
        <w:t>彩管理要求。</w:t>
      </w:r>
    </w:p>
    <w:p>
      <w:pPr>
        <w:pStyle w:val="BodyText"/>
        <w:spacing w:line="562" w:lineRule="exact" w:before="14"/>
        <w:ind w:left="633" w:right="1004"/>
        <w:jc w:val="left"/>
      </w:pPr>
      <w:r>
        <w:rPr>
          <w:rFonts w:ascii="宋体" w:hAnsi="宋体" w:cs="宋体" w:eastAsia="宋体" w:hint="default"/>
          <w:b/>
          <w:bCs/>
        </w:rPr>
        <w:t>4</w:t>
      </w:r>
      <w:r>
        <w:rPr>
          <w:rFonts w:ascii="宋体" w:hAnsi="宋体" w:cs="宋体" w:eastAsia="宋体" w:hint="default"/>
          <w:b/>
          <w:bCs/>
        </w:rPr>
        <w:t>、管理优势</w:t>
      </w:r>
      <w:r>
        <w:rPr>
          <w:rFonts w:ascii="宋体" w:hAnsi="宋体" w:cs="宋体" w:eastAsia="宋体" w:hint="default"/>
          <w:b/>
          <w:bCs/>
          <w:w w:val="100"/>
        </w:rPr>
        <w:t> </w:t>
      </w:r>
      <w:r>
        <w:rPr>
          <w:spacing w:val="-3"/>
        </w:rPr>
        <w:t>随着公司的发展，凝聚了一批具有较高忠诚度、专业性和开拓性的高层经营管理团队、核心技术人员</w:t>
      </w:r>
    </w:p>
    <w:p>
      <w:pPr>
        <w:pStyle w:val="BodyText"/>
        <w:spacing w:line="314" w:lineRule="auto" w:before="0"/>
        <w:ind w:right="0"/>
        <w:jc w:val="left"/>
      </w:pPr>
      <w:r>
        <w:rPr>
          <w:spacing w:val="-2"/>
        </w:rPr>
        <w:t>和市场销售人员，人才优势明显。</w:t>
      </w:r>
      <w:r>
        <w:rPr>
          <w:rFonts w:ascii="宋体" w:hAnsi="宋体" w:cs="宋体" w:eastAsia="宋体" w:hint="default"/>
          <w:spacing w:val="-2"/>
        </w:rPr>
        <w:t>2019</w:t>
      </w:r>
      <w:r>
        <w:rPr>
          <w:spacing w:val="-2"/>
        </w:rPr>
        <w:t>年初，公司对核心技术人员、业务骨干和管理人员实施了第一期员</w:t>
      </w:r>
      <w:r>
        <w:rPr>
          <w:spacing w:val="-28"/>
        </w:rPr>
        <w:t> </w:t>
      </w:r>
      <w:r>
        <w:rPr>
          <w:spacing w:val="-28"/>
        </w:rPr>
      </w:r>
      <w:r>
        <w:rPr>
          <w:spacing w:val="-2"/>
        </w:rPr>
        <w:t>工持股计划，使员工利益和公司利益统一，有利于挖掘公司内部成长的源动力，提高公司自身的凝聚力和</w:t>
      </w:r>
    </w:p>
    <w:p>
      <w:pPr>
        <w:spacing w:after="0" w:line="314" w:lineRule="auto"/>
        <w:jc w:val="left"/>
        <w:sectPr>
          <w:pgSz w:w="11910" w:h="16840"/>
          <w:pgMar w:header="460" w:footer="979" w:top="1100" w:bottom="1160" w:left="980" w:right="0"/>
        </w:sectPr>
      </w:pPr>
    </w:p>
    <w:p>
      <w:pPr>
        <w:spacing w:line="240" w:lineRule="auto" w:before="7"/>
        <w:rPr>
          <w:rFonts w:ascii="宋体" w:hAnsi="宋体" w:cs="宋体" w:eastAsia="宋体" w:hint="default"/>
          <w:sz w:val="22"/>
          <w:szCs w:val="22"/>
        </w:rPr>
      </w:pPr>
    </w:p>
    <w:p>
      <w:pPr>
        <w:pStyle w:val="BodyText"/>
        <w:spacing w:line="240" w:lineRule="auto" w:before="36"/>
        <w:ind w:right="0"/>
        <w:jc w:val="left"/>
      </w:pPr>
      <w:r>
        <w:rPr/>
        <w:t>市场竞争力，让人才优势更大程度的发挥作用。</w:t>
      </w:r>
    </w:p>
    <w:p>
      <w:pPr>
        <w:spacing w:line="240" w:lineRule="auto" w:before="7"/>
        <w:rPr>
          <w:rFonts w:ascii="宋体" w:hAnsi="宋体" w:cs="宋体" w:eastAsia="宋体" w:hint="default"/>
          <w:sz w:val="21"/>
          <w:szCs w:val="21"/>
        </w:rPr>
      </w:pPr>
    </w:p>
    <w:p>
      <w:pPr>
        <w:pStyle w:val="BodyText"/>
        <w:spacing w:line="314" w:lineRule="auto" w:before="0"/>
        <w:ind w:right="1146" w:firstLine="480"/>
        <w:jc w:val="both"/>
      </w:pPr>
      <w:r>
        <w:rPr>
          <w:spacing w:val="-1"/>
        </w:rPr>
        <w:t>公司新修订和完善了新版</w:t>
      </w:r>
      <w:r>
        <w:rPr>
          <w:rFonts w:ascii="宋体" w:hAnsi="宋体" w:cs="宋体" w:eastAsia="宋体" w:hint="default"/>
          <w:spacing w:val="-1"/>
        </w:rPr>
        <w:t>ISO9001</w:t>
      </w:r>
      <w:r>
        <w:rPr>
          <w:spacing w:val="-1"/>
        </w:rPr>
        <w:t>质量管理体系、</w:t>
      </w:r>
      <w:r>
        <w:rPr>
          <w:rFonts w:ascii="宋体" w:hAnsi="宋体" w:cs="宋体" w:eastAsia="宋体" w:hint="default"/>
          <w:spacing w:val="-1"/>
        </w:rPr>
        <w:t>ISO14001</w:t>
      </w:r>
      <w:r>
        <w:rPr>
          <w:spacing w:val="-1"/>
        </w:rPr>
        <w:t>环境保护、</w:t>
      </w:r>
      <w:r>
        <w:rPr>
          <w:rFonts w:ascii="宋体" w:hAnsi="宋体" w:cs="宋体" w:eastAsia="宋体" w:hint="default"/>
          <w:spacing w:val="-1"/>
        </w:rPr>
        <w:t>OHSAS18001</w:t>
      </w:r>
      <w:r>
        <w:rPr>
          <w:spacing w:val="-1"/>
        </w:rPr>
        <w:t>职业健康安全管理</w:t>
      </w:r>
      <w:r>
        <w:rPr>
          <w:w w:val="100"/>
        </w:rPr>
        <w:t> </w:t>
      </w:r>
      <w:r>
        <w:rPr>
          <w:spacing w:val="-2"/>
        </w:rPr>
        <w:t>体系和“FSC</w:t>
      </w:r>
      <w:r>
        <w:rPr>
          <w:rFonts w:ascii="宋体" w:hAnsi="宋体" w:cs="宋体" w:eastAsia="宋体" w:hint="default"/>
          <w:spacing w:val="-2"/>
        </w:rPr>
        <w:t>-</w:t>
      </w:r>
      <w:r>
        <w:rPr>
          <w:spacing w:val="-2"/>
        </w:rPr>
        <w:t>COC”森林认证管理体系，树立起全方位的生态、环境和职业健康安全理念，加大环保综合</w:t>
      </w:r>
      <w:r>
        <w:rPr>
          <w:spacing w:val="-8"/>
        </w:rPr>
        <w:t> </w:t>
      </w:r>
      <w:r>
        <w:rPr>
          <w:spacing w:val="-8"/>
        </w:rPr>
      </w:r>
      <w:r>
        <w:rPr/>
        <w:t>治理的投入，增强了企业的竞争优势，在企业可持续发展方面取得了相关方的高度认可。</w:t>
      </w:r>
    </w:p>
    <w:p>
      <w:pPr>
        <w:pStyle w:val="BodyText"/>
        <w:spacing w:line="562" w:lineRule="exact" w:before="12"/>
        <w:ind w:left="633" w:right="0" w:firstLine="62"/>
        <w:jc w:val="left"/>
      </w:pPr>
      <w:r>
        <w:rPr>
          <w:rFonts w:ascii="宋体" w:hAnsi="宋体" w:cs="宋体" w:eastAsia="宋体" w:hint="default"/>
          <w:b/>
          <w:bCs/>
        </w:rPr>
        <w:t>5</w:t>
      </w:r>
      <w:r>
        <w:rPr>
          <w:rFonts w:ascii="宋体" w:hAnsi="宋体" w:cs="宋体" w:eastAsia="宋体" w:hint="default"/>
          <w:b/>
          <w:bCs/>
        </w:rPr>
        <w:t>、安全环保优势</w:t>
      </w:r>
      <w:r>
        <w:rPr>
          <w:rFonts w:ascii="宋体" w:hAnsi="宋体" w:cs="宋体" w:eastAsia="宋体" w:hint="default"/>
          <w:b/>
          <w:bCs/>
          <w:w w:val="100"/>
        </w:rPr>
        <w:t> </w:t>
      </w:r>
      <w:r>
        <w:rPr>
          <w:spacing w:val="-3"/>
        </w:rPr>
        <w:t>在国家产业政策的引导下，安全、环保合法合规已经成为企业参与市场竞争的必备条件。公司已树立</w:t>
      </w:r>
    </w:p>
    <w:p>
      <w:pPr>
        <w:pStyle w:val="BodyText"/>
        <w:spacing w:line="314" w:lineRule="auto" w:before="0"/>
        <w:ind w:right="1004"/>
        <w:jc w:val="left"/>
      </w:pPr>
      <w:r>
        <w:rPr/>
        <w:t>起全方位的生态、环境和职业健康安全理念，加大环保综合治理的投入，升级改造了</w:t>
      </w:r>
      <w:r>
        <w:rPr>
          <w:rFonts w:ascii="宋体" w:hAnsi="宋体" w:cs="宋体" w:eastAsia="宋体" w:hint="default"/>
        </w:rPr>
        <w:t>VOCs</w:t>
      </w:r>
      <w:r>
        <w:rPr/>
        <w:t>废气处理设备，</w:t>
      </w:r>
      <w:r>
        <w:rPr>
          <w:spacing w:val="-29"/>
        </w:rPr>
        <w:t> </w:t>
      </w:r>
      <w:r>
        <w:rPr>
          <w:spacing w:val="-29"/>
        </w:rPr>
      </w:r>
      <w:r>
        <w:rPr/>
        <w:t>并在西安市首批安装挥发性有机物在线监测设备。环境保护的不断投入和管理水平的提升，增强了企业的</w:t>
      </w:r>
      <w:r>
        <w:rPr>
          <w:w w:val="100"/>
        </w:rPr>
        <w:t> </w:t>
      </w:r>
      <w:r>
        <w:rPr/>
        <w:t>竞争优势。</w:t>
      </w:r>
    </w:p>
    <w:p>
      <w:pPr>
        <w:spacing w:line="240" w:lineRule="auto" w:before="8"/>
        <w:rPr>
          <w:rFonts w:ascii="宋体" w:hAnsi="宋体" w:cs="宋体" w:eastAsia="宋体" w:hint="default"/>
          <w:sz w:val="16"/>
          <w:szCs w:val="16"/>
        </w:rPr>
      </w:pPr>
    </w:p>
    <w:p>
      <w:pPr>
        <w:pStyle w:val="Heading3"/>
        <w:spacing w:line="491" w:lineRule="auto"/>
        <w:ind w:left="633" w:right="7799" w:hanging="480"/>
        <w:jc w:val="left"/>
        <w:rPr>
          <w:b w:val="0"/>
          <w:bCs w:val="0"/>
        </w:rPr>
      </w:pPr>
      <w:r>
        <w:rPr/>
        <w:t>（二）互联网精准营销业务优势</w:t>
      </w:r>
      <w:r>
        <w:rPr>
          <w:spacing w:val="-101"/>
        </w:rPr>
        <w:t> </w:t>
      </w:r>
      <w:r>
        <w:rPr>
          <w:rFonts w:ascii="宋体" w:hAnsi="宋体" w:cs="宋体" w:eastAsia="宋体" w:hint="default"/>
        </w:rPr>
        <w:t>1</w:t>
      </w:r>
      <w:r>
        <w:rPr/>
        <w:t>、行业及客户资源优势</w:t>
      </w:r>
      <w:r>
        <w:rPr>
          <w:b w:val="0"/>
          <w:bCs w:val="0"/>
        </w:rPr>
      </w:r>
    </w:p>
    <w:p>
      <w:pPr>
        <w:pStyle w:val="BodyText"/>
        <w:spacing w:line="314" w:lineRule="auto" w:before="61"/>
        <w:ind w:right="1126" w:firstLine="480"/>
        <w:jc w:val="both"/>
      </w:pPr>
      <w:r>
        <w:rPr>
          <w:spacing w:val="-4"/>
        </w:rPr>
        <w:t>目前，我国互联网营销行业尚处于发展的起步阶段，行业市场规模较大，在互联网营销模式下，营销</w:t>
      </w:r>
      <w:r>
        <w:rPr>
          <w:w w:val="100"/>
        </w:rPr>
        <w:t> </w:t>
      </w:r>
      <w:r>
        <w:rPr/>
        <w:t>服务提供商需要更多关注客户的需求，通过技术分析、商业模式创新等手段为客户创造更大的价值。</w:t>
      </w:r>
    </w:p>
    <w:p>
      <w:pPr>
        <w:spacing w:line="240" w:lineRule="auto" w:before="8"/>
        <w:rPr>
          <w:rFonts w:ascii="宋体" w:hAnsi="宋体" w:cs="宋体" w:eastAsia="宋体" w:hint="default"/>
          <w:sz w:val="16"/>
          <w:szCs w:val="16"/>
        </w:rPr>
      </w:pPr>
    </w:p>
    <w:p>
      <w:pPr>
        <w:pStyle w:val="BodyText"/>
        <w:spacing w:line="314" w:lineRule="auto" w:before="0"/>
        <w:ind w:right="1125" w:firstLine="480"/>
        <w:jc w:val="both"/>
      </w:pPr>
      <w:r>
        <w:rPr>
          <w:spacing w:val="-4"/>
        </w:rPr>
        <w:t>公司是该产业链中的营销服务提供商，为客户提供互联网精准营销服务，是连结广告主、互联网媒体</w:t>
      </w:r>
      <w:r>
        <w:rPr>
          <w:w w:val="100"/>
        </w:rPr>
        <w:t> </w:t>
      </w:r>
      <w:r>
        <w:rPr>
          <w:spacing w:val="-2"/>
        </w:rPr>
        <w:t>及终端用户的平台。不仅能够提供一般意义上的互联网广告投放服务，还能依托其大数据技术和手段进行</w:t>
      </w:r>
      <w:r>
        <w:rPr>
          <w:spacing w:val="-33"/>
        </w:rPr>
        <w:t> </w:t>
      </w:r>
      <w:r>
        <w:rPr>
          <w:spacing w:val="-33"/>
        </w:rPr>
      </w:r>
      <w:r>
        <w:rPr>
          <w:spacing w:val="-2"/>
        </w:rPr>
        <w:t>跟踪分析，并对发现的特定客户实施针对性的精准营销。公司将持续加大对广告平台大数据工具持续的研</w:t>
      </w:r>
      <w:r>
        <w:rPr>
          <w:spacing w:val="-33"/>
        </w:rPr>
        <w:t> </w:t>
      </w:r>
      <w:r>
        <w:rPr>
          <w:spacing w:val="-33"/>
        </w:rPr>
      </w:r>
      <w:r>
        <w:rPr/>
        <w:t>发投入从而推动大数据融合升级。</w:t>
      </w:r>
    </w:p>
    <w:p>
      <w:pPr>
        <w:spacing w:line="240" w:lineRule="auto" w:before="8"/>
        <w:rPr>
          <w:rFonts w:ascii="宋体" w:hAnsi="宋体" w:cs="宋体" w:eastAsia="宋体" w:hint="default"/>
          <w:sz w:val="16"/>
          <w:szCs w:val="16"/>
        </w:rPr>
      </w:pPr>
    </w:p>
    <w:p>
      <w:pPr>
        <w:pStyle w:val="BodyText"/>
        <w:spacing w:line="312" w:lineRule="auto" w:before="0"/>
        <w:ind w:right="0" w:firstLine="480"/>
        <w:jc w:val="left"/>
      </w:pPr>
      <w:r>
        <w:rPr>
          <w:spacing w:val="-4"/>
        </w:rPr>
        <w:t>公司的互联网营销业务的客户主要来自于电商、游戏、教育、金融及网络服务行业等，持续服务于头</w:t>
      </w:r>
      <w:r>
        <w:rPr>
          <w:w w:val="100"/>
        </w:rPr>
        <w:t> </w:t>
      </w:r>
      <w:r>
        <w:rPr/>
        <w:t>条系（今日头条、抖音），阿里系（淘宝、支付宝），品牌电商（拼多多、聚美优品）、视频</w:t>
      </w:r>
      <w:r>
        <w:rPr>
          <w:rFonts w:ascii="宋体" w:hAnsi="宋体" w:cs="宋体" w:eastAsia="宋体" w:hint="default"/>
        </w:rPr>
        <w:t>APP(</w:t>
      </w:r>
      <w:r>
        <w:rPr/>
        <w:t>搜狐、</w:t>
      </w:r>
      <w:r>
        <w:rPr>
          <w:spacing w:val="-28"/>
        </w:rPr>
        <w:t> </w:t>
      </w:r>
      <w:r>
        <w:rPr>
          <w:spacing w:val="-28"/>
        </w:rPr>
      </w:r>
      <w:r>
        <w:rPr/>
        <w:t>优酷）、游戏类（中手游等）互联网行业头部客户。公司将继续顺应市场发展趋势，利用精准数字化网络</w:t>
      </w:r>
      <w:r>
        <w:rPr>
          <w:w w:val="100"/>
        </w:rPr>
        <w:t> </w:t>
      </w:r>
      <w:r>
        <w:rPr/>
        <w:t>服务技能，深度发掘客户需求，达成客户诉求，持续稳定促进公司业务成长。</w:t>
      </w:r>
    </w:p>
    <w:p>
      <w:pPr>
        <w:pStyle w:val="BodyText"/>
        <w:spacing w:line="550" w:lineRule="atLeast" w:before="107"/>
        <w:ind w:left="575" w:right="1004" w:firstLine="57"/>
        <w:jc w:val="left"/>
      </w:pPr>
      <w:r>
        <w:rPr>
          <w:rFonts w:ascii="宋体" w:hAnsi="宋体" w:cs="宋体" w:eastAsia="宋体" w:hint="default"/>
          <w:b/>
          <w:bCs/>
        </w:rPr>
        <w:t>2</w:t>
      </w:r>
      <w:r>
        <w:rPr>
          <w:rFonts w:ascii="宋体" w:hAnsi="宋体" w:cs="宋体" w:eastAsia="宋体" w:hint="default"/>
          <w:b/>
          <w:bCs/>
        </w:rPr>
        <w:t>、技术优势</w:t>
      </w:r>
      <w:r>
        <w:rPr>
          <w:rFonts w:ascii="宋体" w:hAnsi="宋体" w:cs="宋体" w:eastAsia="宋体" w:hint="default"/>
          <w:b/>
          <w:bCs/>
          <w:w w:val="100"/>
        </w:rPr>
        <w:t> </w:t>
      </w:r>
      <w:r>
        <w:rPr>
          <w:spacing w:val="-2"/>
        </w:rPr>
        <w:t>公司已完成技术对接建设应用，通过技术优势驱动实现“技术</w:t>
      </w:r>
      <w:r>
        <w:rPr>
          <w:rFonts w:ascii="宋体" w:hAnsi="宋体" w:cs="宋体" w:eastAsia="宋体" w:hint="default"/>
          <w:spacing w:val="-2"/>
        </w:rPr>
        <w:t>+</w:t>
      </w:r>
      <w:r>
        <w:rPr>
          <w:spacing w:val="-2"/>
        </w:rPr>
        <w:t>创意</w:t>
      </w:r>
      <w:r>
        <w:rPr>
          <w:rFonts w:ascii="宋体" w:hAnsi="宋体" w:cs="宋体" w:eastAsia="宋体" w:hint="default"/>
          <w:spacing w:val="-2"/>
        </w:rPr>
        <w:t>+</w:t>
      </w:r>
      <w:r>
        <w:rPr>
          <w:spacing w:val="-2"/>
        </w:rPr>
        <w:t>服务”的融合，为客户提供精准</w:t>
      </w:r>
    </w:p>
    <w:p>
      <w:pPr>
        <w:pStyle w:val="BodyText"/>
        <w:spacing w:line="319" w:lineRule="auto" w:before="85"/>
        <w:ind w:right="0"/>
        <w:jc w:val="left"/>
      </w:pPr>
      <w:r>
        <w:rPr/>
        <w:t>营销定向推送服务。利用大数据分析能力，优化展现更全面的需求信息，并挖掘价值数据用于分析判断，</w:t>
      </w:r>
      <w:r>
        <w:rPr>
          <w:spacing w:val="-30"/>
        </w:rPr>
        <w:t> </w:t>
      </w:r>
      <w:r>
        <w:rPr>
          <w:spacing w:val="-30"/>
        </w:rPr>
      </w:r>
      <w:r>
        <w:rPr/>
        <w:t>帮助客户利用数据及社交网络实现与消费者效果直达的沟通及互动。</w:t>
      </w:r>
    </w:p>
    <w:p>
      <w:pPr>
        <w:spacing w:after="0" w:line="319" w:lineRule="auto"/>
        <w:jc w:val="left"/>
        <w:sectPr>
          <w:pgSz w:w="11910" w:h="16840"/>
          <w:pgMar w:header="46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1"/>
        <w:spacing w:line="240" w:lineRule="auto"/>
        <w:ind w:right="0"/>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Heading3"/>
        <w:spacing w:line="240" w:lineRule="auto" w:before="36"/>
        <w:ind w:right="0"/>
        <w:jc w:val="both"/>
        <w:rPr>
          <w:b w:val="0"/>
          <w:bCs w:val="0"/>
        </w:rPr>
      </w:pPr>
      <w:bookmarkStart w:name="一、概述" w:id="25"/>
      <w:bookmarkEnd w:id="25"/>
      <w:r>
        <w:rPr>
          <w:b w:val="0"/>
          <w:bCs w:val="0"/>
        </w:rPr>
      </w:r>
      <w:r>
        <w:rPr/>
        <w:t>一、概述</w:t>
      </w:r>
      <w:r>
        <w:rPr>
          <w:b w:val="0"/>
          <w:bCs w:val="0"/>
        </w:rPr>
      </w:r>
    </w:p>
    <w:p>
      <w:pPr>
        <w:spacing w:line="240" w:lineRule="auto" w:before="3"/>
        <w:rPr>
          <w:rFonts w:ascii="宋体" w:hAnsi="宋体" w:cs="宋体" w:eastAsia="宋体" w:hint="default"/>
          <w:b/>
          <w:bCs/>
          <w:sz w:val="29"/>
          <w:szCs w:val="29"/>
        </w:rPr>
      </w:pPr>
    </w:p>
    <w:p>
      <w:pPr>
        <w:spacing w:line="314" w:lineRule="auto" w:before="0"/>
        <w:ind w:left="59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国内经济形势概况</w:t>
      </w:r>
      <w:r>
        <w:rPr>
          <w:rFonts w:ascii="宋体" w:hAnsi="宋体" w:cs="宋体" w:eastAsia="宋体" w:hint="default"/>
          <w:b/>
          <w:bCs/>
          <w:spacing w:val="-103"/>
          <w:sz w:val="21"/>
          <w:szCs w:val="21"/>
        </w:rPr>
        <w:t> </w:t>
      </w:r>
      <w:r>
        <w:rPr>
          <w:rFonts w:ascii="宋体" w:hAnsi="宋体" w:cs="宋体" w:eastAsia="宋体" w:hint="default"/>
          <w:spacing w:val="-3"/>
          <w:sz w:val="21"/>
          <w:szCs w:val="21"/>
        </w:rPr>
        <w:t>2019</w:t>
      </w:r>
      <w:r>
        <w:rPr>
          <w:rFonts w:ascii="宋体" w:hAnsi="宋体" w:cs="宋体" w:eastAsia="宋体" w:hint="default"/>
          <w:spacing w:val="-3"/>
          <w:sz w:val="21"/>
          <w:szCs w:val="21"/>
        </w:rPr>
        <w:t>年是世界经济与贸易格局发生深度调整和剧烈变化的一个时期，全球经济复苏进程不断遭遇政治</w:t>
      </w:r>
    </w:p>
    <w:p>
      <w:pPr>
        <w:pStyle w:val="BodyText"/>
        <w:spacing w:line="312" w:lineRule="auto"/>
        <w:ind w:right="1126"/>
        <w:jc w:val="both"/>
      </w:pPr>
      <w:r>
        <w:rPr>
          <w:spacing w:val="-2"/>
        </w:rPr>
        <w:t>及贸易保护的严峻考验，处于适应与缓冲的过渡期，中国经济增速前高后低，呈震荡磨底态势。国家宏观</w:t>
      </w:r>
      <w:r>
        <w:rPr>
          <w:spacing w:val="-33"/>
        </w:rPr>
        <w:t> </w:t>
      </w:r>
      <w:r>
        <w:rPr>
          <w:spacing w:val="-33"/>
        </w:rPr>
      </w:r>
      <w:r>
        <w:rPr>
          <w:spacing w:val="-7"/>
        </w:rPr>
        <w:t>经济环境与医药行业的外部环境发生深刻变化，以“三医联动”为核心的医药卫生体制改革继续深入推进。</w:t>
      </w:r>
      <w:r>
        <w:rPr>
          <w:spacing w:val="-6"/>
        </w:rPr>
        <w:t> </w:t>
      </w:r>
      <w:r>
        <w:rPr>
          <w:spacing w:val="-6"/>
        </w:rPr>
      </w:r>
      <w:r>
        <w:rPr/>
        <w:t>国家以带量采购为深化医改的突破口，深刻影响了医药全产业链，推动医改进入新周期。</w:t>
      </w:r>
    </w:p>
    <w:p>
      <w:pPr>
        <w:pStyle w:val="BodyText"/>
        <w:spacing w:line="314" w:lineRule="auto" w:before="22"/>
        <w:ind w:right="0" w:firstLine="441"/>
        <w:jc w:val="left"/>
      </w:pPr>
      <w:r>
        <w:rPr>
          <w:spacing w:val="-3"/>
        </w:rPr>
        <w:t>中国在智能手机和移动应用服务方面处于全球领先地位，随着</w:t>
      </w:r>
      <w:r>
        <w:rPr>
          <w:rFonts w:ascii="宋体" w:hAnsi="宋体" w:cs="宋体" w:eastAsia="宋体" w:hint="default"/>
          <w:spacing w:val="-3"/>
        </w:rPr>
        <w:t>5G</w:t>
      </w:r>
      <w:r>
        <w:rPr>
          <w:spacing w:val="-3"/>
        </w:rPr>
        <w:t>网络的快速应用，预计中国互联网市</w:t>
      </w:r>
      <w:r>
        <w:rPr>
          <w:w w:val="100"/>
        </w:rPr>
        <w:t> </w:t>
      </w:r>
      <w:r>
        <w:rPr/>
        <w:t>场规模将保持稳定增长。</w:t>
      </w:r>
    </w:p>
    <w:p>
      <w:pPr>
        <w:spacing w:line="240" w:lineRule="auto" w:before="9"/>
        <w:rPr>
          <w:rFonts w:ascii="宋体" w:hAnsi="宋体" w:cs="宋体" w:eastAsia="宋体" w:hint="default"/>
          <w:sz w:val="28"/>
          <w:szCs w:val="28"/>
        </w:rPr>
      </w:pPr>
    </w:p>
    <w:p>
      <w:pPr>
        <w:spacing w:line="314" w:lineRule="auto" w:before="0"/>
        <w:ind w:left="59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报告期内公司战略及经营计划实施情况</w:t>
      </w:r>
      <w:r>
        <w:rPr>
          <w:rFonts w:ascii="宋体" w:hAnsi="宋体" w:cs="宋体" w:eastAsia="宋体" w:hint="default"/>
          <w:b/>
          <w:bCs/>
          <w:w w:val="100"/>
          <w:sz w:val="21"/>
          <w:szCs w:val="21"/>
        </w:rPr>
        <w:t> </w:t>
      </w:r>
      <w:r>
        <w:rPr>
          <w:rFonts w:ascii="宋体" w:hAnsi="宋体" w:cs="宋体" w:eastAsia="宋体" w:hint="default"/>
          <w:spacing w:val="-3"/>
          <w:sz w:val="21"/>
          <w:szCs w:val="21"/>
        </w:rPr>
        <w:t>面对</w:t>
      </w:r>
      <w:r>
        <w:rPr>
          <w:rFonts w:ascii="宋体" w:hAnsi="宋体" w:cs="宋体" w:eastAsia="宋体" w:hint="default"/>
          <w:spacing w:val="-3"/>
          <w:sz w:val="21"/>
          <w:szCs w:val="21"/>
        </w:rPr>
        <w:t>2019</w:t>
      </w:r>
      <w:r>
        <w:rPr>
          <w:rFonts w:ascii="宋体" w:hAnsi="宋体" w:cs="宋体" w:eastAsia="宋体" w:hint="default"/>
          <w:spacing w:val="-3"/>
          <w:sz w:val="21"/>
          <w:szCs w:val="21"/>
        </w:rPr>
        <w:t>年经济下行的常态化，复杂严峻的市场挑战，公司上下全面落实“质量、效益、管理”三大</w:t>
      </w:r>
    </w:p>
    <w:p>
      <w:pPr>
        <w:pStyle w:val="BodyText"/>
        <w:spacing w:line="312" w:lineRule="auto"/>
        <w:ind w:right="1125"/>
        <w:jc w:val="both"/>
      </w:pPr>
      <w:r>
        <w:rPr>
          <w:spacing w:val="-7"/>
        </w:rPr>
        <w:t>工作主题，聚焦聚力高质量发展、竞争力提升，持续巩固国内医药包装领域的领先地位，以先进行业技术、 </w:t>
      </w:r>
      <w:r>
        <w:rPr>
          <w:spacing w:val="-2"/>
        </w:rPr>
        <w:t>工艺、管理为依托，倡导绿色环保、清洁生产，不断丰富公司产品线，同时向消费品包装领域辐射，目前</w:t>
      </w:r>
      <w:r>
        <w:rPr>
          <w:spacing w:val="-33"/>
        </w:rPr>
        <w:t> </w:t>
      </w:r>
      <w:r>
        <w:rPr>
          <w:spacing w:val="-33"/>
        </w:rPr>
      </w:r>
      <w:r>
        <w:rPr/>
        <w:t>业务已涵盖乳制品、医疗器械、保健食品、精细化工、药妆及电子产品等领域。</w:t>
      </w:r>
    </w:p>
    <w:p>
      <w:pPr>
        <w:pStyle w:val="BodyText"/>
        <w:spacing w:line="314" w:lineRule="auto" w:before="22"/>
        <w:ind w:right="0" w:firstLine="441"/>
        <w:jc w:val="left"/>
      </w:pPr>
      <w:r>
        <w:rPr>
          <w:spacing w:val="-2"/>
        </w:rPr>
        <w:t>公司结合自身优势，收购了北京金印联国际供应链管理有限公司</w:t>
      </w:r>
      <w:r>
        <w:rPr>
          <w:rFonts w:ascii="宋体" w:hAnsi="宋体" w:cs="宋体" w:eastAsia="宋体" w:hint="default"/>
          <w:spacing w:val="-2"/>
        </w:rPr>
        <w:t>70%</w:t>
      </w:r>
      <w:r>
        <w:rPr>
          <w:spacing w:val="-2"/>
        </w:rPr>
        <w:t>股权，以行业供应链管理为切入</w:t>
      </w:r>
      <w:r>
        <w:rPr>
          <w:w w:val="100"/>
        </w:rPr>
        <w:t> </w:t>
      </w:r>
      <w:r>
        <w:rPr/>
        <w:t>点，积极整合行业资源，实现主业的优势互补，为公司带来了新的业绩增长点。</w:t>
      </w:r>
    </w:p>
    <w:p>
      <w:pPr>
        <w:pStyle w:val="BodyText"/>
        <w:spacing w:line="309" w:lineRule="auto"/>
        <w:ind w:right="0" w:firstLine="441"/>
        <w:jc w:val="left"/>
      </w:pPr>
      <w:r>
        <w:rPr>
          <w:rFonts w:ascii="宋体" w:hAnsi="宋体" w:cs="宋体" w:eastAsia="宋体" w:hint="default"/>
          <w:spacing w:val="-4"/>
        </w:rPr>
        <w:t>2019</w:t>
      </w:r>
      <w:r>
        <w:rPr>
          <w:spacing w:val="-4"/>
        </w:rPr>
        <w:t>年公司实现营业收入</w:t>
      </w:r>
      <w:r>
        <w:rPr>
          <w:rFonts w:ascii="宋体" w:hAnsi="宋体" w:cs="宋体" w:eastAsia="宋体" w:hint="default"/>
          <w:spacing w:val="-4"/>
        </w:rPr>
        <w:t>124,734.16</w:t>
      </w:r>
      <w:r>
        <w:rPr>
          <w:spacing w:val="-4"/>
        </w:rPr>
        <w:t>万元，同比增长</w:t>
      </w:r>
      <w:r>
        <w:rPr>
          <w:rFonts w:ascii="宋体" w:hAnsi="宋体" w:cs="宋体" w:eastAsia="宋体" w:hint="default"/>
          <w:spacing w:val="-4"/>
        </w:rPr>
        <w:t>124.70%</w:t>
      </w:r>
      <w:r>
        <w:rPr>
          <w:spacing w:val="-4"/>
        </w:rPr>
        <w:t>，归属于上市公司股东的净利润</w:t>
      </w:r>
      <w:r>
        <w:rPr>
          <w:rFonts w:ascii="宋体" w:hAnsi="宋体" w:cs="宋体" w:eastAsia="宋体" w:hint="default"/>
          <w:spacing w:val="-4"/>
        </w:rPr>
        <w:t>6,656.24</w:t>
      </w:r>
      <w:r>
        <w:rPr>
          <w:rFonts w:ascii="宋体" w:hAnsi="宋体" w:cs="宋体" w:eastAsia="宋体" w:hint="default"/>
          <w:w w:val="100"/>
        </w:rPr>
        <w:t> </w:t>
      </w:r>
      <w:r>
        <w:rPr/>
        <w:t>万元，同比增长</w:t>
      </w:r>
      <w:r>
        <w:rPr>
          <w:rFonts w:ascii="宋体" w:hAnsi="宋体" w:cs="宋体" w:eastAsia="宋体" w:hint="default"/>
        </w:rPr>
        <w:t>136.77%</w:t>
      </w:r>
      <w:r>
        <w:rPr/>
        <w:t>。</w:t>
      </w:r>
    </w:p>
    <w:p>
      <w:pPr>
        <w:spacing w:line="240" w:lineRule="auto" w:before="5"/>
        <w:rPr>
          <w:rFonts w:ascii="宋体" w:hAnsi="宋体" w:cs="宋体" w:eastAsia="宋体" w:hint="default"/>
          <w:sz w:val="29"/>
          <w:szCs w:val="29"/>
        </w:rPr>
      </w:pPr>
    </w:p>
    <w:p>
      <w:pPr>
        <w:spacing w:line="314" w:lineRule="auto" w:before="0"/>
        <w:ind w:left="594" w:right="6054" w:firstLine="105"/>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 </w:t>
      </w:r>
      <w:r>
        <w:rPr>
          <w:rFonts w:ascii="宋体" w:hAnsi="宋体" w:cs="宋体" w:eastAsia="宋体" w:hint="default"/>
          <w:b/>
          <w:bCs/>
          <w:sz w:val="21"/>
          <w:szCs w:val="21"/>
        </w:rPr>
        <w:t>报告期内总体经营情况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报告期内，公司主要管理举措：</w:t>
      </w:r>
    </w:p>
    <w:p>
      <w:pPr>
        <w:pStyle w:val="Heading3"/>
        <w:spacing w:line="240" w:lineRule="auto" w:before="16"/>
        <w:ind w:left="585" w:right="0"/>
        <w:jc w:val="left"/>
        <w:rPr>
          <w:b w:val="0"/>
          <w:bCs w:val="0"/>
        </w:rPr>
      </w:pPr>
      <w:r>
        <w:rPr>
          <w:rFonts w:ascii="宋体" w:hAnsi="宋体" w:cs="宋体" w:eastAsia="宋体" w:hint="default"/>
        </w:rPr>
        <w:t>1.</w:t>
      </w:r>
      <w:r>
        <w:rPr>
          <w:rFonts w:ascii="宋体" w:hAnsi="宋体" w:cs="宋体" w:eastAsia="宋体" w:hint="default"/>
          <w:spacing w:val="44"/>
        </w:rPr>
        <w:t> </w:t>
      </w:r>
      <w:r>
        <w:rPr/>
        <w:t>调结构、促转型，助经济效益稳步提升。</w:t>
      </w:r>
      <w:r>
        <w:rPr>
          <w:b w:val="0"/>
          <w:bCs w:val="0"/>
        </w:rPr>
      </w:r>
    </w:p>
    <w:p>
      <w:pPr>
        <w:pStyle w:val="BodyText"/>
        <w:spacing w:line="314" w:lineRule="auto" w:before="85"/>
        <w:ind w:left="633" w:right="0" w:hanging="39"/>
        <w:jc w:val="left"/>
      </w:pPr>
      <w:r>
        <w:rPr/>
        <w:t>（</w:t>
      </w:r>
      <w:r>
        <w:rPr>
          <w:rFonts w:ascii="宋体" w:hAnsi="宋体" w:cs="宋体" w:eastAsia="宋体" w:hint="default"/>
        </w:rPr>
        <w:t>1</w:t>
      </w:r>
      <w:r>
        <w:rPr/>
        <w:t>）医药包装业务</w:t>
      </w:r>
      <w:r>
        <w:rPr>
          <w:spacing w:val="-100"/>
        </w:rPr>
        <w:t> </w:t>
      </w:r>
      <w:r>
        <w:rPr>
          <w:spacing w:val="-100"/>
        </w:rPr>
      </w:r>
      <w:r>
        <w:rPr>
          <w:rFonts w:ascii="宋体" w:hAnsi="宋体" w:cs="宋体" w:eastAsia="宋体" w:hint="default"/>
          <w:spacing w:val="-3"/>
        </w:rPr>
        <w:t>2019</w:t>
      </w:r>
      <w:r>
        <w:rPr>
          <w:spacing w:val="-3"/>
        </w:rPr>
        <w:t>年随着药品带量采购、仿制药一致性评价的推进，环保措施的升级，行业集中度逐步提升。在此</w:t>
      </w:r>
    </w:p>
    <w:p>
      <w:pPr>
        <w:pStyle w:val="BodyText"/>
        <w:spacing w:line="309" w:lineRule="auto"/>
        <w:ind w:right="1123"/>
        <w:jc w:val="both"/>
      </w:pPr>
      <w:r>
        <w:rPr>
          <w:spacing w:val="-2"/>
        </w:rPr>
        <w:t>背景下，具有规模化、专业化生产能力的头部企业将受益。因此公司</w:t>
      </w:r>
      <w:r>
        <w:rPr>
          <w:rFonts w:ascii="宋体" w:hAnsi="宋体" w:cs="宋体" w:eastAsia="宋体" w:hint="default"/>
          <w:spacing w:val="-2"/>
        </w:rPr>
        <w:t>2019</w:t>
      </w:r>
      <w:r>
        <w:rPr>
          <w:spacing w:val="-2"/>
        </w:rPr>
        <w:t>年实施调整客户结构，提升客户</w:t>
      </w:r>
      <w:r>
        <w:rPr>
          <w:spacing w:val="-27"/>
        </w:rPr>
        <w:t> </w:t>
      </w:r>
      <w:r>
        <w:rPr>
          <w:spacing w:val="-27"/>
        </w:rPr>
      </w:r>
      <w:r>
        <w:rPr/>
        <w:t>群体质量，增加公司效益，医药包装业务在全年主营业务收入未增加的情况下利润增长近</w:t>
      </w:r>
      <w:r>
        <w:rPr>
          <w:rFonts w:ascii="宋体" w:hAnsi="宋体" w:cs="宋体" w:eastAsia="宋体" w:hint="default"/>
        </w:rPr>
        <w:t>10%</w:t>
      </w:r>
      <w:r>
        <w:rPr/>
        <w:t>。</w:t>
      </w:r>
    </w:p>
    <w:p>
      <w:pPr>
        <w:pStyle w:val="BodyText"/>
        <w:spacing w:line="314" w:lineRule="auto" w:before="24"/>
        <w:ind w:left="594" w:right="0" w:hanging="20"/>
        <w:jc w:val="left"/>
      </w:pPr>
      <w:r>
        <w:rPr/>
        <w:t>（</w:t>
      </w:r>
      <w:r>
        <w:rPr>
          <w:rFonts w:ascii="宋体" w:hAnsi="宋体" w:cs="宋体" w:eastAsia="宋体" w:hint="default"/>
        </w:rPr>
        <w:t>2</w:t>
      </w:r>
      <w:r>
        <w:rPr/>
        <w:t>）互联网精准营销业务</w:t>
      </w:r>
      <w:r>
        <w:rPr>
          <w:spacing w:val="-102"/>
        </w:rPr>
        <w:t> </w:t>
      </w:r>
      <w:r>
        <w:rPr>
          <w:spacing w:val="-102"/>
        </w:rPr>
      </w:r>
      <w:r>
        <w:rPr>
          <w:spacing w:val="-3"/>
        </w:rPr>
        <w:t>报告期内，公司互联网精准营销业务实现营业收入的大幅增长，各业务板块经营情况持续向好，客户</w:t>
      </w:r>
    </w:p>
    <w:p>
      <w:pPr>
        <w:pStyle w:val="BodyText"/>
        <w:spacing w:line="309" w:lineRule="auto"/>
        <w:ind w:right="1126"/>
        <w:jc w:val="both"/>
      </w:pPr>
      <w:r>
        <w:rPr>
          <w:spacing w:val="-2"/>
        </w:rPr>
        <w:t>结构更加优质、稳定，为客户服务内容逐步多元化。全案推广服务、全案广告代理与数据产品服务的业务</w:t>
      </w:r>
      <w:r>
        <w:rPr>
          <w:spacing w:val="-33"/>
        </w:rPr>
        <w:t> </w:t>
      </w:r>
      <w:r>
        <w:rPr>
          <w:spacing w:val="-33"/>
        </w:rPr>
      </w:r>
      <w:r>
        <w:rPr/>
        <w:t>可快速拓展客户数量，并从中选出更优质客户，为其提供增值服务以提升公司盈利能力。</w:t>
      </w:r>
    </w:p>
    <w:p>
      <w:pPr>
        <w:pStyle w:val="BodyText"/>
        <w:spacing w:line="314" w:lineRule="auto" w:before="24"/>
        <w:ind w:right="0" w:firstLine="441"/>
        <w:jc w:val="left"/>
      </w:pPr>
      <w:r>
        <w:rPr>
          <w:spacing w:val="-3"/>
        </w:rPr>
        <w:t>在收入稳定增长的同时，公司持续推进“技术</w:t>
      </w:r>
      <w:r>
        <w:rPr>
          <w:rFonts w:ascii="宋体" w:hAnsi="宋体" w:cs="宋体" w:eastAsia="宋体" w:hint="default"/>
          <w:spacing w:val="-3"/>
        </w:rPr>
        <w:t>+</w:t>
      </w:r>
      <w:r>
        <w:rPr>
          <w:spacing w:val="-3"/>
        </w:rPr>
        <w:t>创意</w:t>
      </w:r>
      <w:r>
        <w:rPr>
          <w:rFonts w:ascii="宋体" w:hAnsi="宋体" w:cs="宋体" w:eastAsia="宋体" w:hint="default"/>
          <w:spacing w:val="-3"/>
        </w:rPr>
        <w:t>+</w:t>
      </w:r>
      <w:r>
        <w:rPr>
          <w:spacing w:val="-3"/>
        </w:rPr>
        <w:t>服务”的模式，提高业务效率和服务效果，进一</w:t>
      </w:r>
      <w:r>
        <w:rPr>
          <w:w w:val="100"/>
        </w:rPr>
        <w:t> </w:t>
      </w:r>
      <w:r>
        <w:rPr/>
        <w:t>步优化了客户结构。</w:t>
      </w:r>
    </w:p>
    <w:p>
      <w:pPr>
        <w:pStyle w:val="BodyText"/>
        <w:spacing w:line="309" w:lineRule="auto"/>
        <w:ind w:right="0" w:firstLine="441"/>
        <w:jc w:val="left"/>
      </w:pPr>
      <w:r>
        <w:rPr>
          <w:rFonts w:ascii="宋体" w:hAnsi="宋体" w:cs="宋体" w:eastAsia="宋体" w:hint="default"/>
          <w:b/>
          <w:bCs/>
        </w:rPr>
        <w:t>2</w:t>
      </w:r>
      <w:r>
        <w:rPr>
          <w:rFonts w:ascii="宋体" w:hAnsi="宋体" w:cs="宋体" w:eastAsia="宋体" w:hint="default"/>
          <w:b/>
          <w:bCs/>
        </w:rPr>
        <w:t>、供应链管理项目稳步推进。</w:t>
      </w:r>
      <w:r>
        <w:rPr/>
        <w:t>通过收购北京金印联</w:t>
      </w:r>
      <w:r>
        <w:rPr>
          <w:rFonts w:ascii="宋体" w:hAnsi="宋体" w:cs="宋体" w:eastAsia="宋体" w:hint="default"/>
        </w:rPr>
        <w:t>70%</w:t>
      </w:r>
      <w:r>
        <w:rPr/>
        <w:t>股权项目使得公司的业务向产业链上游拓展，</w:t>
      </w:r>
      <w:r>
        <w:rPr>
          <w:w w:val="100"/>
        </w:rPr>
        <w:t> </w:t>
      </w:r>
      <w:r>
        <w:rPr/>
        <w:t>同时以行业供应链管理为切入点，未来将整合行业上下游资源。</w:t>
      </w:r>
    </w:p>
    <w:p>
      <w:pPr>
        <w:spacing w:after="0" w:line="309" w:lineRule="auto"/>
        <w:jc w:val="left"/>
        <w:sectPr>
          <w:pgSz w:w="11910" w:h="16840"/>
          <w:pgMar w:header="460" w:footer="979" w:top="1100" w:bottom="1160" w:left="980" w:right="0"/>
        </w:sectPr>
      </w:pPr>
    </w:p>
    <w:p>
      <w:pPr>
        <w:spacing w:line="240" w:lineRule="auto" w:before="7"/>
        <w:rPr>
          <w:rFonts w:ascii="宋体" w:hAnsi="宋体" w:cs="宋体" w:eastAsia="宋体" w:hint="default"/>
          <w:sz w:val="22"/>
          <w:szCs w:val="22"/>
        </w:rPr>
      </w:pPr>
    </w:p>
    <w:p>
      <w:pPr>
        <w:spacing w:before="36"/>
        <w:ind w:left="594"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、实施员工持股计划。</w:t>
      </w:r>
      <w:r>
        <w:rPr>
          <w:rFonts w:ascii="宋体" w:hAnsi="宋体" w:cs="宋体" w:eastAsia="宋体" w:hint="default"/>
          <w:sz w:val="21"/>
          <w:szCs w:val="21"/>
        </w:rPr>
        <w:t>报告期内公司完成第一期员工持股计划股票购买工作，累计买入公司股票</w:t>
      </w:r>
    </w:p>
    <w:p>
      <w:pPr>
        <w:pStyle w:val="BodyText"/>
        <w:spacing w:line="312" w:lineRule="auto" w:before="85"/>
        <w:ind w:right="1124"/>
        <w:jc w:val="both"/>
      </w:pPr>
      <w:r>
        <w:rPr>
          <w:rFonts w:ascii="宋体" w:hAnsi="宋体" w:cs="宋体" w:eastAsia="宋体" w:hint="default"/>
          <w:spacing w:val="-2"/>
        </w:rPr>
        <w:t>1,431,350</w:t>
      </w:r>
      <w:r>
        <w:rPr>
          <w:spacing w:val="-2"/>
        </w:rPr>
        <w:t>股，占公司总股本的</w:t>
      </w:r>
      <w:r>
        <w:rPr>
          <w:rFonts w:ascii="宋体" w:hAnsi="宋体" w:cs="宋体" w:eastAsia="宋体" w:hint="default"/>
          <w:spacing w:val="-2"/>
        </w:rPr>
        <w:t>0.95%</w:t>
      </w:r>
      <w:r>
        <w:rPr>
          <w:spacing w:val="-2"/>
        </w:rPr>
        <w:t>，锁定期</w:t>
      </w:r>
      <w:r>
        <w:rPr>
          <w:rFonts w:ascii="宋体" w:hAnsi="宋体" w:cs="宋体" w:eastAsia="宋体" w:hint="default"/>
          <w:spacing w:val="-2"/>
        </w:rPr>
        <w:t>12</w:t>
      </w:r>
      <w:r>
        <w:rPr>
          <w:spacing w:val="-2"/>
        </w:rPr>
        <w:t>个月。实施员工持股计划，有利于员工利益和公司利益的</w:t>
      </w:r>
      <w:r>
        <w:rPr>
          <w:spacing w:val="-17"/>
        </w:rPr>
        <w:t> </w:t>
      </w:r>
      <w:r>
        <w:rPr>
          <w:spacing w:val="-17"/>
        </w:rPr>
      </w:r>
      <w:r>
        <w:rPr>
          <w:spacing w:val="-2"/>
        </w:rPr>
        <w:t>统一，有利于挖掘公司内部成长的源动力，提高公司自身的凝聚力和市场竞争力，让人才优势更大程度的</w:t>
      </w:r>
      <w:r>
        <w:rPr>
          <w:spacing w:val="-33"/>
        </w:rPr>
        <w:t> </w:t>
      </w:r>
      <w:r>
        <w:rPr>
          <w:spacing w:val="-33"/>
        </w:rPr>
      </w:r>
      <w:r>
        <w:rPr/>
        <w:t>发挥作用。</w:t>
      </w:r>
    </w:p>
    <w:p>
      <w:pPr>
        <w:pStyle w:val="BodyText"/>
        <w:spacing w:line="314" w:lineRule="auto" w:before="22"/>
        <w:ind w:right="0" w:firstLine="441"/>
        <w:jc w:val="left"/>
      </w:pPr>
      <w:r>
        <w:rPr>
          <w:rFonts w:ascii="宋体" w:hAnsi="宋体" w:cs="宋体" w:eastAsia="宋体" w:hint="default"/>
          <w:b/>
          <w:bCs/>
          <w:spacing w:val="-1"/>
        </w:rPr>
        <w:t>4</w:t>
      </w:r>
      <w:r>
        <w:rPr>
          <w:rFonts w:ascii="宋体" w:hAnsi="宋体" w:cs="宋体" w:eastAsia="宋体" w:hint="default"/>
          <w:b/>
          <w:bCs/>
          <w:spacing w:val="-1"/>
        </w:rPr>
        <w:t>、持续完善内部控制体系。</w:t>
      </w:r>
      <w:r>
        <w:rPr>
          <w:rFonts w:ascii="宋体" w:hAnsi="宋体" w:cs="宋体" w:eastAsia="宋体" w:hint="default"/>
          <w:spacing w:val="-1"/>
        </w:rPr>
        <w:t>2019</w:t>
      </w:r>
      <w:r>
        <w:rPr>
          <w:spacing w:val="-1"/>
        </w:rPr>
        <w:t>年根据企业内部控制基本规范以及应用指引要求，全面梳理完善了</w:t>
      </w:r>
      <w:r>
        <w:rPr>
          <w:w w:val="100"/>
        </w:rPr>
        <w:t> </w:t>
      </w:r>
      <w:r>
        <w:rPr/>
        <w:t>内部控制流程及风险矩阵，并在此基础上对公司内部控制有效性做出全面评价。</w:t>
      </w:r>
    </w:p>
    <w:p>
      <w:pPr>
        <w:pStyle w:val="BodyText"/>
        <w:spacing w:line="314" w:lineRule="auto" w:before="58"/>
        <w:ind w:right="1554" w:firstLine="422"/>
        <w:jc w:val="both"/>
      </w:pPr>
      <w:r>
        <w:rPr>
          <w:rFonts w:ascii="宋体" w:hAnsi="宋体" w:cs="宋体" w:eastAsia="宋体" w:hint="default"/>
          <w:b/>
          <w:bCs/>
        </w:rPr>
        <w:t>5</w:t>
      </w:r>
      <w:r>
        <w:rPr>
          <w:rFonts w:ascii="宋体" w:hAnsi="宋体" w:cs="宋体" w:eastAsia="宋体" w:hint="default"/>
          <w:b/>
          <w:bCs/>
        </w:rPr>
        <w:t>、不断加强党的建设。</w:t>
      </w:r>
      <w:r>
        <w:rPr/>
        <w:t>公司以习近平新时代中国特色社会主义思想为指引，把方向、管大局、</w:t>
      </w:r>
      <w:r>
        <w:rPr>
          <w:w w:val="100"/>
        </w:rPr>
        <w:t> </w:t>
      </w:r>
      <w:r>
        <w:rPr>
          <w:spacing w:val="-2"/>
        </w:rPr>
        <w:t>保落实，围绕企业战略规划和全年目标任务，在党员干部中深入开展“不忘初心、牢记使命”主题教</w:t>
      </w:r>
      <w:r>
        <w:rPr>
          <w:spacing w:val="-47"/>
        </w:rPr>
        <w:t> </w:t>
      </w:r>
      <w:r>
        <w:rPr>
          <w:spacing w:val="-47"/>
        </w:rPr>
      </w:r>
      <w:r>
        <w:rPr>
          <w:spacing w:val="-2"/>
        </w:rPr>
        <w:t>育，不断推进公司高质量发展。</w:t>
      </w:r>
      <w:r>
        <w:rPr>
          <w:rFonts w:ascii="宋体" w:hAnsi="宋体" w:cs="宋体" w:eastAsia="宋体" w:hint="default"/>
          <w:spacing w:val="-2"/>
        </w:rPr>
        <w:t>2020</w:t>
      </w:r>
      <w:r>
        <w:rPr>
          <w:spacing w:val="-2"/>
        </w:rPr>
        <w:t>年初，面对来势汹涌的新冠疫情，公司党委坚持疫情防控和生产</w:t>
      </w:r>
      <w:r>
        <w:rPr>
          <w:spacing w:val="-45"/>
        </w:rPr>
        <w:t> </w:t>
      </w:r>
      <w:r>
        <w:rPr>
          <w:spacing w:val="-45"/>
        </w:rPr>
      </w:r>
      <w:r>
        <w:rPr>
          <w:spacing w:val="-2"/>
        </w:rPr>
        <w:t>经营两不误，周密部署，靠前指挥，采取得力措施，第一时间复工复产，保障防疫药品和生活必需品</w:t>
      </w:r>
      <w:r>
        <w:rPr>
          <w:spacing w:val="-46"/>
        </w:rPr>
        <w:t> </w:t>
      </w:r>
      <w:r>
        <w:rPr>
          <w:spacing w:val="-46"/>
        </w:rPr>
      </w:r>
      <w:r>
        <w:rPr/>
        <w:t>的包装需求，切实发挥了国有上市企业应有的担当与责任。</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3" w:right="6054"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pacing w:val="-3"/>
          <w:sz w:val="18"/>
          <w:szCs w:val="18"/>
        </w:rPr>
        <w:t>参见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经营情况讨论与分析</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一、概述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相关内容。</w:t>
      </w:r>
      <w:r>
        <w:rPr>
          <w:rFonts w:ascii="宋体" w:hAnsi="宋体" w:cs="宋体" w:eastAsia="宋体" w:hint="default"/>
          <w:spacing w:val="-15"/>
          <w:sz w:val="18"/>
          <w:szCs w:val="18"/>
        </w:rPr>
        <w:t> </w:t>
      </w:r>
      <w:r>
        <w:rPr>
          <w:rFonts w:ascii="宋体" w:hAnsi="宋体" w:cs="宋体" w:eastAsia="宋体" w:hint="default"/>
          <w:spacing w:val="-15"/>
          <w:sz w:val="18"/>
          <w:szCs w:val="18"/>
        </w:rPr>
      </w:r>
      <w:bookmarkStart w:name="2、收入与成本" w:id="28"/>
      <w:bookmarkEnd w:id="28"/>
      <w:r>
        <w:rPr>
          <w:rFonts w:ascii="宋体" w:hAnsi="宋体" w:cs="宋体" w:eastAsia="宋体" w:hint="default"/>
          <w:spacing w:val="-15"/>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3"/>
        <w:gridCol w:w="1594"/>
        <w:gridCol w:w="1591"/>
        <w:gridCol w:w="1598"/>
        <w:gridCol w:w="1586"/>
        <w:gridCol w:w="1598"/>
      </w:tblGrid>
      <w:tr>
        <w:trPr>
          <w:trHeight w:val="207" w:hRule="exact"/>
        </w:trPr>
        <w:tc>
          <w:tcPr>
            <w:tcW w:w="160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03"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603"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59"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59"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0"/>
              <w:ind w:right="9"/>
              <w:jc w:val="right"/>
              <w:rPr>
                <w:rFonts w:ascii="Times New Roman" w:hAnsi="Times New Roman" w:cs="Times New Roman" w:eastAsia="Times New Roman" w:hint="default"/>
                <w:sz w:val="18"/>
                <w:szCs w:val="18"/>
              </w:rPr>
            </w:pPr>
            <w:r>
              <w:rPr>
                <w:rFonts w:ascii="Times New Roman"/>
                <w:spacing w:val="-2"/>
                <w:sz w:val="18"/>
              </w:rPr>
              <w:t>1,247,341,573.24</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100%</w:t>
            </w:r>
          </w:p>
        </w:tc>
        <w:tc>
          <w:tcPr>
            <w:tcW w:w="1598"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555,124,332.86</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100%</w:t>
            </w:r>
          </w:p>
        </w:tc>
        <w:tc>
          <w:tcPr>
            <w:tcW w:w="1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124.70%</w:t>
            </w:r>
          </w:p>
        </w:tc>
      </w:tr>
      <w:tr>
        <w:trPr>
          <w:trHeight w:val="398"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4"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造纸及纸制品业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523,282,852.79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41.95%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492,896,179.93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88.79%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6.16%</w:t>
            </w:r>
          </w:p>
        </w:tc>
      </w:tr>
      <w:tr>
        <w:trPr>
          <w:trHeight w:val="398"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互联网营销业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585,160,498.60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46.91%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59,424,335.50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10.70%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884.72%</w:t>
            </w:r>
          </w:p>
        </w:tc>
      </w:tr>
      <w:tr>
        <w:trPr>
          <w:trHeight w:val="403"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印刷包装供应链业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135,194,937.17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10.84%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03"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3,703,284.68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2,803,817.43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0.51%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32.08%</w:t>
            </w:r>
          </w:p>
        </w:tc>
      </w:tr>
      <w:tr>
        <w:trPr>
          <w:trHeight w:val="404"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98"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医药及其他纸盒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414,803,857.57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33.26%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415,039,490.84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74.77%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-0.06%</w:t>
            </w:r>
          </w:p>
        </w:tc>
      </w:tr>
      <w:tr>
        <w:trPr>
          <w:trHeight w:val="403"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酒类食品彩盒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9,025,216.45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0.72%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16,875,876.09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1"/>
                <w:sz w:val="18"/>
              </w:rPr>
              <w:t>3.04%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-46.52%</w:t>
            </w:r>
          </w:p>
        </w:tc>
      </w:tr>
      <w:tr>
        <w:trPr>
          <w:trHeight w:val="403"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瓦楞纸箱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99,453,778.77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60,980,813.00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10.99%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63.09%</w:t>
            </w:r>
          </w:p>
        </w:tc>
      </w:tr>
      <w:tr>
        <w:trPr>
          <w:trHeight w:val="404"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移动互联网广告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585,160,498.60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46.91%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59,424,335.50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10.70%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884.72%</w:t>
            </w:r>
          </w:p>
        </w:tc>
      </w:tr>
      <w:tr>
        <w:trPr>
          <w:trHeight w:val="715"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2"/>
              <w:jc w:val="left"/>
              <w:rPr>
                <w:rFonts w:ascii="宋体" w:hAnsi="宋体" w:cs="宋体" w:eastAsia="宋体" w:hint="default"/>
                <w:sz w:val="18"/>
                <w:szCs w:val="18"/>
              </w:rPr>
            </w:pPr>
            <w:r>
              <w:rPr>
                <w:rFonts w:ascii="宋体" w:hAnsi="宋体" w:cs="宋体" w:eastAsia="宋体" w:hint="default"/>
                <w:spacing w:val="-2"/>
                <w:sz w:val="18"/>
                <w:szCs w:val="18"/>
              </w:rPr>
              <w:t>印刷包装供应链服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135,194,937.17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10.84%</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5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6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left"/>
              <w:rPr>
                <w:rFonts w:ascii="宋体" w:hAnsi="宋体" w:cs="宋体" w:eastAsia="宋体" w:hint="default"/>
                <w:sz w:val="18"/>
                <w:szCs w:val="18"/>
              </w:rPr>
            </w:pPr>
            <w:r>
              <w:rPr>
                <w:rFonts w:ascii="宋体" w:hAnsi="宋体" w:cs="宋体" w:eastAsia="宋体" w:hint="default"/>
                <w:spacing w:val="-2"/>
                <w:sz w:val="18"/>
                <w:szCs w:val="18"/>
              </w:rPr>
              <w:t>废纸销售及房屋租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3,703,284.68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2,803,817.43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32.08%</w:t>
            </w:r>
          </w:p>
        </w:tc>
      </w:tr>
      <w:tr>
        <w:trPr>
          <w:trHeight w:val="399"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258,057,039.72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20.69%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169,484,527.71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52.26%</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89,801,100.11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59,333,418.40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51.35%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223,160,193.51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69,733,693.26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220.02%</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409,905,990.90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76,422,368.95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436.37%</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88,246,871.80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7.07%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41,435,226.83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2"/>
                <w:sz w:val="18"/>
              </w:rPr>
              <w:t>112.98%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165,601,091.63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121,367,591.97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36.45%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国外销售收入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12,569,285.57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17,347,505.74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-27.54%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1"/>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8"/>
        <w:gridCol w:w="1368"/>
        <w:gridCol w:w="1364"/>
        <w:gridCol w:w="1373"/>
      </w:tblGrid>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16" w:right="46" w:hanging="269"/>
              <w:jc w:val="left"/>
              <w:rPr>
                <w:rFonts w:ascii="宋体" w:hAnsi="宋体" w:cs="宋体" w:eastAsia="宋体" w:hint="default"/>
                <w:sz w:val="18"/>
                <w:szCs w:val="18"/>
              </w:rPr>
            </w:pPr>
            <w:r>
              <w:rPr>
                <w:rFonts w:ascii="宋体" w:hAnsi="宋体" w:cs="宋体" w:eastAsia="宋体" w:hint="default"/>
                <w:spacing w:val="-3"/>
                <w:sz w:val="18"/>
                <w:szCs w:val="18"/>
              </w:rPr>
              <w:t>营业收入比上年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17" w:right="41" w:hanging="270"/>
              <w:jc w:val="left"/>
              <w:rPr>
                <w:rFonts w:ascii="宋体" w:hAnsi="宋体" w:cs="宋体" w:eastAsia="宋体" w:hint="default"/>
                <w:sz w:val="18"/>
                <w:szCs w:val="18"/>
              </w:rPr>
            </w:pPr>
            <w:r>
              <w:rPr>
                <w:rFonts w:ascii="宋体" w:hAnsi="宋体" w:cs="宋体" w:eastAsia="宋体" w:hint="default"/>
                <w:spacing w:val="-3"/>
                <w:sz w:val="18"/>
                <w:szCs w:val="18"/>
              </w:rPr>
              <w:t>营业成本比上年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13" w:right="46" w:hanging="361"/>
              <w:jc w:val="left"/>
              <w:rPr>
                <w:rFonts w:ascii="宋体" w:hAnsi="宋体" w:cs="宋体" w:eastAsia="宋体" w:hint="default"/>
                <w:sz w:val="18"/>
                <w:szCs w:val="18"/>
              </w:rPr>
            </w:pPr>
            <w:r>
              <w:rPr>
                <w:rFonts w:ascii="宋体" w:hAnsi="宋体" w:cs="宋体" w:eastAsia="宋体" w:hint="default"/>
                <w:spacing w:val="-3"/>
                <w:sz w:val="18"/>
                <w:szCs w:val="18"/>
              </w:rPr>
              <w:t>毛利率比上年同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期增减</w:t>
            </w:r>
          </w:p>
        </w:tc>
      </w:tr>
      <w:tr>
        <w:trPr>
          <w:trHeight w:val="398"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造纸及纸制品业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523,282,852.79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407,986,103.56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4.30%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1.39%</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移动互联网广告</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585,160,498.60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517,924,716.55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11.49%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884.72%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962.07%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-6.45%</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印刷包装供应链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135,194,937.17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112,495,422.18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医药及其他纸盒</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414,803,857.57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309,952,842.89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-0.06%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-0.03%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-0.02%</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移动互联网广告</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585,160,498.60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517,924,716.55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11.49%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884.72%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962.07%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-6.45%</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0"/>
              <w:jc w:val="left"/>
              <w:rPr>
                <w:rFonts w:ascii="宋体" w:hAnsi="宋体" w:cs="宋体" w:eastAsia="宋体" w:hint="default"/>
                <w:sz w:val="18"/>
                <w:szCs w:val="18"/>
              </w:rPr>
            </w:pPr>
            <w:r>
              <w:rPr>
                <w:rFonts w:ascii="宋体" w:hAnsi="宋体" w:cs="宋体" w:eastAsia="宋体" w:hint="default"/>
                <w:spacing w:val="-3"/>
                <w:sz w:val="18"/>
                <w:szCs w:val="18"/>
              </w:rPr>
              <w:t>印刷包装供应链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135,194,937.17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112,495,422.18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258,057,039.72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207,015,775.94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52.26%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53.15%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-0.47%</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223,160,193.51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189,559,272.19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220.02%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244.67%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-6.08%</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中南地区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409,905,990.90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358,863,663.95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436.37%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494.17%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-8.52%</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165,601,091.63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124,489,251.77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36.45%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32.53%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2.22%</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公司主营业务数据统计口径在报告期发生调整的情况下，公司最近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年按报告期末口径调整后的主营业务数据</w:t>
      </w:r>
    </w:p>
    <w:p>
      <w:pPr>
        <w:spacing w:before="10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460"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6"/>
        <w:ind w:left="293" w:right="422"/>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
        <w:rPr>
          <w:rFonts w:ascii="宋体" w:hAnsi="宋体" w:cs="宋体" w:eastAsia="宋体" w:hint="default"/>
          <w:b/>
          <w:bCs/>
          <w:sz w:val="27"/>
          <w:szCs w:val="27"/>
        </w:rPr>
      </w:pPr>
    </w:p>
    <w:p>
      <w:pPr>
        <w:spacing w:before="0"/>
        <w:ind w:left="293" w:right="4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spacing w:line="240" w:lineRule="auto" w:before="7"/>
        <w:rPr>
          <w:rFonts w:ascii="宋体" w:hAnsi="宋体" w:cs="宋体" w:eastAsia="宋体" w:hint="default"/>
          <w:sz w:val="6"/>
          <w:szCs w:val="6"/>
        </w:rPr>
      </w:pPr>
    </w:p>
    <w:tbl>
      <w:tblPr>
        <w:tblW w:w="0" w:type="auto"/>
        <w:jc w:val="left"/>
        <w:tblInd w:w="28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4"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492"/>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医药及其他纸盒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92"/>
              <w:jc w:val="right"/>
              <w:rPr>
                <w:rFonts w:ascii="Times New Roman" w:hAnsi="Times New Roman" w:cs="Times New Roman" w:eastAsia="Times New Roman" w:hint="default"/>
                <w:sz w:val="18"/>
                <w:szCs w:val="18"/>
              </w:rPr>
            </w:pPr>
            <w:r>
              <w:rPr>
                <w:rFonts w:ascii="Times New Roman"/>
                <w:spacing w:val="-1"/>
                <w:sz w:val="18"/>
              </w:rPr>
              <w:t>388,523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398,179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-2.42%</w:t>
            </w:r>
          </w:p>
        </w:tc>
      </w:tr>
      <w:tr>
        <w:trPr>
          <w:trHeight w:val="398" w:hRule="exact"/>
        </w:trPr>
        <w:tc>
          <w:tcPr>
            <w:tcW w:w="1599"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92"/>
              <w:jc w:val="right"/>
              <w:rPr>
                <w:rFonts w:ascii="Times New Roman" w:hAnsi="Times New Roman" w:cs="Times New Roman" w:eastAsia="Times New Roman" w:hint="default"/>
                <w:sz w:val="18"/>
                <w:szCs w:val="18"/>
              </w:rPr>
            </w:pPr>
            <w:r>
              <w:rPr>
                <w:rFonts w:ascii="Times New Roman"/>
                <w:spacing w:val="-1"/>
                <w:sz w:val="18"/>
              </w:rPr>
              <w:t>385,552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402,468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-4.20%</w:t>
            </w:r>
          </w:p>
        </w:tc>
      </w:tr>
      <w:tr>
        <w:trPr>
          <w:trHeight w:val="403" w:hRule="exact"/>
        </w:trPr>
        <w:tc>
          <w:tcPr>
            <w:tcW w:w="1599"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40"/>
              <w:jc w:val="right"/>
              <w:rPr>
                <w:rFonts w:ascii="Times New Roman" w:hAnsi="Times New Roman" w:cs="Times New Roman" w:eastAsia="Times New Roman" w:hint="default"/>
                <w:sz w:val="18"/>
                <w:szCs w:val="18"/>
              </w:rPr>
            </w:pPr>
            <w:r>
              <w:rPr>
                <w:rFonts w:ascii="Times New Roman"/>
                <w:spacing w:val="-1"/>
                <w:sz w:val="18"/>
              </w:rPr>
              <w:t>10,212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13,183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-22.53%</w:t>
            </w:r>
          </w:p>
        </w:tc>
      </w:tr>
      <w:tr>
        <w:trPr>
          <w:trHeight w:val="404" w:hRule="exact"/>
        </w:trPr>
        <w:tc>
          <w:tcPr>
            <w:tcW w:w="15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酒类食品彩盒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-38.76%</w:t>
            </w:r>
          </w:p>
        </w:tc>
      </w:tr>
      <w:tr>
        <w:trPr>
          <w:trHeight w:val="403" w:hRule="exact"/>
        </w:trPr>
        <w:tc>
          <w:tcPr>
            <w:tcW w:w="1599"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-57.21%</w:t>
            </w:r>
          </w:p>
        </w:tc>
      </w:tr>
      <w:tr>
        <w:trPr>
          <w:trHeight w:val="398" w:hRule="exact"/>
        </w:trPr>
        <w:tc>
          <w:tcPr>
            <w:tcW w:w="1599"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-87.50%</w:t>
            </w:r>
          </w:p>
        </w:tc>
      </w:tr>
      <w:tr>
        <w:trPr>
          <w:trHeight w:val="403" w:hRule="exact"/>
        </w:trPr>
        <w:tc>
          <w:tcPr>
            <w:tcW w:w="15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瓦楞纸箱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万平方米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84"/>
              <w:jc w:val="right"/>
              <w:rPr>
                <w:rFonts w:ascii="Times New Roman" w:hAnsi="Times New Roman" w:cs="Times New Roman" w:eastAsia="Times New Roman" w:hint="default"/>
                <w:sz w:val="18"/>
                <w:szCs w:val="18"/>
              </w:rPr>
            </w:pPr>
            <w:r>
              <w:rPr>
                <w:rFonts w:ascii="Times New Roman"/>
                <w:spacing w:val="-1"/>
                <w:sz w:val="18"/>
              </w:rPr>
              <w:t>3,402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1,922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77.00%</w:t>
            </w:r>
          </w:p>
        </w:tc>
      </w:tr>
      <w:tr>
        <w:trPr>
          <w:trHeight w:val="404" w:hRule="exact"/>
        </w:trPr>
        <w:tc>
          <w:tcPr>
            <w:tcW w:w="1599"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万平方米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84"/>
              <w:jc w:val="right"/>
              <w:rPr>
                <w:rFonts w:ascii="Times New Roman" w:hAnsi="Times New Roman" w:cs="Times New Roman" w:eastAsia="Times New Roman" w:hint="default"/>
                <w:sz w:val="18"/>
                <w:szCs w:val="18"/>
              </w:rPr>
            </w:pPr>
            <w:r>
              <w:rPr>
                <w:rFonts w:ascii="Times New Roman"/>
                <w:spacing w:val="-1"/>
                <w:sz w:val="18"/>
              </w:rPr>
              <w:t>3,435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69.97%</w:t>
            </w:r>
          </w:p>
        </w:tc>
      </w:tr>
      <w:tr>
        <w:trPr>
          <w:trHeight w:val="403" w:hRule="exact"/>
        </w:trPr>
        <w:tc>
          <w:tcPr>
            <w:tcW w:w="1599"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万平方米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311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pacing w:val="-3"/>
                <w:sz w:val="18"/>
              </w:rPr>
              <w:t>11.88%</w:t>
            </w:r>
          </w:p>
        </w:tc>
      </w:tr>
    </w:tbl>
    <w:p>
      <w:pPr>
        <w:spacing w:line="333" w:lineRule="auto" w:before="53"/>
        <w:ind w:left="653" w:right="422" w:hanging="36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酒类食品彩盒业务销售量下降</w:t>
      </w:r>
      <w:r>
        <w:rPr>
          <w:rFonts w:ascii="Times New Roman" w:hAnsi="Times New Roman" w:cs="Times New Roman" w:eastAsia="Times New Roman" w:hint="default"/>
          <w:spacing w:val="-3"/>
          <w:sz w:val="18"/>
          <w:szCs w:val="18"/>
        </w:rPr>
        <w:t>38.76%</w:t>
      </w:r>
      <w:r>
        <w:rPr>
          <w:rFonts w:ascii="宋体" w:hAnsi="宋体" w:cs="宋体" w:eastAsia="宋体" w:hint="default"/>
          <w:spacing w:val="-3"/>
          <w:sz w:val="18"/>
          <w:szCs w:val="18"/>
        </w:rPr>
        <w:t>、生产量下降</w:t>
      </w:r>
      <w:r>
        <w:rPr>
          <w:rFonts w:ascii="Times New Roman" w:hAnsi="Times New Roman" w:cs="Times New Roman" w:eastAsia="Times New Roman" w:hint="default"/>
          <w:spacing w:val="-3"/>
          <w:sz w:val="18"/>
          <w:szCs w:val="18"/>
        </w:rPr>
        <w:t>57.21%</w:t>
      </w:r>
      <w:r>
        <w:rPr>
          <w:rFonts w:ascii="宋体" w:hAnsi="宋体" w:cs="宋体" w:eastAsia="宋体" w:hint="default"/>
          <w:spacing w:val="-3"/>
          <w:sz w:val="18"/>
          <w:szCs w:val="18"/>
        </w:rPr>
        <w:t>，库存量下降</w:t>
      </w:r>
      <w:r>
        <w:rPr>
          <w:rFonts w:ascii="Times New Roman" w:hAnsi="Times New Roman" w:cs="Times New Roman" w:eastAsia="Times New Roman" w:hint="default"/>
          <w:spacing w:val="-3"/>
          <w:sz w:val="18"/>
          <w:szCs w:val="18"/>
        </w:rPr>
        <w:t>87.50%</w:t>
      </w:r>
      <w:r>
        <w:rPr>
          <w:rFonts w:ascii="宋体" w:hAnsi="宋体" w:cs="宋体" w:eastAsia="宋体" w:hint="default"/>
          <w:spacing w:val="-3"/>
          <w:sz w:val="18"/>
          <w:szCs w:val="18"/>
        </w:rPr>
        <w:t>，主要原因为报告期公司调整客户及产</w:t>
      </w:r>
    </w:p>
    <w:p>
      <w:pPr>
        <w:spacing w:line="225" w:lineRule="exact" w:before="0"/>
        <w:ind w:left="293" w:right="422" w:firstLine="0"/>
        <w:jc w:val="left"/>
        <w:rPr>
          <w:rFonts w:ascii="宋体" w:hAnsi="宋体" w:cs="宋体" w:eastAsia="宋体" w:hint="default"/>
          <w:sz w:val="18"/>
          <w:szCs w:val="18"/>
        </w:rPr>
      </w:pPr>
      <w:r>
        <w:rPr>
          <w:rFonts w:ascii="宋体" w:hAnsi="宋体" w:cs="宋体" w:eastAsia="宋体" w:hint="default"/>
          <w:sz w:val="18"/>
          <w:szCs w:val="18"/>
        </w:rPr>
        <w:t>品结构。</w:t>
      </w:r>
    </w:p>
    <w:p>
      <w:pPr>
        <w:spacing w:before="120"/>
        <w:ind w:left="653" w:right="422" w:firstLine="0"/>
        <w:jc w:val="left"/>
        <w:rPr>
          <w:rFonts w:ascii="宋体" w:hAnsi="宋体" w:cs="宋体" w:eastAsia="宋体" w:hint="default"/>
          <w:sz w:val="18"/>
          <w:szCs w:val="18"/>
        </w:rPr>
      </w:pPr>
      <w:r>
        <w:rPr>
          <w:rFonts w:ascii="宋体" w:hAnsi="宋体" w:cs="宋体" w:eastAsia="宋体" w:hint="default"/>
          <w:spacing w:val="-3"/>
          <w:sz w:val="18"/>
          <w:szCs w:val="18"/>
        </w:rPr>
        <w:t>瓦楞纸箱业务销售量增长</w:t>
      </w:r>
      <w:r>
        <w:rPr>
          <w:rFonts w:ascii="Times New Roman" w:hAnsi="Times New Roman" w:cs="Times New Roman" w:eastAsia="Times New Roman" w:hint="default"/>
          <w:spacing w:val="-3"/>
          <w:sz w:val="18"/>
          <w:szCs w:val="18"/>
        </w:rPr>
        <w:t>77%</w:t>
      </w:r>
      <w:r>
        <w:rPr>
          <w:rFonts w:ascii="宋体" w:hAnsi="宋体" w:cs="宋体" w:eastAsia="宋体" w:hint="default"/>
          <w:spacing w:val="-3"/>
          <w:sz w:val="18"/>
          <w:szCs w:val="18"/>
        </w:rPr>
        <w:t>、生产量增长</w:t>
      </w:r>
      <w:r>
        <w:rPr>
          <w:rFonts w:ascii="Times New Roman" w:hAnsi="Times New Roman" w:cs="Times New Roman" w:eastAsia="Times New Roman" w:hint="default"/>
          <w:spacing w:val="-3"/>
          <w:sz w:val="18"/>
          <w:szCs w:val="18"/>
        </w:rPr>
        <w:t>69.97%</w:t>
      </w:r>
      <w:r>
        <w:rPr>
          <w:rFonts w:ascii="宋体" w:hAnsi="宋体" w:cs="宋体" w:eastAsia="宋体" w:hint="default"/>
          <w:spacing w:val="-3"/>
          <w:sz w:val="18"/>
          <w:szCs w:val="18"/>
        </w:rPr>
        <w:t>，库存量增长</w:t>
      </w:r>
      <w:r>
        <w:rPr>
          <w:rFonts w:ascii="Times New Roman" w:hAnsi="Times New Roman" w:cs="Times New Roman" w:eastAsia="Times New Roman" w:hint="default"/>
          <w:spacing w:val="-3"/>
          <w:sz w:val="18"/>
          <w:szCs w:val="18"/>
        </w:rPr>
        <w:t>11.88%</w:t>
      </w:r>
      <w:r>
        <w:rPr>
          <w:rFonts w:ascii="宋体" w:hAnsi="宋体" w:cs="宋体" w:eastAsia="宋体" w:hint="default"/>
          <w:spacing w:val="-3"/>
          <w:sz w:val="18"/>
          <w:szCs w:val="18"/>
        </w:rPr>
        <w:t>，主要原因为报告期内销售订单增加所致。</w:t>
      </w:r>
    </w:p>
    <w:p>
      <w:pPr>
        <w:spacing w:line="240" w:lineRule="auto" w:before="3"/>
        <w:rPr>
          <w:rFonts w:ascii="宋体" w:hAnsi="宋体" w:cs="宋体" w:eastAsia="宋体" w:hint="default"/>
          <w:sz w:val="25"/>
          <w:szCs w:val="25"/>
        </w:rPr>
      </w:pPr>
    </w:p>
    <w:p>
      <w:pPr>
        <w:pStyle w:val="Heading3"/>
        <w:spacing w:line="240" w:lineRule="auto"/>
        <w:ind w:left="293" w:right="422"/>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
        <w:rPr>
          <w:rFonts w:ascii="宋体" w:hAnsi="宋体" w:cs="宋体" w:eastAsia="宋体" w:hint="default"/>
          <w:b/>
          <w:bCs/>
          <w:sz w:val="27"/>
          <w:szCs w:val="27"/>
        </w:rPr>
      </w:pPr>
    </w:p>
    <w:p>
      <w:pPr>
        <w:spacing w:before="0"/>
        <w:ind w:left="293" w:right="4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left="293" w:right="422"/>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6"/>
        <w:rPr>
          <w:rFonts w:ascii="宋体" w:hAnsi="宋体" w:cs="宋体" w:eastAsia="宋体" w:hint="default"/>
          <w:b/>
          <w:bCs/>
          <w:sz w:val="23"/>
          <w:szCs w:val="23"/>
        </w:rPr>
      </w:pPr>
    </w:p>
    <w:p>
      <w:pPr>
        <w:spacing w:before="46"/>
        <w:ind w:left="293" w:right="422" w:firstLine="0"/>
        <w:jc w:val="left"/>
        <w:rPr>
          <w:rFonts w:ascii="宋体" w:hAnsi="宋体" w:cs="宋体" w:eastAsia="宋体" w:hint="default"/>
          <w:sz w:val="18"/>
          <w:szCs w:val="18"/>
        </w:rPr>
      </w:pPr>
      <w:r>
        <w:rPr>
          <w:rFonts w:ascii="宋体" w:hAnsi="宋体" w:cs="宋体" w:eastAsia="宋体" w:hint="default"/>
          <w:b/>
          <w:bCs/>
          <w:sz w:val="18"/>
          <w:szCs w:val="18"/>
        </w:rPr>
        <w:t>行业和产品分类</w:t>
      </w:r>
      <w:r>
        <w:rPr>
          <w:rFonts w:ascii="宋体" w:hAnsi="宋体" w:cs="宋体" w:eastAsia="宋体" w:hint="default"/>
          <w:sz w:val="18"/>
          <w:szCs w:val="18"/>
        </w:rPr>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541"/>
        <w:gridCol w:w="1368"/>
        <w:gridCol w:w="1369"/>
        <w:gridCol w:w="1368"/>
        <w:gridCol w:w="1364"/>
        <w:gridCol w:w="1369"/>
        <w:gridCol w:w="1369"/>
      </w:tblGrid>
      <w:tr>
        <w:trPr>
          <w:trHeight w:val="404" w:hRule="exact"/>
        </w:trPr>
        <w:tc>
          <w:tcPr>
            <w:tcW w:w="15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8" w:hRule="exact"/>
        </w:trPr>
        <w:tc>
          <w:tcPr>
            <w:tcW w:w="1541"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4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造纸及纸制品业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275,978,263.04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26.58%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271,501,427.87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1.65%</w:t>
            </w:r>
          </w:p>
        </w:tc>
      </w:tr>
      <w:tr>
        <w:trPr>
          <w:trHeight w:val="403" w:hRule="exact"/>
        </w:trPr>
        <w:tc>
          <w:tcPr>
            <w:tcW w:w="1541"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43,299,038.07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46,258,585.41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-6.40%</w:t>
            </w:r>
          </w:p>
        </w:tc>
      </w:tr>
      <w:tr>
        <w:trPr>
          <w:trHeight w:val="40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互联网营销业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信息流量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517,924,716.55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49.87%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48,765,508.65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11.08%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962.07%</w:t>
            </w:r>
          </w:p>
        </w:tc>
      </w:tr>
      <w:tr>
        <w:trPr>
          <w:trHeight w:val="398"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印刷包装供应链业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印刷材料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112,495,422.18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10.83%</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before="53"/>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700"/>
        <w:gridCol w:w="1210"/>
        <w:gridCol w:w="1369"/>
        <w:gridCol w:w="1368"/>
        <w:gridCol w:w="1364"/>
        <w:gridCol w:w="1369"/>
        <w:gridCol w:w="1369"/>
      </w:tblGrid>
      <w:tr>
        <w:trPr>
          <w:trHeight w:val="403" w:hRule="exact"/>
        </w:trPr>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2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1210"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医药及其他纸盒</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212,522,218.67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212,796,069.00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-0.13%</w:t>
            </w:r>
          </w:p>
        </w:tc>
      </w:tr>
      <w:tr>
        <w:trPr>
          <w:trHeight w:val="403" w:hRule="exact"/>
        </w:trPr>
        <w:tc>
          <w:tcPr>
            <w:tcW w:w="1700" w:type="dxa"/>
            <w:vMerge/>
            <w:tcBorders>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36,455,144.59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37,461,536.56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-2.69%</w:t>
            </w:r>
          </w:p>
        </w:tc>
      </w:tr>
    </w:tbl>
    <w:p>
      <w:pPr>
        <w:spacing w:after="0" w:line="240" w:lineRule="auto"/>
        <w:jc w:val="right"/>
        <w:rPr>
          <w:rFonts w:ascii="Times New Roman" w:hAnsi="Times New Roman" w:cs="Times New Roman" w:eastAsia="Times New Roman" w:hint="default"/>
          <w:sz w:val="18"/>
          <w:szCs w:val="18"/>
        </w:rPr>
        <w:sectPr>
          <w:pgSz w:w="11910" w:h="16840"/>
          <w:pgMar w:header="460" w:footer="979" w:top="1100" w:bottom="1160" w:left="840" w:right="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1700"/>
        <w:gridCol w:w="1210"/>
        <w:gridCol w:w="1369"/>
        <w:gridCol w:w="1368"/>
        <w:gridCol w:w="1364"/>
        <w:gridCol w:w="1369"/>
        <w:gridCol w:w="1369"/>
      </w:tblGrid>
      <w:tr>
        <w:trPr>
          <w:trHeight w:val="403" w:hRule="exact"/>
        </w:trPr>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酒类食品彩盒</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4,236,353.88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16,387,472.91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-74.15%</w:t>
            </w:r>
          </w:p>
        </w:tc>
      </w:tr>
      <w:tr>
        <w:trPr>
          <w:trHeight w:val="398" w:hRule="exact"/>
        </w:trPr>
        <w:tc>
          <w:tcPr>
            <w:tcW w:w="1700" w:type="dxa"/>
            <w:vMerge/>
            <w:tcBorders>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295,210.87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4,332,215.00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-93.19%</w:t>
            </w:r>
          </w:p>
        </w:tc>
      </w:tr>
      <w:tr>
        <w:trPr>
          <w:trHeight w:val="404" w:hRule="exact"/>
        </w:trPr>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瓦楞纸箱</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59,219,690.49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5.70%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42,317,885.96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39.94%</w:t>
            </w:r>
          </w:p>
        </w:tc>
      </w:tr>
      <w:tr>
        <w:trPr>
          <w:trHeight w:val="403" w:hRule="exact"/>
        </w:trPr>
        <w:tc>
          <w:tcPr>
            <w:tcW w:w="1700" w:type="dxa"/>
            <w:vMerge/>
            <w:tcBorders>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6,548,682.61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0.63%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4,464,833.85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46.67%</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移动互联网广告</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信息流量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517,924,716.55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49.87%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48,765,508.65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11.08%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962.07%</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印刷包装供应链服务</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印刷材料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112,495,422.18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10.83%</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293" w:right="422"/>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spacing w:before="0"/>
        <w:ind w:left="293" w:right="4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spacing w:line="300" w:lineRule="auto" w:before="96"/>
        <w:ind w:left="293" w:right="1122" w:firstLine="360"/>
        <w:jc w:val="both"/>
        <w:rPr>
          <w:rFonts w:ascii="宋体" w:hAnsi="宋体" w:cs="宋体" w:eastAsia="宋体" w:hint="default"/>
          <w:sz w:val="18"/>
          <w:szCs w:val="18"/>
        </w:rPr>
      </w:pPr>
      <w:r>
        <w:rPr>
          <w:rFonts w:ascii="宋体" w:hAnsi="宋体" w:cs="宋体" w:eastAsia="宋体" w:hint="default"/>
          <w:spacing w:val="-6"/>
          <w:w w:val="101"/>
          <w:sz w:val="18"/>
          <w:szCs w:val="18"/>
        </w:rPr>
        <w:t>报告期收购了北京金印联</w:t>
      </w:r>
      <w:r>
        <w:rPr>
          <w:rFonts w:ascii="Times New Roman" w:hAnsi="Times New Roman" w:cs="Times New Roman" w:eastAsia="Times New Roman" w:hint="default"/>
          <w:spacing w:val="-6"/>
          <w:w w:val="101"/>
          <w:sz w:val="18"/>
          <w:szCs w:val="18"/>
        </w:rPr>
        <w:t>70%</w:t>
      </w:r>
      <w:r>
        <w:rPr>
          <w:rFonts w:ascii="宋体" w:hAnsi="宋体" w:cs="宋体" w:eastAsia="宋体" w:hint="default"/>
          <w:spacing w:val="-6"/>
          <w:w w:val="101"/>
          <w:sz w:val="18"/>
          <w:szCs w:val="18"/>
        </w:rPr>
        <w:t>股权，并于</w:t>
      </w:r>
      <w:r>
        <w:rPr>
          <w:rFonts w:ascii="Times New Roman" w:hAnsi="Times New Roman" w:cs="Times New Roman" w:eastAsia="Times New Roman" w:hint="default"/>
          <w:spacing w:val="-6"/>
          <w:w w:val="101"/>
          <w:sz w:val="18"/>
          <w:szCs w:val="18"/>
        </w:rPr>
        <w:t>2019</w:t>
      </w:r>
      <w:r>
        <w:rPr>
          <w:rFonts w:ascii="宋体" w:hAnsi="宋体" w:cs="宋体" w:eastAsia="宋体" w:hint="default"/>
          <w:spacing w:val="-6"/>
          <w:w w:val="101"/>
          <w:sz w:val="18"/>
          <w:szCs w:val="18"/>
        </w:rPr>
        <w:t>年</w:t>
      </w:r>
      <w:r>
        <w:rPr>
          <w:rFonts w:ascii="Times New Roman" w:hAnsi="Times New Roman" w:cs="Times New Roman" w:eastAsia="Times New Roman" w:hint="default"/>
          <w:spacing w:val="-6"/>
          <w:w w:val="101"/>
          <w:sz w:val="18"/>
          <w:szCs w:val="18"/>
        </w:rPr>
        <w:t>7</w:t>
      </w:r>
      <w:r>
        <w:rPr>
          <w:rFonts w:ascii="宋体" w:hAnsi="宋体" w:cs="宋体" w:eastAsia="宋体" w:hint="default"/>
          <w:spacing w:val="-6"/>
          <w:w w:val="101"/>
          <w:sz w:val="18"/>
          <w:szCs w:val="18"/>
        </w:rPr>
        <w:t>月纳入合并范围。</w:t>
      </w:r>
      <w:r>
        <w:rPr>
          <w:rFonts w:ascii="Times New Roman" w:hAnsi="Times New Roman" w:cs="Times New Roman" w:eastAsia="Times New Roman" w:hint="default"/>
          <w:spacing w:val="-6"/>
          <w:w w:val="101"/>
          <w:sz w:val="18"/>
          <w:szCs w:val="18"/>
        </w:rPr>
        <w:t>2019</w:t>
      </w:r>
      <w:r>
        <w:rPr>
          <w:rFonts w:ascii="宋体" w:hAnsi="宋体" w:cs="宋体" w:eastAsia="宋体" w:hint="default"/>
          <w:spacing w:val="-6"/>
          <w:w w:val="101"/>
          <w:sz w:val="18"/>
          <w:szCs w:val="18"/>
        </w:rPr>
        <w:t>年</w:t>
      </w:r>
      <w:r>
        <w:rPr>
          <w:rFonts w:ascii="Times New Roman" w:hAnsi="Times New Roman" w:cs="Times New Roman" w:eastAsia="Times New Roman" w:hint="default"/>
          <w:spacing w:val="-6"/>
          <w:w w:val="101"/>
          <w:sz w:val="18"/>
          <w:szCs w:val="18"/>
        </w:rPr>
        <w:t>7-12</w:t>
      </w:r>
      <w:r>
        <w:rPr>
          <w:rFonts w:ascii="宋体" w:hAnsi="宋体" w:cs="宋体" w:eastAsia="宋体" w:hint="default"/>
          <w:spacing w:val="-6"/>
          <w:w w:val="101"/>
          <w:sz w:val="18"/>
          <w:szCs w:val="18"/>
        </w:rPr>
        <w:t>月，北京金印联实现净利润</w:t>
      </w:r>
      <w:r>
        <w:rPr>
          <w:rFonts w:ascii="Times New Roman" w:hAnsi="Times New Roman" w:cs="Times New Roman" w:eastAsia="Times New Roman" w:hint="default"/>
          <w:spacing w:val="-6"/>
          <w:w w:val="101"/>
          <w:sz w:val="18"/>
          <w:szCs w:val="18"/>
        </w:rPr>
        <w:t>1,250.92</w:t>
      </w:r>
      <w:r>
        <w:rPr>
          <w:rFonts w:ascii="宋体" w:hAnsi="宋体" w:cs="宋体" w:eastAsia="宋体" w:hint="default"/>
          <w:spacing w:val="-6"/>
          <w:w w:val="101"/>
          <w:sz w:val="18"/>
          <w:szCs w:val="18"/>
        </w:rPr>
        <w:t>万元，</w:t>
      </w:r>
      <w:r>
        <w:rPr>
          <w:rFonts w:ascii="宋体" w:hAnsi="宋体" w:cs="宋体" w:eastAsia="宋体" w:hint="default"/>
          <w:w w:val="101"/>
          <w:sz w:val="18"/>
          <w:szCs w:val="18"/>
        </w:rPr>
        <w:t> </w:t>
      </w:r>
      <w:r>
        <w:rPr>
          <w:rFonts w:ascii="宋体" w:hAnsi="宋体" w:cs="宋体" w:eastAsia="宋体" w:hint="default"/>
          <w:spacing w:val="-3"/>
          <w:sz w:val="18"/>
          <w:szCs w:val="18"/>
        </w:rPr>
        <w:t>实现归属于上市公司股东的净利润</w:t>
      </w:r>
      <w:r>
        <w:rPr>
          <w:rFonts w:ascii="Times New Roman" w:hAnsi="Times New Roman" w:cs="Times New Roman" w:eastAsia="Times New Roman" w:hint="default"/>
          <w:spacing w:val="-3"/>
          <w:sz w:val="18"/>
          <w:szCs w:val="18"/>
        </w:rPr>
        <w:t>842.85</w:t>
      </w:r>
      <w:r>
        <w:rPr>
          <w:rFonts w:ascii="宋体" w:hAnsi="宋体" w:cs="宋体" w:eastAsia="宋体" w:hint="default"/>
          <w:spacing w:val="-3"/>
          <w:sz w:val="18"/>
          <w:szCs w:val="18"/>
        </w:rPr>
        <w:t>万元，占公司合并归属于上市公司股东净利润的</w:t>
      </w:r>
      <w:r>
        <w:rPr>
          <w:rFonts w:ascii="Times New Roman" w:hAnsi="Times New Roman" w:cs="Times New Roman" w:eastAsia="Times New Roman" w:hint="default"/>
          <w:spacing w:val="-3"/>
          <w:sz w:val="18"/>
          <w:szCs w:val="18"/>
        </w:rPr>
        <w:t>12.66%</w:t>
      </w:r>
      <w:r>
        <w:rPr>
          <w:rFonts w:ascii="宋体" w:hAnsi="宋体" w:cs="宋体" w:eastAsia="宋体" w:hint="default"/>
          <w:spacing w:val="-3"/>
          <w:sz w:val="18"/>
          <w:szCs w:val="18"/>
        </w:rPr>
        <w:t>。</w:t>
      </w:r>
    </w:p>
    <w:p>
      <w:pPr>
        <w:spacing w:line="240" w:lineRule="auto" w:before="3"/>
        <w:rPr>
          <w:rFonts w:ascii="宋体" w:hAnsi="宋体" w:cs="宋体" w:eastAsia="宋体" w:hint="default"/>
          <w:sz w:val="22"/>
          <w:szCs w:val="22"/>
        </w:rPr>
      </w:pPr>
    </w:p>
    <w:p>
      <w:pPr>
        <w:pStyle w:val="Heading3"/>
        <w:spacing w:line="240" w:lineRule="auto"/>
        <w:ind w:left="293" w:right="422"/>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653" w:right="422"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报告期，公司实现营业收入</w:t>
      </w:r>
      <w:r>
        <w:rPr>
          <w:rFonts w:ascii="Times New Roman" w:hAnsi="Times New Roman" w:cs="Times New Roman" w:eastAsia="Times New Roman" w:hint="default"/>
          <w:spacing w:val="-3"/>
          <w:sz w:val="18"/>
          <w:szCs w:val="18"/>
        </w:rPr>
        <w:t>124,734.16</w:t>
      </w:r>
      <w:r>
        <w:rPr>
          <w:rFonts w:ascii="宋体" w:hAnsi="宋体" w:cs="宋体" w:eastAsia="宋体" w:hint="default"/>
          <w:spacing w:val="-3"/>
          <w:sz w:val="18"/>
          <w:szCs w:val="18"/>
        </w:rPr>
        <w:t>万元，同比增长</w:t>
      </w:r>
      <w:r>
        <w:rPr>
          <w:rFonts w:ascii="Times New Roman" w:hAnsi="Times New Roman" w:cs="Times New Roman" w:eastAsia="Times New Roman" w:hint="default"/>
          <w:spacing w:val="-3"/>
          <w:sz w:val="18"/>
          <w:szCs w:val="18"/>
        </w:rPr>
        <w:t>124.70%</w:t>
      </w:r>
      <w:r>
        <w:rPr>
          <w:rFonts w:ascii="宋体" w:hAnsi="宋体" w:cs="宋体" w:eastAsia="宋体" w:hint="default"/>
          <w:spacing w:val="-3"/>
          <w:sz w:val="18"/>
          <w:szCs w:val="18"/>
        </w:rPr>
        <w:t>，实现归属于上市公司股东的净利润</w:t>
      </w:r>
      <w:r>
        <w:rPr>
          <w:rFonts w:ascii="Times New Roman" w:hAnsi="Times New Roman" w:cs="Times New Roman" w:eastAsia="Times New Roman" w:hint="default"/>
          <w:spacing w:val="-3"/>
          <w:sz w:val="18"/>
          <w:szCs w:val="18"/>
        </w:rPr>
        <w:t>6,656.24</w:t>
      </w:r>
      <w:r>
        <w:rPr>
          <w:rFonts w:ascii="宋体" w:hAnsi="宋体" w:cs="宋体" w:eastAsia="宋体" w:hint="default"/>
          <w:spacing w:val="-3"/>
          <w:sz w:val="18"/>
          <w:szCs w:val="18"/>
        </w:rPr>
        <w:t>万元，同比</w:t>
      </w:r>
    </w:p>
    <w:p>
      <w:pPr>
        <w:spacing w:line="230" w:lineRule="exact" w:before="0"/>
        <w:ind w:left="293" w:right="422" w:firstLine="0"/>
        <w:jc w:val="left"/>
        <w:rPr>
          <w:rFonts w:ascii="宋体" w:hAnsi="宋体" w:cs="宋体" w:eastAsia="宋体" w:hint="default"/>
          <w:sz w:val="18"/>
          <w:szCs w:val="18"/>
        </w:rPr>
      </w:pPr>
      <w:r>
        <w:rPr>
          <w:rFonts w:ascii="宋体" w:hAnsi="宋体" w:cs="宋体" w:eastAsia="宋体" w:hint="default"/>
          <w:sz w:val="18"/>
          <w:szCs w:val="18"/>
        </w:rPr>
        <w:t>增长</w:t>
      </w:r>
      <w:r>
        <w:rPr>
          <w:rFonts w:ascii="Times New Roman" w:hAnsi="Times New Roman" w:cs="Times New Roman" w:eastAsia="Times New Roman" w:hint="default"/>
          <w:sz w:val="18"/>
          <w:szCs w:val="18"/>
        </w:rPr>
        <w:t>136.77%</w:t>
      </w:r>
      <w:r>
        <w:rPr>
          <w:rFonts w:ascii="宋体" w:hAnsi="宋体" w:cs="宋体" w:eastAsia="宋体" w:hint="default"/>
          <w:sz w:val="18"/>
          <w:szCs w:val="18"/>
        </w:rPr>
        <w:t>，实现归属于上市公司股东的扣除非经常性损益的净利润</w:t>
      </w:r>
      <w:r>
        <w:rPr>
          <w:rFonts w:ascii="Times New Roman" w:hAnsi="Times New Roman" w:cs="Times New Roman" w:eastAsia="Times New Roman" w:hint="default"/>
          <w:sz w:val="18"/>
          <w:szCs w:val="18"/>
        </w:rPr>
        <w:t>6,305.21</w:t>
      </w:r>
      <w:r>
        <w:rPr>
          <w:rFonts w:ascii="宋体" w:hAnsi="宋体" w:cs="宋体" w:eastAsia="宋体" w:hint="default"/>
          <w:sz w:val="18"/>
          <w:szCs w:val="18"/>
        </w:rPr>
        <w:t>万元，同比增长</w:t>
      </w:r>
      <w:r>
        <w:rPr>
          <w:rFonts w:ascii="Times New Roman" w:hAnsi="Times New Roman" w:cs="Times New Roman" w:eastAsia="Times New Roman" w:hint="default"/>
          <w:sz w:val="18"/>
          <w:szCs w:val="18"/>
        </w:rPr>
        <w:t>129.75%</w:t>
      </w:r>
      <w:r>
        <w:rPr>
          <w:rFonts w:ascii="宋体" w:hAnsi="宋体" w:cs="宋体" w:eastAsia="宋体" w:hint="default"/>
          <w:sz w:val="18"/>
          <w:szCs w:val="18"/>
        </w:rPr>
        <w:t>。</w:t>
      </w:r>
    </w:p>
    <w:p>
      <w:pPr>
        <w:spacing w:line="307" w:lineRule="auto" w:before="63"/>
        <w:ind w:left="293" w:right="1208" w:firstLine="360"/>
        <w:jc w:val="both"/>
        <w:rPr>
          <w:rFonts w:ascii="宋体" w:hAnsi="宋体" w:cs="宋体" w:eastAsia="宋体" w:hint="default"/>
          <w:sz w:val="18"/>
          <w:szCs w:val="18"/>
        </w:rPr>
      </w:pPr>
      <w:r>
        <w:rPr>
          <w:rFonts w:ascii="宋体" w:hAnsi="宋体" w:cs="宋体" w:eastAsia="宋体" w:hint="default"/>
          <w:spacing w:val="-3"/>
          <w:sz w:val="18"/>
          <w:szCs w:val="18"/>
        </w:rPr>
        <w:t>公司子公司领凯科技主要从事移动互联网广告精准营销业务，其业务占公司业务比重明显增加，报告期实现营业收入</w:t>
      </w:r>
      <w:r>
        <w:rPr>
          <w:rFonts w:ascii="宋体" w:hAnsi="宋体" w:cs="宋体" w:eastAsia="宋体" w:hint="default"/>
          <w:w w:val="101"/>
          <w:sz w:val="18"/>
          <w:szCs w:val="18"/>
        </w:rPr>
        <w:t> </w:t>
      </w:r>
      <w:r>
        <w:rPr>
          <w:rFonts w:ascii="Times New Roman" w:hAnsi="Times New Roman" w:cs="Times New Roman" w:eastAsia="Times New Roman" w:hint="default"/>
          <w:spacing w:val="-3"/>
          <w:sz w:val="18"/>
          <w:szCs w:val="18"/>
        </w:rPr>
        <w:t>58,516.05</w:t>
      </w:r>
      <w:r>
        <w:rPr>
          <w:rFonts w:ascii="宋体" w:hAnsi="宋体" w:cs="宋体" w:eastAsia="宋体" w:hint="default"/>
          <w:spacing w:val="-3"/>
          <w:sz w:val="18"/>
          <w:szCs w:val="18"/>
        </w:rPr>
        <w:t>万元，占公司营业收入的</w:t>
      </w:r>
      <w:r>
        <w:rPr>
          <w:rFonts w:ascii="Times New Roman" w:hAnsi="Times New Roman" w:cs="Times New Roman" w:eastAsia="Times New Roman" w:hint="default"/>
          <w:spacing w:val="-3"/>
          <w:sz w:val="18"/>
          <w:szCs w:val="18"/>
        </w:rPr>
        <w:t>46.91%</w:t>
      </w:r>
      <w:r>
        <w:rPr>
          <w:rFonts w:ascii="宋体" w:hAnsi="宋体" w:cs="宋体" w:eastAsia="宋体" w:hint="default"/>
          <w:spacing w:val="-3"/>
          <w:sz w:val="18"/>
          <w:szCs w:val="18"/>
        </w:rPr>
        <w:t>，实现净利润</w:t>
      </w:r>
      <w:r>
        <w:rPr>
          <w:rFonts w:ascii="Times New Roman" w:hAnsi="Times New Roman" w:cs="Times New Roman" w:eastAsia="Times New Roman" w:hint="default"/>
          <w:spacing w:val="-3"/>
          <w:sz w:val="18"/>
          <w:szCs w:val="18"/>
        </w:rPr>
        <w:t>4,545.39</w:t>
      </w:r>
      <w:r>
        <w:rPr>
          <w:rFonts w:ascii="宋体" w:hAnsi="宋体" w:cs="宋体" w:eastAsia="宋体" w:hint="default"/>
          <w:spacing w:val="-3"/>
          <w:sz w:val="18"/>
          <w:szCs w:val="18"/>
        </w:rPr>
        <w:t>万元，实现归属于上市公司股东的净利润</w:t>
      </w:r>
      <w:r>
        <w:rPr>
          <w:rFonts w:ascii="Times New Roman" w:hAnsi="Times New Roman" w:cs="Times New Roman" w:eastAsia="Times New Roman" w:hint="default"/>
          <w:spacing w:val="-3"/>
          <w:sz w:val="18"/>
          <w:szCs w:val="18"/>
        </w:rPr>
        <w:t>3,131.37</w:t>
      </w:r>
      <w:r>
        <w:rPr>
          <w:rFonts w:ascii="宋体" w:hAnsi="宋体" w:cs="宋体" w:eastAsia="宋体" w:hint="default"/>
          <w:spacing w:val="-3"/>
          <w:sz w:val="18"/>
          <w:szCs w:val="18"/>
        </w:rPr>
        <w:t>万元，占</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公司合并归属于上市公司股东净利润的</w:t>
      </w:r>
      <w:r>
        <w:rPr>
          <w:rFonts w:ascii="Times New Roman" w:hAnsi="Times New Roman" w:cs="Times New Roman" w:eastAsia="Times New Roman" w:hint="default"/>
          <w:spacing w:val="-3"/>
          <w:sz w:val="18"/>
          <w:szCs w:val="18"/>
        </w:rPr>
        <w:t>49.66%</w:t>
      </w:r>
      <w:r>
        <w:rPr>
          <w:rFonts w:ascii="宋体" w:hAnsi="宋体" w:cs="宋体" w:eastAsia="宋体" w:hint="default"/>
          <w:spacing w:val="-3"/>
          <w:sz w:val="18"/>
          <w:szCs w:val="18"/>
        </w:rPr>
        <w:t>，移动互联网广告业务收入和利润占营业总收入和利润的比例较上年同期增</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幅较大。</w:t>
      </w:r>
    </w:p>
    <w:p>
      <w:pPr>
        <w:spacing w:line="300" w:lineRule="auto" w:before="26"/>
        <w:ind w:left="293" w:right="1136" w:firstLine="360"/>
        <w:jc w:val="both"/>
        <w:rPr>
          <w:rFonts w:ascii="宋体" w:hAnsi="宋体" w:cs="宋体" w:eastAsia="宋体" w:hint="default"/>
          <w:sz w:val="18"/>
          <w:szCs w:val="18"/>
        </w:rPr>
      </w:pPr>
      <w:r>
        <w:rPr>
          <w:rFonts w:ascii="宋体" w:hAnsi="宋体" w:cs="宋体" w:eastAsia="宋体" w:hint="default"/>
          <w:spacing w:val="-3"/>
          <w:sz w:val="18"/>
          <w:szCs w:val="18"/>
        </w:rPr>
        <w:t>报告期公司收购了北京金印联</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股权，北京金印联主要从事印刷包装行业的供应链管理业务，于</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月起纳入合</w:t>
      </w:r>
      <w:r>
        <w:rPr>
          <w:rFonts w:ascii="宋体" w:hAnsi="宋体" w:cs="宋体" w:eastAsia="宋体" w:hint="default"/>
          <w:w w:val="101"/>
          <w:sz w:val="18"/>
          <w:szCs w:val="18"/>
        </w:rPr>
        <w:t> </w:t>
      </w:r>
      <w:r>
        <w:rPr>
          <w:rFonts w:ascii="宋体" w:hAnsi="宋体" w:cs="宋体" w:eastAsia="宋体" w:hint="default"/>
          <w:sz w:val="18"/>
          <w:szCs w:val="18"/>
        </w:rPr>
        <w:t>并报表范围，</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7-12</w:t>
      </w:r>
      <w:r>
        <w:rPr>
          <w:rFonts w:ascii="宋体" w:hAnsi="宋体" w:cs="宋体" w:eastAsia="宋体" w:hint="default"/>
          <w:sz w:val="18"/>
          <w:szCs w:val="18"/>
        </w:rPr>
        <w:t>月， </w:t>
      </w:r>
      <w:r>
        <w:rPr>
          <w:rFonts w:ascii="宋体" w:hAnsi="宋体" w:cs="宋体" w:eastAsia="宋体" w:hint="default"/>
          <w:spacing w:val="-3"/>
          <w:sz w:val="18"/>
          <w:szCs w:val="18"/>
        </w:rPr>
        <w:t>北京金印联实现净利润</w:t>
      </w:r>
      <w:r>
        <w:rPr>
          <w:rFonts w:ascii="Times New Roman" w:hAnsi="Times New Roman" w:cs="Times New Roman" w:eastAsia="Times New Roman" w:hint="default"/>
          <w:spacing w:val="-3"/>
          <w:sz w:val="18"/>
          <w:szCs w:val="18"/>
        </w:rPr>
        <w:t>1,250.92</w:t>
      </w:r>
      <w:r>
        <w:rPr>
          <w:rFonts w:ascii="宋体" w:hAnsi="宋体" w:cs="宋体" w:eastAsia="宋体" w:hint="default"/>
          <w:spacing w:val="-3"/>
          <w:sz w:val="18"/>
          <w:szCs w:val="18"/>
        </w:rPr>
        <w:t>万元，实现归属于上市公司股东的净利润</w:t>
      </w:r>
      <w:r>
        <w:rPr>
          <w:rFonts w:ascii="Times New Roman" w:hAnsi="Times New Roman" w:cs="Times New Roman" w:eastAsia="Times New Roman" w:hint="default"/>
          <w:spacing w:val="-3"/>
          <w:sz w:val="18"/>
          <w:szCs w:val="18"/>
        </w:rPr>
        <w:t>842.85</w:t>
      </w:r>
      <w:r>
        <w:rPr>
          <w:rFonts w:ascii="宋体" w:hAnsi="宋体" w:cs="宋体" w:eastAsia="宋体" w:hint="default"/>
          <w:spacing w:val="-3"/>
          <w:sz w:val="18"/>
          <w:szCs w:val="18"/>
        </w:rPr>
        <w:t>万元，占公司</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合并归属于上市公司股东净利润的</w:t>
      </w:r>
      <w:r>
        <w:rPr>
          <w:rFonts w:ascii="Times New Roman" w:hAnsi="Times New Roman" w:cs="Times New Roman" w:eastAsia="Times New Roman" w:hint="default"/>
          <w:sz w:val="18"/>
          <w:szCs w:val="18"/>
        </w:rPr>
        <w:t>12.66%</w:t>
      </w:r>
      <w:r>
        <w:rPr>
          <w:rFonts w:ascii="宋体" w:hAnsi="宋体" w:cs="宋体" w:eastAsia="宋体" w:hint="default"/>
          <w:sz w:val="18"/>
          <w:szCs w:val="18"/>
        </w:rPr>
        <w:t>。</w:t>
      </w:r>
    </w:p>
    <w:p>
      <w:pPr>
        <w:spacing w:line="240" w:lineRule="auto" w:before="2"/>
        <w:rPr>
          <w:rFonts w:ascii="宋体" w:hAnsi="宋体" w:cs="宋体" w:eastAsia="宋体" w:hint="default"/>
          <w:sz w:val="22"/>
          <w:szCs w:val="22"/>
        </w:rPr>
      </w:pPr>
    </w:p>
    <w:p>
      <w:pPr>
        <w:pStyle w:val="Heading3"/>
        <w:spacing w:line="240" w:lineRule="auto"/>
        <w:ind w:left="293" w:right="422"/>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0"/>
        <w:rPr>
          <w:rFonts w:ascii="宋体" w:hAnsi="宋体" w:cs="宋体" w:eastAsia="宋体" w:hint="default"/>
          <w:b/>
          <w:bCs/>
          <w:sz w:val="26"/>
          <w:szCs w:val="26"/>
        </w:rPr>
      </w:pPr>
    </w:p>
    <w:p>
      <w:pPr>
        <w:spacing w:before="0"/>
        <w:ind w:left="293" w:right="422"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8"/>
        <w:rPr>
          <w:rFonts w:ascii="宋体" w:hAnsi="宋体" w:cs="宋体" w:eastAsia="宋体" w:hint="default"/>
          <w:sz w:val="7"/>
          <w:szCs w:val="7"/>
        </w:rPr>
      </w:pPr>
    </w:p>
    <w:tbl>
      <w:tblPr>
        <w:tblW w:w="0" w:type="auto"/>
        <w:jc w:val="left"/>
        <w:tblInd w:w="288" w:type="dxa"/>
        <w:tblLayout w:type="fixed"/>
        <w:tblCellMar>
          <w:top w:w="0" w:type="dxa"/>
          <w:left w:w="0" w:type="dxa"/>
          <w:bottom w:w="0" w:type="dxa"/>
          <w:right w:w="0" w:type="dxa"/>
        </w:tblCellMar>
        <w:tblLook w:val="01E0"/>
      </w:tblPr>
      <w:tblGrid>
        <w:gridCol w:w="4247"/>
        <w:gridCol w:w="5323"/>
      </w:tblGrid>
      <w:tr>
        <w:trPr>
          <w:trHeight w:val="403"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307,629,756.91</w:t>
            </w:r>
          </w:p>
        </w:tc>
      </w:tr>
      <w:tr>
        <w:trPr>
          <w:trHeight w:val="403"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24.66%</w:t>
            </w:r>
          </w:p>
        </w:tc>
      </w:tr>
      <w:tr>
        <w:trPr>
          <w:trHeight w:val="715"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8"/>
              <w:jc w:val="left"/>
              <w:rPr>
                <w:rFonts w:ascii="宋体" w:hAnsi="宋体" w:cs="宋体" w:eastAsia="宋体" w:hint="default"/>
                <w:sz w:val="18"/>
                <w:szCs w:val="18"/>
              </w:rPr>
            </w:pPr>
            <w:r>
              <w:rPr>
                <w:rFonts w:ascii="宋体" w:hAnsi="宋体" w:cs="宋体" w:eastAsia="宋体" w:hint="default"/>
                <w:spacing w:val="-3"/>
                <w:sz w:val="18"/>
                <w:szCs w:val="18"/>
              </w:rPr>
              <w:t>前五名客户销售额中关联方销售额占年度销售总额比</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4"/>
        <w:ind w:left="293" w:right="422"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大客户资料</w:t>
      </w:r>
    </w:p>
    <w:p>
      <w:pPr>
        <w:spacing w:line="240" w:lineRule="auto" w:before="7"/>
        <w:rPr>
          <w:rFonts w:ascii="宋体" w:hAnsi="宋体" w:cs="宋体" w:eastAsia="宋体" w:hint="default"/>
          <w:sz w:val="6"/>
          <w:szCs w:val="6"/>
        </w:rPr>
      </w:pPr>
    </w:p>
    <w:tbl>
      <w:tblPr>
        <w:tblW w:w="0" w:type="auto"/>
        <w:jc w:val="left"/>
        <w:tblInd w:w="300" w:type="dxa"/>
        <w:tblLayout w:type="fixed"/>
        <w:tblCellMar>
          <w:top w:w="0" w:type="dxa"/>
          <w:left w:w="0" w:type="dxa"/>
          <w:bottom w:w="0" w:type="dxa"/>
          <w:right w:w="0" w:type="dxa"/>
        </w:tblCellMar>
        <w:tblLook w:val="01E0"/>
      </w:tblPr>
      <w:tblGrid>
        <w:gridCol w:w="778"/>
        <w:gridCol w:w="3315"/>
        <w:gridCol w:w="2324"/>
        <w:gridCol w:w="3140"/>
      </w:tblGrid>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89,743,944.37</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7.19%</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73,239,508.44</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5.87%</w:t>
            </w:r>
          </w:p>
        </w:tc>
      </w:tr>
      <w:tr>
        <w:trPr>
          <w:trHeight w:val="399"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73,076,070.39</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5.86%</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36,458,295.17</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2.92%</w:t>
            </w:r>
          </w:p>
        </w:tc>
      </w:tr>
    </w:tbl>
    <w:p>
      <w:pPr>
        <w:spacing w:after="0" w:line="240" w:lineRule="auto"/>
        <w:jc w:val="right"/>
        <w:rPr>
          <w:rFonts w:ascii="Times New Roman" w:hAnsi="Times New Roman" w:cs="Times New Roman" w:eastAsia="Times New Roman" w:hint="default"/>
          <w:sz w:val="18"/>
          <w:szCs w:val="18"/>
        </w:rPr>
        <w:sectPr>
          <w:pgSz w:w="11910" w:h="16840"/>
          <w:pgMar w:header="460" w:footer="979" w:top="1100" w:bottom="1160" w:left="84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778"/>
        <w:gridCol w:w="3315"/>
        <w:gridCol w:w="2324"/>
        <w:gridCol w:w="3140"/>
      </w:tblGrid>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35,111,938.54</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2.81%</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307,629,756.91</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24.66%</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679" w:lineRule="auto" w:before="115"/>
        <w:ind w:left="153" w:right="8517" w:firstLine="0"/>
        <w:jc w:val="left"/>
        <w:rPr>
          <w:rFonts w:ascii="宋体" w:hAnsi="宋体" w:cs="宋体" w:eastAsia="宋体" w:hint="default"/>
          <w:sz w:val="18"/>
          <w:szCs w:val="18"/>
        </w:rPr>
      </w:pPr>
      <w:r>
        <w:rPr/>
        <w:pict>
          <v:shape style="position:absolute;margin-left:56.424pt;margin-top:57.781685pt;width:479.25pt;height:76.6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47"/>
                    <w:gridCol w:w="5323"/>
                  </w:tblGrid>
                  <w:tr>
                    <w:trPr>
                      <w:trHeight w:val="403"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625,077,915.46</w:t>
                        </w:r>
                      </w:p>
                    </w:tc>
                  </w:tr>
                  <w:tr>
                    <w:trPr>
                      <w:trHeight w:val="404"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55.94%</w:t>
                        </w:r>
                      </w:p>
                    </w:tc>
                  </w:tr>
                  <w:tr>
                    <w:trPr>
                      <w:trHeight w:val="715"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8"/>
                          <w:jc w:val="left"/>
                          <w:rPr>
                            <w:rFonts w:ascii="宋体" w:hAnsi="宋体" w:cs="宋体" w:eastAsia="宋体" w:hint="default"/>
                            <w:sz w:val="18"/>
                            <w:szCs w:val="18"/>
                          </w:rPr>
                        </w:pPr>
                        <w:r>
                          <w:rPr>
                            <w:rFonts w:ascii="宋体" w:hAnsi="宋体" w:cs="宋体" w:eastAsia="宋体" w:hint="default"/>
                            <w:spacing w:val="-3"/>
                            <w:sz w:val="18"/>
                            <w:szCs w:val="18"/>
                          </w:rPr>
                          <w:t>前五名供应商采购额中关联方采购额占年度采购总额</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公司主要供应商情况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9"/>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913"/>
        <w:gridCol w:w="3181"/>
        <w:gridCol w:w="2324"/>
        <w:gridCol w:w="3140"/>
      </w:tblGrid>
      <w:tr>
        <w:trPr>
          <w:trHeight w:val="485"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1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444"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left="1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81" w:type="dxa"/>
            <w:tcBorders>
              <w:top w:val="single" w:sz="33" w:space="0" w:color="D2D2D2"/>
              <w:left w:val="single" w:sz="13" w:space="0" w:color="D2D2D2"/>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4" w:type="dxa"/>
            <w:tcBorders>
              <w:top w:val="single" w:sz="33" w:space="0" w:color="D2D2D2"/>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460,998,262.19</w:t>
            </w:r>
          </w:p>
        </w:tc>
        <w:tc>
          <w:tcPr>
            <w:tcW w:w="3140" w:type="dxa"/>
            <w:tcBorders>
              <w:top w:val="single" w:sz="33" w:space="0" w:color="D2D2D2"/>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41.29%</w:t>
            </w:r>
          </w:p>
        </w:tc>
      </w:tr>
      <w:tr>
        <w:trPr>
          <w:trHeight w:val="398"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50,468,922.30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4.52%</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1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40,614,602.57</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3.64%</w:t>
            </w:r>
          </w:p>
        </w:tc>
      </w:tr>
      <w:tr>
        <w:trPr>
          <w:trHeight w:val="404"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38,838,884.16</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3.48%</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34,157,244.25</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3.01%</w:t>
            </w:r>
          </w:p>
        </w:tc>
      </w:tr>
      <w:tr>
        <w:trPr>
          <w:trHeight w:val="401"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625,077,915.46</w:t>
            </w:r>
          </w:p>
        </w:tc>
        <w:tc>
          <w:tcPr>
            <w:tcW w:w="31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55.94%</w:t>
            </w:r>
          </w:p>
        </w:tc>
      </w:tr>
    </w:tbl>
    <w:p>
      <w:pPr>
        <w:spacing w:before="5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主要供应商其他情况说明</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2"/>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1916"/>
        <w:gridCol w:w="1638"/>
        <w:gridCol w:w="1637"/>
        <w:gridCol w:w="1460"/>
        <w:gridCol w:w="3242"/>
      </w:tblGrid>
      <w:tr>
        <w:trPr>
          <w:trHeight w:val="46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tc>
        <w:tc>
          <w:tcPr>
            <w:tcW w:w="3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96"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8" w:type="dxa"/>
            <w:vMerge w:val="restart"/>
            <w:tcBorders>
              <w:top w:val="single" w:sz="27" w:space="0" w:color="D2D2D2"/>
              <w:left w:val="single" w:sz="13" w:space="0" w:color="D2D2D2"/>
              <w:right w:val="single" w:sz="4" w:space="0" w:color="000000"/>
            </w:tcBorders>
          </w:tcPr>
          <w:p>
            <w:pPr>
              <w:pStyle w:val="TableParagraph"/>
              <w:spacing w:line="240" w:lineRule="auto" w:before="158"/>
              <w:ind w:left="281" w:right="0"/>
              <w:jc w:val="left"/>
              <w:rPr>
                <w:rFonts w:ascii="Times New Roman" w:hAnsi="Times New Roman" w:cs="Times New Roman" w:eastAsia="Times New Roman" w:hint="default"/>
                <w:sz w:val="18"/>
                <w:szCs w:val="18"/>
              </w:rPr>
            </w:pPr>
            <w:r>
              <w:rPr>
                <w:rFonts w:ascii="Times New Roman"/>
                <w:sz w:val="18"/>
              </w:rPr>
              <w:t>38,452,756.05</w:t>
            </w:r>
          </w:p>
        </w:tc>
        <w:tc>
          <w:tcPr>
            <w:tcW w:w="1637" w:type="dxa"/>
            <w:vMerge w:val="restart"/>
            <w:tcBorders>
              <w:top w:val="single" w:sz="27" w:space="0" w:color="D2D2D2"/>
              <w:left w:val="single" w:sz="4" w:space="0" w:color="000000"/>
              <w:right w:val="single" w:sz="4" w:space="0" w:color="000000"/>
            </w:tcBorders>
          </w:tcPr>
          <w:p>
            <w:pPr>
              <w:pStyle w:val="TableParagraph"/>
              <w:spacing w:line="240" w:lineRule="auto" w:before="158"/>
              <w:ind w:left="292" w:right="0"/>
              <w:jc w:val="left"/>
              <w:rPr>
                <w:rFonts w:ascii="Times New Roman" w:hAnsi="Times New Roman" w:cs="Times New Roman" w:eastAsia="Times New Roman" w:hint="default"/>
                <w:sz w:val="18"/>
                <w:szCs w:val="18"/>
              </w:rPr>
            </w:pPr>
            <w:r>
              <w:rPr>
                <w:rFonts w:ascii="Times New Roman"/>
                <w:sz w:val="18"/>
              </w:rPr>
              <w:t>30,806,363.88</w:t>
            </w:r>
          </w:p>
        </w:tc>
        <w:tc>
          <w:tcPr>
            <w:tcW w:w="1460" w:type="dxa"/>
            <w:vMerge w:val="restart"/>
            <w:tcBorders>
              <w:top w:val="single" w:sz="27" w:space="0" w:color="D2D2D2"/>
              <w:left w:val="single" w:sz="4" w:space="0" w:color="000000"/>
              <w:right w:val="single" w:sz="4" w:space="0" w:color="000000"/>
            </w:tcBorders>
          </w:tcPr>
          <w:p>
            <w:pPr>
              <w:pStyle w:val="TableParagraph"/>
              <w:spacing w:line="240" w:lineRule="auto" w:before="158"/>
              <w:ind w:left="446" w:right="0"/>
              <w:jc w:val="left"/>
              <w:rPr>
                <w:rFonts w:ascii="Times New Roman" w:hAnsi="Times New Roman" w:cs="Times New Roman" w:eastAsia="Times New Roman" w:hint="default"/>
                <w:sz w:val="18"/>
                <w:szCs w:val="18"/>
              </w:rPr>
            </w:pPr>
            <w:r>
              <w:rPr>
                <w:rFonts w:ascii="Times New Roman"/>
                <w:sz w:val="18"/>
              </w:rPr>
              <w:t>24.82%</w:t>
            </w:r>
          </w:p>
        </w:tc>
        <w:tc>
          <w:tcPr>
            <w:tcW w:w="3242" w:type="dxa"/>
            <w:vMerge w:val="restart"/>
            <w:tcBorders>
              <w:top w:val="single" w:sz="27" w:space="0" w:color="D2D2D2"/>
              <w:left w:val="single" w:sz="4" w:space="0" w:color="000000"/>
              <w:right w:val="single" w:sz="4" w:space="0" w:color="000000"/>
            </w:tcBorders>
          </w:tcPr>
          <w:p>
            <w:pPr/>
          </w:p>
        </w:tc>
      </w:tr>
      <w:tr>
        <w:trPr>
          <w:trHeight w:val="485" w:hRule="exact"/>
        </w:trPr>
        <w:tc>
          <w:tcPr>
            <w:tcW w:w="1916" w:type="dxa"/>
            <w:tcBorders>
              <w:top w:val="nil" w:sz="6" w:space="0" w:color="auto"/>
              <w:left w:val="single" w:sz="4" w:space="0" w:color="000000"/>
              <w:bottom w:val="single" w:sz="4" w:space="0" w:color="FFFFFF"/>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638" w:type="dxa"/>
            <w:vMerge/>
            <w:tcBorders>
              <w:left w:val="single" w:sz="13" w:space="0" w:color="D2D2D2"/>
              <w:bottom w:val="single" w:sz="4" w:space="0" w:color="FFFFFF"/>
              <w:right w:val="single" w:sz="4" w:space="0" w:color="000000"/>
            </w:tcBorders>
          </w:tcPr>
          <w:p>
            <w:pPr/>
          </w:p>
        </w:tc>
        <w:tc>
          <w:tcPr>
            <w:tcW w:w="1637" w:type="dxa"/>
            <w:vMerge/>
            <w:tcBorders>
              <w:left w:val="single" w:sz="4" w:space="0" w:color="000000"/>
              <w:bottom w:val="single" w:sz="4" w:space="0" w:color="FFFFFF"/>
              <w:right w:val="single" w:sz="4" w:space="0" w:color="000000"/>
            </w:tcBorders>
          </w:tcPr>
          <w:p>
            <w:pPr/>
          </w:p>
        </w:tc>
        <w:tc>
          <w:tcPr>
            <w:tcW w:w="1460" w:type="dxa"/>
            <w:vMerge/>
            <w:tcBorders>
              <w:left w:val="single" w:sz="4" w:space="0" w:color="000000"/>
              <w:bottom w:val="single" w:sz="4" w:space="0" w:color="FFFFFF"/>
              <w:right w:val="single" w:sz="4" w:space="0" w:color="000000"/>
            </w:tcBorders>
          </w:tcPr>
          <w:p>
            <w:pPr/>
          </w:p>
        </w:tc>
        <w:tc>
          <w:tcPr>
            <w:tcW w:w="3242" w:type="dxa"/>
            <w:vMerge/>
            <w:tcBorders>
              <w:left w:val="single" w:sz="4" w:space="0" w:color="000000"/>
              <w:bottom w:val="single" w:sz="4" w:space="0" w:color="FFFFFF"/>
              <w:right w:val="single" w:sz="4" w:space="0" w:color="000000"/>
            </w:tcBorders>
          </w:tcPr>
          <w:p>
            <w:pPr/>
          </w:p>
        </w:tc>
      </w:tr>
      <w:tr>
        <w:trPr>
          <w:trHeight w:val="490" w:hRule="exact"/>
        </w:trPr>
        <w:tc>
          <w:tcPr>
            <w:tcW w:w="1916"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638"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124"/>
              <w:ind w:right="10"/>
              <w:jc w:val="center"/>
              <w:rPr>
                <w:rFonts w:ascii="Times New Roman" w:hAnsi="Times New Roman" w:cs="Times New Roman" w:eastAsia="Times New Roman" w:hint="default"/>
                <w:sz w:val="18"/>
                <w:szCs w:val="18"/>
              </w:rPr>
            </w:pPr>
            <w:r>
              <w:rPr>
                <w:rFonts w:ascii="Times New Roman"/>
                <w:sz w:val="18"/>
              </w:rPr>
              <w:t>32,667,220.86</w:t>
            </w:r>
          </w:p>
        </w:tc>
        <w:tc>
          <w:tcPr>
            <w:tcW w:w="163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23,329,108.21</w:t>
            </w:r>
          </w:p>
        </w:tc>
        <w:tc>
          <w:tcPr>
            <w:tcW w:w="146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40.03%</w:t>
            </w:r>
          </w:p>
        </w:tc>
        <w:tc>
          <w:tcPr>
            <w:tcW w:w="324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pacing w:val="-3"/>
                <w:sz w:val="18"/>
                <w:szCs w:val="18"/>
              </w:rPr>
              <w:t>报告期合并范围子公司增加。</w:t>
            </w:r>
          </w:p>
        </w:tc>
      </w:tr>
      <w:tr>
        <w:trPr>
          <w:trHeight w:val="552" w:hRule="exact"/>
        </w:trPr>
        <w:tc>
          <w:tcPr>
            <w:tcW w:w="1916"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638" w:type="dxa"/>
            <w:tcBorders>
              <w:top w:val="single" w:sz="4" w:space="0" w:color="000000"/>
              <w:left w:val="single" w:sz="13" w:space="0" w:color="D2D2D2"/>
              <w:bottom w:val="single" w:sz="4" w:space="0" w:color="FFFFFF"/>
              <w:right w:val="single" w:sz="4" w:space="0" w:color="000000"/>
            </w:tcBorders>
          </w:tcPr>
          <w:p>
            <w:pPr>
              <w:pStyle w:val="TableParagraph"/>
              <w:spacing w:line="240" w:lineRule="auto" w:before="153"/>
              <w:ind w:right="10"/>
              <w:jc w:val="center"/>
              <w:rPr>
                <w:rFonts w:ascii="Times New Roman" w:hAnsi="Times New Roman" w:cs="Times New Roman" w:eastAsia="Times New Roman" w:hint="default"/>
                <w:sz w:val="18"/>
                <w:szCs w:val="18"/>
              </w:rPr>
            </w:pPr>
            <w:r>
              <w:rPr>
                <w:rFonts w:ascii="Times New Roman"/>
                <w:sz w:val="18"/>
              </w:rPr>
              <w:t>13,822,195.10</w:t>
            </w:r>
          </w:p>
        </w:tc>
        <w:tc>
          <w:tcPr>
            <w:tcW w:w="163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53"/>
              <w:ind w:left="4" w:right="0"/>
              <w:jc w:val="center"/>
              <w:rPr>
                <w:rFonts w:ascii="Times New Roman" w:hAnsi="Times New Roman" w:cs="Times New Roman" w:eastAsia="Times New Roman" w:hint="default"/>
                <w:sz w:val="18"/>
                <w:szCs w:val="18"/>
              </w:rPr>
            </w:pPr>
            <w:r>
              <w:rPr>
                <w:rFonts w:ascii="Times New Roman"/>
                <w:sz w:val="18"/>
              </w:rPr>
              <w:t>8,415,655.88</w:t>
            </w:r>
          </w:p>
        </w:tc>
        <w:tc>
          <w:tcPr>
            <w:tcW w:w="146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53"/>
              <w:ind w:left="2" w:right="0"/>
              <w:jc w:val="center"/>
              <w:rPr>
                <w:rFonts w:ascii="Times New Roman" w:hAnsi="Times New Roman" w:cs="Times New Roman" w:eastAsia="Times New Roman" w:hint="default"/>
                <w:sz w:val="18"/>
                <w:szCs w:val="18"/>
              </w:rPr>
            </w:pPr>
            <w:r>
              <w:rPr>
                <w:rFonts w:ascii="Times New Roman"/>
                <w:sz w:val="18"/>
              </w:rPr>
              <w:t>64.24%</w:t>
            </w:r>
          </w:p>
        </w:tc>
        <w:tc>
          <w:tcPr>
            <w:tcW w:w="324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1"/>
              <w:ind w:left="3" w:right="0"/>
              <w:jc w:val="center"/>
              <w:rPr>
                <w:rFonts w:ascii="宋体" w:hAnsi="宋体" w:cs="宋体" w:eastAsia="宋体" w:hint="default"/>
                <w:sz w:val="18"/>
                <w:szCs w:val="18"/>
              </w:rPr>
            </w:pPr>
            <w:r>
              <w:rPr>
                <w:rFonts w:ascii="宋体" w:hAnsi="宋体" w:cs="宋体" w:eastAsia="宋体" w:hint="default"/>
                <w:spacing w:val="-3"/>
                <w:sz w:val="18"/>
                <w:szCs w:val="18"/>
              </w:rPr>
              <w:t>报告期融资规模增长，利息支出增加。</w:t>
            </w:r>
          </w:p>
        </w:tc>
      </w:tr>
      <w:tr>
        <w:trPr>
          <w:trHeight w:val="490" w:hRule="exact"/>
        </w:trPr>
        <w:tc>
          <w:tcPr>
            <w:tcW w:w="1916"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1638"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124"/>
              <w:ind w:right="10"/>
              <w:jc w:val="center"/>
              <w:rPr>
                <w:rFonts w:ascii="Times New Roman" w:hAnsi="Times New Roman" w:cs="Times New Roman" w:eastAsia="Times New Roman" w:hint="default"/>
                <w:sz w:val="18"/>
                <w:szCs w:val="18"/>
              </w:rPr>
            </w:pPr>
            <w:r>
              <w:rPr>
                <w:rFonts w:ascii="Times New Roman"/>
                <w:sz w:val="18"/>
              </w:rPr>
              <w:t>24,238,893.78</w:t>
            </w:r>
          </w:p>
        </w:tc>
        <w:tc>
          <w:tcPr>
            <w:tcW w:w="163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16,112,860.63</w:t>
            </w:r>
          </w:p>
        </w:tc>
        <w:tc>
          <w:tcPr>
            <w:tcW w:w="146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50.43%</w:t>
            </w:r>
          </w:p>
        </w:tc>
        <w:tc>
          <w:tcPr>
            <w:tcW w:w="324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pacing w:val="-3"/>
                <w:sz w:val="18"/>
                <w:szCs w:val="18"/>
              </w:rPr>
              <w:t>报告期研发项目增加，研发投入增加。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43" w:lineRule="auto" w:before="0"/>
        <w:ind w:left="575" w:right="0" w:hanging="423"/>
        <w:jc w:val="left"/>
      </w:pPr>
      <w:r>
        <w:rPr/>
        <w:t>√ 适用 □ 不适用</w:t>
      </w:r>
      <w:r>
        <w:rPr>
          <w:spacing w:val="-101"/>
        </w:rPr>
        <w:t> </w:t>
      </w:r>
      <w:r>
        <w:rPr>
          <w:spacing w:val="-101"/>
        </w:rPr>
      </w:r>
      <w:r>
        <w:rPr>
          <w:spacing w:val="-2"/>
        </w:rPr>
        <w:t>公司一贯重视技术研发和产品创新，注重研发投入。报告期内，公司坚持以市场为导向，结合公司发</w:t>
      </w:r>
    </w:p>
    <w:p>
      <w:pPr>
        <w:pStyle w:val="BodyText"/>
        <w:spacing w:line="270" w:lineRule="exact" w:before="0"/>
        <w:ind w:right="0"/>
        <w:jc w:val="left"/>
      </w:pPr>
      <w:r>
        <w:rPr/>
        <w:t>展战略，积极推进研发创新。研发工作主要围绕主营业务技术创新、药品溯源、供应链管理、互联网营销</w:t>
      </w:r>
    </w:p>
    <w:p>
      <w:pPr>
        <w:spacing w:after="0" w:line="270" w:lineRule="exact"/>
        <w:jc w:val="left"/>
        <w:sectPr>
          <w:pgSz w:w="11910" w:h="16840"/>
          <w:pgMar w:header="460" w:footer="979" w:top="1100" w:bottom="1160" w:left="980" w:right="0"/>
        </w:sectPr>
      </w:pPr>
    </w:p>
    <w:p>
      <w:pPr>
        <w:spacing w:line="240" w:lineRule="auto" w:before="7"/>
        <w:rPr>
          <w:rFonts w:ascii="宋体" w:hAnsi="宋体" w:cs="宋体" w:eastAsia="宋体" w:hint="default"/>
          <w:sz w:val="22"/>
          <w:szCs w:val="22"/>
        </w:rPr>
      </w:pPr>
    </w:p>
    <w:p>
      <w:pPr>
        <w:pStyle w:val="BodyText"/>
        <w:spacing w:line="240" w:lineRule="auto" w:before="36"/>
        <w:ind w:right="0"/>
        <w:jc w:val="left"/>
      </w:pPr>
      <w:r>
        <w:rPr/>
        <w:t>开展。</w:t>
      </w:r>
    </w:p>
    <w:p>
      <w:pPr>
        <w:pStyle w:val="BodyText"/>
        <w:spacing w:line="309" w:lineRule="auto" w:before="85"/>
        <w:ind w:right="1125" w:firstLine="422"/>
        <w:jc w:val="both"/>
      </w:pPr>
      <w:r>
        <w:rPr>
          <w:spacing w:val="-2"/>
        </w:rPr>
        <w:t>折叠纸盒和药用铝管包装的技术创新主要聚焦产品质量效率提升、材质环保节约、结构新颖独特、提</w:t>
      </w:r>
      <w:r>
        <w:rPr>
          <w:w w:val="100"/>
        </w:rPr>
        <w:t> </w:t>
      </w:r>
      <w:r>
        <w:rPr/>
        <w:t>升终端用户体验、创新和推广新材料新工艺及防伪新技术等方面为客户提升价值。</w:t>
      </w:r>
    </w:p>
    <w:p>
      <w:pPr>
        <w:pStyle w:val="BodyText"/>
        <w:spacing w:line="312" w:lineRule="auto" w:before="25"/>
        <w:ind w:right="1125" w:firstLine="422"/>
        <w:jc w:val="both"/>
      </w:pPr>
      <w:r>
        <w:rPr>
          <w:spacing w:val="-2"/>
        </w:rPr>
        <w:t>医药溯源是国家医药监管的政策性要求，公司一直走在该技术领域的前列，积累了丰富的管理经验和</w:t>
      </w:r>
      <w:r>
        <w:rPr>
          <w:w w:val="100"/>
        </w:rPr>
        <w:t> </w:t>
      </w:r>
      <w:r>
        <w:rPr>
          <w:spacing w:val="-2"/>
        </w:rPr>
        <w:t>技术储备。公司紧密关注国家药品溯源相关法规的最新要求，研发工作不仅注重药品溯源要求的高质量实</w:t>
      </w:r>
      <w:r>
        <w:rPr>
          <w:spacing w:val="-33"/>
        </w:rPr>
        <w:t> </w:t>
      </w:r>
      <w:r>
        <w:rPr>
          <w:spacing w:val="-33"/>
        </w:rPr>
      </w:r>
      <w:r>
        <w:rPr>
          <w:spacing w:val="-2"/>
        </w:rPr>
        <w:t>现，同时，不断探索在包装上同步实现患者教育、用药关怀、大数据分析等能够给客户增加价值和提升公</w:t>
      </w:r>
      <w:r>
        <w:rPr>
          <w:spacing w:val="-33"/>
        </w:rPr>
        <w:t> </w:t>
      </w:r>
      <w:r>
        <w:rPr>
          <w:spacing w:val="-33"/>
        </w:rPr>
      </w:r>
      <w:r>
        <w:rPr/>
        <w:t>司竞争力的技术创新。</w:t>
      </w:r>
    </w:p>
    <w:p>
      <w:pPr>
        <w:pStyle w:val="BodyText"/>
        <w:spacing w:line="314" w:lineRule="auto" w:before="22"/>
        <w:ind w:right="1133" w:firstLine="422"/>
        <w:jc w:val="both"/>
      </w:pPr>
      <w:r>
        <w:rPr/>
        <w:t>随着药品全国范围内带量采购的实施，</w:t>
      </w:r>
      <w:r>
        <w:rPr>
          <w:spacing w:val="65"/>
        </w:rPr>
        <w:t> </w:t>
      </w:r>
      <w:r>
        <w:rPr>
          <w:rFonts w:ascii="宋体" w:hAnsi="宋体" w:cs="宋体" w:eastAsia="宋体" w:hint="default"/>
        </w:rPr>
        <w:t>2019</w:t>
      </w:r>
      <w:r>
        <w:rPr/>
        <w:t>年公司研发重点在于推进生产及物料管理的数据化，应</w:t>
      </w:r>
      <w:r>
        <w:rPr>
          <w:w w:val="100"/>
        </w:rPr>
        <w:t> </w:t>
      </w:r>
      <w:r>
        <w:rPr/>
        <w:t>用信息化平台进行管理决策，降低综合成本，提升市场竞争力。</w:t>
      </w:r>
    </w:p>
    <w:p>
      <w:pPr>
        <w:pStyle w:val="BodyText"/>
        <w:spacing w:line="312" w:lineRule="auto"/>
        <w:ind w:right="1126" w:firstLine="422"/>
        <w:jc w:val="both"/>
      </w:pPr>
      <w:r>
        <w:rPr/>
        <w:t>互联网精准营销的研发方向主要集中在互联网广告的</w:t>
      </w:r>
      <w:r>
        <w:rPr>
          <w:rFonts w:ascii="宋体" w:hAnsi="宋体" w:cs="宋体" w:eastAsia="宋体" w:hint="default"/>
        </w:rPr>
        <w:t>UI</w:t>
      </w:r>
      <w:r>
        <w:rPr/>
        <w:t>和</w:t>
      </w:r>
      <w:r>
        <w:rPr>
          <w:rFonts w:ascii="宋体" w:hAnsi="宋体" w:cs="宋体" w:eastAsia="宋体" w:hint="default"/>
        </w:rPr>
        <w:t>WEB</w:t>
      </w:r>
      <w:r>
        <w:rPr/>
        <w:t>前端开发、广告投放引擎、数据抓取存</w:t>
      </w:r>
      <w:r>
        <w:rPr>
          <w:w w:val="100"/>
        </w:rPr>
        <w:t> </w:t>
      </w:r>
      <w:r>
        <w:rPr>
          <w:spacing w:val="-2"/>
        </w:rPr>
        <w:t>储、数据分析挖掘、计算模型算法研发，并在机器学习、人工智能等方面积极储备技术人才，为持续研发</w:t>
      </w:r>
      <w:r>
        <w:rPr>
          <w:spacing w:val="-38"/>
        </w:rPr>
        <w:t> </w:t>
      </w:r>
      <w:r>
        <w:rPr>
          <w:spacing w:val="-38"/>
        </w:rPr>
      </w:r>
      <w:r>
        <w:rPr>
          <w:spacing w:val="-2"/>
        </w:rPr>
        <w:t>升级奠定了良好的基础。公司持续推动大数据融合升级战略，在上海、北京等地部署大数据中心，通过持</w:t>
      </w:r>
      <w:r>
        <w:rPr>
          <w:spacing w:val="-33"/>
        </w:rPr>
        <w:t> </w:t>
      </w:r>
      <w:r>
        <w:rPr>
          <w:spacing w:val="-33"/>
        </w:rPr>
      </w:r>
      <w:r>
        <w:rPr/>
        <w:t>续的研发投入，推出海外高技术程序化广告平台、大数据广告爬虫平台等多个大数据营销产品。</w:t>
      </w:r>
    </w:p>
    <w:p>
      <w:pPr>
        <w:spacing w:line="240" w:lineRule="auto" w:before="12"/>
        <w:rPr>
          <w:rFonts w:ascii="宋体" w:hAnsi="宋体" w:cs="宋体" w:eastAsia="宋体" w:hint="default"/>
          <w:sz w:val="28"/>
          <w:szCs w:val="2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8"/>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2828"/>
        <w:gridCol w:w="2235"/>
        <w:gridCol w:w="2315"/>
        <w:gridCol w:w="2310"/>
      </w:tblGrid>
      <w:tr>
        <w:trPr>
          <w:trHeight w:val="403" w:hRule="exact"/>
        </w:trPr>
        <w:tc>
          <w:tcPr>
            <w:tcW w:w="28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4" w:hRule="exact"/>
        </w:trPr>
        <w:tc>
          <w:tcPr>
            <w:tcW w:w="2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p>
        </w:tc>
        <w:tc>
          <w:tcPr>
            <w:tcW w:w="22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131</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123</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6.50%</w:t>
            </w:r>
          </w:p>
        </w:tc>
      </w:tr>
      <w:tr>
        <w:trPr>
          <w:trHeight w:val="403" w:hRule="exact"/>
        </w:trPr>
        <w:tc>
          <w:tcPr>
            <w:tcW w:w="2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11.68%</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13.52%</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-1.84%</w:t>
            </w:r>
          </w:p>
        </w:tc>
      </w:tr>
      <w:tr>
        <w:trPr>
          <w:trHeight w:val="398" w:hRule="exact"/>
        </w:trPr>
        <w:tc>
          <w:tcPr>
            <w:tcW w:w="2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p>
        </w:tc>
        <w:tc>
          <w:tcPr>
            <w:tcW w:w="22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25,423,555.35</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24,505,589.41</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3.75%</w:t>
            </w:r>
          </w:p>
        </w:tc>
      </w:tr>
      <w:tr>
        <w:trPr>
          <w:trHeight w:val="403" w:hRule="exact"/>
        </w:trPr>
        <w:tc>
          <w:tcPr>
            <w:tcW w:w="2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p>
        </w:tc>
        <w:tc>
          <w:tcPr>
            <w:tcW w:w="22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2.04%</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4.41%</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-2.37%</w:t>
            </w:r>
          </w:p>
        </w:tc>
      </w:tr>
      <w:tr>
        <w:trPr>
          <w:trHeight w:val="403" w:hRule="exact"/>
        </w:trPr>
        <w:tc>
          <w:tcPr>
            <w:tcW w:w="2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研发投入资本化的金额（元）</w:t>
            </w:r>
          </w:p>
        </w:tc>
        <w:tc>
          <w:tcPr>
            <w:tcW w:w="22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6,141,509.20</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0.00</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0.00%</w:t>
            </w:r>
          </w:p>
        </w:tc>
      </w:tr>
      <w:tr>
        <w:trPr>
          <w:trHeight w:val="404" w:hRule="exact"/>
        </w:trPr>
        <w:tc>
          <w:tcPr>
            <w:tcW w:w="2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pacing w:val="-3"/>
                <w:sz w:val="18"/>
                <w:szCs w:val="18"/>
              </w:rPr>
              <w:t>资本化研发投入占研发投入的比例</w:t>
            </w:r>
          </w:p>
        </w:tc>
        <w:tc>
          <w:tcPr>
            <w:tcW w:w="22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18"/>
                <w:szCs w:val="18"/>
              </w:rPr>
            </w:pPr>
            <w:r>
              <w:rPr>
                <w:rFonts w:ascii="宋体"/>
                <w:spacing w:val="-1"/>
                <w:sz w:val="18"/>
              </w:rPr>
              <w:t>24.16%</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18"/>
                <w:szCs w:val="18"/>
              </w:rPr>
            </w:pPr>
            <w:r>
              <w:rPr>
                <w:rFonts w:ascii="宋体"/>
                <w:sz w:val="18"/>
              </w:rPr>
              <w:t>0.00%</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18"/>
                <w:szCs w:val="18"/>
              </w:rPr>
            </w:pPr>
            <w:r>
              <w:rPr>
                <w:rFonts w:ascii="宋体"/>
                <w:sz w:val="18"/>
              </w:rPr>
              <w:t>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研发投入总额占营业收入的比重较上年发生显著变化的原因</w:t>
      </w:r>
    </w:p>
    <w:p>
      <w:pPr>
        <w:spacing w:line="352" w:lineRule="auto" w:before="115"/>
        <w:ind w:left="153" w:right="10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公司</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年度的研发投入稳步增长，研发投入占比下降的主要原因是公司收购领凯科技、北京金印联后，营业收入同比大幅</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增加所致。</w:t>
      </w:r>
    </w:p>
    <w:p>
      <w:pPr>
        <w:spacing w:line="240" w:lineRule="auto" w:before="0"/>
        <w:rPr>
          <w:rFonts w:ascii="宋体" w:hAnsi="宋体" w:cs="宋体" w:eastAsia="宋体" w:hint="default"/>
          <w:sz w:val="18"/>
          <w:szCs w:val="18"/>
        </w:rPr>
      </w:pPr>
    </w:p>
    <w:p>
      <w:pPr>
        <w:spacing w:before="135"/>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研发投入资本化率大幅变动的原因及其合理性说明</w:t>
      </w:r>
    </w:p>
    <w:p>
      <w:pPr>
        <w:spacing w:line="362" w:lineRule="auto" w:before="119"/>
        <w:ind w:left="15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w w:val="101"/>
          <w:sz w:val="18"/>
          <w:szCs w:val="18"/>
        </w:rPr>
        <w:t>报告期资本化率大幅增加主要系本公司之子公司领凯科技委托江苏科鼎信息科技有限公司研发高技术程序化交易平台，根据</w:t>
      </w:r>
      <w:r>
        <w:rPr>
          <w:rFonts w:ascii="宋体" w:hAnsi="宋体" w:cs="宋体" w:eastAsia="宋体" w:hint="default"/>
          <w:w w:val="101"/>
          <w:sz w:val="18"/>
          <w:szCs w:val="18"/>
        </w:rPr>
        <w:t> </w:t>
      </w:r>
      <w:r>
        <w:rPr>
          <w:rFonts w:ascii="宋体" w:hAnsi="宋体" w:cs="宋体" w:eastAsia="宋体" w:hint="default"/>
          <w:spacing w:val="-3"/>
          <w:sz w:val="18"/>
          <w:szCs w:val="18"/>
        </w:rPr>
        <w:t>企业会计准则的规定，研究开发项目完成后，满足无形资产确认条件的，确认为无形资产。</w:t>
      </w:r>
    </w:p>
    <w:p>
      <w:pPr>
        <w:spacing w:line="240" w:lineRule="auto" w:before="11"/>
        <w:rPr>
          <w:rFonts w:ascii="宋体" w:hAnsi="宋体" w:cs="宋体" w:eastAsia="宋体" w:hint="default"/>
          <w:sz w:val="21"/>
          <w:szCs w:val="21"/>
        </w:rPr>
      </w:pPr>
    </w:p>
    <w:p>
      <w:pPr>
        <w:pStyle w:val="Heading3"/>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9"/>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97"/>
        <w:gridCol w:w="2279"/>
        <w:gridCol w:w="2391"/>
        <w:gridCol w:w="2391"/>
      </w:tblGrid>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47"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797" w:right="0"/>
              <w:jc w:val="left"/>
              <w:rPr>
                <w:rFonts w:ascii="宋体" w:hAnsi="宋体" w:cs="宋体" w:eastAsia="宋体" w:hint="default"/>
                <w:sz w:val="18"/>
                <w:szCs w:val="18"/>
              </w:rPr>
            </w:pPr>
            <w:r>
              <w:rPr>
                <w:rFonts w:ascii="宋体"/>
                <w:sz w:val="18"/>
              </w:rPr>
              <w:t>1,299,446,368.74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534,880,598.35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142.94%</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797" w:right="0"/>
              <w:jc w:val="left"/>
              <w:rPr>
                <w:rFonts w:ascii="宋体" w:hAnsi="宋体" w:cs="宋体" w:eastAsia="宋体" w:hint="default"/>
                <w:sz w:val="18"/>
                <w:szCs w:val="18"/>
              </w:rPr>
            </w:pPr>
            <w:r>
              <w:rPr>
                <w:rFonts w:ascii="宋体"/>
                <w:sz w:val="18"/>
              </w:rPr>
              <w:t>1,159,532,984.68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449,327,163.63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158.06%</w:t>
            </w:r>
          </w:p>
        </w:tc>
      </w:tr>
    </w:tbl>
    <w:p>
      <w:pPr>
        <w:spacing w:after="0" w:line="240" w:lineRule="auto"/>
        <w:jc w:val="right"/>
        <w:rPr>
          <w:rFonts w:ascii="宋体" w:hAnsi="宋体" w:cs="宋体" w:eastAsia="宋体" w:hint="default"/>
          <w:sz w:val="18"/>
          <w:szCs w:val="18"/>
        </w:rPr>
        <w:sectPr>
          <w:pgSz w:w="11910" w:h="16840"/>
          <w:pgMar w:header="46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208" w:type="dxa"/>
        <w:tblLayout w:type="fixed"/>
        <w:tblCellMar>
          <w:top w:w="0" w:type="dxa"/>
          <w:left w:w="0" w:type="dxa"/>
          <w:bottom w:w="0" w:type="dxa"/>
          <w:right w:w="0" w:type="dxa"/>
        </w:tblCellMar>
        <w:tblLook w:val="01E0"/>
      </w:tblPr>
      <w:tblGrid>
        <w:gridCol w:w="2521"/>
        <w:gridCol w:w="2267"/>
        <w:gridCol w:w="2391"/>
        <w:gridCol w:w="2391"/>
      </w:tblGrid>
      <w:tr>
        <w:trPr>
          <w:trHeight w:val="403" w:hRule="exact"/>
        </w:trPr>
        <w:tc>
          <w:tcPr>
            <w:tcW w:w="2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139,913,384.06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85,553,434.72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63.54%</w:t>
            </w:r>
          </w:p>
        </w:tc>
      </w:tr>
      <w:tr>
        <w:trPr>
          <w:trHeight w:val="398" w:hRule="exact"/>
        </w:trPr>
        <w:tc>
          <w:tcPr>
            <w:tcW w:w="2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44,218,321.78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3,530,639.05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1,152.42%</w:t>
            </w:r>
          </w:p>
        </w:tc>
      </w:tr>
      <w:tr>
        <w:trPr>
          <w:trHeight w:val="404" w:hRule="exact"/>
        </w:trPr>
        <w:tc>
          <w:tcPr>
            <w:tcW w:w="2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2"/>
                <w:sz w:val="18"/>
              </w:rPr>
              <w:t>177,695,964.90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97,261,658.17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82.70%</w:t>
            </w:r>
          </w:p>
        </w:tc>
      </w:tr>
      <w:tr>
        <w:trPr>
          <w:trHeight w:val="403" w:hRule="exact"/>
        </w:trPr>
        <w:tc>
          <w:tcPr>
            <w:tcW w:w="2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-133,477,643.12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-93,731,019.12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42.40%</w:t>
            </w:r>
          </w:p>
        </w:tc>
      </w:tr>
      <w:tr>
        <w:trPr>
          <w:trHeight w:val="403" w:hRule="exact"/>
        </w:trPr>
        <w:tc>
          <w:tcPr>
            <w:tcW w:w="2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305,036,454.03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198,707,679.54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53.51%</w:t>
            </w:r>
          </w:p>
        </w:tc>
      </w:tr>
      <w:tr>
        <w:trPr>
          <w:trHeight w:val="398" w:hRule="exact"/>
        </w:trPr>
        <w:tc>
          <w:tcPr>
            <w:tcW w:w="2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230,776,930.66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175,042,196.57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31.84%</w:t>
            </w:r>
          </w:p>
        </w:tc>
      </w:tr>
      <w:tr>
        <w:trPr>
          <w:trHeight w:val="404" w:hRule="exact"/>
        </w:trPr>
        <w:tc>
          <w:tcPr>
            <w:tcW w:w="2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74,259,523.37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23,665,482.97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213.79%</w:t>
            </w:r>
          </w:p>
        </w:tc>
      </w:tr>
      <w:tr>
        <w:trPr>
          <w:trHeight w:val="403" w:hRule="exact"/>
        </w:trPr>
        <w:tc>
          <w:tcPr>
            <w:tcW w:w="2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80,695,264.31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15,487,898.57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421.02%</w:t>
            </w:r>
          </w:p>
        </w:tc>
      </w:tr>
    </w:tbl>
    <w:p>
      <w:pPr>
        <w:spacing w:before="53"/>
        <w:ind w:left="213" w:right="3047" w:firstLine="0"/>
        <w:jc w:val="left"/>
        <w:rPr>
          <w:rFonts w:ascii="宋体" w:hAnsi="宋体" w:cs="宋体" w:eastAsia="宋体" w:hint="default"/>
          <w:sz w:val="18"/>
          <w:szCs w:val="18"/>
        </w:rPr>
      </w:pPr>
      <w:r>
        <w:rPr>
          <w:rFonts w:ascii="宋体" w:hAnsi="宋体" w:cs="宋体" w:eastAsia="宋体" w:hint="default"/>
          <w:spacing w:val="-3"/>
          <w:sz w:val="18"/>
          <w:szCs w:val="18"/>
        </w:rPr>
        <w:t>相关数据同比发生重大变动的主要影响因素说明</w:t>
      </w:r>
    </w:p>
    <w:p>
      <w:pPr>
        <w:spacing w:line="312" w:lineRule="auto" w:before="119"/>
        <w:ind w:left="213" w:right="304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经营活动现金流入同比增长</w:t>
      </w:r>
      <w:r>
        <w:rPr>
          <w:rFonts w:ascii="Times New Roman" w:hAnsi="Times New Roman" w:cs="Times New Roman" w:eastAsia="Times New Roman" w:hint="default"/>
          <w:spacing w:val="-3"/>
          <w:sz w:val="18"/>
          <w:szCs w:val="18"/>
        </w:rPr>
        <w:t>142.94%</w:t>
      </w:r>
      <w:r>
        <w:rPr>
          <w:rFonts w:ascii="宋体" w:hAnsi="宋体" w:cs="宋体" w:eastAsia="宋体" w:hint="default"/>
          <w:spacing w:val="-3"/>
          <w:sz w:val="18"/>
          <w:szCs w:val="18"/>
        </w:rPr>
        <w:t>，主要系报告期纳入合并范围增加子公司所致。</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3"/>
          <w:sz w:val="18"/>
          <w:szCs w:val="18"/>
        </w:rPr>
        <w:t>经营活动现金流出同比增长</w:t>
      </w:r>
      <w:r>
        <w:rPr>
          <w:rFonts w:ascii="Times New Roman" w:hAnsi="Times New Roman" w:cs="Times New Roman" w:eastAsia="Times New Roman" w:hint="default"/>
          <w:spacing w:val="-3"/>
          <w:sz w:val="18"/>
          <w:szCs w:val="18"/>
        </w:rPr>
        <w:t>158.06%</w:t>
      </w:r>
      <w:r>
        <w:rPr>
          <w:rFonts w:ascii="宋体" w:hAnsi="宋体" w:cs="宋体" w:eastAsia="宋体" w:hint="default"/>
          <w:spacing w:val="-3"/>
          <w:sz w:val="18"/>
          <w:szCs w:val="18"/>
        </w:rPr>
        <w:t>，主要系报告期纳入合并范围增加子公司所致。</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3"/>
          <w:sz w:val="18"/>
          <w:szCs w:val="18"/>
        </w:rPr>
        <w:t>投资活动现金流入同比增长</w:t>
      </w:r>
      <w:r>
        <w:rPr>
          <w:rFonts w:ascii="Times New Roman" w:hAnsi="Times New Roman" w:cs="Times New Roman" w:eastAsia="Times New Roman" w:hint="default"/>
          <w:spacing w:val="-3"/>
          <w:sz w:val="18"/>
          <w:szCs w:val="18"/>
        </w:rPr>
        <w:t>1152.42%</w:t>
      </w:r>
      <w:r>
        <w:rPr>
          <w:rFonts w:ascii="宋体" w:hAnsi="宋体" w:cs="宋体" w:eastAsia="宋体" w:hint="default"/>
          <w:spacing w:val="-3"/>
          <w:sz w:val="18"/>
          <w:szCs w:val="18"/>
        </w:rPr>
        <w:t>，主要系报告期纳入合并范围增加子公司所致。</w:t>
      </w:r>
    </w:p>
    <w:p>
      <w:pPr>
        <w:spacing w:line="300" w:lineRule="auto" w:before="3"/>
        <w:ind w:left="213" w:right="0" w:firstLine="0"/>
        <w:jc w:val="left"/>
        <w:rPr>
          <w:rFonts w:ascii="宋体" w:hAnsi="宋体" w:cs="宋体" w:eastAsia="宋体" w:hint="default"/>
          <w:sz w:val="18"/>
          <w:szCs w:val="18"/>
        </w:rPr>
      </w:pPr>
      <w:r>
        <w:rPr>
          <w:rFonts w:ascii="宋体" w:hAnsi="宋体" w:cs="宋体" w:eastAsia="宋体" w:hint="default"/>
          <w:spacing w:val="-3"/>
          <w:sz w:val="18"/>
          <w:szCs w:val="18"/>
        </w:rPr>
        <w:t>投资活动现金流出同比增长</w:t>
      </w:r>
      <w:r>
        <w:rPr>
          <w:rFonts w:ascii="Times New Roman" w:hAnsi="Times New Roman" w:cs="Times New Roman" w:eastAsia="Times New Roman" w:hint="default"/>
          <w:spacing w:val="-3"/>
          <w:sz w:val="18"/>
          <w:szCs w:val="18"/>
        </w:rPr>
        <w:t>82.70%</w:t>
      </w:r>
      <w:r>
        <w:rPr>
          <w:rFonts w:ascii="宋体" w:hAnsi="宋体" w:cs="宋体" w:eastAsia="宋体" w:hint="default"/>
          <w:spacing w:val="-3"/>
          <w:sz w:val="18"/>
          <w:szCs w:val="18"/>
        </w:rPr>
        <w:t>，主要系报告期公司收购北京金印联</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股权，根据协议支付了部分股权收购款。</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筹资活动现金流入同比增长</w:t>
      </w:r>
      <w:r>
        <w:rPr>
          <w:rFonts w:ascii="Times New Roman" w:hAnsi="Times New Roman" w:cs="Times New Roman" w:eastAsia="Times New Roman" w:hint="default"/>
          <w:spacing w:val="-3"/>
          <w:sz w:val="18"/>
          <w:szCs w:val="18"/>
        </w:rPr>
        <w:t>53.51%</w:t>
      </w:r>
      <w:r>
        <w:rPr>
          <w:rFonts w:ascii="宋体" w:hAnsi="宋体" w:cs="宋体" w:eastAsia="宋体" w:hint="default"/>
          <w:spacing w:val="-3"/>
          <w:sz w:val="18"/>
          <w:szCs w:val="18"/>
        </w:rPr>
        <w:t>，主要系公司借款增加。 筹资活动现金流出同比增长</w:t>
      </w:r>
      <w:r>
        <w:rPr>
          <w:rFonts w:ascii="Times New Roman" w:hAnsi="Times New Roman" w:cs="Times New Roman" w:eastAsia="Times New Roman" w:hint="default"/>
          <w:spacing w:val="-3"/>
          <w:sz w:val="18"/>
          <w:szCs w:val="18"/>
        </w:rPr>
        <w:t>31.84%</w:t>
      </w:r>
      <w:r>
        <w:rPr>
          <w:rFonts w:ascii="宋体" w:hAnsi="宋体" w:cs="宋体" w:eastAsia="宋体" w:hint="default"/>
          <w:spacing w:val="-3"/>
          <w:sz w:val="18"/>
          <w:szCs w:val="18"/>
        </w:rPr>
        <w:t>，主要系公司偿还借款增加及合并范围增加。</w:t>
      </w:r>
    </w:p>
    <w:p>
      <w:pPr>
        <w:spacing w:line="240" w:lineRule="auto" w:before="0"/>
        <w:rPr>
          <w:rFonts w:ascii="宋体" w:hAnsi="宋体" w:cs="宋体" w:eastAsia="宋体" w:hint="default"/>
          <w:sz w:val="18"/>
          <w:szCs w:val="18"/>
        </w:rPr>
      </w:pPr>
    </w:p>
    <w:p>
      <w:pPr>
        <w:spacing w:before="133"/>
        <w:ind w:left="213" w:right="3047" w:firstLine="0"/>
        <w:jc w:val="left"/>
        <w:rPr>
          <w:rFonts w:ascii="宋体" w:hAnsi="宋体" w:cs="宋体" w:eastAsia="宋体" w:hint="default"/>
          <w:sz w:val="18"/>
          <w:szCs w:val="18"/>
        </w:rPr>
      </w:pPr>
      <w:r>
        <w:rPr>
          <w:rFonts w:ascii="宋体" w:hAnsi="宋体" w:cs="宋体" w:eastAsia="宋体" w:hint="default"/>
          <w:spacing w:val="-3"/>
          <w:sz w:val="18"/>
          <w:szCs w:val="18"/>
        </w:rPr>
        <w:t>报告期内公司经营活动产生的现金净流量与本年度净利润存在重大差异的原因说明</w:t>
      </w:r>
    </w:p>
    <w:p>
      <w:pPr>
        <w:spacing w:before="119"/>
        <w:ind w:left="213" w:right="304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left="213" w:right="3047"/>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1"/>
        <w:rPr>
          <w:rFonts w:ascii="宋体" w:hAnsi="宋体" w:cs="宋体" w:eastAsia="宋体" w:hint="default"/>
          <w:b/>
          <w:bCs/>
          <w:sz w:val="24"/>
          <w:szCs w:val="24"/>
        </w:rPr>
      </w:pPr>
    </w:p>
    <w:p>
      <w:pPr>
        <w:spacing w:before="46"/>
        <w:ind w:left="213" w:right="304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690"/>
        <w:gridCol w:w="1945"/>
        <w:gridCol w:w="1642"/>
        <w:gridCol w:w="3001"/>
        <w:gridCol w:w="1566"/>
      </w:tblGrid>
      <w:tr>
        <w:trPr>
          <w:trHeight w:val="398"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占利润总额比例</w:t>
            </w:r>
          </w:p>
        </w:tc>
        <w:tc>
          <w:tcPr>
            <w:tcW w:w="3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55"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投资收益</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sz w:val="18"/>
              </w:rPr>
              <w:t>6,314,021.08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sz w:val="18"/>
              </w:rPr>
              <w:t>6.83%</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系按权益法计算的参股公司投资收益</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pacing w:val="-3"/>
                <w:sz w:val="18"/>
                <w:szCs w:val="18"/>
              </w:rPr>
              <w:t>资产减值及信用减值</w:t>
            </w:r>
            <w:r>
              <w:rPr>
                <w:rFonts w:ascii="宋体" w:hAnsi="宋体" w:cs="宋体" w:eastAsia="宋体" w:hint="default"/>
                <w:sz w:val="18"/>
                <w:szCs w:val="18"/>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sz w:val="18"/>
              </w:rPr>
              <w:t>-12,242,189.20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 w:right="0"/>
              <w:jc w:val="center"/>
              <w:rPr>
                <w:rFonts w:ascii="宋体" w:hAnsi="宋体" w:cs="宋体" w:eastAsia="宋体" w:hint="default"/>
                <w:sz w:val="18"/>
                <w:szCs w:val="18"/>
              </w:rPr>
            </w:pPr>
            <w:r>
              <w:rPr>
                <w:rFonts w:ascii="宋体"/>
                <w:sz w:val="18"/>
              </w:rPr>
              <w:t>-13.25%</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系按会计政策计提的各项减值</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sz w:val="18"/>
              </w:rPr>
              <w:t>26,857.16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sz w:val="18"/>
              </w:rPr>
              <w:t>0.03%</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主要系收到赔偿款</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营业外支出</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sz w:val="18"/>
              </w:rPr>
              <w:t>95,961.41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sz w:val="18"/>
              </w:rPr>
              <w:t>0.10%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主要系捐赠支出</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资产处置收益</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-232,223.39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sz w:val="18"/>
              </w:rPr>
              <w:t>-0.25%</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系固定资产处置损失</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sz w:val="18"/>
              </w:rPr>
              <w:t>5,538,115.95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sz w:val="18"/>
              </w:rPr>
              <w:t>5.99%</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系收到的政府补贴及享受的税收优惠</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9"/>
        <w:rPr>
          <w:rFonts w:ascii="宋体" w:hAnsi="宋体" w:cs="宋体" w:eastAsia="宋体" w:hint="default"/>
          <w:sz w:val="17"/>
          <w:szCs w:val="17"/>
        </w:rPr>
      </w:pPr>
    </w:p>
    <w:p>
      <w:pPr>
        <w:pStyle w:val="Heading2"/>
        <w:spacing w:line="240" w:lineRule="auto" w:before="26"/>
        <w:ind w:left="213" w:right="3047"/>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13" w:right="3047"/>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
        <w:rPr>
          <w:rFonts w:ascii="宋体" w:hAnsi="宋体" w:cs="宋体" w:eastAsia="宋体" w:hint="default"/>
          <w:b/>
          <w:bCs/>
          <w:sz w:val="27"/>
          <w:szCs w:val="27"/>
        </w:rPr>
      </w:pPr>
    </w:p>
    <w:p>
      <w:pPr>
        <w:spacing w:before="0"/>
        <w:ind w:left="213" w:right="0" w:firstLine="0"/>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年起首次执行新金融工具准则、新收入准则或新租赁准则且调整执行当年年初财务报表相关项目</w:t>
      </w:r>
    </w:p>
    <w:p>
      <w:pPr>
        <w:spacing w:before="101"/>
        <w:ind w:left="213" w:right="304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460" w:footer="979" w:top="1100" w:bottom="1160" w:left="920" w:right="0"/>
        </w:sectPr>
      </w:pPr>
    </w:p>
    <w:p>
      <w:pPr>
        <w:spacing w:line="240" w:lineRule="auto" w:before="3"/>
        <w:rPr>
          <w:rFonts w:ascii="宋体" w:hAnsi="宋体" w:cs="宋体" w:eastAsia="宋体" w:hint="default"/>
          <w:sz w:val="22"/>
          <w:szCs w:val="22"/>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205"/>
        <w:gridCol w:w="1196"/>
        <w:gridCol w:w="1008"/>
        <w:gridCol w:w="1196"/>
        <w:gridCol w:w="1008"/>
        <w:gridCol w:w="956"/>
        <w:gridCol w:w="3419"/>
      </w:tblGrid>
      <w:tr>
        <w:trPr>
          <w:trHeight w:val="581" w:hRule="exact"/>
        </w:trPr>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left="7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2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left="7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年初</w:t>
            </w:r>
            <w:r>
              <w:rPr>
                <w:rFonts w:ascii="宋体" w:hAnsi="宋体" w:cs="宋体" w:eastAsia="宋体" w:hint="default"/>
                <w:sz w:val="18"/>
                <w:szCs w:val="18"/>
              </w:rPr>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1" w:hRule="exact"/>
        </w:trPr>
        <w:tc>
          <w:tcPr>
            <w:tcW w:w="1205"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12" w:right="41"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13" w:right="41" w:hanging="361"/>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956" w:type="dxa"/>
            <w:vMerge/>
            <w:tcBorders>
              <w:left w:val="single" w:sz="4" w:space="0" w:color="000000"/>
              <w:bottom w:val="single" w:sz="4" w:space="0" w:color="000000"/>
              <w:right w:val="single" w:sz="4" w:space="0" w:color="000000"/>
            </w:tcBorders>
            <w:shd w:val="clear" w:color="auto" w:fill="D2D2D2"/>
          </w:tcPr>
          <w:p>
            <w:pPr/>
          </w:p>
        </w:tc>
        <w:tc>
          <w:tcPr>
            <w:tcW w:w="341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236,329,124.78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17.15%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154,833,478.74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15.66%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w:t>
            </w:r>
          </w:p>
        </w:tc>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37"/>
              <w:jc w:val="left"/>
              <w:rPr>
                <w:rFonts w:ascii="宋体" w:hAnsi="宋体" w:cs="宋体" w:eastAsia="宋体" w:hint="default"/>
                <w:sz w:val="18"/>
                <w:szCs w:val="18"/>
              </w:rPr>
            </w:pPr>
            <w:r>
              <w:rPr>
                <w:rFonts w:ascii="宋体" w:hAnsi="宋体" w:cs="宋体" w:eastAsia="宋体" w:hint="default"/>
                <w:spacing w:val="-3"/>
                <w:sz w:val="18"/>
                <w:szCs w:val="18"/>
              </w:rPr>
              <w:t>主要系报告期纳入合并范围子公司增加及</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期末回款增加。</w:t>
            </w:r>
          </w:p>
        </w:tc>
      </w:tr>
      <w:tr>
        <w:trPr>
          <w:trHeight w:val="716"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289,612,772.81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21.01%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156,727,389.92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15.85%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5.16%</w:t>
            </w:r>
          </w:p>
        </w:tc>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43"/>
              <w:jc w:val="left"/>
              <w:rPr>
                <w:rFonts w:ascii="宋体" w:hAnsi="宋体" w:cs="宋体" w:eastAsia="宋体" w:hint="default"/>
                <w:sz w:val="18"/>
                <w:szCs w:val="18"/>
              </w:rPr>
            </w:pPr>
            <w:r>
              <w:rPr>
                <w:rFonts w:ascii="宋体" w:hAnsi="宋体" w:cs="宋体" w:eastAsia="宋体" w:hint="default"/>
                <w:spacing w:val="-3"/>
                <w:sz w:val="18"/>
                <w:szCs w:val="18"/>
              </w:rPr>
              <w:t>主要系及报告期纳入合并范围子公司增加，</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3"/>
                <w:sz w:val="18"/>
                <w:szCs w:val="18"/>
              </w:rPr>
              <w:t>应收账款增加。</w:t>
            </w:r>
          </w:p>
        </w:tc>
      </w:tr>
      <w:tr>
        <w:trPr>
          <w:trHeight w:val="576"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80,689,138.70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74,774,130.50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7.56%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-1.71%</w:t>
            </w:r>
          </w:p>
        </w:tc>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pacing w:val="-3"/>
                <w:sz w:val="18"/>
                <w:szCs w:val="18"/>
              </w:rPr>
              <w:t>增幅属正常范围内。</w:t>
            </w:r>
          </w:p>
        </w:tc>
      </w:tr>
      <w:tr>
        <w:trPr>
          <w:trHeight w:val="715"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78,154,995.08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71,907,638.55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7.27%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-1.60%</w:t>
            </w:r>
          </w:p>
        </w:tc>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3"/>
              <w:jc w:val="left"/>
              <w:rPr>
                <w:rFonts w:ascii="宋体" w:hAnsi="宋体" w:cs="宋体" w:eastAsia="宋体" w:hint="default"/>
                <w:sz w:val="18"/>
                <w:szCs w:val="18"/>
              </w:rPr>
            </w:pPr>
            <w:r>
              <w:rPr>
                <w:rFonts w:ascii="宋体" w:hAnsi="宋体" w:cs="宋体" w:eastAsia="宋体" w:hint="default"/>
                <w:spacing w:val="-6"/>
                <w:sz w:val="18"/>
                <w:szCs w:val="18"/>
              </w:rPr>
              <w:t>主要系报告期权益法计算的投资收益，增幅</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3"/>
                <w:sz w:val="18"/>
                <w:szCs w:val="18"/>
              </w:rPr>
              <w:t>属正常范围内。</w:t>
            </w:r>
          </w:p>
        </w:tc>
      </w:tr>
      <w:tr>
        <w:trPr>
          <w:trHeight w:val="577"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279,827,383.40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20.30%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274,538,573.54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27.77%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-7.47%</w:t>
            </w:r>
          </w:p>
        </w:tc>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报告期无显著变动。</w:t>
            </w:r>
          </w:p>
        </w:tc>
      </w:tr>
      <w:tr>
        <w:trPr>
          <w:trHeight w:val="576"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29,368,196.51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16,807,534.38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1.70%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0.43%</w:t>
            </w:r>
          </w:p>
        </w:tc>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43"/>
              <w:jc w:val="left"/>
              <w:rPr>
                <w:rFonts w:ascii="宋体" w:hAnsi="宋体" w:cs="宋体" w:eastAsia="宋体" w:hint="default"/>
                <w:sz w:val="18"/>
                <w:szCs w:val="18"/>
              </w:rPr>
            </w:pPr>
            <w:r>
              <w:rPr>
                <w:rFonts w:ascii="宋体" w:hAnsi="宋体" w:cs="宋体" w:eastAsia="宋体" w:hint="default"/>
                <w:spacing w:val="-3"/>
                <w:sz w:val="18"/>
                <w:szCs w:val="18"/>
              </w:rPr>
              <w:t>主要系购入关键生产设备及研发中心投入。</w:t>
            </w:r>
          </w:p>
        </w:tc>
      </w:tr>
      <w:tr>
        <w:trPr>
          <w:trHeight w:val="576"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170,568,635.79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12.38%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110,258,679.54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3"/>
                <w:sz w:val="18"/>
              </w:rPr>
              <w:t>11.15%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w:t>
            </w:r>
          </w:p>
        </w:tc>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主要系报告期贷款增加。</w:t>
            </w:r>
          </w:p>
        </w:tc>
      </w:tr>
      <w:tr>
        <w:trPr>
          <w:trHeight w:val="581"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63,660,000.00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4.62%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w:t>
            </w:r>
          </w:p>
        </w:tc>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主要系报告期项目贷款增加。</w:t>
            </w:r>
          </w:p>
        </w:tc>
      </w:tr>
      <w:tr>
        <w:trPr>
          <w:trHeight w:val="576"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195,062,783.58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14.15%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77,730,656.60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7.86%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6.29%</w:t>
            </w:r>
          </w:p>
        </w:tc>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主要系应付票据结算增加。</w:t>
            </w:r>
          </w:p>
        </w:tc>
      </w:tr>
      <w:tr>
        <w:trPr>
          <w:trHeight w:val="576"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133,728,970.10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91,084,771.04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9.21%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0.49%</w:t>
            </w:r>
          </w:p>
        </w:tc>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主要系报告期合并范围增加。</w:t>
            </w:r>
          </w:p>
        </w:tc>
      </w:tr>
      <w:tr>
        <w:trPr>
          <w:trHeight w:val="576"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6,389,136.44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3,132,964.25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0.32%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0.14%</w:t>
            </w:r>
          </w:p>
        </w:tc>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主要系预收客户货款增加。</w:t>
            </w:r>
          </w:p>
        </w:tc>
      </w:tr>
      <w:tr>
        <w:trPr>
          <w:trHeight w:val="715"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13,827,108.56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10,532,309.94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-0.07%</w:t>
            </w:r>
          </w:p>
        </w:tc>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38"/>
              <w:jc w:val="left"/>
              <w:rPr>
                <w:rFonts w:ascii="宋体" w:hAnsi="宋体" w:cs="宋体" w:eastAsia="宋体" w:hint="default"/>
                <w:sz w:val="18"/>
                <w:szCs w:val="18"/>
              </w:rPr>
            </w:pPr>
            <w:r>
              <w:rPr>
                <w:rFonts w:ascii="宋体" w:hAnsi="宋体" w:cs="宋体" w:eastAsia="宋体" w:hint="default"/>
                <w:spacing w:val="-3"/>
                <w:sz w:val="18"/>
                <w:szCs w:val="18"/>
              </w:rPr>
              <w:t>主要系合并范围增加及计提归属于报告期</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的职工薪酬。</w:t>
            </w:r>
          </w:p>
        </w:tc>
      </w:tr>
      <w:tr>
        <w:trPr>
          <w:trHeight w:val="577"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11,807,369.23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6,795,575.72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0.69%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0.17%</w:t>
            </w:r>
          </w:p>
        </w:tc>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主要系报告期合并范围增加。</w:t>
            </w:r>
          </w:p>
        </w:tc>
      </w:tr>
    </w:tbl>
    <w:p>
      <w:pPr>
        <w:spacing w:line="240" w:lineRule="auto" w:before="3"/>
        <w:rPr>
          <w:rFonts w:ascii="宋体" w:hAnsi="宋体" w:cs="宋体" w:eastAsia="宋体" w:hint="default"/>
          <w:sz w:val="19"/>
          <w:szCs w:val="19"/>
        </w:rPr>
      </w:pPr>
    </w:p>
    <w:p>
      <w:pPr>
        <w:pStyle w:val="Heading3"/>
        <w:spacing w:line="240" w:lineRule="auto" w:before="36"/>
        <w:ind w:left="293" w:right="422"/>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
        <w:rPr>
          <w:rFonts w:ascii="宋体" w:hAnsi="宋体" w:cs="宋体" w:eastAsia="宋体" w:hint="default"/>
          <w:b/>
          <w:bCs/>
          <w:sz w:val="27"/>
          <w:szCs w:val="27"/>
        </w:rPr>
      </w:pPr>
    </w:p>
    <w:p>
      <w:pPr>
        <w:spacing w:before="0"/>
        <w:ind w:left="293" w:right="4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left="293" w:right="422"/>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73" w:type="dxa"/>
        <w:tblLayout w:type="fixed"/>
        <w:tblCellMar>
          <w:top w:w="0" w:type="dxa"/>
          <w:left w:w="0" w:type="dxa"/>
          <w:bottom w:w="0" w:type="dxa"/>
          <w:right w:w="0" w:type="dxa"/>
        </w:tblCellMar>
        <w:tblLook w:val="01E0"/>
      </w:tblPr>
      <w:tblGrid>
        <w:gridCol w:w="2271"/>
        <w:gridCol w:w="3260"/>
        <w:gridCol w:w="3121"/>
      </w:tblGrid>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32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17"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2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银行承兑汇票保证金</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7,371,480.26</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6,571,097.53</w:t>
            </w:r>
          </w:p>
        </w:tc>
      </w:tr>
      <w:tr>
        <w:trPr>
          <w:trHeight w:val="32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18,608,450.48</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16,034,521.86</w:t>
            </w:r>
          </w:p>
        </w:tc>
      </w:tr>
      <w:tr>
        <w:trPr>
          <w:trHeight w:val="32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10,914,551.51</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36,894,482.25</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22,605,619.39</w:t>
            </w:r>
          </w:p>
        </w:tc>
      </w:tr>
    </w:tbl>
    <w:p>
      <w:pPr>
        <w:spacing w:after="0" w:line="240" w:lineRule="auto"/>
        <w:jc w:val="right"/>
        <w:rPr>
          <w:rFonts w:ascii="宋体" w:hAnsi="宋体" w:cs="宋体" w:eastAsia="宋体" w:hint="default"/>
          <w:sz w:val="18"/>
          <w:szCs w:val="18"/>
        </w:rPr>
        <w:sectPr>
          <w:pgSz w:w="11910" w:h="16840"/>
          <w:pgMar w:header="460" w:footer="979" w:top="1100" w:bottom="1160" w:left="840" w:right="0"/>
        </w:sectPr>
      </w:pPr>
    </w:p>
    <w:p>
      <w:pPr>
        <w:spacing w:line="240" w:lineRule="auto" w:before="11"/>
        <w:rPr>
          <w:rFonts w:ascii="宋体" w:hAnsi="宋体" w:cs="宋体" w:eastAsia="宋体" w:hint="default"/>
          <w:b/>
          <w:bCs/>
          <w:sz w:val="5"/>
          <w:szCs w:val="5"/>
        </w:rPr>
      </w:pPr>
    </w:p>
    <w:p>
      <w:pPr>
        <w:spacing w:line="658" w:lineRule="exact"/>
        <w:ind w:left="104"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701.75pt;height:32.950pt;mso-position-horizontal-relative:char;mso-position-vertical-relative:line" coordorigin="0,0" coordsize="14035,659">
            <v:group style="position:absolute;left:7;top:652;width:14020;height:2" coordorigin="7,652" coordsize="14020,2">
              <v:shape style="position:absolute;left:7;top:652;width:14020;height:2" coordorigin="7,652" coordsize="14020,0" path="m7,652l14027,652e" filled="false" stroked="true" strokeweight=".72pt" strokecolor="#000000">
                <v:path arrowok="t"/>
              </v:shape>
              <v:shape style="position:absolute;left:36;top:0;width:2310;height:615" type="#_x0000_t75" stroked="false">
                <v:imagedata r:id="rId6" o:title=""/>
              </v:shape>
              <v:shape style="position:absolute;left:0;top:0;width:14035;height:659" type="#_x0000_t202" filled="false" stroked="false">
                <v:textbox inset="0,0,0,0">
                  <w:txbxContent>
                    <w:p>
                      <w:pPr>
                        <w:spacing w:line="240" w:lineRule="auto" w:before="0"/>
                        <w:rPr>
                          <w:rFonts w:ascii="宋体" w:hAnsi="宋体" w:cs="宋体" w:eastAsia="宋体" w:hint="default"/>
                          <w:b/>
                          <w:bCs/>
                          <w:sz w:val="18"/>
                          <w:szCs w:val="18"/>
                        </w:rPr>
                      </w:pPr>
                    </w:p>
                    <w:p>
                      <w:pPr>
                        <w:spacing w:before="122"/>
                        <w:ind w:left="0" w:right="29" w:firstLine="0"/>
                        <w:jc w:val="right"/>
                        <w:rPr>
                          <w:rFonts w:ascii="宋体" w:hAnsi="宋体" w:cs="宋体" w:eastAsia="宋体" w:hint="default"/>
                          <w:sz w:val="18"/>
                          <w:szCs w:val="18"/>
                        </w:rPr>
                      </w:pPr>
                      <w:r>
                        <w:rPr>
                          <w:rFonts w:ascii="宋体" w:hAnsi="宋体" w:cs="宋体" w:eastAsia="宋体" w:hint="default"/>
                          <w:spacing w:val="-3"/>
                          <w:sz w:val="18"/>
                          <w:szCs w:val="18"/>
                        </w:rPr>
                        <w:t>西安环球印务股份有限公司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年年度报告全文</w:t>
                      </w:r>
                    </w:p>
                  </w:txbxContent>
                </v:textbox>
                <w10:wrap type="none"/>
              </v:shape>
            </v:group>
          </v:group>
        </w:pict>
      </w:r>
      <w:r>
        <w:rPr>
          <w:rFonts w:ascii="宋体" w:hAnsi="宋体" w:cs="宋体" w:eastAsia="宋体" w:hint="default"/>
          <w:position w:val="-12"/>
          <w:sz w:val="20"/>
          <w:szCs w:val="20"/>
        </w:rPr>
      </w:r>
    </w:p>
    <w:p>
      <w:pPr>
        <w:pStyle w:val="Heading2"/>
        <w:spacing w:line="284" w:lineRule="exact"/>
        <w:ind w:left="140"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left="140"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1"/>
        <w:rPr>
          <w:rFonts w:ascii="宋体" w:hAnsi="宋体" w:cs="宋体" w:eastAsia="宋体" w:hint="default"/>
          <w:b/>
          <w:bCs/>
          <w:sz w:val="27"/>
          <w:szCs w:val="27"/>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pacing w:val="-3"/>
                <w:sz w:val="18"/>
                <w:szCs w:val="18"/>
              </w:rPr>
              <w:t>报告期投资额（元）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宋体" w:hAnsi="宋体" w:cs="宋体" w:eastAsia="宋体" w:hint="default"/>
                <w:sz w:val="18"/>
                <w:szCs w:val="18"/>
              </w:rPr>
            </w:pPr>
            <w:r>
              <w:rPr>
                <w:rFonts w:ascii="宋体"/>
                <w:sz w:val="18"/>
              </w:rPr>
              <w:t>168,501,900.00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sz w:val="18"/>
              </w:rPr>
              <w:t>131,860,000.00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sz w:val="18"/>
              </w:rPr>
              <w:t>27.79%</w:t>
            </w:r>
          </w:p>
        </w:tc>
      </w:tr>
    </w:tbl>
    <w:p>
      <w:pPr>
        <w:spacing w:line="240" w:lineRule="auto" w:before="3"/>
        <w:rPr>
          <w:rFonts w:ascii="宋体" w:hAnsi="宋体" w:cs="宋体" w:eastAsia="宋体" w:hint="default"/>
          <w:sz w:val="19"/>
          <w:szCs w:val="19"/>
        </w:rPr>
      </w:pPr>
    </w:p>
    <w:p>
      <w:pPr>
        <w:pStyle w:val="Heading3"/>
        <w:spacing w:line="240" w:lineRule="auto" w:before="36"/>
        <w:ind w:left="140"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2"/>
        <w:rPr>
          <w:rFonts w:ascii="宋体" w:hAnsi="宋体" w:cs="宋体" w:eastAsia="宋体" w:hint="default"/>
          <w:b/>
          <w:bCs/>
          <w:sz w:val="23"/>
          <w:szCs w:val="23"/>
        </w:rPr>
      </w:pPr>
    </w:p>
    <w:p>
      <w:pPr>
        <w:spacing w:before="46"/>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before="101"/>
        <w:ind w:left="0" w:right="884"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787"/>
        <w:gridCol w:w="783"/>
        <w:gridCol w:w="739"/>
        <w:gridCol w:w="1191"/>
        <w:gridCol w:w="734"/>
        <w:gridCol w:w="740"/>
        <w:gridCol w:w="734"/>
        <w:gridCol w:w="730"/>
        <w:gridCol w:w="734"/>
        <w:gridCol w:w="696"/>
        <w:gridCol w:w="1094"/>
        <w:gridCol w:w="1009"/>
        <w:gridCol w:w="686"/>
        <w:gridCol w:w="1589"/>
        <w:gridCol w:w="2420"/>
      </w:tblGrid>
      <w:tr>
        <w:trPr>
          <w:trHeight w:val="1647"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119" w:right="21" w:hanging="92"/>
              <w:jc w:val="left"/>
              <w:rPr>
                <w:rFonts w:ascii="宋体" w:hAnsi="宋体" w:cs="宋体" w:eastAsia="宋体" w:hint="default"/>
                <w:sz w:val="18"/>
                <w:szCs w:val="18"/>
              </w:rPr>
            </w:pPr>
            <w:r>
              <w:rPr>
                <w:rFonts w:ascii="宋体" w:hAnsi="宋体" w:cs="宋体" w:eastAsia="宋体" w:hint="default"/>
                <w:sz w:val="18"/>
                <w:szCs w:val="18"/>
              </w:rPr>
              <w:t>被投资公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司名称</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273" w:right="89" w:hanging="178"/>
              <w:jc w:val="left"/>
              <w:rPr>
                <w:rFonts w:ascii="宋体" w:hAnsi="宋体" w:cs="宋体" w:eastAsia="宋体" w:hint="default"/>
                <w:sz w:val="18"/>
                <w:szCs w:val="18"/>
              </w:rPr>
            </w:pPr>
            <w:r>
              <w:rPr>
                <w:rFonts w:ascii="宋体" w:hAnsi="宋体" w:cs="宋体" w:eastAsia="宋体" w:hint="default"/>
                <w:sz w:val="18"/>
                <w:szCs w:val="18"/>
              </w:rPr>
              <w:t>投资方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式</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268" w:right="89" w:hanging="178"/>
              <w:jc w:val="left"/>
              <w:rPr>
                <w:rFonts w:ascii="宋体" w:hAnsi="宋体" w:cs="宋体" w:eastAsia="宋体" w:hint="default"/>
                <w:sz w:val="18"/>
                <w:szCs w:val="18"/>
              </w:rPr>
            </w:pPr>
            <w:r>
              <w:rPr>
                <w:rFonts w:ascii="宋体" w:hAnsi="宋体" w:cs="宋体" w:eastAsia="宋体" w:hint="default"/>
                <w:sz w:val="18"/>
                <w:szCs w:val="18"/>
              </w:rPr>
              <w:t>持股比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274" w:right="89" w:hanging="179"/>
              <w:jc w:val="left"/>
              <w:rPr>
                <w:rFonts w:ascii="宋体" w:hAnsi="宋体" w:cs="宋体" w:eastAsia="宋体" w:hint="default"/>
                <w:sz w:val="18"/>
                <w:szCs w:val="18"/>
              </w:rPr>
            </w:pPr>
            <w:r>
              <w:rPr>
                <w:rFonts w:ascii="宋体" w:hAnsi="宋体" w:cs="宋体" w:eastAsia="宋体" w:hint="default"/>
                <w:sz w:val="18"/>
                <w:szCs w:val="18"/>
              </w:rPr>
              <w:t>资金来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268" w:right="84" w:hanging="178"/>
              <w:jc w:val="left"/>
              <w:rPr>
                <w:rFonts w:ascii="宋体" w:hAnsi="宋体" w:cs="宋体" w:eastAsia="宋体" w:hint="default"/>
                <w:sz w:val="18"/>
                <w:szCs w:val="18"/>
              </w:rPr>
            </w:pPr>
            <w:r>
              <w:rPr>
                <w:rFonts w:ascii="宋体" w:hAnsi="宋体" w:cs="宋体" w:eastAsia="宋体" w:hint="default"/>
                <w:sz w:val="18"/>
                <w:szCs w:val="18"/>
              </w:rPr>
              <w:t>投资期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273" w:right="89" w:hanging="183"/>
              <w:jc w:val="left"/>
              <w:rPr>
                <w:rFonts w:ascii="宋体" w:hAnsi="宋体" w:cs="宋体" w:eastAsia="宋体" w:hint="default"/>
                <w:sz w:val="18"/>
                <w:szCs w:val="18"/>
              </w:rPr>
            </w:pPr>
            <w:r>
              <w:rPr>
                <w:rFonts w:ascii="宋体" w:hAnsi="宋体" w:cs="宋体" w:eastAsia="宋体" w:hint="default"/>
                <w:sz w:val="18"/>
                <w:szCs w:val="18"/>
              </w:rPr>
              <w:t>产品类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1" w:right="70"/>
              <w:jc w:val="center"/>
              <w:rPr>
                <w:rFonts w:ascii="宋体" w:hAnsi="宋体" w:cs="宋体" w:eastAsia="宋体" w:hint="default"/>
                <w:sz w:val="18"/>
                <w:szCs w:val="18"/>
              </w:rPr>
            </w:pPr>
            <w:r>
              <w:rPr>
                <w:rFonts w:ascii="宋体" w:hAnsi="宋体" w:cs="宋体" w:eastAsia="宋体" w:hint="default"/>
                <w:spacing w:val="-2"/>
                <w:sz w:val="18"/>
                <w:szCs w:val="18"/>
              </w:rPr>
              <w:t>截至资</w:t>
            </w:r>
            <w:r>
              <w:rPr>
                <w:rFonts w:ascii="宋体" w:hAnsi="宋体" w:cs="宋体" w:eastAsia="宋体" w:hint="default"/>
                <w:w w:val="101"/>
                <w:sz w:val="18"/>
                <w:szCs w:val="18"/>
              </w:rPr>
              <w:t> </w:t>
            </w:r>
            <w:r>
              <w:rPr>
                <w:rFonts w:ascii="宋体" w:hAnsi="宋体" w:cs="宋体" w:eastAsia="宋体" w:hint="default"/>
                <w:spacing w:val="-2"/>
                <w:sz w:val="18"/>
                <w:szCs w:val="18"/>
              </w:rPr>
              <w:t>产负债</w:t>
            </w:r>
            <w:r>
              <w:rPr>
                <w:rFonts w:ascii="宋体" w:hAnsi="宋体" w:cs="宋体" w:eastAsia="宋体" w:hint="default"/>
                <w:w w:val="101"/>
                <w:sz w:val="18"/>
                <w:szCs w:val="18"/>
              </w:rPr>
              <w:t> </w:t>
            </w:r>
            <w:r>
              <w:rPr>
                <w:rFonts w:ascii="宋体" w:hAnsi="宋体" w:cs="宋体" w:eastAsia="宋体" w:hint="default"/>
                <w:spacing w:val="-2"/>
                <w:sz w:val="18"/>
                <w:szCs w:val="18"/>
              </w:rPr>
              <w:t>表日的</w:t>
            </w:r>
            <w:r>
              <w:rPr>
                <w:rFonts w:ascii="宋体" w:hAnsi="宋体" w:cs="宋体" w:eastAsia="宋体" w:hint="default"/>
                <w:w w:val="101"/>
                <w:sz w:val="18"/>
                <w:szCs w:val="18"/>
              </w:rPr>
              <w:t> </w:t>
            </w:r>
            <w:r>
              <w:rPr>
                <w:rFonts w:ascii="宋体" w:hAnsi="宋体" w:cs="宋体" w:eastAsia="宋体" w:hint="default"/>
                <w:spacing w:val="-2"/>
                <w:sz w:val="18"/>
                <w:szCs w:val="18"/>
              </w:rPr>
              <w:t>进展情</w:t>
            </w:r>
            <w:r>
              <w:rPr>
                <w:rFonts w:ascii="宋体" w:hAnsi="宋体" w:cs="宋体" w:eastAsia="宋体" w:hint="default"/>
                <w:w w:val="101"/>
                <w:sz w:val="18"/>
                <w:szCs w:val="18"/>
              </w:rPr>
              <w:t> </w:t>
            </w:r>
            <w:r>
              <w:rPr>
                <w:rFonts w:ascii="宋体" w:hAnsi="宋体" w:cs="宋体" w:eastAsia="宋体" w:hint="default"/>
                <w:sz w:val="18"/>
                <w:szCs w:val="18"/>
              </w:rPr>
              <w:t>况</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预计收益</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408" w:right="46" w:hanging="360"/>
              <w:jc w:val="left"/>
              <w:rPr>
                <w:rFonts w:ascii="宋体" w:hAnsi="宋体" w:cs="宋体" w:eastAsia="宋体" w:hint="default"/>
                <w:sz w:val="18"/>
                <w:szCs w:val="18"/>
              </w:rPr>
            </w:pPr>
            <w:r>
              <w:rPr>
                <w:rFonts w:ascii="宋体" w:hAnsi="宋体" w:cs="宋体" w:eastAsia="宋体" w:hint="default"/>
                <w:spacing w:val="-2"/>
                <w:sz w:val="18"/>
                <w:szCs w:val="18"/>
              </w:rPr>
              <w:t>本期投资盈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亏</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249" w:right="60" w:hanging="178"/>
              <w:jc w:val="left"/>
              <w:rPr>
                <w:rFonts w:ascii="宋体" w:hAnsi="宋体" w:cs="宋体" w:eastAsia="宋体" w:hint="default"/>
                <w:sz w:val="18"/>
                <w:szCs w:val="18"/>
              </w:rPr>
            </w:pPr>
            <w:r>
              <w:rPr>
                <w:rFonts w:ascii="宋体" w:hAnsi="宋体" w:cs="宋体" w:eastAsia="宋体" w:hint="default"/>
                <w:sz w:val="18"/>
                <w:szCs w:val="18"/>
              </w:rPr>
              <w:t>是否涉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诉</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披露日期（如有）</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2276"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23" w:right="26"/>
              <w:jc w:val="both"/>
              <w:rPr>
                <w:rFonts w:ascii="宋体" w:hAnsi="宋体" w:cs="宋体" w:eastAsia="宋体" w:hint="default"/>
                <w:sz w:val="18"/>
                <w:szCs w:val="18"/>
              </w:rPr>
            </w:pPr>
            <w:r>
              <w:rPr>
                <w:rFonts w:ascii="宋体" w:hAnsi="宋体" w:cs="宋体" w:eastAsia="宋体" w:hint="default"/>
                <w:sz w:val="18"/>
                <w:szCs w:val="18"/>
              </w:rPr>
              <w:t>北京金印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联国际供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应链管理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23" w:right="22"/>
              <w:jc w:val="both"/>
              <w:rPr>
                <w:rFonts w:ascii="宋体" w:hAnsi="宋体" w:cs="宋体" w:eastAsia="宋体" w:hint="default"/>
                <w:sz w:val="18"/>
                <w:szCs w:val="18"/>
              </w:rPr>
            </w:pPr>
            <w:r>
              <w:rPr>
                <w:rFonts w:ascii="宋体" w:hAnsi="宋体" w:cs="宋体" w:eastAsia="宋体" w:hint="default"/>
                <w:sz w:val="18"/>
                <w:szCs w:val="18"/>
              </w:rPr>
              <w:t>印刷包装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产业的供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应链管理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服务</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38"/>
              <w:jc w:val="right"/>
              <w:rPr>
                <w:rFonts w:ascii="宋体" w:hAnsi="宋体" w:cs="宋体" w:eastAsia="宋体" w:hint="default"/>
                <w:sz w:val="18"/>
                <w:szCs w:val="18"/>
              </w:rPr>
            </w:pPr>
            <w:r>
              <w:rPr>
                <w:rFonts w:ascii="宋体" w:hAnsi="宋体" w:cs="宋体" w:eastAsia="宋体" w:hint="default"/>
                <w:sz w:val="18"/>
                <w:szCs w:val="18"/>
              </w:rPr>
              <w:t>收购</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121,607,900.00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70.00%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161"/>
              <w:jc w:val="left"/>
              <w:rPr>
                <w:rFonts w:ascii="宋体" w:hAnsi="宋体" w:cs="宋体" w:eastAsia="宋体" w:hint="default"/>
                <w:sz w:val="18"/>
                <w:szCs w:val="18"/>
              </w:rPr>
            </w:pPr>
            <w:r>
              <w:rPr>
                <w:rFonts w:ascii="宋体" w:hAnsi="宋体" w:cs="宋体" w:eastAsia="宋体" w:hint="default"/>
                <w:sz w:val="18"/>
                <w:szCs w:val="18"/>
              </w:rPr>
              <w:t>自有资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73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23" w:right="-32"/>
              <w:jc w:val="both"/>
              <w:rPr>
                <w:rFonts w:ascii="宋体" w:hAnsi="宋体" w:cs="宋体" w:eastAsia="宋体" w:hint="default"/>
                <w:sz w:val="18"/>
                <w:szCs w:val="18"/>
              </w:rPr>
            </w:pPr>
            <w:r>
              <w:rPr>
                <w:rFonts w:ascii="宋体" w:hAnsi="宋体" w:cs="宋体" w:eastAsia="宋体" w:hint="default"/>
                <w:sz w:val="18"/>
                <w:szCs w:val="18"/>
              </w:rPr>
              <w:t>徐天平、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王雪艺、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邓志坚、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曾庆赞</w:t>
            </w:r>
          </w:p>
        </w:tc>
        <w:tc>
          <w:tcPr>
            <w:tcW w:w="73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sz w:val="18"/>
                <w:szCs w:val="18"/>
              </w:rPr>
              <w:t>长期</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35"/>
              <w:jc w:val="right"/>
              <w:rPr>
                <w:rFonts w:ascii="宋体" w:hAnsi="宋体" w:cs="宋体" w:eastAsia="宋体" w:hint="default"/>
                <w:sz w:val="18"/>
                <w:szCs w:val="18"/>
              </w:rPr>
            </w:pPr>
            <w:r>
              <w:rPr>
                <w:rFonts w:ascii="宋体" w:hAnsi="宋体" w:cs="宋体" w:eastAsia="宋体" w:hint="default"/>
                <w:sz w:val="18"/>
                <w:szCs w:val="18"/>
              </w:rPr>
              <w:t>其他</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118"/>
              <w:jc w:val="both"/>
              <w:rPr>
                <w:rFonts w:ascii="宋体" w:hAnsi="宋体" w:cs="宋体" w:eastAsia="宋体" w:hint="default"/>
                <w:sz w:val="18"/>
                <w:szCs w:val="18"/>
              </w:rPr>
            </w:pPr>
            <w:r>
              <w:rPr>
                <w:rFonts w:ascii="宋体" w:hAnsi="宋体" w:cs="宋体" w:eastAsia="宋体" w:hint="default"/>
                <w:sz w:val="18"/>
                <w:szCs w:val="18"/>
              </w:rPr>
              <w:t>涉及的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股权已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全部过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户并完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成工商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变更手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续</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66,000,000.00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8,428,515.46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1"/>
              <w:ind w:left="24" w:right="0"/>
              <w:jc w:val="both"/>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p>
            <w:pPr>
              <w:pStyle w:val="TableParagraph"/>
              <w:spacing w:line="314" w:lineRule="auto" w:before="63"/>
              <w:ind w:left="24" w:right="22"/>
              <w:jc w:val="both"/>
              <w:rPr>
                <w:rFonts w:ascii="宋体" w:hAnsi="宋体" w:cs="宋体" w:eastAsia="宋体" w:hint="default"/>
                <w:sz w:val="18"/>
                <w:szCs w:val="18"/>
              </w:rPr>
            </w:pPr>
            <w:r>
              <w:rPr>
                <w:rFonts w:ascii="宋体" w:hAnsi="宋体" w:cs="宋体" w:eastAsia="宋体" w:hint="default"/>
                <w:spacing w:val="-3"/>
                <w:sz w:val="18"/>
                <w:szCs w:val="18"/>
              </w:rPr>
              <w:t>《西安环球印务股份有限公司</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关于收购北京金印联国际供应</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链管理有限公司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股权的公</w:t>
            </w:r>
            <w:r>
              <w:rPr>
                <w:rFonts w:ascii="宋体" w:hAnsi="宋体" w:cs="宋体" w:eastAsia="宋体" w:hint="default"/>
                <w:w w:val="101"/>
                <w:sz w:val="18"/>
                <w:szCs w:val="18"/>
              </w:rPr>
              <w:t> </w:t>
            </w:r>
            <w:r>
              <w:rPr>
                <w:rFonts w:ascii="宋体" w:hAnsi="宋体" w:cs="宋体" w:eastAsia="宋体" w:hint="default"/>
                <w:spacing w:val="-8"/>
                <w:w w:val="101"/>
                <w:sz w:val="18"/>
                <w:szCs w:val="18"/>
              </w:rPr>
              <w:t>告》（公告编号：</w:t>
            </w:r>
            <w:r>
              <w:rPr>
                <w:rFonts w:ascii="Times New Roman" w:hAnsi="Times New Roman" w:cs="Times New Roman" w:eastAsia="Times New Roman" w:hint="default"/>
                <w:spacing w:val="-8"/>
                <w:w w:val="101"/>
                <w:sz w:val="18"/>
                <w:szCs w:val="18"/>
              </w:rPr>
              <w:t>2019-028</w:t>
            </w:r>
            <w:r>
              <w:rPr>
                <w:rFonts w:ascii="宋体" w:hAnsi="宋体" w:cs="宋体" w:eastAsia="宋体" w:hint="default"/>
                <w:spacing w:val="-8"/>
                <w:w w:val="101"/>
                <w:sz w:val="18"/>
                <w:szCs w:val="18"/>
              </w:rPr>
              <w:t>）</w:t>
            </w:r>
            <w:r>
              <w:rPr>
                <w:rFonts w:ascii="宋体" w:hAnsi="宋体" w:cs="宋体" w:eastAsia="宋体" w:hint="default"/>
                <w:spacing w:val="-8"/>
                <w:sz w:val="18"/>
                <w:szCs w:val="18"/>
              </w:rPr>
            </w:r>
          </w:p>
        </w:tc>
      </w:tr>
      <w:tr>
        <w:trPr>
          <w:trHeight w:val="404"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1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18"/>
                <w:szCs w:val="18"/>
              </w:rPr>
            </w:pPr>
            <w:r>
              <w:rPr>
                <w:rFonts w:ascii="Times New Roman"/>
                <w:sz w:val="18"/>
              </w:rPr>
              <w:t>121,607,900.00</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05"/>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05"/>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18"/>
                <w:szCs w:val="18"/>
              </w:rPr>
            </w:pPr>
            <w:r>
              <w:rPr>
                <w:rFonts w:ascii="Times New Roman"/>
                <w:sz w:val="18"/>
              </w:rPr>
              <w:t>66,000,000.00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8,428,515.46</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before="78"/>
        <w:ind w:left="0" w:right="788" w:firstLine="0"/>
        <w:jc w:val="right"/>
        <w:rPr>
          <w:rFonts w:ascii="Times New Roman" w:hAnsi="Times New Roman" w:cs="Times New Roman" w:eastAsia="Times New Roman" w:hint="default"/>
          <w:sz w:val="18"/>
          <w:szCs w:val="18"/>
        </w:rPr>
      </w:pPr>
      <w:r>
        <w:rPr>
          <w:rFonts w:ascii="Times New Roman"/>
          <w:sz w:val="18"/>
        </w:rPr>
        <w:t>24</w: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5" name="image1.jpeg" descr=""/>
            <wp:cNvGraphicFramePr>
              <a:graphicFrameLocks noChangeAspect="1"/>
            </wp:cNvGraphicFramePr>
            <a:graphic>
              <a:graphicData uri="http://schemas.openxmlformats.org/drawingml/2006/picture">
                <pic:pic>
                  <pic:nvPicPr>
                    <pic:cNvPr id="6" name="image1.jpeg"/>
                    <pic:cNvPicPr/>
                  </pic:nvPicPr>
                  <pic:blipFill>
                    <a:blip r:embed="rId15"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13"/>
          <w:footerReference w:type="default" r:id="rId14"/>
          <w:pgSz w:w="16840" w:h="11910" w:orient="landscape"/>
          <w:pgMar w:header="0" w:footer="0" w:top="380" w:bottom="0" w:left="1300" w:right="640"/>
        </w:sectPr>
      </w:pPr>
    </w:p>
    <w:p>
      <w:pPr>
        <w:spacing w:line="240" w:lineRule="auto" w:before="6"/>
        <w:rPr>
          <w:rFonts w:ascii="Times New Roman" w:hAnsi="Times New Roman" w:cs="Times New Roman" w:eastAsia="Times New Roman" w:hint="default"/>
          <w:sz w:val="23"/>
          <w:szCs w:val="23"/>
        </w:rPr>
      </w:pPr>
    </w:p>
    <w:p>
      <w:pPr>
        <w:pStyle w:val="Heading3"/>
        <w:spacing w:line="240" w:lineRule="auto" w:before="36"/>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7"/>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0"/>
        <w:ind w:left="0" w:right="1131" w:firstLine="0"/>
        <w:jc w:val="right"/>
        <w:rPr>
          <w:rFonts w:ascii="宋体" w:hAnsi="宋体" w:cs="宋体" w:eastAsia="宋体" w:hint="default"/>
          <w:sz w:val="18"/>
          <w:szCs w:val="18"/>
        </w:rPr>
      </w:pPr>
      <w:r>
        <w:rPr/>
        <w:pict>
          <v:shape style="position:absolute;margin-left:56.424pt;margin-top:-239.63826pt;width:479.25pt;height:319.5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64"/>
                    <w:gridCol w:w="879"/>
                    <w:gridCol w:w="869"/>
                    <w:gridCol w:w="869"/>
                    <w:gridCol w:w="869"/>
                    <w:gridCol w:w="874"/>
                    <w:gridCol w:w="869"/>
                    <w:gridCol w:w="869"/>
                    <w:gridCol w:w="869"/>
                    <w:gridCol w:w="874"/>
                  </w:tblGrid>
                  <w:tr>
                    <w:trPr>
                      <w:trHeight w:val="1340"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54" w:right="70" w:hanging="183"/>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2" w:right="60"/>
                          <w:jc w:val="both"/>
                          <w:rPr>
                            <w:rFonts w:ascii="宋体" w:hAnsi="宋体" w:cs="宋体" w:eastAsia="宋体" w:hint="default"/>
                            <w:sz w:val="18"/>
                            <w:szCs w:val="18"/>
                          </w:rPr>
                        </w:pPr>
                        <w:r>
                          <w:rPr>
                            <w:rFonts w:ascii="宋体" w:hAnsi="宋体" w:cs="宋体" w:eastAsia="宋体" w:hint="default"/>
                            <w:sz w:val="18"/>
                            <w:szCs w:val="18"/>
                          </w:rPr>
                          <w:t>本期已使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1" w:right="60"/>
                          <w:jc w:val="both"/>
                          <w:rPr>
                            <w:rFonts w:ascii="宋体" w:hAnsi="宋体" w:cs="宋体" w:eastAsia="宋体" w:hint="default"/>
                            <w:sz w:val="18"/>
                            <w:szCs w:val="18"/>
                          </w:rPr>
                        </w:pPr>
                        <w:r>
                          <w:rPr>
                            <w:rFonts w:ascii="宋体" w:hAnsi="宋体" w:cs="宋体" w:eastAsia="宋体" w:hint="default"/>
                            <w:sz w:val="18"/>
                            <w:szCs w:val="18"/>
                          </w:rPr>
                          <w:t>已累计使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7" w:right="65"/>
                          <w:jc w:val="both"/>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变更用途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60"/>
                          <w:jc w:val="center"/>
                          <w:rPr>
                            <w:rFonts w:ascii="宋体" w:hAnsi="宋体" w:cs="宋体" w:eastAsia="宋体" w:hint="default"/>
                            <w:sz w:val="18"/>
                            <w:szCs w:val="18"/>
                          </w:rPr>
                        </w:pPr>
                        <w:r>
                          <w:rPr>
                            <w:rFonts w:ascii="宋体" w:hAnsi="宋体" w:cs="宋体" w:eastAsia="宋体" w:hint="default"/>
                            <w:spacing w:val="-2"/>
                            <w:sz w:val="18"/>
                            <w:szCs w:val="18"/>
                          </w:rPr>
                          <w:t>累计变更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用途的募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集资金总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2" w:right="60"/>
                          <w:jc w:val="both"/>
                          <w:rPr>
                            <w:rFonts w:ascii="宋体" w:hAnsi="宋体" w:cs="宋体" w:eastAsia="宋体" w:hint="default"/>
                            <w:sz w:val="18"/>
                            <w:szCs w:val="18"/>
                          </w:rPr>
                        </w:pPr>
                        <w:r>
                          <w:rPr>
                            <w:rFonts w:ascii="宋体" w:hAnsi="宋体" w:cs="宋体" w:eastAsia="宋体" w:hint="default"/>
                            <w:sz w:val="18"/>
                            <w:szCs w:val="18"/>
                          </w:rPr>
                          <w:t>累计变更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用途的募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集资金总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2"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1"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募集资金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用途及去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向</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1" w:right="65"/>
                          <w:jc w:val="both"/>
                          <w:rPr>
                            <w:rFonts w:ascii="宋体" w:hAnsi="宋体" w:cs="宋体" w:eastAsia="宋体" w:hint="default"/>
                            <w:sz w:val="18"/>
                            <w:szCs w:val="18"/>
                          </w:rPr>
                        </w:pPr>
                        <w:r>
                          <w:rPr>
                            <w:rFonts w:ascii="宋体" w:hAnsi="宋体" w:cs="宋体" w:eastAsia="宋体" w:hint="default"/>
                            <w:sz w:val="18"/>
                            <w:szCs w:val="18"/>
                          </w:rPr>
                          <w:t>闲置两年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以上募集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资金金额</w:t>
                        </w:r>
                      </w:p>
                    </w:tc>
                  </w:tr>
                  <w:tr>
                    <w:trPr>
                      <w:trHeight w:val="165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2016</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公开发行</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16,880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1,832.85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15,464.39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1,415.61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08"/>
                          <w:jc w:val="both"/>
                          <w:rPr>
                            <w:rFonts w:ascii="宋体" w:hAnsi="宋体" w:cs="宋体" w:eastAsia="宋体" w:hint="default"/>
                            <w:sz w:val="18"/>
                            <w:szCs w:val="18"/>
                          </w:rPr>
                        </w:pPr>
                        <w:r>
                          <w:rPr>
                            <w:rFonts w:ascii="宋体" w:hAnsi="宋体" w:cs="宋体" w:eastAsia="宋体" w:hint="default"/>
                            <w:sz w:val="18"/>
                            <w:szCs w:val="18"/>
                          </w:rPr>
                          <w:t>公司尚未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使用的募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集资金存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放于募集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资金专户</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16,880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1,832.85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15,464.39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1,415.61</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1"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pacing w:val="-3"/>
                            <w:sz w:val="18"/>
                            <w:szCs w:val="18"/>
                          </w:rPr>
                          <w:t>募集资金总体使用情况说明</w:t>
                        </w:r>
                      </w:p>
                    </w:tc>
                  </w:tr>
                  <w:tr>
                    <w:trPr>
                      <w:trHeight w:val="2588" w:hRule="exact"/>
                    </w:trPr>
                    <w:tc>
                      <w:tcPr>
                        <w:tcW w:w="9570"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22"/>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西安环球印务股份有限公司经中国证券监督管理委员会</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证监许可〔</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1012 </w:t>
                        </w:r>
                        <w:r>
                          <w:rPr>
                            <w:rFonts w:ascii="宋体" w:hAnsi="宋体" w:cs="宋体" w:eastAsia="宋体" w:hint="default"/>
                            <w:spacing w:val="-4"/>
                            <w:sz w:val="18"/>
                            <w:szCs w:val="18"/>
                          </w:rPr>
                          <w:t>号文</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核准，首次向社会公众公开发行人民</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股）股票 </w:t>
                        </w:r>
                        <w:r>
                          <w:rPr>
                            <w:rFonts w:ascii="Times New Roman" w:hAnsi="Times New Roman" w:cs="Times New Roman" w:eastAsia="Times New Roman" w:hint="default"/>
                            <w:sz w:val="18"/>
                            <w:szCs w:val="18"/>
                          </w:rPr>
                          <w:t>2,500.00 </w:t>
                        </w:r>
                        <w:r>
                          <w:rPr>
                            <w:rFonts w:ascii="宋体" w:hAnsi="宋体" w:cs="宋体" w:eastAsia="宋体" w:hint="default"/>
                            <w:spacing w:val="-3"/>
                            <w:sz w:val="18"/>
                            <w:szCs w:val="18"/>
                          </w:rPr>
                          <w:t>万股并在深圳证券交易所上市，发行价格为每股人民币 </w:t>
                        </w:r>
                        <w:r>
                          <w:rPr>
                            <w:rFonts w:ascii="Times New Roman" w:hAnsi="Times New Roman" w:cs="Times New Roman" w:eastAsia="Times New Roman" w:hint="default"/>
                            <w:sz w:val="18"/>
                            <w:szCs w:val="18"/>
                          </w:rPr>
                          <w:t>7.98 </w:t>
                        </w:r>
                        <w:r>
                          <w:rPr>
                            <w:rFonts w:ascii="宋体" w:hAnsi="宋体" w:cs="宋体" w:eastAsia="宋体" w:hint="default"/>
                            <w:sz w:val="18"/>
                            <w:szCs w:val="18"/>
                          </w:rPr>
                          <w:t>元，共计募集资金</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19,950.00</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万元，扣除发行费用 </w:t>
                        </w:r>
                        <w:r>
                          <w:rPr>
                            <w:rFonts w:ascii="Times New Roman" w:hAnsi="Times New Roman" w:cs="Times New Roman" w:eastAsia="Times New Roman" w:hint="default"/>
                            <w:sz w:val="18"/>
                            <w:szCs w:val="18"/>
                          </w:rPr>
                          <w:t>3,070.00 </w:t>
                        </w:r>
                        <w:r>
                          <w:rPr>
                            <w:rFonts w:ascii="宋体" w:hAnsi="宋体" w:cs="宋体" w:eastAsia="宋体" w:hint="default"/>
                            <w:spacing w:val="-3"/>
                            <w:sz w:val="18"/>
                            <w:szCs w:val="18"/>
                          </w:rPr>
                          <w:t>万元后，募集资金净额为人民币 </w:t>
                        </w:r>
                        <w:r>
                          <w:rPr>
                            <w:rFonts w:ascii="Times New Roman" w:hAnsi="Times New Roman" w:cs="Times New Roman" w:eastAsia="Times New Roman" w:hint="default"/>
                            <w:sz w:val="18"/>
                            <w:szCs w:val="18"/>
                          </w:rPr>
                          <w:t>16,880.00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万元。希格玛会计师事务所（特殊普通合伙）对</w:t>
                        </w:r>
                      </w:p>
                      <w:p>
                        <w:pPr>
                          <w:pStyle w:val="TableParagraph"/>
                          <w:spacing w:line="312" w:lineRule="auto" w:before="63"/>
                          <w:ind w:left="24" w:right="19"/>
                          <w:jc w:val="left"/>
                          <w:rPr>
                            <w:rFonts w:ascii="宋体" w:hAnsi="宋体" w:cs="宋体" w:eastAsia="宋体" w:hint="default"/>
                            <w:sz w:val="18"/>
                            <w:szCs w:val="18"/>
                          </w:rPr>
                        </w:pPr>
                        <w:r>
                          <w:rPr>
                            <w:rFonts w:ascii="宋体" w:hAnsi="宋体" w:cs="宋体" w:eastAsia="宋体" w:hint="default"/>
                            <w:spacing w:val="-4"/>
                            <w:w w:val="101"/>
                            <w:sz w:val="18"/>
                            <w:szCs w:val="18"/>
                          </w:rPr>
                          <w:t>公司本次公开发行股票的募集资金到位情况进行了审验，于</w:t>
                        </w:r>
                        <w:r>
                          <w:rPr>
                            <w:rFonts w:ascii="宋体" w:hAnsi="宋体" w:cs="宋体" w:eastAsia="宋体" w:hint="default"/>
                            <w:spacing w:val="-46"/>
                            <w:w w:val="101"/>
                            <w:sz w:val="18"/>
                            <w:szCs w:val="18"/>
                          </w:rPr>
                          <w:t> </w:t>
                        </w:r>
                        <w:r>
                          <w:rPr>
                            <w:rFonts w:ascii="Times New Roman" w:hAnsi="Times New Roman" w:cs="Times New Roman" w:eastAsia="Times New Roman" w:hint="default"/>
                            <w:spacing w:val="-2"/>
                            <w:w w:val="101"/>
                            <w:sz w:val="18"/>
                            <w:szCs w:val="18"/>
                          </w:rPr>
                          <w:t>2016</w:t>
                        </w:r>
                        <w:r>
                          <w:rPr>
                            <w:rFonts w:ascii="Times New Roman" w:hAnsi="Times New Roman" w:cs="Times New Roman" w:eastAsia="Times New Roman" w:hint="default"/>
                            <w:spacing w:val="-1"/>
                            <w:w w:val="101"/>
                            <w:sz w:val="18"/>
                            <w:szCs w:val="18"/>
                          </w:rPr>
                          <w:t> </w:t>
                        </w:r>
                        <w:r>
                          <w:rPr>
                            <w:rFonts w:ascii="宋体" w:hAnsi="宋体" w:cs="宋体" w:eastAsia="宋体" w:hint="default"/>
                            <w:w w:val="101"/>
                            <w:sz w:val="18"/>
                            <w:szCs w:val="18"/>
                          </w:rPr>
                          <w:t>年</w:t>
                        </w:r>
                        <w:r>
                          <w:rPr>
                            <w:rFonts w:ascii="宋体" w:hAnsi="宋体" w:cs="宋体" w:eastAsia="宋体" w:hint="default"/>
                            <w:spacing w:val="-47"/>
                            <w:w w:val="101"/>
                            <w:sz w:val="18"/>
                            <w:szCs w:val="18"/>
                          </w:rPr>
                          <w:t> </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1"/>
                            <w:w w:val="101"/>
                            <w:sz w:val="18"/>
                            <w:szCs w:val="18"/>
                          </w:rPr>
                          <w:t> </w:t>
                        </w:r>
                        <w:r>
                          <w:rPr>
                            <w:rFonts w:ascii="宋体" w:hAnsi="宋体" w:cs="宋体" w:eastAsia="宋体" w:hint="default"/>
                            <w:w w:val="101"/>
                            <w:sz w:val="18"/>
                            <w:szCs w:val="18"/>
                          </w:rPr>
                          <w:t>月</w:t>
                        </w:r>
                        <w:r>
                          <w:rPr>
                            <w:rFonts w:ascii="宋体" w:hAnsi="宋体" w:cs="宋体" w:eastAsia="宋体" w:hint="default"/>
                            <w:spacing w:val="-47"/>
                            <w:w w:val="101"/>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2"/>
                            <w:w w:val="101"/>
                            <w:sz w:val="18"/>
                            <w:szCs w:val="18"/>
                          </w:rPr>
                          <w:t>日出具了</w:t>
                        </w:r>
                        <w:r>
                          <w:rPr>
                            <w:rFonts w:ascii="Times New Roman" w:hAnsi="Times New Roman" w:cs="Times New Roman" w:eastAsia="Times New Roman" w:hint="default"/>
                            <w:spacing w:val="-2"/>
                            <w:w w:val="101"/>
                            <w:sz w:val="18"/>
                            <w:szCs w:val="18"/>
                          </w:rPr>
                          <w:t>“</w:t>
                        </w:r>
                        <w:r>
                          <w:rPr>
                            <w:rFonts w:ascii="宋体" w:hAnsi="宋体" w:cs="宋体" w:eastAsia="宋体" w:hint="default"/>
                            <w:spacing w:val="-2"/>
                            <w:w w:val="101"/>
                            <w:sz w:val="18"/>
                            <w:szCs w:val="18"/>
                          </w:rPr>
                          <w:t>希会验字</w:t>
                        </w:r>
                        <w:r>
                          <w:rPr>
                            <w:rFonts w:ascii="Times New Roman" w:hAnsi="Times New Roman" w:cs="Times New Roman" w:eastAsia="Times New Roman" w:hint="default"/>
                            <w:spacing w:val="-2"/>
                            <w:w w:val="101"/>
                            <w:sz w:val="18"/>
                            <w:szCs w:val="18"/>
                          </w:rPr>
                          <w:t>[2016]0046</w:t>
                        </w:r>
                        <w:r>
                          <w:rPr>
                            <w:rFonts w:ascii="Times New Roman" w:hAnsi="Times New Roman" w:cs="Times New Roman" w:eastAsia="Times New Roman" w:hint="default"/>
                            <w:spacing w:val="-7"/>
                            <w:w w:val="101"/>
                            <w:sz w:val="18"/>
                            <w:szCs w:val="18"/>
                          </w:rPr>
                          <w:t> </w:t>
                        </w:r>
                        <w:r>
                          <w:rPr>
                            <w:rFonts w:ascii="宋体" w:hAnsi="宋体" w:cs="宋体" w:eastAsia="宋体" w:hint="default"/>
                            <w:spacing w:val="-19"/>
                            <w:w w:val="101"/>
                            <w:sz w:val="18"/>
                            <w:szCs w:val="18"/>
                          </w:rPr>
                          <w:t>号</w:t>
                        </w:r>
                        <w:r>
                          <w:rPr>
                            <w:rFonts w:ascii="Times New Roman" w:hAnsi="Times New Roman" w:cs="Times New Roman" w:eastAsia="Times New Roman" w:hint="default"/>
                            <w:spacing w:val="-19"/>
                            <w:w w:val="101"/>
                            <w:sz w:val="18"/>
                            <w:szCs w:val="18"/>
                          </w:rPr>
                          <w:t>”</w:t>
                        </w:r>
                        <w:r>
                          <w:rPr>
                            <w:rFonts w:ascii="宋体" w:hAnsi="宋体" w:cs="宋体" w:eastAsia="宋体" w:hint="default"/>
                            <w:spacing w:val="-19"/>
                            <w:w w:val="101"/>
                            <w:sz w:val="18"/>
                            <w:szCs w:val="18"/>
                          </w:rPr>
                          <w:t>《验资报告》</w:t>
                        </w:r>
                        <w:r>
                          <w:rPr>
                            <w:rFonts w:ascii="宋体" w:hAnsi="宋体" w:cs="宋体" w:eastAsia="宋体" w:hint="default"/>
                            <w:spacing w:val="-91"/>
                            <w:w w:val="101"/>
                            <w:sz w:val="18"/>
                            <w:szCs w:val="18"/>
                          </w:rPr>
                          <w:t> </w:t>
                        </w:r>
                        <w:r>
                          <w:rPr>
                            <w:rFonts w:ascii="宋体" w:hAnsi="宋体" w:cs="宋体" w:eastAsia="宋体" w:hint="default"/>
                            <w:spacing w:val="-91"/>
                            <w:w w:val="101"/>
                            <w:sz w:val="18"/>
                            <w:szCs w:val="18"/>
                          </w:rPr>
                        </w:r>
                        <w:r>
                          <w:rPr>
                            <w:rFonts w:ascii="宋体" w:hAnsi="宋体" w:cs="宋体" w:eastAsia="宋体" w:hint="default"/>
                            <w:spacing w:val="-3"/>
                            <w:sz w:val="18"/>
                            <w:szCs w:val="18"/>
                          </w:rPr>
                          <w:t>确认募集资金到账。为规范公司募集资金管理和使用，保护投资者权益，公司设立了相关募集资金专项账户。募集资金到</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4"/>
                            <w:sz w:val="18"/>
                            <w:szCs w:val="18"/>
                          </w:rPr>
                          <w:t>账后，已全部存放于募集资金专项账户内，并与保荐机构、存放募集资金的商业银行签署了募集资金三方监管协议。截止</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报告期末，募集资金累计投入总额为 </w:t>
                        </w:r>
                        <w:r>
                          <w:rPr>
                            <w:rFonts w:ascii="Times New Roman" w:hAnsi="Times New Roman" w:cs="Times New Roman" w:eastAsia="Times New Roman" w:hint="default"/>
                            <w:sz w:val="18"/>
                            <w:szCs w:val="18"/>
                          </w:rPr>
                          <w:t>15,464.39  </w:t>
                        </w:r>
                        <w:r>
                          <w:rPr>
                            <w:rFonts w:ascii="宋体" w:hAnsi="宋体" w:cs="宋体" w:eastAsia="宋体" w:hint="default"/>
                            <w:spacing w:val="-3"/>
                            <w:sz w:val="18"/>
                            <w:szCs w:val="18"/>
                          </w:rPr>
                          <w:t>万元（含使用募集资金置换前期已预先投入的自筹资金 </w:t>
                        </w:r>
                        <w:r>
                          <w:rPr>
                            <w:rFonts w:ascii="Times New Roman" w:hAnsi="Times New Roman" w:cs="Times New Roman" w:eastAsia="Times New Roman" w:hint="default"/>
                            <w:sz w:val="18"/>
                            <w:szCs w:val="18"/>
                          </w:rPr>
                          <w:t>8,062.61</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，报</w:t>
                        </w:r>
                        <w:r>
                          <w:rPr>
                            <w:rFonts w:ascii="宋体" w:hAnsi="宋体" w:cs="宋体" w:eastAsia="宋体" w:hint="default"/>
                            <w:sz w:val="18"/>
                            <w:szCs w:val="18"/>
                          </w:rPr>
                        </w:r>
                      </w:p>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w w:val="101"/>
                            <w:sz w:val="18"/>
                            <w:szCs w:val="18"/>
                          </w:rPr>
                          <w:t>告</w:t>
                        </w:r>
                        <w:r>
                          <w:rPr>
                            <w:rFonts w:ascii="宋体" w:hAnsi="宋体" w:cs="宋体" w:eastAsia="宋体" w:hint="default"/>
                            <w:spacing w:val="-5"/>
                            <w:w w:val="101"/>
                            <w:sz w:val="18"/>
                            <w:szCs w:val="18"/>
                          </w:rPr>
                          <w:t>期</w:t>
                        </w:r>
                        <w:r>
                          <w:rPr>
                            <w:rFonts w:ascii="宋体" w:hAnsi="宋体" w:cs="宋体" w:eastAsia="宋体" w:hint="default"/>
                            <w:w w:val="101"/>
                            <w:sz w:val="18"/>
                            <w:szCs w:val="18"/>
                          </w:rPr>
                          <w:t>末</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账</w:t>
                        </w:r>
                        <w:r>
                          <w:rPr>
                            <w:rFonts w:ascii="宋体" w:hAnsi="宋体" w:cs="宋体" w:eastAsia="宋体" w:hint="default"/>
                            <w:w w:val="101"/>
                            <w:sz w:val="18"/>
                            <w:szCs w:val="18"/>
                          </w:rPr>
                          <w:t>户</w:t>
                        </w:r>
                        <w:r>
                          <w:rPr>
                            <w:rFonts w:ascii="宋体" w:hAnsi="宋体" w:cs="宋体" w:eastAsia="宋体" w:hint="default"/>
                            <w:spacing w:val="-5"/>
                            <w:w w:val="101"/>
                            <w:sz w:val="18"/>
                            <w:szCs w:val="18"/>
                          </w:rPr>
                          <w:t>余</w:t>
                        </w:r>
                        <w:r>
                          <w:rPr>
                            <w:rFonts w:ascii="宋体" w:hAnsi="宋体" w:cs="宋体" w:eastAsia="宋体" w:hint="default"/>
                            <w:w w:val="101"/>
                            <w:sz w:val="18"/>
                            <w:szCs w:val="18"/>
                          </w:rPr>
                          <w:t>额为</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44</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利</w:t>
                        </w:r>
                        <w:r>
                          <w:rPr>
                            <w:rFonts w:ascii="宋体" w:hAnsi="宋体" w:cs="宋体" w:eastAsia="宋体" w:hint="default"/>
                            <w:spacing w:val="-5"/>
                            <w:w w:val="101"/>
                            <w:sz w:val="18"/>
                            <w:szCs w:val="18"/>
                          </w:rPr>
                          <w:t>息</w:t>
                        </w:r>
                        <w:r>
                          <w:rPr>
                            <w:rFonts w:ascii="宋体" w:hAnsi="宋体" w:cs="宋体" w:eastAsia="宋体" w:hint="default"/>
                            <w:w w:val="101"/>
                            <w:sz w:val="18"/>
                            <w:szCs w:val="18"/>
                          </w:rPr>
                          <w:t>收</w:t>
                        </w:r>
                        <w:r>
                          <w:rPr>
                            <w:rFonts w:ascii="宋体" w:hAnsi="宋体" w:cs="宋体" w:eastAsia="宋体" w:hint="default"/>
                            <w:spacing w:val="-5"/>
                            <w:w w:val="101"/>
                            <w:sz w:val="18"/>
                            <w:szCs w:val="18"/>
                          </w:rPr>
                          <w:t>入</w:t>
                        </w:r>
                        <w:r>
                          <w:rPr>
                            <w:rFonts w:ascii="宋体" w:hAnsi="宋体" w:cs="宋体" w:eastAsia="宋体" w:hint="default"/>
                            <w:w w:val="101"/>
                            <w:sz w:val="18"/>
                            <w:szCs w:val="18"/>
                          </w:rPr>
                          <w:t>及</w:t>
                        </w:r>
                        <w:r>
                          <w:rPr>
                            <w:rFonts w:ascii="宋体" w:hAnsi="宋体" w:cs="宋体" w:eastAsia="宋体" w:hint="default"/>
                            <w:spacing w:val="-5"/>
                            <w:w w:val="101"/>
                            <w:sz w:val="18"/>
                            <w:szCs w:val="18"/>
                          </w:rPr>
                          <w:t>手续</w:t>
                        </w:r>
                        <w:r>
                          <w:rPr>
                            <w:rFonts w:ascii="宋体" w:hAnsi="宋体" w:cs="宋体" w:eastAsia="宋体" w:hint="default"/>
                            <w:w w:val="101"/>
                            <w:sz w:val="18"/>
                            <w:szCs w:val="18"/>
                          </w:rPr>
                          <w:t>费</w:t>
                        </w:r>
                        <w:r>
                          <w:rPr>
                            <w:rFonts w:ascii="宋体" w:hAnsi="宋体" w:cs="宋体" w:eastAsia="宋体" w:hint="default"/>
                            <w:spacing w:val="-5"/>
                            <w:w w:val="101"/>
                            <w:sz w:val="18"/>
                            <w:szCs w:val="18"/>
                          </w:rPr>
                          <w:t>支</w:t>
                        </w:r>
                        <w:r>
                          <w:rPr>
                            <w:rFonts w:ascii="宋体" w:hAnsi="宋体" w:cs="宋体" w:eastAsia="宋体" w:hint="default"/>
                            <w:w w:val="101"/>
                            <w:sz w:val="18"/>
                            <w:szCs w:val="18"/>
                          </w:rPr>
                          <w:t>出</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3"/>
        <w:spacing w:line="240" w:lineRule="auto" w:before="36"/>
        <w:ind w:right="0"/>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after="0"/>
        <w:jc w:val="right"/>
        <w:rPr>
          <w:rFonts w:ascii="宋体" w:hAnsi="宋体" w:cs="宋体" w:eastAsia="宋体" w:hint="default"/>
          <w:sz w:val="18"/>
          <w:szCs w:val="18"/>
        </w:rPr>
        <w:sectPr>
          <w:footerReference w:type="default" r:id="rId16"/>
          <w:pgSz w:w="11910" w:h="16840"/>
          <w:pgMar w:footer="979" w:header="0" w:top="1100" w:bottom="1160" w:left="980" w:right="0"/>
          <w:pgNumType w:start="25"/>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3"/>
        <w:gridCol w:w="778"/>
        <w:gridCol w:w="778"/>
        <w:gridCol w:w="782"/>
        <w:gridCol w:w="778"/>
        <w:gridCol w:w="783"/>
        <w:gridCol w:w="778"/>
        <w:gridCol w:w="783"/>
        <w:gridCol w:w="778"/>
      </w:tblGrid>
      <w:tr>
        <w:trPr>
          <w:trHeight w:val="1340"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518" w:right="65" w:hanging="447"/>
              <w:jc w:val="left"/>
              <w:rPr>
                <w:rFonts w:ascii="宋体" w:hAnsi="宋体" w:cs="宋体" w:eastAsia="宋体" w:hint="default"/>
                <w:sz w:val="18"/>
                <w:szCs w:val="18"/>
              </w:rPr>
            </w:pPr>
            <w:r>
              <w:rPr>
                <w:rFonts w:ascii="宋体" w:hAnsi="宋体" w:cs="宋体" w:eastAsia="宋体" w:hint="default"/>
                <w:spacing w:val="-3"/>
                <w:sz w:val="18"/>
                <w:szCs w:val="18"/>
              </w:rPr>
              <w:t>承诺投资项目和超募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3" w:right="1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是否已变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更项目</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w:t>
            </w:r>
            <w:r>
              <w:rPr>
                <w:rFonts w:ascii="宋体" w:hAnsi="宋体" w:cs="宋体" w:eastAsia="宋体" w:hint="default"/>
                <w:w w:val="101"/>
                <w:sz w:val="18"/>
                <w:szCs w:val="18"/>
              </w:rPr>
              <w:t> </w:t>
            </w: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22"/>
              <w:jc w:val="center"/>
              <w:rPr>
                <w:rFonts w:ascii="宋体" w:hAnsi="宋体" w:cs="宋体" w:eastAsia="宋体" w:hint="default"/>
                <w:sz w:val="18"/>
                <w:szCs w:val="18"/>
              </w:rPr>
            </w:pP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承诺投资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2" w:lineRule="auto"/>
              <w:ind w:left="23" w:right="17"/>
              <w:jc w:val="center"/>
              <w:rPr>
                <w:rFonts w:ascii="宋体" w:hAnsi="宋体" w:cs="宋体" w:eastAsia="宋体" w:hint="default"/>
                <w:sz w:val="18"/>
                <w:szCs w:val="18"/>
              </w:rPr>
            </w:pPr>
            <w:r>
              <w:rPr>
                <w:rFonts w:ascii="宋体" w:hAnsi="宋体" w:cs="宋体" w:eastAsia="宋体" w:hint="default"/>
                <w:spacing w:val="-2"/>
                <w:sz w:val="18"/>
                <w:szCs w:val="18"/>
              </w:rPr>
              <w:t>调整后投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资总额</w:t>
            </w:r>
          </w:p>
          <w:p>
            <w:pPr>
              <w:pStyle w:val="TableParagraph"/>
              <w:spacing w:line="240" w:lineRule="auto" w:before="69"/>
              <w:ind w:left="2" w:right="0"/>
              <w:jc w:val="center"/>
              <w:rPr>
                <w:rFonts w:ascii="Times New Roman" w:hAnsi="Times New Roman" w:cs="Times New Roman" w:eastAsia="Times New Roman" w:hint="default"/>
                <w:sz w:val="18"/>
                <w:szCs w:val="18"/>
              </w:rPr>
            </w:pPr>
            <w:r>
              <w:rPr>
                <w:rFonts w:ascii="Times New Roman"/>
                <w:sz w:val="18"/>
              </w:rPr>
              <w:t>(1)</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17"/>
              <w:jc w:val="left"/>
              <w:rPr>
                <w:rFonts w:ascii="宋体" w:hAnsi="宋体" w:cs="宋体" w:eastAsia="宋体" w:hint="default"/>
                <w:sz w:val="18"/>
                <w:szCs w:val="18"/>
              </w:rPr>
            </w:pPr>
            <w:r>
              <w:rPr>
                <w:rFonts w:ascii="宋体" w:hAnsi="宋体" w:cs="宋体" w:eastAsia="宋体" w:hint="default"/>
                <w:sz w:val="18"/>
                <w:szCs w:val="18"/>
              </w:rPr>
              <w:t>本报告期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投入金额</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累计投入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3"/>
              <w:ind w:left="23" w:right="1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截至期末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投资进度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(2)/(1)</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22"/>
              <w:jc w:val="center"/>
              <w:rPr>
                <w:rFonts w:ascii="宋体" w:hAnsi="宋体" w:cs="宋体" w:eastAsia="宋体" w:hint="default"/>
                <w:sz w:val="18"/>
                <w:szCs w:val="18"/>
              </w:rPr>
            </w:pPr>
            <w:r>
              <w:rPr>
                <w:rFonts w:ascii="宋体" w:hAnsi="宋体" w:cs="宋体" w:eastAsia="宋体" w:hint="default"/>
                <w:spacing w:val="-2"/>
                <w:sz w:val="18"/>
                <w:szCs w:val="18"/>
              </w:rPr>
              <w:t>项目达到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预定可使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用状态日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期</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17"/>
              <w:jc w:val="center"/>
              <w:rPr>
                <w:rFonts w:ascii="宋体" w:hAnsi="宋体" w:cs="宋体" w:eastAsia="宋体" w:hint="default"/>
                <w:sz w:val="18"/>
                <w:szCs w:val="18"/>
              </w:rPr>
            </w:pPr>
            <w:r>
              <w:rPr>
                <w:rFonts w:ascii="宋体" w:hAnsi="宋体" w:cs="宋体" w:eastAsia="宋体" w:hint="default"/>
                <w:spacing w:val="-2"/>
                <w:sz w:val="18"/>
                <w:szCs w:val="18"/>
              </w:rPr>
              <w:t>本报告期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实现的效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22"/>
              <w:jc w:val="left"/>
              <w:rPr>
                <w:rFonts w:ascii="宋体" w:hAnsi="宋体" w:cs="宋体" w:eastAsia="宋体" w:hint="default"/>
                <w:sz w:val="18"/>
                <w:szCs w:val="18"/>
              </w:rPr>
            </w:pPr>
            <w:r>
              <w:rPr>
                <w:rFonts w:ascii="宋体" w:hAnsi="宋体" w:cs="宋体" w:eastAsia="宋体" w:hint="default"/>
                <w:sz w:val="18"/>
                <w:szCs w:val="18"/>
              </w:rPr>
              <w:t>是否达到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预计效益</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7"/>
              <w:jc w:val="center"/>
              <w:rPr>
                <w:rFonts w:ascii="宋体" w:hAnsi="宋体" w:cs="宋体" w:eastAsia="宋体" w:hint="default"/>
                <w:sz w:val="18"/>
                <w:szCs w:val="18"/>
              </w:rPr>
            </w:pPr>
            <w:r>
              <w:rPr>
                <w:rFonts w:ascii="宋体" w:hAnsi="宋体" w:cs="宋体" w:eastAsia="宋体" w:hint="default"/>
                <w:spacing w:val="-2"/>
                <w:sz w:val="18"/>
                <w:szCs w:val="18"/>
              </w:rPr>
              <w:t>项目可行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性是否发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生重大变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化</w:t>
            </w:r>
          </w:p>
        </w:tc>
      </w:tr>
      <w:tr>
        <w:trPr>
          <w:trHeight w:val="398"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24" w:right="2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、增资天津环球用于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年产</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亿只药品包装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折叠纸盒项目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7,882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7,882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1,025.11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7,666.94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97.27%</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、西安环球药品电子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监管码赋码印刷配套</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率提升及技改项目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4,438.41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4,438.41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4,438.41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340"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4"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、增资天津环球用于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年产</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亿只药品包装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折叠纸盒电子监管码</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配套项目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7"/>
              <w:jc w:val="right"/>
              <w:rPr>
                <w:rFonts w:ascii="Times New Roman" w:hAnsi="Times New Roman" w:cs="Times New Roman" w:eastAsia="Times New Roman" w:hint="default"/>
                <w:sz w:val="18"/>
                <w:szCs w:val="18"/>
              </w:rPr>
            </w:pPr>
            <w:r>
              <w:rPr>
                <w:rFonts w:ascii="Times New Roman"/>
                <w:spacing w:val="-2"/>
                <w:sz w:val="18"/>
              </w:rPr>
              <w:t>3,363.11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2"/>
              <w:jc w:val="right"/>
              <w:rPr>
                <w:rFonts w:ascii="Times New Roman" w:hAnsi="Times New Roman" w:cs="Times New Roman" w:eastAsia="Times New Roman" w:hint="default"/>
                <w:sz w:val="18"/>
                <w:szCs w:val="18"/>
              </w:rPr>
            </w:pPr>
            <w:r>
              <w:rPr>
                <w:rFonts w:ascii="Times New Roman"/>
                <w:spacing w:val="-2"/>
                <w:sz w:val="18"/>
              </w:rPr>
              <w:t>3,363.11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2"/>
              <w:jc w:val="right"/>
              <w:rPr>
                <w:rFonts w:ascii="Times New Roman" w:hAnsi="Times New Roman" w:cs="Times New Roman" w:eastAsia="Times New Roman" w:hint="default"/>
                <w:sz w:val="18"/>
                <w:szCs w:val="18"/>
              </w:rPr>
            </w:pPr>
            <w:r>
              <w:rPr>
                <w:rFonts w:ascii="Times New Roman"/>
                <w:spacing w:val="-1"/>
                <w:sz w:val="18"/>
              </w:rPr>
              <w:t>249.91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7"/>
              <w:jc w:val="right"/>
              <w:rPr>
                <w:rFonts w:ascii="Times New Roman" w:hAnsi="Times New Roman" w:cs="Times New Roman" w:eastAsia="Times New Roman" w:hint="default"/>
                <w:sz w:val="18"/>
                <w:szCs w:val="18"/>
              </w:rPr>
            </w:pPr>
            <w:r>
              <w:rPr>
                <w:rFonts w:ascii="Times New Roman"/>
                <w:spacing w:val="-1"/>
                <w:sz w:val="18"/>
              </w:rPr>
              <w:t>2,247.62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pacing w:val="-1"/>
                <w:sz w:val="18"/>
              </w:rPr>
              <w:t>66.83%</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、研发中心建设项目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1,196.48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1,196.48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557.83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1,111.42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92.89%</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24"/>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16,880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16,880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1,832.85</w:t>
            </w:r>
          </w:p>
        </w:tc>
        <w:tc>
          <w:tcPr>
            <w:tcW w:w="782"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100"/>
              <w:ind w:right="10"/>
              <w:jc w:val="right"/>
              <w:rPr>
                <w:rFonts w:ascii="Times New Roman" w:hAnsi="Times New Roman" w:cs="Times New Roman" w:eastAsia="Times New Roman" w:hint="default"/>
                <w:sz w:val="18"/>
                <w:szCs w:val="18"/>
              </w:rPr>
            </w:pPr>
            <w:r>
              <w:rPr>
                <w:rFonts w:ascii="Times New Roman"/>
                <w:spacing w:val="-1"/>
                <w:sz w:val="18"/>
              </w:rPr>
              <w:t>15,464.39</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13" w:space="0" w:color="D2D2D2"/>
              <w:bottom w:val="single" w:sz="4" w:space="0" w:color="000000"/>
              <w:right w:val="single" w:sz="13" w:space="0" w:color="D2D2D2"/>
            </w:tcBorders>
          </w:tcPr>
          <w:p>
            <w:pP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9"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4"/>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16,880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16,880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1,832.85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15,464.39</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296"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8"/>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日，增资天津环球用于年产</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亿只药品包装折叠纸盒项目投资进度为</w:t>
            </w:r>
          </w:p>
          <w:p>
            <w:pPr>
              <w:pStyle w:val="TableParagraph"/>
              <w:spacing w:line="240" w:lineRule="auto" w:before="63"/>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97.27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，第三条生产线已安装到位，配套设备预计在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年上半年完成，并投入生产。</w:t>
            </w:r>
          </w:p>
          <w:p>
            <w:pPr>
              <w:pStyle w:val="TableParagraph"/>
              <w:spacing w:line="309" w:lineRule="auto" w:before="97"/>
              <w:ind w:left="16" w:right="12"/>
              <w:jc w:val="both"/>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、截至</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pacing w:val="-7"/>
                <w:sz w:val="18"/>
                <w:szCs w:val="18"/>
              </w:rPr>
              <w:t>日，增资天津环球用于年产</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亿只药品包装折叠纸盒电子监管码配套项目</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投资进度为 </w:t>
            </w:r>
            <w:r>
              <w:rPr>
                <w:rFonts w:ascii="Times New Roman" w:hAnsi="Times New Roman" w:cs="Times New Roman" w:eastAsia="Times New Roman" w:hint="default"/>
                <w:spacing w:val="-3"/>
                <w:sz w:val="18"/>
                <w:szCs w:val="18"/>
              </w:rPr>
              <w:t>66.83%</w:t>
            </w:r>
            <w:r>
              <w:rPr>
                <w:rFonts w:ascii="宋体" w:hAnsi="宋体" w:cs="宋体" w:eastAsia="宋体" w:hint="default"/>
                <w:spacing w:val="-3"/>
                <w:sz w:val="18"/>
                <w:szCs w:val="18"/>
              </w:rPr>
              <w:t>，截止目前天津环球年产 </w:t>
            </w:r>
            <w:r>
              <w:rPr>
                <w:rFonts w:ascii="Times New Roman" w:hAnsi="Times New Roman" w:cs="Times New Roman" w:eastAsia="Times New Roman" w:hint="default"/>
                <w:sz w:val="18"/>
                <w:szCs w:val="18"/>
              </w:rPr>
              <w:t>18 </w:t>
            </w:r>
            <w:r>
              <w:rPr>
                <w:rFonts w:ascii="宋体" w:hAnsi="宋体" w:cs="宋体" w:eastAsia="宋体" w:hint="default"/>
                <w:spacing w:val="-3"/>
                <w:sz w:val="18"/>
                <w:szCs w:val="18"/>
              </w:rPr>
              <w:t>亿只药品包装折叠纸盒项目的电子监管码赋码率已</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达到</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日，国家药监局在官网连续发布《药品上市许可持有人和生产企业追溯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1"/>
                <w:w w:val="101"/>
                <w:sz w:val="18"/>
                <w:szCs w:val="18"/>
              </w:rPr>
              <w:t>基本数据集》《药品经营企业追溯基本数据集》《药品使用单位追溯基本数据集》《药品追溯消费者查</w:t>
            </w:r>
            <w:r>
              <w:rPr>
                <w:rFonts w:ascii="宋体" w:hAnsi="宋体" w:cs="宋体" w:eastAsia="宋体" w:hint="default"/>
                <w:spacing w:val="-62"/>
                <w:w w:val="101"/>
                <w:sz w:val="18"/>
                <w:szCs w:val="18"/>
              </w:rPr>
              <w:t> </w:t>
            </w:r>
            <w:r>
              <w:rPr>
                <w:rFonts w:ascii="宋体" w:hAnsi="宋体" w:cs="宋体" w:eastAsia="宋体" w:hint="default"/>
                <w:spacing w:val="-62"/>
                <w:w w:val="101"/>
                <w:sz w:val="18"/>
                <w:szCs w:val="18"/>
              </w:rPr>
            </w:r>
            <w:r>
              <w:rPr>
                <w:rFonts w:ascii="宋体" w:hAnsi="宋体" w:cs="宋体" w:eastAsia="宋体" w:hint="default"/>
                <w:spacing w:val="-7"/>
                <w:w w:val="101"/>
                <w:sz w:val="18"/>
                <w:szCs w:val="18"/>
              </w:rPr>
              <w:t>询基本数据集》《药品追溯数据交换基本技术要求》等五项信息化标准，并宣布自发布之日起开始实</w:t>
            </w:r>
            <w:r>
              <w:rPr>
                <w:rFonts w:ascii="宋体" w:hAnsi="宋体" w:cs="宋体" w:eastAsia="宋体" w:hint="default"/>
                <w:spacing w:val="-67"/>
                <w:w w:val="101"/>
                <w:sz w:val="18"/>
                <w:szCs w:val="18"/>
              </w:rPr>
              <w:t> </w:t>
            </w:r>
            <w:r>
              <w:rPr>
                <w:rFonts w:ascii="宋体" w:hAnsi="宋体" w:cs="宋体" w:eastAsia="宋体" w:hint="default"/>
                <w:spacing w:val="-67"/>
                <w:w w:val="101"/>
                <w:sz w:val="18"/>
                <w:szCs w:val="18"/>
              </w:rPr>
            </w:r>
            <w:r>
              <w:rPr>
                <w:rFonts w:ascii="宋体" w:hAnsi="宋体" w:cs="宋体" w:eastAsia="宋体" w:hint="default"/>
                <w:spacing w:val="-3"/>
                <w:sz w:val="18"/>
                <w:szCs w:val="18"/>
              </w:rPr>
              <w:t>施，意味着药品追溯开始全面实施。随着国家政策的明朗化，公司根据产能情况已开始调研相关生</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产设备，预计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年可全部完成该项目投资。</w:t>
            </w:r>
          </w:p>
          <w:p>
            <w:pPr>
              <w:pStyle w:val="TableParagraph"/>
              <w:spacing w:line="304" w:lineRule="auto" w:before="43"/>
              <w:ind w:left="16" w:right="12"/>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、截至</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4"/>
                <w:sz w:val="18"/>
                <w:szCs w:val="18"/>
              </w:rPr>
              <w:t> </w:t>
            </w:r>
            <w:r>
              <w:rPr>
                <w:rFonts w:ascii="宋体" w:hAnsi="宋体" w:cs="宋体" w:eastAsia="宋体" w:hint="default"/>
                <w:spacing w:val="-4"/>
                <w:sz w:val="18"/>
                <w:szCs w:val="18"/>
              </w:rPr>
              <w:t>日，研发中心建设项目投资进度为</w:t>
            </w:r>
            <w:r>
              <w:rPr>
                <w:rFonts w:ascii="宋体" w:hAnsi="宋体" w:cs="宋体" w:eastAsia="宋体" w:hint="default"/>
                <w:spacing w:val="-31"/>
                <w:sz w:val="18"/>
                <w:szCs w:val="18"/>
              </w:rPr>
              <w:t> </w:t>
            </w:r>
            <w:r>
              <w:rPr>
                <w:rFonts w:ascii="Times New Roman" w:hAnsi="Times New Roman" w:cs="Times New Roman" w:eastAsia="Times New Roman" w:hint="default"/>
                <w:spacing w:val="-4"/>
                <w:sz w:val="18"/>
                <w:szCs w:val="18"/>
              </w:rPr>
              <w:t>92.89%</w:t>
            </w:r>
            <w:r>
              <w:rPr>
                <w:rFonts w:ascii="宋体" w:hAnsi="宋体" w:cs="宋体" w:eastAsia="宋体" w:hint="default"/>
                <w:spacing w:val="-4"/>
                <w:sz w:val="18"/>
                <w:szCs w:val="18"/>
              </w:rPr>
              <w:t>，基本完成项目建设，正在办理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项目验收手续。</w:t>
            </w:r>
          </w:p>
        </w:tc>
      </w:tr>
      <w:tr>
        <w:trPr>
          <w:trHeight w:val="1018"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2" w:lineRule="auto" w:before="53"/>
              <w:ind w:left="24" w:right="113"/>
              <w:jc w:val="left"/>
              <w:rPr>
                <w:rFonts w:ascii="宋体" w:hAnsi="宋体" w:cs="宋体" w:eastAsia="宋体" w:hint="default"/>
                <w:sz w:val="18"/>
                <w:szCs w:val="18"/>
              </w:rPr>
            </w:pPr>
            <w:r>
              <w:rPr>
                <w:rFonts w:ascii="宋体" w:hAnsi="宋体" w:cs="宋体" w:eastAsia="宋体" w:hint="default"/>
                <w:spacing w:val="-3"/>
                <w:sz w:val="18"/>
                <w:szCs w:val="18"/>
              </w:rPr>
              <w:t>未达到计划进度或预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计收益的情况和原因</w:t>
            </w:r>
          </w:p>
          <w:p>
            <w:pPr>
              <w:pStyle w:val="TableParagraph"/>
              <w:spacing w:line="240" w:lineRule="auto" w:before="27"/>
              <w:ind w:left="24" w:right="0"/>
              <w:jc w:val="left"/>
              <w:rPr>
                <w:rFonts w:ascii="宋体" w:hAnsi="宋体" w:cs="宋体" w:eastAsia="宋体" w:hint="default"/>
                <w:sz w:val="18"/>
                <w:szCs w:val="18"/>
              </w:rPr>
            </w:pPr>
            <w:r>
              <w:rPr>
                <w:rFonts w:ascii="宋体" w:hAnsi="宋体" w:cs="宋体" w:eastAsia="宋体" w:hint="default"/>
                <w:spacing w:val="-3"/>
                <w:sz w:val="18"/>
                <w:szCs w:val="18"/>
              </w:rPr>
              <w:t>（分具体项目）</w:t>
            </w:r>
          </w:p>
        </w:tc>
        <w:tc>
          <w:tcPr>
            <w:tcW w:w="7798" w:type="dxa"/>
            <w:gridSpan w:val="10"/>
            <w:vMerge/>
            <w:tcBorders>
              <w:left w:val="single" w:sz="10" w:space="0" w:color="D2D2D2"/>
              <w:right w:val="single" w:sz="4" w:space="0" w:color="000000"/>
            </w:tcBorders>
          </w:tcPr>
          <w:p>
            <w:pPr/>
          </w:p>
        </w:tc>
      </w:tr>
      <w:tr>
        <w:trPr>
          <w:trHeight w:val="1292"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10" w:space="0" w:color="D2D2D2"/>
              <w:bottom w:val="single" w:sz="4" w:space="0" w:color="000000"/>
              <w:right w:val="single" w:sz="4" w:space="0" w:color="000000"/>
            </w:tcBorders>
          </w:tcPr>
          <w:p>
            <w:pPr/>
          </w:p>
        </w:tc>
      </w:tr>
      <w:tr>
        <w:trPr>
          <w:trHeight w:val="716"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13"/>
              <w:jc w:val="left"/>
              <w:rPr>
                <w:rFonts w:ascii="宋体" w:hAnsi="宋体" w:cs="宋体" w:eastAsia="宋体" w:hint="default"/>
                <w:sz w:val="18"/>
                <w:szCs w:val="18"/>
              </w:rPr>
            </w:pPr>
            <w:r>
              <w:rPr>
                <w:rFonts w:ascii="宋体" w:hAnsi="宋体" w:cs="宋体" w:eastAsia="宋体" w:hint="default"/>
                <w:spacing w:val="-3"/>
                <w:sz w:val="18"/>
                <w:szCs w:val="18"/>
              </w:rPr>
              <w:t>项目可行性发生重大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变化的情况说明</w:t>
            </w:r>
          </w:p>
        </w:tc>
        <w:tc>
          <w:tcPr>
            <w:tcW w:w="7798"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pacing w:val="-3"/>
                <w:sz w:val="18"/>
                <w:szCs w:val="18"/>
              </w:rPr>
              <w:t>项目可行性未发生重大变化。</w:t>
            </w:r>
          </w:p>
        </w:tc>
      </w:tr>
      <w:tr>
        <w:trPr>
          <w:trHeight w:val="710"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1"/>
                <w:w w:val="101"/>
                <w:sz w:val="18"/>
                <w:szCs w:val="18"/>
              </w:rPr>
              <w:t>超募资金的金额、用途</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及使用进展情况</w:t>
            </w:r>
          </w:p>
        </w:tc>
        <w:tc>
          <w:tcPr>
            <w:tcW w:w="7798"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6"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13"/>
              <w:jc w:val="left"/>
              <w:rPr>
                <w:rFonts w:ascii="宋体" w:hAnsi="宋体" w:cs="宋体" w:eastAsia="宋体" w:hint="default"/>
                <w:sz w:val="18"/>
                <w:szCs w:val="18"/>
              </w:rPr>
            </w:pPr>
            <w:r>
              <w:rPr>
                <w:rFonts w:ascii="宋体" w:hAnsi="宋体" w:cs="宋体" w:eastAsia="宋体" w:hint="default"/>
                <w:spacing w:val="-3"/>
                <w:sz w:val="18"/>
                <w:szCs w:val="18"/>
              </w:rPr>
              <w:t>募集资金投资项目实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施地点变更情况</w:t>
            </w:r>
          </w:p>
        </w:tc>
        <w:tc>
          <w:tcPr>
            <w:tcW w:w="7798"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13"/>
              <w:jc w:val="left"/>
              <w:rPr>
                <w:rFonts w:ascii="宋体" w:hAnsi="宋体" w:cs="宋体" w:eastAsia="宋体" w:hint="default"/>
                <w:sz w:val="18"/>
                <w:szCs w:val="18"/>
              </w:rPr>
            </w:pPr>
            <w:r>
              <w:rPr>
                <w:rFonts w:ascii="宋体" w:hAnsi="宋体" w:cs="宋体" w:eastAsia="宋体" w:hint="default"/>
                <w:spacing w:val="-3"/>
                <w:sz w:val="18"/>
                <w:szCs w:val="18"/>
              </w:rPr>
              <w:t>募集资金投资项目实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施方式调整情况</w:t>
            </w:r>
          </w:p>
        </w:tc>
        <w:tc>
          <w:tcPr>
            <w:tcW w:w="7798"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288" w:type="dxa"/>
        <w:tblLayout w:type="fixed"/>
        <w:tblCellMar>
          <w:top w:w="0" w:type="dxa"/>
          <w:left w:w="0" w:type="dxa"/>
          <w:bottom w:w="0" w:type="dxa"/>
          <w:right w:w="0" w:type="dxa"/>
        </w:tblCellMar>
        <w:tblLook w:val="01E0"/>
      </w:tblPr>
      <w:tblGrid>
        <w:gridCol w:w="1772"/>
        <w:gridCol w:w="7798"/>
      </w:tblGrid>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pacing w:val="-3"/>
                <w:sz w:val="18"/>
                <w:szCs w:val="18"/>
              </w:rPr>
              <w:t>募集资金投资项目先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年度未发生使用募集资金置换预先投入募投项目的情况；截止</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5"/>
                <w:sz w:val="18"/>
                <w:szCs w:val="18"/>
              </w:rPr>
              <w:t> </w:t>
            </w:r>
            <w:r>
              <w:rPr>
                <w:rFonts w:ascii="宋体" w:hAnsi="宋体" w:cs="宋体" w:eastAsia="宋体" w:hint="default"/>
                <w:spacing w:val="-4"/>
                <w:sz w:val="18"/>
                <w:szCs w:val="18"/>
              </w:rPr>
              <w:t>日，公司累计</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使用募集资金置换预先投入募投项目的金额为 </w:t>
            </w:r>
            <w:r>
              <w:rPr>
                <w:rFonts w:ascii="Times New Roman" w:hAnsi="Times New Roman" w:cs="Times New Roman" w:eastAsia="Times New Roman" w:hint="default"/>
                <w:sz w:val="18"/>
                <w:szCs w:val="18"/>
              </w:rPr>
              <w:t>8,062.61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万元。</w:t>
            </w: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113"/>
              <w:jc w:val="left"/>
              <w:rPr>
                <w:rFonts w:ascii="宋体" w:hAnsi="宋体" w:cs="宋体" w:eastAsia="宋体" w:hint="default"/>
                <w:sz w:val="18"/>
                <w:szCs w:val="18"/>
              </w:rPr>
            </w:pPr>
            <w:r>
              <w:rPr>
                <w:rFonts w:ascii="宋体" w:hAnsi="宋体" w:cs="宋体" w:eastAsia="宋体" w:hint="default"/>
                <w:spacing w:val="-3"/>
                <w:sz w:val="18"/>
                <w:szCs w:val="18"/>
              </w:rPr>
              <w:t>用闲置募集资金暂时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2"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22  </w:t>
            </w:r>
            <w:r>
              <w:rPr>
                <w:rFonts w:ascii="Times New Roman" w:hAnsi="Times New Roman" w:cs="Times New Roman" w:eastAsia="Times New Roman" w:hint="default"/>
                <w:spacing w:val="13"/>
                <w:sz w:val="18"/>
                <w:szCs w:val="18"/>
              </w:rPr>
              <w:t> </w:t>
            </w:r>
            <w:r>
              <w:rPr>
                <w:rFonts w:ascii="宋体" w:hAnsi="宋体" w:cs="宋体" w:eastAsia="宋体" w:hint="default"/>
                <w:spacing w:val="-5"/>
                <w:sz w:val="18"/>
                <w:szCs w:val="18"/>
              </w:rPr>
              <w:t>日，公司第四届董事会第十二次会议审议通过了《关于使用部分募集资金暂时补</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充</w:t>
            </w:r>
            <w:r>
              <w:rPr>
                <w:rFonts w:ascii="宋体" w:hAnsi="宋体" w:cs="宋体" w:eastAsia="宋体" w:hint="default"/>
                <w:spacing w:val="-5"/>
                <w:w w:val="101"/>
                <w:sz w:val="18"/>
                <w:szCs w:val="18"/>
              </w:rPr>
              <w:t>流</w:t>
            </w:r>
            <w:r>
              <w:rPr>
                <w:rFonts w:ascii="宋体" w:hAnsi="宋体" w:cs="宋体" w:eastAsia="宋体" w:hint="default"/>
                <w:w w:val="101"/>
                <w:sz w:val="18"/>
                <w:szCs w:val="18"/>
              </w:rPr>
              <w:t>动</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的</w:t>
            </w:r>
            <w:r>
              <w:rPr>
                <w:rFonts w:ascii="宋体" w:hAnsi="宋体" w:cs="宋体" w:eastAsia="宋体" w:hint="default"/>
                <w:w w:val="101"/>
                <w:sz w:val="18"/>
                <w:szCs w:val="18"/>
              </w:rPr>
              <w:t>议案</w:t>
            </w:r>
            <w:r>
              <w:rPr>
                <w:rFonts w:ascii="宋体" w:hAnsi="宋体" w:cs="宋体" w:eastAsia="宋体" w:hint="default"/>
                <w:spacing w:val="-96"/>
                <w:w w:val="101"/>
                <w:sz w:val="18"/>
                <w:szCs w:val="18"/>
              </w:rPr>
              <w:t>》</w:t>
            </w:r>
            <w:r>
              <w:rPr>
                <w:rFonts w:ascii="宋体" w:hAnsi="宋体" w:cs="宋体" w:eastAsia="宋体" w:hint="default"/>
                <w:spacing w:val="-25"/>
                <w:w w:val="101"/>
                <w:sz w:val="18"/>
                <w:szCs w:val="18"/>
              </w:rPr>
              <w:t>，</w:t>
            </w:r>
            <w:r>
              <w:rPr>
                <w:rFonts w:ascii="宋体" w:hAnsi="宋体" w:cs="宋体" w:eastAsia="宋体" w:hint="default"/>
                <w:w w:val="101"/>
                <w:sz w:val="18"/>
                <w:szCs w:val="18"/>
              </w:rPr>
              <w:t>同</w:t>
            </w:r>
            <w:r>
              <w:rPr>
                <w:rFonts w:ascii="宋体" w:hAnsi="宋体" w:cs="宋体" w:eastAsia="宋体" w:hint="default"/>
                <w:spacing w:val="-5"/>
                <w:w w:val="101"/>
                <w:sz w:val="18"/>
                <w:szCs w:val="18"/>
              </w:rPr>
              <w:t>意</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使</w:t>
            </w:r>
            <w:r>
              <w:rPr>
                <w:rFonts w:ascii="宋体" w:hAnsi="宋体" w:cs="宋体" w:eastAsia="宋体" w:hint="default"/>
                <w:spacing w:val="-5"/>
                <w:w w:val="101"/>
                <w:sz w:val="18"/>
                <w:szCs w:val="18"/>
              </w:rPr>
              <w:t>用</w:t>
            </w:r>
            <w:r>
              <w:rPr>
                <w:rFonts w:ascii="宋体" w:hAnsi="宋体" w:cs="宋体" w:eastAsia="宋体" w:hint="default"/>
                <w:w w:val="101"/>
                <w:sz w:val="18"/>
                <w:szCs w:val="18"/>
              </w:rPr>
              <w:t>人民币</w:t>
            </w:r>
            <w:r>
              <w:rPr>
                <w:rFonts w:ascii="宋体" w:hAnsi="宋体" w:cs="宋体" w:eastAsia="宋体" w:hint="default"/>
                <w:spacing w:val="-51"/>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万</w:t>
            </w:r>
            <w:r>
              <w:rPr>
                <w:rFonts w:ascii="宋体" w:hAnsi="宋体" w:cs="宋体" w:eastAsia="宋体" w:hint="default"/>
                <w:w w:val="101"/>
                <w:sz w:val="18"/>
                <w:szCs w:val="18"/>
              </w:rPr>
              <w:t>元</w:t>
            </w:r>
            <w:r>
              <w:rPr>
                <w:rFonts w:ascii="宋体" w:hAnsi="宋体" w:cs="宋体" w:eastAsia="宋体" w:hint="default"/>
                <w:spacing w:val="-5"/>
                <w:w w:val="101"/>
                <w:sz w:val="18"/>
                <w:szCs w:val="18"/>
              </w:rPr>
              <w:t>闲</w:t>
            </w:r>
            <w:r>
              <w:rPr>
                <w:rFonts w:ascii="宋体" w:hAnsi="宋体" w:cs="宋体" w:eastAsia="宋体" w:hint="default"/>
                <w:w w:val="101"/>
                <w:sz w:val="18"/>
                <w:szCs w:val="18"/>
              </w:rPr>
              <w:t>置</w:t>
            </w:r>
            <w:r>
              <w:rPr>
                <w:rFonts w:ascii="宋体" w:hAnsi="宋体" w:cs="宋体" w:eastAsia="宋体" w:hint="default"/>
                <w:spacing w:val="-5"/>
                <w:w w:val="101"/>
                <w:sz w:val="18"/>
                <w:szCs w:val="18"/>
              </w:rPr>
              <w:t>募集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暂</w:t>
            </w:r>
            <w:r>
              <w:rPr>
                <w:rFonts w:ascii="宋体" w:hAnsi="宋体" w:cs="宋体" w:eastAsia="宋体" w:hint="default"/>
                <w:spacing w:val="-5"/>
                <w:w w:val="101"/>
                <w:sz w:val="18"/>
                <w:szCs w:val="18"/>
              </w:rPr>
              <w:t>时</w:t>
            </w:r>
            <w:r>
              <w:rPr>
                <w:rFonts w:ascii="宋体" w:hAnsi="宋体" w:cs="宋体" w:eastAsia="宋体" w:hint="default"/>
                <w:w w:val="101"/>
                <w:sz w:val="18"/>
                <w:szCs w:val="18"/>
              </w:rPr>
              <w:t>补</w:t>
            </w:r>
            <w:r>
              <w:rPr>
                <w:rFonts w:ascii="宋体" w:hAnsi="宋体" w:cs="宋体" w:eastAsia="宋体" w:hint="default"/>
                <w:spacing w:val="-5"/>
                <w:w w:val="101"/>
                <w:sz w:val="18"/>
                <w:szCs w:val="18"/>
              </w:rPr>
              <w:t>充</w:t>
            </w:r>
            <w:r>
              <w:rPr>
                <w:rFonts w:ascii="宋体" w:hAnsi="宋体" w:cs="宋体" w:eastAsia="宋体" w:hint="default"/>
                <w:w w:val="101"/>
                <w:sz w:val="18"/>
                <w:szCs w:val="18"/>
              </w:rPr>
              <w:t>流</w:t>
            </w:r>
            <w:r>
              <w:rPr>
                <w:rFonts w:ascii="宋体" w:hAnsi="宋体" w:cs="宋体" w:eastAsia="宋体" w:hint="default"/>
                <w:spacing w:val="-5"/>
                <w:w w:val="101"/>
                <w:sz w:val="18"/>
                <w:szCs w:val="18"/>
              </w:rPr>
              <w:t>动</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spacing w:val="-25"/>
                <w:w w:val="101"/>
                <w:sz w:val="18"/>
                <w:szCs w:val="18"/>
              </w:rPr>
              <w:t>，</w:t>
            </w:r>
            <w:r>
              <w:rPr>
                <w:rFonts w:ascii="宋体" w:hAnsi="宋体" w:cs="宋体" w:eastAsia="宋体" w:hint="default"/>
                <w:w w:val="101"/>
                <w:sz w:val="18"/>
                <w:szCs w:val="18"/>
              </w:rPr>
              <w:t>使</w:t>
            </w:r>
            <w:r>
              <w:rPr>
                <w:rFonts w:ascii="宋体" w:hAnsi="宋体" w:cs="宋体" w:eastAsia="宋体" w:hint="default"/>
                <w:spacing w:val="-5"/>
                <w:w w:val="101"/>
                <w:sz w:val="18"/>
                <w:szCs w:val="18"/>
              </w:rPr>
              <w:t>用</w:t>
            </w:r>
            <w:r>
              <w:rPr>
                <w:rFonts w:ascii="宋体" w:hAnsi="宋体" w:cs="宋体" w:eastAsia="宋体" w:hint="default"/>
                <w:w w:val="101"/>
                <w:sz w:val="18"/>
                <w:szCs w:val="18"/>
              </w:rPr>
              <w:t>期</w:t>
            </w:r>
            <w:r>
              <w:rPr>
                <w:rFonts w:ascii="宋体" w:hAnsi="宋体" w:cs="宋体" w:eastAsia="宋体" w:hint="default"/>
                <w:spacing w:val="-5"/>
                <w:w w:val="101"/>
                <w:sz w:val="18"/>
                <w:szCs w:val="18"/>
              </w:rPr>
              <w:t>限</w:t>
            </w:r>
            <w:r>
              <w:rPr>
                <w:rFonts w:ascii="宋体" w:hAnsi="宋体" w:cs="宋体" w:eastAsia="宋体" w:hint="default"/>
                <w:w w:val="101"/>
                <w:sz w:val="18"/>
                <w:szCs w:val="18"/>
              </w:rPr>
              <w:t>自</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董事会审议通过之日起不超过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个月，公司已于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16  </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日，将上述用于暂时补充流</w:t>
            </w:r>
          </w:p>
          <w:p>
            <w:pPr>
              <w:pStyle w:val="TableParagraph"/>
              <w:spacing w:line="304" w:lineRule="auto" w:before="63"/>
              <w:ind w:left="23" w:right="13"/>
              <w:jc w:val="left"/>
              <w:rPr>
                <w:rFonts w:ascii="宋体" w:hAnsi="宋体" w:cs="宋体" w:eastAsia="宋体" w:hint="default"/>
                <w:sz w:val="18"/>
                <w:szCs w:val="18"/>
              </w:rPr>
            </w:pPr>
            <w:r>
              <w:rPr>
                <w:rFonts w:ascii="宋体" w:hAnsi="宋体" w:cs="宋体" w:eastAsia="宋体" w:hint="default"/>
                <w:sz w:val="18"/>
                <w:szCs w:val="18"/>
              </w:rPr>
              <w:t>动资金的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1,500 </w:t>
            </w:r>
            <w:r>
              <w:rPr>
                <w:rFonts w:ascii="宋体" w:hAnsi="宋体" w:cs="宋体" w:eastAsia="宋体" w:hint="default"/>
                <w:spacing w:val="-4"/>
                <w:sz w:val="18"/>
                <w:szCs w:val="18"/>
              </w:rPr>
              <w:t>万元募集资金全部归还至募集资金专用账户，并将本次募集资金的归还情况通知了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保荐机构及保荐代表人。截至本报告披露日，公司用闲置募集资金暂时补充流动资金的余额为</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13"/>
              <w:jc w:val="left"/>
              <w:rPr>
                <w:rFonts w:ascii="宋体" w:hAnsi="宋体" w:cs="宋体" w:eastAsia="宋体" w:hint="default"/>
                <w:sz w:val="18"/>
                <w:szCs w:val="18"/>
              </w:rPr>
            </w:pPr>
            <w:r>
              <w:rPr>
                <w:rFonts w:ascii="宋体" w:hAnsi="宋体" w:cs="宋体" w:eastAsia="宋体" w:hint="default"/>
                <w:spacing w:val="-3"/>
                <w:sz w:val="18"/>
                <w:szCs w:val="18"/>
              </w:rPr>
              <w:t>项目实施出现募集资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13"/>
              <w:jc w:val="left"/>
              <w:rPr>
                <w:rFonts w:ascii="宋体" w:hAnsi="宋体" w:cs="宋体" w:eastAsia="宋体" w:hint="default"/>
                <w:sz w:val="18"/>
                <w:szCs w:val="18"/>
              </w:rPr>
            </w:pPr>
            <w:r>
              <w:rPr>
                <w:rFonts w:ascii="宋体" w:hAnsi="宋体" w:cs="宋体" w:eastAsia="宋体" w:hint="default"/>
                <w:spacing w:val="-3"/>
                <w:sz w:val="18"/>
                <w:szCs w:val="18"/>
              </w:rPr>
              <w:t>尚未使用的募集资金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公司尚未使用的募集资金存放于募集资金专户。</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13"/>
              <w:jc w:val="both"/>
              <w:rPr>
                <w:rFonts w:ascii="宋体" w:hAnsi="宋体" w:cs="宋体" w:eastAsia="宋体" w:hint="default"/>
                <w:sz w:val="18"/>
                <w:szCs w:val="18"/>
              </w:rPr>
            </w:pPr>
            <w:r>
              <w:rPr>
                <w:rFonts w:ascii="宋体" w:hAnsi="宋体" w:cs="宋体" w:eastAsia="宋体" w:hint="default"/>
                <w:spacing w:val="-3"/>
                <w:sz w:val="18"/>
                <w:szCs w:val="18"/>
              </w:rPr>
              <w:t>募集资金使用及披露</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中存在的问题或其他</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18"/>
              <w:jc w:val="left"/>
              <w:rPr>
                <w:rFonts w:ascii="宋体" w:hAnsi="宋体" w:cs="宋体" w:eastAsia="宋体" w:hint="default"/>
                <w:sz w:val="18"/>
                <w:szCs w:val="18"/>
              </w:rPr>
            </w:pPr>
            <w:r>
              <w:rPr>
                <w:rFonts w:ascii="宋体" w:hAnsi="宋体" w:cs="宋体" w:eastAsia="宋体" w:hint="default"/>
                <w:spacing w:val="-3"/>
                <w:sz w:val="18"/>
                <w:szCs w:val="18"/>
              </w:rPr>
              <w:t>公司募集资金的使用严格按照有关法律法规及公司招股说明书中规定的用途进行使用，并履行相关</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信息披露义务，募集资金的使用及其披露均不存在问题。</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left="293" w:right="422"/>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293" w:right="72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公司报告期不存在募集资金变更项目情况。</w:t>
      </w:r>
    </w:p>
    <w:p>
      <w:pPr>
        <w:spacing w:line="240" w:lineRule="auto" w:before="4"/>
        <w:rPr>
          <w:rFonts w:ascii="宋体" w:hAnsi="宋体" w:cs="宋体" w:eastAsia="宋体" w:hint="default"/>
          <w:sz w:val="18"/>
          <w:szCs w:val="18"/>
        </w:rPr>
      </w:pPr>
    </w:p>
    <w:p>
      <w:pPr>
        <w:pStyle w:val="Heading2"/>
        <w:spacing w:line="240" w:lineRule="auto"/>
        <w:ind w:left="293" w:right="422"/>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left="293" w:right="422"/>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293" w:right="72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公司报告期未出售重大资产。</w:t>
      </w:r>
    </w:p>
    <w:p>
      <w:pPr>
        <w:spacing w:line="240" w:lineRule="auto" w:before="1"/>
        <w:rPr>
          <w:rFonts w:ascii="宋体" w:hAnsi="宋体" w:cs="宋体" w:eastAsia="宋体" w:hint="default"/>
          <w:sz w:val="21"/>
          <w:szCs w:val="21"/>
        </w:rPr>
      </w:pPr>
    </w:p>
    <w:p>
      <w:pPr>
        <w:pStyle w:val="Heading3"/>
        <w:spacing w:line="240" w:lineRule="auto"/>
        <w:ind w:left="293" w:right="422"/>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1"/>
        <w:rPr>
          <w:rFonts w:ascii="宋体" w:hAnsi="宋体" w:cs="宋体" w:eastAsia="宋体" w:hint="default"/>
          <w:b/>
          <w:bCs/>
          <w:sz w:val="27"/>
          <w:szCs w:val="27"/>
        </w:rPr>
      </w:pPr>
    </w:p>
    <w:p>
      <w:pPr>
        <w:spacing w:before="0"/>
        <w:ind w:left="293" w:right="4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left="293" w:right="422"/>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1"/>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0" w:footer="979" w:top="1100" w:bottom="1160" w:left="840" w:right="0"/>
        </w:sectPr>
      </w:pPr>
    </w:p>
    <w:p>
      <w:pPr>
        <w:spacing w:before="46"/>
        <w:ind w:left="29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293" w:right="-16"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8"/>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29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840" w:right="0"/>
          <w:cols w:num="2" w:equalWidth="0">
            <w:col w:w="4994" w:space="3928"/>
            <w:col w:w="2148"/>
          </w:cols>
        </w:sectPr>
      </w:pPr>
    </w:p>
    <w:p>
      <w:pPr>
        <w:spacing w:line="240" w:lineRule="auto" w:before="8"/>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162"/>
        <w:gridCol w:w="830"/>
        <w:gridCol w:w="1042"/>
        <w:gridCol w:w="1191"/>
        <w:gridCol w:w="1186"/>
        <w:gridCol w:w="1191"/>
        <w:gridCol w:w="1186"/>
        <w:gridCol w:w="1100"/>
        <w:gridCol w:w="1100"/>
      </w:tblGrid>
      <w:tr>
        <w:trPr>
          <w:trHeight w:val="1028" w:hRule="exact"/>
        </w:trPr>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5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5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21"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2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8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73" w:right="0"/>
              <w:jc w:val="left"/>
              <w:rPr>
                <w:rFonts w:ascii="宋体" w:hAnsi="宋体" w:cs="宋体" w:eastAsia="宋体" w:hint="default"/>
                <w:sz w:val="18"/>
                <w:szCs w:val="18"/>
              </w:rPr>
            </w:pPr>
            <w:r>
              <w:rPr>
                <w:rFonts w:ascii="宋体" w:hAnsi="宋体" w:cs="宋体" w:eastAsia="宋体" w:hint="default"/>
                <w:sz w:val="18"/>
                <w:szCs w:val="18"/>
              </w:rPr>
              <w:t>净利润</w:t>
            </w:r>
          </w:p>
        </w:tc>
      </w:tr>
    </w:tbl>
    <w:p>
      <w:pPr>
        <w:spacing w:after="0" w:line="240" w:lineRule="auto"/>
        <w:jc w:val="left"/>
        <w:rPr>
          <w:rFonts w:ascii="宋体" w:hAnsi="宋体" w:cs="宋体" w:eastAsia="宋体" w:hint="default"/>
          <w:sz w:val="18"/>
          <w:szCs w:val="18"/>
        </w:rPr>
        <w:sectPr>
          <w:type w:val="continuous"/>
          <w:pgSz w:w="11910" w:h="16840"/>
          <w:pgMar w:top="1580" w:bottom="700" w:left="840" w:right="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1162"/>
        <w:gridCol w:w="830"/>
        <w:gridCol w:w="1042"/>
        <w:gridCol w:w="1191"/>
        <w:gridCol w:w="1186"/>
        <w:gridCol w:w="1191"/>
        <w:gridCol w:w="1186"/>
        <w:gridCol w:w="1100"/>
        <w:gridCol w:w="1100"/>
      </w:tblGrid>
      <w:tr>
        <w:trPr>
          <w:trHeight w:val="1027"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pacing w:val="-2"/>
                <w:sz w:val="18"/>
                <w:szCs w:val="18"/>
              </w:rPr>
              <w:t>天津滨海环球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印务有限公司</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03"/>
              <w:jc w:val="left"/>
              <w:rPr>
                <w:rFonts w:ascii="宋体" w:hAnsi="宋体" w:cs="宋体" w:eastAsia="宋体" w:hint="default"/>
                <w:sz w:val="18"/>
                <w:szCs w:val="18"/>
              </w:rPr>
            </w:pPr>
            <w:r>
              <w:rPr>
                <w:rFonts w:ascii="宋体" w:hAnsi="宋体" w:cs="宋体" w:eastAsia="宋体" w:hint="default"/>
                <w:spacing w:val="-2"/>
                <w:sz w:val="18"/>
                <w:szCs w:val="18"/>
              </w:rPr>
              <w:t>包装装潢及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其他印刷</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253,289,931.19</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206,193,028.19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146,904,684.08</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14,913,358.96</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13,430,532.20</w:t>
            </w:r>
          </w:p>
        </w:tc>
      </w:tr>
      <w:tr>
        <w:trPr>
          <w:trHeight w:val="1028"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24" w:right="41"/>
              <w:jc w:val="left"/>
              <w:rPr>
                <w:rFonts w:ascii="宋体" w:hAnsi="宋体" w:cs="宋体" w:eastAsia="宋体" w:hint="default"/>
                <w:sz w:val="18"/>
                <w:szCs w:val="18"/>
              </w:rPr>
            </w:pPr>
            <w:r>
              <w:rPr>
                <w:rFonts w:ascii="宋体" w:hAnsi="宋体" w:cs="宋体" w:eastAsia="宋体" w:hint="default"/>
                <w:spacing w:val="-2"/>
                <w:sz w:val="18"/>
                <w:szCs w:val="18"/>
              </w:rPr>
              <w:t>陕西永鑫纸业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包装有限公司</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24" w:right="103"/>
              <w:jc w:val="left"/>
              <w:rPr>
                <w:rFonts w:ascii="宋体" w:hAnsi="宋体" w:cs="宋体" w:eastAsia="宋体" w:hint="default"/>
                <w:sz w:val="18"/>
                <w:szCs w:val="18"/>
              </w:rPr>
            </w:pPr>
            <w:r>
              <w:rPr>
                <w:rFonts w:ascii="宋体" w:hAnsi="宋体" w:cs="宋体" w:eastAsia="宋体" w:hint="default"/>
                <w:spacing w:val="-2"/>
                <w:sz w:val="18"/>
                <w:szCs w:val="18"/>
              </w:rPr>
              <w:t>包装装潢及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其他印刷</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84,814,011.66</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41,189,695.80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109,029,572.03</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5,225,153.42</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4,409,908.01</w:t>
            </w:r>
          </w:p>
        </w:tc>
      </w:tr>
      <w:tr>
        <w:trPr>
          <w:trHeight w:val="102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pacing w:val="-2"/>
                <w:sz w:val="18"/>
                <w:szCs w:val="18"/>
              </w:rPr>
              <w:t>西安易诺和创</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科技发展有限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103"/>
              <w:jc w:val="left"/>
              <w:rPr>
                <w:rFonts w:ascii="宋体" w:hAnsi="宋体" w:cs="宋体" w:eastAsia="宋体" w:hint="default"/>
                <w:sz w:val="18"/>
                <w:szCs w:val="18"/>
              </w:rPr>
            </w:pPr>
            <w:r>
              <w:rPr>
                <w:rFonts w:ascii="宋体" w:hAnsi="宋体" w:cs="宋体" w:eastAsia="宋体" w:hint="default"/>
                <w:spacing w:val="-2"/>
                <w:sz w:val="18"/>
                <w:szCs w:val="18"/>
              </w:rPr>
              <w:t>设计加工硬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式礼盒</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18,000,000.00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25,416,308.32</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-852,907.82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1,987,371.64</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-4,460,710.96</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-3,814,942.59</w:t>
            </w:r>
          </w:p>
        </w:tc>
      </w:tr>
      <w:tr>
        <w:trPr>
          <w:trHeight w:val="1027"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pacing w:val="-2"/>
                <w:sz w:val="18"/>
                <w:szCs w:val="18"/>
              </w:rPr>
              <w:t>霍尔果斯领凯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网络科技有限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03"/>
              <w:jc w:val="left"/>
              <w:rPr>
                <w:rFonts w:ascii="宋体" w:hAnsi="宋体" w:cs="宋体" w:eastAsia="宋体" w:hint="default"/>
                <w:sz w:val="18"/>
                <w:szCs w:val="18"/>
              </w:rPr>
            </w:pPr>
            <w:r>
              <w:rPr>
                <w:rFonts w:ascii="宋体" w:hAnsi="宋体" w:cs="宋体" w:eastAsia="宋体" w:hint="default"/>
                <w:spacing w:val="-2"/>
                <w:sz w:val="18"/>
                <w:szCs w:val="18"/>
              </w:rPr>
              <w:t>信息技术服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务</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206,570,926.54</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76,904,989.78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585,160,498.60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46,250,961.20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45,453,897.54</w:t>
            </w:r>
          </w:p>
        </w:tc>
      </w:tr>
      <w:tr>
        <w:trPr>
          <w:trHeight w:val="1028"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pacing w:val="-2"/>
                <w:sz w:val="18"/>
                <w:szCs w:val="18"/>
              </w:rPr>
              <w:t>北京金印联国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际供应链管理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供应链管理</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9,400,000.00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171,841,179.49</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86,969,167.22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166,300,294.06</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16,269,075.03</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12,509,241.95</w:t>
            </w:r>
          </w:p>
        </w:tc>
      </w:tr>
      <w:tr>
        <w:trPr>
          <w:trHeight w:val="1028"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41"/>
              <w:jc w:val="left"/>
              <w:rPr>
                <w:rFonts w:ascii="宋体" w:hAnsi="宋体" w:cs="宋体" w:eastAsia="宋体" w:hint="default"/>
                <w:sz w:val="18"/>
                <w:szCs w:val="18"/>
              </w:rPr>
            </w:pPr>
            <w:r>
              <w:rPr>
                <w:rFonts w:ascii="宋体" w:hAnsi="宋体" w:cs="宋体" w:eastAsia="宋体" w:hint="default"/>
                <w:spacing w:val="-2"/>
                <w:sz w:val="18"/>
                <w:szCs w:val="18"/>
              </w:rPr>
              <w:t>西安德宝药用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包装有限公司</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金属制品业</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130,403,434.72</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112,116,091.60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75,645,306.30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16,354,225.63</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13,602,336.47</w:t>
            </w:r>
          </w:p>
        </w:tc>
      </w:tr>
    </w:tbl>
    <w:p>
      <w:pPr>
        <w:spacing w:before="53"/>
        <w:ind w:left="293" w:right="422" w:firstLine="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报告期内取得和处置子公司的情况</w:t>
      </w:r>
    </w:p>
    <w:p>
      <w:pPr>
        <w:spacing w:before="115"/>
        <w:ind w:left="293" w:right="4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46"/>
        <w:ind w:left="0" w:right="737" w:firstLine="0"/>
        <w:jc w:val="right"/>
        <w:rPr>
          <w:rFonts w:ascii="宋体" w:hAnsi="宋体" w:cs="宋体" w:eastAsia="宋体" w:hint="default"/>
          <w:sz w:val="18"/>
          <w:szCs w:val="18"/>
        </w:rPr>
      </w:pPr>
      <w:r>
        <w:rPr/>
        <w:pict>
          <v:shape style="position:absolute;margin-left:54.984001pt;margin-top:-20.788284pt;width:500.4pt;height:71.8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53"/>
                    <w:gridCol w:w="2713"/>
                    <w:gridCol w:w="5426"/>
                  </w:tblGrid>
                  <w:tr>
                    <w:trPr>
                      <w:trHeight w:val="398"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2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报告期内取得和处置子公司方式</w:t>
                        </w:r>
                      </w:p>
                    </w:tc>
                    <w:tc>
                      <w:tcPr>
                        <w:tcW w:w="5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41" w:right="0"/>
                          <w:jc w:val="left"/>
                          <w:rPr>
                            <w:rFonts w:ascii="宋体" w:hAnsi="宋体" w:cs="宋体" w:eastAsia="宋体" w:hint="default"/>
                            <w:sz w:val="18"/>
                            <w:szCs w:val="18"/>
                          </w:rPr>
                        </w:pPr>
                        <w:r>
                          <w:rPr>
                            <w:rFonts w:ascii="宋体" w:hAnsi="宋体" w:cs="宋体" w:eastAsia="宋体" w:hint="default"/>
                            <w:spacing w:val="-3"/>
                            <w:sz w:val="18"/>
                            <w:szCs w:val="18"/>
                          </w:rPr>
                          <w:t>对整体生产经营和业绩的影响</w:t>
                        </w:r>
                      </w:p>
                    </w:tc>
                  </w:tr>
                  <w:tr>
                    <w:trPr>
                      <w:trHeight w:val="1028"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4" w:right="195"/>
                          <w:jc w:val="left"/>
                          <w:rPr>
                            <w:rFonts w:ascii="宋体" w:hAnsi="宋体" w:cs="宋体" w:eastAsia="宋体" w:hint="default"/>
                            <w:sz w:val="18"/>
                            <w:szCs w:val="18"/>
                          </w:rPr>
                        </w:pPr>
                        <w:r>
                          <w:rPr>
                            <w:rFonts w:ascii="宋体" w:hAnsi="宋体" w:cs="宋体" w:eastAsia="宋体" w:hint="default"/>
                            <w:spacing w:val="-3"/>
                            <w:sz w:val="18"/>
                            <w:szCs w:val="18"/>
                          </w:rPr>
                          <w:t>北京金印联国际供应</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链管理有限公司</w:t>
                        </w: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股权收购取得</w:t>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报告期收购了北京金印联</w:t>
                        </w:r>
                        <w:r>
                          <w:rPr>
                            <w:rFonts w:ascii="宋体" w:hAnsi="宋体" w:cs="宋体" w:eastAsia="宋体" w:hint="default"/>
                            <w:spacing w:val="-38"/>
                            <w:sz w:val="18"/>
                            <w:szCs w:val="18"/>
                          </w:rPr>
                          <w:t> </w:t>
                        </w:r>
                        <w:r>
                          <w:rPr>
                            <w:rFonts w:ascii="Times New Roman" w:hAnsi="Times New Roman" w:cs="Times New Roman" w:eastAsia="Times New Roman" w:hint="default"/>
                            <w:spacing w:val="-8"/>
                            <w:sz w:val="18"/>
                            <w:szCs w:val="18"/>
                          </w:rPr>
                          <w:t>70%</w:t>
                        </w:r>
                        <w:r>
                          <w:rPr>
                            <w:rFonts w:ascii="宋体" w:hAnsi="宋体" w:cs="宋体" w:eastAsia="宋体" w:hint="default"/>
                            <w:spacing w:val="-8"/>
                            <w:sz w:val="18"/>
                            <w:szCs w:val="18"/>
                          </w:rPr>
                          <w:t>股权，并于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月纳入合并范围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月，北京金印联实现净利润</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1,250.92</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万元，实现归属于</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母公司的净利润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842.85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Heading3"/>
        <w:spacing w:line="326" w:lineRule="auto" w:before="36"/>
        <w:ind w:left="293" w:right="6428"/>
        <w:jc w:val="left"/>
        <w:rPr>
          <w:b w:val="0"/>
          <w:bCs w:val="0"/>
        </w:rPr>
      </w:pPr>
      <w:r>
        <w:rPr/>
        <w:t>主要控股参股公司情况说明</w:t>
      </w:r>
      <w:r>
        <w:rPr>
          <w:spacing w:val="-102"/>
        </w:rPr>
        <w:t> </w:t>
      </w:r>
      <w:r>
        <w:rPr>
          <w:rFonts w:ascii="宋体" w:hAnsi="宋体" w:cs="宋体" w:eastAsia="宋体" w:hint="default"/>
        </w:rPr>
        <w:t>1</w:t>
      </w:r>
      <w:r>
        <w:rPr/>
        <w:t>、子公司北京金印联国际供应链管理有限公司</w:t>
      </w:r>
      <w:r>
        <w:rPr>
          <w:b w:val="0"/>
          <w:bCs w:val="0"/>
        </w:rPr>
      </w:r>
    </w:p>
    <w:p>
      <w:pPr>
        <w:pStyle w:val="BodyText"/>
        <w:spacing w:line="316" w:lineRule="auto" w:before="43"/>
        <w:ind w:left="293" w:right="1124" w:firstLine="422"/>
        <w:jc w:val="both"/>
      </w:pPr>
      <w:r>
        <w:rPr>
          <w:spacing w:val="-2"/>
        </w:rPr>
        <w:t>为顺应行业发展趋势及工业技术升级的要求，公司以行业供应链管理为切入点，报告期收购了北京金</w:t>
      </w:r>
      <w:r>
        <w:rPr>
          <w:w w:val="100"/>
        </w:rPr>
        <w:t> </w:t>
      </w:r>
      <w:r>
        <w:rPr/>
        <w:t>印联国际供应链管理有限公司 </w:t>
      </w:r>
      <w:r>
        <w:rPr>
          <w:rFonts w:ascii="宋体" w:hAnsi="宋体" w:cs="宋体" w:eastAsia="宋体" w:hint="default"/>
          <w:spacing w:val="-4"/>
        </w:rPr>
        <w:t>70%</w:t>
      </w:r>
      <w:r>
        <w:rPr>
          <w:spacing w:val="-4"/>
        </w:rPr>
        <w:t>股权</w:t>
      </w:r>
      <w:r>
        <w:rPr>
          <w:rFonts w:ascii="宋体" w:hAnsi="宋体" w:cs="宋体" w:eastAsia="宋体" w:hint="default"/>
          <w:spacing w:val="-4"/>
        </w:rPr>
        <w:t>,</w:t>
      </w:r>
      <w:r>
        <w:rPr>
          <w:spacing w:val="-4"/>
        </w:rPr>
        <w:t>在收购北京金印联后建立供应链管理平台，以此整合行业上下游资</w:t>
      </w:r>
      <w:r>
        <w:rPr>
          <w:spacing w:val="-88"/>
        </w:rPr>
        <w:t> </w:t>
      </w:r>
      <w:r>
        <w:rPr>
          <w:spacing w:val="-88"/>
        </w:rPr>
      </w:r>
      <w:r>
        <w:rPr/>
        <w:t>源。</w:t>
      </w:r>
    </w:p>
    <w:p>
      <w:pPr>
        <w:pStyle w:val="BodyText"/>
        <w:spacing w:line="314" w:lineRule="auto" w:before="51"/>
        <w:ind w:left="293" w:right="422" w:firstLine="422"/>
        <w:jc w:val="left"/>
      </w:pPr>
      <w:r>
        <w:rPr>
          <w:spacing w:val="-7"/>
        </w:rPr>
        <w:t>北京金印联是一家专注从事印刷包装产业供应链服务的企业。为出版印刷、商务印刷、药品包装印刷、</w:t>
      </w:r>
      <w:r>
        <w:rPr>
          <w:w w:val="100"/>
        </w:rPr>
        <w:t> </w:t>
      </w:r>
      <w:r>
        <w:rPr/>
        <w:t>食品消费品印刷及烟包印刷等各类企业提供国内外知名品牌的纸张、油墨、水性光油等包装印刷综合性原</w:t>
      </w:r>
      <w:r>
        <w:rPr>
          <w:w w:val="100"/>
        </w:rPr>
        <w:t> </w:t>
      </w:r>
      <w:r>
        <w:rPr>
          <w:spacing w:val="-4"/>
        </w:rPr>
        <w:t>辅材料并提供专业化的技术支持及服务。未来公司将搭建线上产品及服务平台，持续深耕上述各细分领域，</w:t>
      </w:r>
      <w:r>
        <w:rPr>
          <w:spacing w:val="-40"/>
        </w:rPr>
        <w:t> </w:t>
      </w:r>
      <w:r>
        <w:rPr>
          <w:spacing w:val="-40"/>
        </w:rPr>
      </w:r>
      <w:r>
        <w:rPr/>
        <w:t>精心打造从终端用户需求出发的</w:t>
      </w:r>
      <w:r>
        <w:rPr>
          <w:spacing w:val="-52"/>
        </w:rPr>
        <w:t> </w:t>
      </w:r>
      <w:r>
        <w:rPr>
          <w:rFonts w:ascii="宋体" w:hAnsi="宋体" w:cs="宋体" w:eastAsia="宋体" w:hint="default"/>
        </w:rPr>
        <w:t>C2B</w:t>
      </w:r>
      <w:r>
        <w:rPr>
          <w:rFonts w:ascii="宋体" w:hAnsi="宋体" w:cs="宋体" w:eastAsia="宋体" w:hint="default"/>
          <w:spacing w:val="-52"/>
        </w:rPr>
        <w:t> </w:t>
      </w:r>
      <w:r>
        <w:rPr/>
        <w:t>反向供应链整合新模式。</w:t>
      </w:r>
    </w:p>
    <w:p>
      <w:pPr>
        <w:pStyle w:val="BodyText"/>
        <w:spacing w:line="333" w:lineRule="auto" w:before="53"/>
        <w:ind w:left="293" w:right="1127" w:firstLine="422"/>
        <w:jc w:val="both"/>
        <w:rPr>
          <w:rFonts w:ascii="宋体" w:hAnsi="宋体" w:cs="宋体" w:eastAsia="宋体" w:hint="default"/>
        </w:rPr>
      </w:pPr>
      <w:r>
        <w:rPr/>
        <w:t>北京金印联于</w:t>
      </w:r>
      <w:r>
        <w:rPr>
          <w:spacing w:val="-47"/>
        </w:rPr>
        <w:t> </w:t>
      </w:r>
      <w:r>
        <w:rPr>
          <w:rFonts w:ascii="宋体" w:hAnsi="宋体" w:cs="宋体" w:eastAsia="宋体" w:hint="default"/>
        </w:rPr>
        <w:t>2019</w:t>
      </w:r>
      <w:r>
        <w:rPr>
          <w:rFonts w:ascii="宋体" w:hAnsi="宋体" w:cs="宋体" w:eastAsia="宋体" w:hint="default"/>
          <w:spacing w:val="-43"/>
        </w:rPr>
        <w:t> </w:t>
      </w:r>
      <w:r>
        <w:rPr/>
        <w:t>年</w:t>
      </w:r>
      <w:r>
        <w:rPr>
          <w:spacing w:val="-43"/>
        </w:rPr>
        <w:t> </w:t>
      </w:r>
      <w:r>
        <w:rPr>
          <w:rFonts w:ascii="宋体" w:hAnsi="宋体" w:cs="宋体" w:eastAsia="宋体" w:hint="default"/>
        </w:rPr>
        <w:t>7</w:t>
      </w:r>
      <w:r>
        <w:rPr>
          <w:rFonts w:ascii="宋体" w:hAnsi="宋体" w:cs="宋体" w:eastAsia="宋体" w:hint="default"/>
          <w:spacing w:val="-43"/>
        </w:rPr>
        <w:t> </w:t>
      </w:r>
      <w:r>
        <w:rPr/>
        <w:t>月起纳入合并报表范围，</w:t>
      </w:r>
      <w:r>
        <w:rPr>
          <w:rFonts w:ascii="宋体" w:hAnsi="宋体" w:cs="宋体" w:eastAsia="宋体" w:hint="default"/>
        </w:rPr>
        <w:t>2019</w:t>
      </w:r>
      <w:r>
        <w:rPr>
          <w:rFonts w:ascii="宋体" w:hAnsi="宋体" w:cs="宋体" w:eastAsia="宋体" w:hint="default"/>
          <w:spacing w:val="-43"/>
        </w:rPr>
        <w:t> </w:t>
      </w:r>
      <w:r>
        <w:rPr/>
        <w:t>年</w:t>
      </w:r>
      <w:r>
        <w:rPr>
          <w:spacing w:val="-43"/>
        </w:rPr>
        <w:t> </w:t>
      </w:r>
      <w:r>
        <w:rPr>
          <w:rFonts w:ascii="宋体" w:hAnsi="宋体" w:cs="宋体" w:eastAsia="宋体" w:hint="default"/>
        </w:rPr>
        <w:t>7-12</w:t>
      </w:r>
      <w:r>
        <w:rPr>
          <w:rFonts w:ascii="宋体" w:hAnsi="宋体" w:cs="宋体" w:eastAsia="宋体" w:hint="default"/>
          <w:spacing w:val="-43"/>
        </w:rPr>
        <w:t> </w:t>
      </w:r>
      <w:r>
        <w:rPr/>
        <w:t>月，北京金印联实现净利润</w:t>
      </w:r>
      <w:r>
        <w:rPr>
          <w:spacing w:val="-42"/>
        </w:rPr>
        <w:t> </w:t>
      </w:r>
      <w:r>
        <w:rPr>
          <w:rFonts w:ascii="宋体" w:hAnsi="宋体" w:cs="宋体" w:eastAsia="宋体" w:hint="default"/>
        </w:rPr>
        <w:t>1,250.92</w:t>
      </w:r>
      <w:r>
        <w:rPr>
          <w:rFonts w:ascii="宋体" w:hAnsi="宋体" w:cs="宋体" w:eastAsia="宋体" w:hint="default"/>
          <w:spacing w:val="-5"/>
          <w:w w:val="100"/>
        </w:rPr>
        <w:t> </w:t>
      </w:r>
      <w:r>
        <w:rPr>
          <w:spacing w:val="-6"/>
          <w:w w:val="100"/>
        </w:rPr>
        <w:t>万元，实现归属于上市公司股东的净利润</w:t>
      </w:r>
      <w:r>
        <w:rPr>
          <w:spacing w:val="-55"/>
          <w:w w:val="100"/>
        </w:rPr>
        <w:t> </w:t>
      </w:r>
      <w:r>
        <w:rPr>
          <w:rFonts w:ascii="宋体" w:hAnsi="宋体" w:cs="宋体" w:eastAsia="宋体" w:hint="default"/>
          <w:w w:val="100"/>
        </w:rPr>
        <w:t>842.85</w:t>
      </w:r>
      <w:r>
        <w:rPr>
          <w:rFonts w:ascii="宋体" w:hAnsi="宋体" w:cs="宋体" w:eastAsia="宋体" w:hint="default"/>
          <w:spacing w:val="-52"/>
          <w:w w:val="100"/>
        </w:rPr>
        <w:t> </w:t>
      </w:r>
      <w:r>
        <w:rPr>
          <w:spacing w:val="-6"/>
          <w:w w:val="100"/>
        </w:rPr>
        <w:t>万元，占公司合并归属于上市公司股东净利润的</w:t>
      </w:r>
      <w:r>
        <w:rPr>
          <w:spacing w:val="-49"/>
          <w:w w:val="100"/>
        </w:rPr>
        <w:t> </w:t>
      </w:r>
      <w:r>
        <w:rPr>
          <w:rFonts w:ascii="宋体" w:hAnsi="宋体" w:cs="宋体" w:eastAsia="宋体" w:hint="default"/>
          <w:spacing w:val="-1"/>
          <w:w w:val="100"/>
        </w:rPr>
        <w:t>12.66%</w:t>
      </w:r>
      <w:r>
        <w:rPr>
          <w:spacing w:val="-1"/>
          <w:w w:val="100"/>
        </w:rPr>
        <w:t>。</w:t>
      </w:r>
      <w:r>
        <w:rPr>
          <w:w w:val="100"/>
        </w:rPr>
        <w:t> </w:t>
      </w:r>
      <w:r>
        <w:rPr>
          <w:rFonts w:ascii="宋体" w:hAnsi="宋体" w:cs="宋体" w:eastAsia="宋体" w:hint="default"/>
          <w:b/>
          <w:bCs/>
        </w:rPr>
        <w:t>2</w:t>
      </w:r>
      <w:r>
        <w:rPr>
          <w:rFonts w:ascii="宋体" w:hAnsi="宋体" w:cs="宋体" w:eastAsia="宋体" w:hint="default"/>
          <w:b/>
          <w:bCs/>
        </w:rPr>
        <w:t>、子公司霍尔果斯领凯网络有限公司</w:t>
      </w:r>
      <w:r>
        <w:rPr>
          <w:rFonts w:ascii="宋体" w:hAnsi="宋体" w:cs="宋体" w:eastAsia="宋体" w:hint="default"/>
        </w:rPr>
      </w:r>
    </w:p>
    <w:p>
      <w:pPr>
        <w:pStyle w:val="BodyText"/>
        <w:spacing w:line="314" w:lineRule="auto" w:before="37"/>
        <w:ind w:left="293" w:right="1122" w:firstLine="422"/>
        <w:jc w:val="both"/>
      </w:pPr>
      <w:r>
        <w:rPr>
          <w:spacing w:val="-2"/>
        </w:rPr>
        <w:t>公司子公司领凯科技主要从事移动互联网广告精准营销业务，其业务占公司业务比重明显增加，报告</w:t>
      </w:r>
      <w:r>
        <w:rPr>
          <w:w w:val="100"/>
        </w:rPr>
        <w:t> </w:t>
      </w:r>
      <w:r>
        <w:rPr/>
        <w:t>期实现营业收入</w:t>
      </w:r>
      <w:r>
        <w:rPr>
          <w:spacing w:val="-45"/>
        </w:rPr>
        <w:t> </w:t>
      </w:r>
      <w:r>
        <w:rPr>
          <w:rFonts w:ascii="宋体" w:hAnsi="宋体" w:cs="宋体" w:eastAsia="宋体" w:hint="default"/>
        </w:rPr>
        <w:t>58,516.05</w:t>
      </w:r>
      <w:r>
        <w:rPr>
          <w:rFonts w:ascii="宋体" w:hAnsi="宋体" w:cs="宋体" w:eastAsia="宋体" w:hint="default"/>
          <w:spacing w:val="-45"/>
        </w:rPr>
        <w:t> </w:t>
      </w:r>
      <w:r>
        <w:rPr/>
        <w:t>万元，占公司营业收入的</w:t>
      </w:r>
      <w:r>
        <w:rPr>
          <w:spacing w:val="-50"/>
        </w:rPr>
        <w:t> </w:t>
      </w:r>
      <w:r>
        <w:rPr>
          <w:rFonts w:ascii="宋体" w:hAnsi="宋体" w:cs="宋体" w:eastAsia="宋体" w:hint="default"/>
        </w:rPr>
        <w:t>46.91%</w:t>
      </w:r>
      <w:r>
        <w:rPr/>
        <w:t>，实现净利润</w:t>
      </w:r>
      <w:r>
        <w:rPr>
          <w:spacing w:val="-45"/>
        </w:rPr>
        <w:t> </w:t>
      </w:r>
      <w:r>
        <w:rPr>
          <w:rFonts w:ascii="宋体" w:hAnsi="宋体" w:cs="宋体" w:eastAsia="宋体" w:hint="default"/>
        </w:rPr>
        <w:t>4,545.39</w:t>
      </w:r>
      <w:r>
        <w:rPr>
          <w:rFonts w:ascii="宋体" w:hAnsi="宋体" w:cs="宋体" w:eastAsia="宋体" w:hint="default"/>
          <w:spacing w:val="-46"/>
        </w:rPr>
        <w:t> </w:t>
      </w:r>
      <w:r>
        <w:rPr/>
        <w:t>万元，实现归属于上</w:t>
      </w:r>
    </w:p>
    <w:p>
      <w:pPr>
        <w:spacing w:after="0" w:line="314" w:lineRule="auto"/>
        <w:jc w:val="both"/>
        <w:sectPr>
          <w:pgSz w:w="11910" w:h="16840"/>
          <w:pgMar w:header="0" w:footer="979" w:top="1100" w:bottom="1160" w:left="840" w:right="0"/>
        </w:sectPr>
      </w:pPr>
    </w:p>
    <w:p>
      <w:pPr>
        <w:spacing w:line="240" w:lineRule="auto" w:before="7"/>
        <w:rPr>
          <w:rFonts w:ascii="宋体" w:hAnsi="宋体" w:cs="宋体" w:eastAsia="宋体" w:hint="default"/>
          <w:sz w:val="22"/>
          <w:szCs w:val="22"/>
        </w:rPr>
      </w:pPr>
    </w:p>
    <w:p>
      <w:pPr>
        <w:pStyle w:val="BodyText"/>
        <w:spacing w:line="319" w:lineRule="auto" w:before="36"/>
        <w:ind w:right="1116"/>
        <w:jc w:val="left"/>
      </w:pPr>
      <w:r>
        <w:rPr/>
        <w:t>市公司股东的净利润</w:t>
      </w:r>
      <w:r>
        <w:rPr>
          <w:spacing w:val="-44"/>
        </w:rPr>
        <w:t> </w:t>
      </w:r>
      <w:r>
        <w:rPr>
          <w:rFonts w:ascii="宋体" w:hAnsi="宋体" w:cs="宋体" w:eastAsia="宋体" w:hint="default"/>
        </w:rPr>
        <w:t>3,131.37</w:t>
      </w:r>
      <w:r>
        <w:rPr>
          <w:rFonts w:ascii="宋体" w:hAnsi="宋体" w:cs="宋体" w:eastAsia="宋体" w:hint="default"/>
          <w:spacing w:val="-44"/>
        </w:rPr>
        <w:t> </w:t>
      </w:r>
      <w:r>
        <w:rPr/>
        <w:t>万元，占公司合并归属于上市公司股东净利润的</w:t>
      </w:r>
      <w:r>
        <w:rPr>
          <w:spacing w:val="-42"/>
        </w:rPr>
        <w:t> </w:t>
      </w:r>
      <w:r>
        <w:rPr>
          <w:rFonts w:ascii="宋体" w:hAnsi="宋体" w:cs="宋体" w:eastAsia="宋体" w:hint="default"/>
        </w:rPr>
        <w:t>47.05%</w:t>
      </w:r>
      <w:r>
        <w:rPr/>
        <w:t>。报告期子公司领</w:t>
      </w:r>
      <w:r>
        <w:rPr>
          <w:w w:val="100"/>
        </w:rPr>
        <w:t> </w:t>
      </w:r>
      <w:r>
        <w:rPr/>
        <w:t>凯科技主要情况介绍如下：</w:t>
      </w:r>
    </w:p>
    <w:p>
      <w:pPr>
        <w:spacing w:line="343" w:lineRule="auto" w:before="54"/>
        <w:ind w:left="575" w:right="0" w:hanging="423"/>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）报告期内公司从事的主要业务</w:t>
      </w:r>
      <w:r>
        <w:rPr>
          <w:rFonts w:ascii="宋体" w:hAnsi="宋体" w:cs="宋体" w:eastAsia="宋体" w:hint="default"/>
          <w:b/>
          <w:bCs/>
          <w:spacing w:val="-101"/>
          <w:sz w:val="21"/>
          <w:szCs w:val="21"/>
        </w:rPr>
        <w:t> </w:t>
      </w:r>
      <w:r>
        <w:rPr>
          <w:rFonts w:ascii="宋体" w:hAnsi="宋体" w:cs="宋体" w:eastAsia="宋体" w:hint="default"/>
          <w:spacing w:val="-2"/>
          <w:sz w:val="21"/>
          <w:szCs w:val="21"/>
        </w:rPr>
        <w:t>领凯科技是该产业链中的营销服务提供商，为客户提供互联网精准营销服务，是连结广告主、互联网</w:t>
      </w:r>
    </w:p>
    <w:p>
      <w:pPr>
        <w:pStyle w:val="BodyText"/>
        <w:spacing w:line="314" w:lineRule="auto" w:before="0"/>
        <w:ind w:right="0"/>
        <w:jc w:val="left"/>
      </w:pPr>
      <w:r>
        <w:rPr>
          <w:spacing w:val="-2"/>
        </w:rPr>
        <w:t>媒体及终端用户的平台。领凯科技通过对广告平台大数据工具的持续投入和技术优势驱动，使用融合“技</w:t>
      </w:r>
      <w:r>
        <w:rPr>
          <w:spacing w:val="-30"/>
        </w:rPr>
        <w:t> </w:t>
      </w:r>
      <w:r>
        <w:rPr>
          <w:spacing w:val="-30"/>
        </w:rPr>
      </w:r>
      <w:r>
        <w:rPr>
          <w:spacing w:val="-2"/>
        </w:rPr>
        <w:t>术</w:t>
      </w:r>
      <w:r>
        <w:rPr>
          <w:rFonts w:ascii="宋体" w:hAnsi="宋体" w:cs="宋体" w:eastAsia="宋体" w:hint="default"/>
          <w:spacing w:val="-2"/>
        </w:rPr>
        <w:t>+</w:t>
      </w:r>
      <w:r>
        <w:rPr>
          <w:spacing w:val="-2"/>
        </w:rPr>
        <w:t>创意</w:t>
      </w:r>
      <w:r>
        <w:rPr>
          <w:rFonts w:ascii="宋体" w:hAnsi="宋体" w:cs="宋体" w:eastAsia="宋体" w:hint="default"/>
          <w:spacing w:val="-2"/>
        </w:rPr>
        <w:t>+</w:t>
      </w:r>
      <w:r>
        <w:rPr>
          <w:spacing w:val="-2"/>
        </w:rPr>
        <w:t>服务”的模式为客户提供精准营销定向推送服务。利用大数据分析能力，优化展现更全面的需求</w:t>
      </w:r>
      <w:r>
        <w:rPr>
          <w:spacing w:val="-31"/>
        </w:rPr>
        <w:t> </w:t>
      </w:r>
      <w:r>
        <w:rPr>
          <w:spacing w:val="-31"/>
        </w:rPr>
      </w:r>
      <w:r>
        <w:rPr/>
        <w:t>信息并挖掘价值数据用于分析判断，帮助客户利用数据及社交网络实现与消费者效果直达的沟通及互动，</w:t>
      </w:r>
      <w:r>
        <w:rPr>
          <w:spacing w:val="-30"/>
        </w:rPr>
        <w:t> </w:t>
      </w:r>
      <w:r>
        <w:rPr>
          <w:spacing w:val="-30"/>
        </w:rPr>
      </w:r>
      <w:r>
        <w:rPr/>
        <w:t>实现直接经营顾客效果。</w:t>
      </w:r>
    </w:p>
    <w:p>
      <w:pPr>
        <w:pStyle w:val="BodyText"/>
        <w:spacing w:line="314" w:lineRule="auto" w:before="53"/>
        <w:ind w:right="1004" w:firstLine="422"/>
        <w:jc w:val="left"/>
      </w:pPr>
      <w:r>
        <w:rPr>
          <w:spacing w:val="-5"/>
        </w:rPr>
        <w:t>报告期内，领凯科技的互联网精准营销业务实现营业收入的大幅增长，各业务板块经营情况持续向好，</w:t>
      </w:r>
      <w:r>
        <w:rPr>
          <w:w w:val="100"/>
        </w:rPr>
        <w:t> </w:t>
      </w:r>
      <w:r>
        <w:rPr/>
        <w:t>客户结构更加优质、稳定，为客户服务内容逐步多元化。全案推广服务、全案广告代理与数据产品服务的</w:t>
      </w:r>
      <w:r>
        <w:rPr>
          <w:w w:val="100"/>
        </w:rPr>
        <w:t> </w:t>
      </w:r>
      <w:r>
        <w:rPr/>
        <w:t>业务可快速拓展客户数量，并从中选出更优质客户，为其提供增值服务以提升公司盈利能力。在收入稳定</w:t>
      </w:r>
      <w:r>
        <w:rPr>
          <w:w w:val="100"/>
        </w:rPr>
        <w:t> </w:t>
      </w:r>
      <w:r>
        <w:rPr/>
        <w:t>增长的同时，公司持续推进“技术</w:t>
      </w:r>
      <w:r>
        <w:rPr>
          <w:rFonts w:ascii="宋体" w:hAnsi="宋体" w:cs="宋体" w:eastAsia="宋体" w:hint="default"/>
        </w:rPr>
        <w:t>+</w:t>
      </w:r>
      <w:r>
        <w:rPr/>
        <w:t>创意</w:t>
      </w:r>
      <w:r>
        <w:rPr>
          <w:rFonts w:ascii="宋体" w:hAnsi="宋体" w:cs="宋体" w:eastAsia="宋体" w:hint="default"/>
        </w:rPr>
        <w:t>+</w:t>
      </w:r>
      <w:r>
        <w:rPr/>
        <w:t>服务”的模式，提高业务效率和服务效果，进一步优化了客户结</w:t>
      </w:r>
      <w:r>
        <w:rPr>
          <w:w w:val="100"/>
        </w:rPr>
        <w:t> </w:t>
      </w:r>
      <w:r>
        <w:rPr/>
        <w:t>构。</w:t>
      </w:r>
    </w:p>
    <w:p>
      <w:pPr>
        <w:pStyle w:val="Heading3"/>
        <w:spacing w:line="240" w:lineRule="auto" w:before="58"/>
        <w:ind w:right="0"/>
        <w:jc w:val="left"/>
        <w:rPr>
          <w:b w:val="0"/>
          <w:bCs w:val="0"/>
        </w:rPr>
      </w:pPr>
      <w:r>
        <w:rPr/>
        <w:t>（</w:t>
      </w:r>
      <w:r>
        <w:rPr>
          <w:rFonts w:ascii="宋体" w:hAnsi="宋体" w:cs="宋体" w:eastAsia="宋体" w:hint="default"/>
        </w:rPr>
        <w:t>2</w:t>
      </w:r>
      <w:r>
        <w:rPr/>
        <w:t>）核心竞争力分析</w:t>
      </w:r>
      <w:r>
        <w:rPr>
          <w:b w:val="0"/>
          <w:bCs w:val="0"/>
        </w:rPr>
      </w:r>
    </w:p>
    <w:p>
      <w:pPr>
        <w:pStyle w:val="Heading3"/>
        <w:spacing w:line="240" w:lineRule="auto" w:before="118"/>
        <w:ind w:left="633" w:right="0"/>
        <w:jc w:val="left"/>
        <w:rPr>
          <w:b w:val="0"/>
          <w:bCs w:val="0"/>
        </w:rPr>
      </w:pPr>
      <w:r>
        <w:rPr/>
        <w:t>①</w:t>
      </w:r>
      <w:r>
        <w:rPr>
          <w:spacing w:val="3"/>
        </w:rPr>
        <w:t> </w:t>
      </w:r>
      <w:r>
        <w:rPr/>
        <w:t>行业及客户资源优势</w:t>
      </w:r>
      <w:r>
        <w:rPr>
          <w:b w:val="0"/>
          <w:bCs w:val="0"/>
        </w:rPr>
      </w:r>
    </w:p>
    <w:p>
      <w:pPr>
        <w:spacing w:line="240" w:lineRule="auto" w:before="12"/>
        <w:rPr>
          <w:rFonts w:ascii="宋体" w:hAnsi="宋体" w:cs="宋体" w:eastAsia="宋体" w:hint="default"/>
          <w:b/>
          <w:bCs/>
          <w:sz w:val="21"/>
          <w:szCs w:val="21"/>
        </w:rPr>
      </w:pPr>
    </w:p>
    <w:p>
      <w:pPr>
        <w:pStyle w:val="BodyText"/>
        <w:spacing w:line="314" w:lineRule="auto" w:before="0"/>
        <w:ind w:right="0" w:firstLine="422"/>
        <w:jc w:val="left"/>
      </w:pPr>
      <w:r>
        <w:rPr>
          <w:spacing w:val="-2"/>
        </w:rPr>
        <w:t>目前，我国互联网营销行业尚处于发展的起步阶段，行业市场规模较大，在互联网营销模式下，营销</w:t>
      </w:r>
      <w:r>
        <w:rPr>
          <w:w w:val="100"/>
        </w:rPr>
        <w:t> </w:t>
      </w:r>
      <w:r>
        <w:rPr/>
        <w:t>服务提供商需要更多关注客户的需求，通过技术分析、商业模式创新等手段为客户创造更大的价值。</w:t>
      </w:r>
    </w:p>
    <w:p>
      <w:pPr>
        <w:pStyle w:val="BodyText"/>
        <w:spacing w:line="316" w:lineRule="auto" w:before="53"/>
        <w:ind w:right="1123" w:firstLine="422"/>
        <w:jc w:val="both"/>
      </w:pPr>
      <w:r>
        <w:rPr>
          <w:spacing w:val="-2"/>
        </w:rPr>
        <w:t>领凯科技不仅能够提供一般意义上的互联网广告投放服务，还能依托其大数据技术和手段进行跟踪分</w:t>
      </w:r>
      <w:r>
        <w:rPr>
          <w:w w:val="100"/>
        </w:rPr>
        <w:t> </w:t>
      </w:r>
      <w:r>
        <w:rPr>
          <w:spacing w:val="-2"/>
        </w:rPr>
        <w:t>析，并对发现的特定客户实施针对性的精准营销。公司将持续加大对广告平台大数据工具持续的研发投入</w:t>
      </w:r>
      <w:r>
        <w:rPr>
          <w:spacing w:val="-31"/>
        </w:rPr>
        <w:t> </w:t>
      </w:r>
      <w:r>
        <w:rPr>
          <w:spacing w:val="-31"/>
        </w:rPr>
      </w:r>
      <w:r>
        <w:rPr/>
        <w:t>从而推动大数据融合升级。</w:t>
      </w:r>
    </w:p>
    <w:p>
      <w:pPr>
        <w:pStyle w:val="BodyText"/>
        <w:spacing w:line="314" w:lineRule="auto" w:before="52"/>
        <w:ind w:right="1004" w:firstLine="422"/>
        <w:jc w:val="left"/>
      </w:pPr>
      <w:r>
        <w:rPr/>
        <w:t>公司的互联网营销业务的客户主要来自于电商、游戏、教育、金融及网络服务行业等，持续服务于头</w:t>
      </w:r>
      <w:r>
        <w:rPr>
          <w:w w:val="100"/>
        </w:rPr>
        <w:t> </w:t>
      </w:r>
      <w:r>
        <w:rPr/>
        <w:t>条系（今日头条、抖音），阿里系（淘宝、支付宝），品牌电商（拼多多、聚美优品）、视频</w:t>
      </w:r>
      <w:r>
        <w:rPr>
          <w:spacing w:val="-18"/>
        </w:rPr>
        <w:t> </w:t>
      </w:r>
      <w:r>
        <w:rPr>
          <w:rFonts w:ascii="宋体" w:hAnsi="宋体" w:cs="宋体" w:eastAsia="宋体" w:hint="default"/>
        </w:rPr>
        <w:t>APP(</w:t>
      </w:r>
      <w:r>
        <w:rPr/>
        <w:t>搜狐、</w:t>
      </w:r>
      <w:r>
        <w:rPr>
          <w:w w:val="100"/>
        </w:rPr>
        <w:t> </w:t>
      </w:r>
      <w:r>
        <w:rPr/>
        <w:t>优酷）、游戏类（中手游等）互联网行业头部客户。公司将继续顺应市场发展趋势，利用精准数字化网络</w:t>
      </w:r>
      <w:r>
        <w:rPr>
          <w:w w:val="100"/>
        </w:rPr>
        <w:t> </w:t>
      </w:r>
      <w:r>
        <w:rPr/>
        <w:t>服务技能，深度发掘客户需求，达成客户诉求，持续稳定促进公司业务成长。</w:t>
      </w:r>
    </w:p>
    <w:p>
      <w:pPr>
        <w:pStyle w:val="Heading3"/>
        <w:spacing w:line="240" w:lineRule="auto" w:before="53"/>
        <w:ind w:left="633" w:right="0"/>
        <w:jc w:val="left"/>
        <w:rPr>
          <w:b w:val="0"/>
          <w:bCs w:val="0"/>
        </w:rPr>
      </w:pPr>
      <w:r>
        <w:rPr/>
        <w:t>②</w:t>
      </w:r>
      <w:r>
        <w:rPr>
          <w:spacing w:val="1"/>
        </w:rPr>
        <w:t> </w:t>
      </w:r>
      <w:r>
        <w:rPr/>
        <w:t>技术优势</w:t>
      </w:r>
      <w:r>
        <w:rPr>
          <w:b w:val="0"/>
          <w:bCs w:val="0"/>
        </w:rPr>
      </w:r>
    </w:p>
    <w:p>
      <w:pPr>
        <w:spacing w:line="240" w:lineRule="auto" w:before="13"/>
        <w:rPr>
          <w:rFonts w:ascii="宋体" w:hAnsi="宋体" w:cs="宋体" w:eastAsia="宋体" w:hint="default"/>
          <w:b/>
          <w:bCs/>
          <w:sz w:val="21"/>
          <w:szCs w:val="21"/>
        </w:rPr>
      </w:pPr>
    </w:p>
    <w:p>
      <w:pPr>
        <w:pStyle w:val="BodyText"/>
        <w:spacing w:line="314" w:lineRule="auto" w:before="0"/>
        <w:ind w:right="0" w:firstLine="422"/>
        <w:jc w:val="left"/>
      </w:pPr>
      <w:r>
        <w:rPr>
          <w:spacing w:val="-2"/>
        </w:rPr>
        <w:t>公司已完成技术对接建设应用，通过技术优势驱动实现“技术</w:t>
      </w:r>
      <w:r>
        <w:rPr>
          <w:rFonts w:ascii="宋体" w:hAnsi="宋体" w:cs="宋体" w:eastAsia="宋体" w:hint="default"/>
          <w:spacing w:val="-2"/>
        </w:rPr>
        <w:t>+</w:t>
      </w:r>
      <w:r>
        <w:rPr>
          <w:spacing w:val="-2"/>
        </w:rPr>
        <w:t>创意</w:t>
      </w:r>
      <w:r>
        <w:rPr>
          <w:rFonts w:ascii="宋体" w:hAnsi="宋体" w:cs="宋体" w:eastAsia="宋体" w:hint="default"/>
          <w:spacing w:val="-2"/>
        </w:rPr>
        <w:t>+</w:t>
      </w:r>
      <w:r>
        <w:rPr>
          <w:spacing w:val="-2"/>
        </w:rPr>
        <w:t>服务”的融合，为客户提供精准</w:t>
      </w:r>
      <w:r>
        <w:rPr>
          <w:w w:val="100"/>
        </w:rPr>
        <w:t> </w:t>
      </w:r>
      <w:r>
        <w:rPr/>
        <w:t>营销定向推送服务。利用大数据分析能力，优化展现更全面的需求信息，并挖掘价值数据用于分析判断，</w:t>
      </w:r>
      <w:r>
        <w:rPr>
          <w:spacing w:val="-30"/>
        </w:rPr>
        <w:t> </w:t>
      </w:r>
      <w:r>
        <w:rPr>
          <w:spacing w:val="-30"/>
        </w:rPr>
      </w:r>
      <w:r>
        <w:rPr/>
        <w:t>帮助客户利用数据及社交网络实现与消费者效果直达的沟通及互动。</w:t>
      </w:r>
    </w:p>
    <w:p>
      <w:pPr>
        <w:pStyle w:val="Heading3"/>
        <w:spacing w:line="240" w:lineRule="auto" w:before="58"/>
        <w:ind w:right="0"/>
        <w:jc w:val="left"/>
        <w:rPr>
          <w:b w:val="0"/>
          <w:bCs w:val="0"/>
        </w:rPr>
      </w:pPr>
      <w:r>
        <w:rPr/>
        <w:t>（</w:t>
      </w:r>
      <w:r>
        <w:rPr>
          <w:rFonts w:ascii="宋体" w:hAnsi="宋体" w:cs="宋体" w:eastAsia="宋体" w:hint="default"/>
        </w:rPr>
        <w:t>3</w:t>
      </w:r>
      <w:r>
        <w:rPr/>
        <w:t>）研发投入情况</w:t>
      </w:r>
      <w:r>
        <w:rPr>
          <w:b w:val="0"/>
          <w:bCs w:val="0"/>
        </w:rPr>
      </w:r>
    </w:p>
    <w:p>
      <w:pPr>
        <w:pStyle w:val="BodyText"/>
        <w:spacing w:line="316" w:lineRule="auto" w:before="119"/>
        <w:ind w:right="1123" w:firstLine="422"/>
        <w:jc w:val="both"/>
      </w:pPr>
      <w:r>
        <w:rPr/>
        <w:t>互联网精准营销的研发方向主要集中在互联网广告的</w:t>
      </w:r>
      <w:r>
        <w:rPr>
          <w:spacing w:val="-36"/>
        </w:rPr>
        <w:t> </w:t>
      </w:r>
      <w:r>
        <w:rPr>
          <w:rFonts w:ascii="宋体" w:hAnsi="宋体" w:cs="宋体" w:eastAsia="宋体" w:hint="default"/>
        </w:rPr>
        <w:t>UI</w:t>
      </w:r>
      <w:r>
        <w:rPr>
          <w:rFonts w:ascii="宋体" w:hAnsi="宋体" w:cs="宋体" w:eastAsia="宋体" w:hint="default"/>
          <w:spacing w:val="-31"/>
        </w:rPr>
        <w:t> </w:t>
      </w:r>
      <w:r>
        <w:rPr/>
        <w:t>和</w:t>
      </w:r>
      <w:r>
        <w:rPr>
          <w:spacing w:val="-31"/>
        </w:rPr>
        <w:t> </w:t>
      </w:r>
      <w:r>
        <w:rPr>
          <w:rFonts w:ascii="宋体" w:hAnsi="宋体" w:cs="宋体" w:eastAsia="宋体" w:hint="default"/>
        </w:rPr>
        <w:t>WEB</w:t>
      </w:r>
      <w:r>
        <w:rPr>
          <w:rFonts w:ascii="宋体" w:hAnsi="宋体" w:cs="宋体" w:eastAsia="宋体" w:hint="default"/>
          <w:spacing w:val="-31"/>
        </w:rPr>
        <w:t> </w:t>
      </w:r>
      <w:r>
        <w:rPr/>
        <w:t>前端开发、广告投放引擎、数据抓取</w:t>
      </w:r>
      <w:r>
        <w:rPr>
          <w:w w:val="100"/>
        </w:rPr>
        <w:t> </w:t>
      </w:r>
      <w:r>
        <w:rPr>
          <w:spacing w:val="-2"/>
        </w:rPr>
        <w:t>存储、数据分析挖掘、计算模型算法研发，并在机器学习、人工智能等方面积极储备技术人才，为持续研</w:t>
      </w:r>
      <w:r>
        <w:rPr>
          <w:spacing w:val="-38"/>
        </w:rPr>
        <w:t> </w:t>
      </w:r>
      <w:r>
        <w:rPr>
          <w:spacing w:val="-38"/>
        </w:rPr>
      </w:r>
      <w:r>
        <w:rPr>
          <w:spacing w:val="-2"/>
        </w:rPr>
        <w:t>发升级奠定了良好的基础。公司持续推动大数据融合升级战略，在上海、北京等地部署大数据中心，通过</w:t>
      </w:r>
      <w:r>
        <w:rPr>
          <w:spacing w:val="-33"/>
        </w:rPr>
        <w:t> </w:t>
      </w:r>
      <w:r>
        <w:rPr>
          <w:spacing w:val="-33"/>
        </w:rPr>
      </w:r>
      <w:r>
        <w:rPr/>
        <w:t>持续的研发投入，推出海外高技术程序化广告平台、大数据广告爬虫平台等多个大数据营销产品。</w:t>
      </w:r>
    </w:p>
    <w:p>
      <w:pPr>
        <w:pStyle w:val="Heading3"/>
        <w:spacing w:line="240" w:lineRule="auto" w:before="57"/>
        <w:ind w:right="0"/>
        <w:jc w:val="left"/>
        <w:rPr>
          <w:b w:val="0"/>
          <w:bCs w:val="0"/>
        </w:rPr>
      </w:pPr>
      <w:r>
        <w:rPr/>
        <w:t>（</w:t>
      </w:r>
      <w:r>
        <w:rPr>
          <w:rFonts w:ascii="宋体" w:hAnsi="宋体" w:cs="宋体" w:eastAsia="宋体" w:hint="default"/>
        </w:rPr>
        <w:t>4</w:t>
      </w:r>
      <w:r>
        <w:rPr/>
        <w:t>）未来发展展望</w:t>
      </w:r>
      <w:r>
        <w:rPr>
          <w:b w:val="0"/>
          <w:bCs w:val="0"/>
        </w:rPr>
      </w:r>
    </w:p>
    <w:p>
      <w:pPr>
        <w:spacing w:line="487" w:lineRule="auto" w:before="118"/>
        <w:ind w:left="575" w:right="0" w:firstLine="57"/>
        <w:jc w:val="left"/>
        <w:rPr>
          <w:rFonts w:ascii="宋体" w:hAnsi="宋体" w:cs="宋体" w:eastAsia="宋体" w:hint="default"/>
          <w:sz w:val="21"/>
          <w:szCs w:val="21"/>
        </w:rPr>
      </w:pPr>
      <w:r>
        <w:rPr>
          <w:rFonts w:ascii="宋体" w:hAnsi="宋体" w:cs="宋体" w:eastAsia="宋体" w:hint="default"/>
          <w:b/>
          <w:bCs/>
          <w:sz w:val="21"/>
          <w:szCs w:val="21"/>
        </w:rPr>
        <w:t>① 行业格局和发展趋势</w:t>
      </w:r>
      <w:r>
        <w:rPr>
          <w:rFonts w:ascii="宋体" w:hAnsi="宋体" w:cs="宋体" w:eastAsia="宋体" w:hint="default"/>
          <w:b/>
          <w:bCs/>
          <w:w w:val="100"/>
          <w:sz w:val="21"/>
          <w:szCs w:val="21"/>
        </w:rPr>
        <w:t> </w:t>
      </w:r>
      <w:r>
        <w:rPr>
          <w:rFonts w:ascii="宋体" w:hAnsi="宋体" w:cs="宋体" w:eastAsia="宋体" w:hint="default"/>
          <w:spacing w:val="-2"/>
          <w:sz w:val="21"/>
          <w:szCs w:val="21"/>
        </w:rPr>
        <w:t>根据前膽产业研究所发布的《移动互联网行业市场前膽与投资战略规划分析报告》分析，中国在智能</w:t>
      </w:r>
    </w:p>
    <w:p>
      <w:pPr>
        <w:spacing w:after="0" w:line="487" w:lineRule="auto"/>
        <w:jc w:val="left"/>
        <w:rPr>
          <w:rFonts w:ascii="宋体" w:hAnsi="宋体" w:cs="宋体" w:eastAsia="宋体" w:hint="default"/>
          <w:sz w:val="21"/>
          <w:szCs w:val="21"/>
        </w:rPr>
        <w:sectPr>
          <w:pgSz w:w="11910" w:h="16840"/>
          <w:pgMar w:header="0" w:footer="979" w:top="1100" w:bottom="1160" w:left="980" w:right="0"/>
        </w:sectPr>
      </w:pPr>
    </w:p>
    <w:p>
      <w:pPr>
        <w:spacing w:line="240" w:lineRule="auto" w:before="7"/>
        <w:rPr>
          <w:rFonts w:ascii="宋体" w:hAnsi="宋体" w:cs="宋体" w:eastAsia="宋体" w:hint="default"/>
          <w:sz w:val="22"/>
          <w:szCs w:val="22"/>
        </w:rPr>
      </w:pPr>
    </w:p>
    <w:p>
      <w:pPr>
        <w:pStyle w:val="BodyText"/>
        <w:spacing w:line="319" w:lineRule="auto" w:before="36"/>
        <w:ind w:right="1109"/>
        <w:jc w:val="left"/>
      </w:pPr>
      <w:r>
        <w:rPr/>
        <w:t>手机和移动应用服务方面处于全球领先地位，随着 </w:t>
      </w:r>
      <w:r>
        <w:rPr>
          <w:rFonts w:ascii="宋体" w:hAnsi="宋体" w:cs="宋体" w:eastAsia="宋体" w:hint="default"/>
          <w:spacing w:val="-3"/>
        </w:rPr>
        <w:t>5G</w:t>
      </w:r>
      <w:r>
        <w:rPr>
          <w:rFonts w:ascii="宋体" w:hAnsi="宋体" w:cs="宋体" w:eastAsia="宋体" w:hint="default"/>
          <w:spacing w:val="-12"/>
        </w:rPr>
        <w:t> </w:t>
      </w:r>
      <w:r>
        <w:rPr/>
        <w:t>网络的快速应用，预计中国互联网市场规模将保持</w:t>
      </w:r>
      <w:r>
        <w:rPr>
          <w:w w:val="100"/>
        </w:rPr>
        <w:t> </w:t>
      </w:r>
      <w:r>
        <w:rPr/>
        <w:t>稳定增长。</w:t>
      </w:r>
    </w:p>
    <w:p>
      <w:pPr>
        <w:pStyle w:val="BodyText"/>
        <w:spacing w:line="319" w:lineRule="auto" w:before="49"/>
        <w:ind w:right="0" w:firstLine="422"/>
        <w:jc w:val="left"/>
      </w:pPr>
      <w:r>
        <w:rPr>
          <w:spacing w:val="-2"/>
        </w:rPr>
        <w:t>目前，我国互联网营销行业尚处于发展的起步阶段，行业市场规模较大，在互联网营销模式下，营销</w:t>
      </w:r>
      <w:r>
        <w:rPr>
          <w:w w:val="100"/>
        </w:rPr>
        <w:t> </w:t>
      </w:r>
      <w:r>
        <w:rPr/>
        <w:t>服务提供商需要更多关注客户的需求，通过技术分析、商业模式创新等手段为客户创造更大的价值。</w:t>
      </w:r>
    </w:p>
    <w:p>
      <w:pPr>
        <w:pStyle w:val="BodyText"/>
        <w:spacing w:line="314" w:lineRule="auto" w:before="49"/>
        <w:ind w:right="1004" w:firstLine="422"/>
        <w:jc w:val="left"/>
      </w:pPr>
      <w:r>
        <w:rPr/>
        <w:t>近年来，国家不断出台政策，规范互联网运行环境。</w:t>
      </w:r>
      <w:r>
        <w:rPr>
          <w:rFonts w:ascii="宋体" w:hAnsi="宋体" w:cs="宋体" w:eastAsia="宋体" w:hint="default"/>
        </w:rPr>
        <w:t>P2P</w:t>
      </w:r>
      <w:r>
        <w:rPr>
          <w:rFonts w:ascii="宋体" w:hAnsi="宋体" w:cs="宋体" w:eastAsia="宋体" w:hint="default"/>
          <w:spacing w:val="-23"/>
        </w:rPr>
        <w:t> </w:t>
      </w:r>
      <w:r>
        <w:rPr/>
        <w:t>的爆雷、游戏版号的限制、电商平台的优胜</w:t>
      </w:r>
      <w:r>
        <w:rPr>
          <w:w w:val="100"/>
        </w:rPr>
        <w:t> </w:t>
      </w:r>
      <w:r>
        <w:rPr/>
        <w:t>劣汰，互联网企业逐步向规模化发展、新头部企业行业地位基本稳定，同时，随着人们消费习惯的改变，</w:t>
      </w:r>
      <w:r>
        <w:rPr>
          <w:spacing w:val="-30"/>
        </w:rPr>
        <w:t> </w:t>
      </w:r>
      <w:r>
        <w:rPr>
          <w:spacing w:val="-30"/>
        </w:rPr>
      </w:r>
      <w:r>
        <w:rPr>
          <w:spacing w:val="-2"/>
        </w:rPr>
        <w:t>线下实体企业也越来越重视自身产品的线上推广效果，这为互联网精准营销行业提供了新的市场空间和发</w:t>
      </w:r>
      <w:r>
        <w:rPr>
          <w:spacing w:val="-33"/>
        </w:rPr>
        <w:t> </w:t>
      </w:r>
      <w:r>
        <w:rPr>
          <w:spacing w:val="-33"/>
        </w:rPr>
      </w:r>
      <w:r>
        <w:rPr/>
        <w:t>展机遇。</w:t>
      </w:r>
    </w:p>
    <w:p>
      <w:pPr>
        <w:pStyle w:val="BodyText"/>
        <w:spacing w:line="314" w:lineRule="auto" w:before="53"/>
        <w:ind w:right="0" w:firstLine="422"/>
        <w:jc w:val="left"/>
      </w:pPr>
      <w:r>
        <w:rPr/>
        <w:t>未来公司将重点维护、挖掘已有头部客户，进一步拓展更多优质客户，同时深层挖掘线下实体企业，</w:t>
      </w:r>
      <w:r>
        <w:rPr>
          <w:w w:val="100"/>
        </w:rPr>
        <w:t> </w:t>
      </w:r>
      <w:r>
        <w:rPr/>
        <w:t>并依托公司优质的客户资源，为快消品、</w:t>
      </w:r>
      <w:r>
        <w:rPr>
          <w:rFonts w:ascii="宋体" w:hAnsi="宋体" w:cs="宋体" w:eastAsia="宋体" w:hint="default"/>
        </w:rPr>
        <w:t>OTC</w:t>
      </w:r>
      <w:r>
        <w:rPr/>
        <w:t>（非处方药）、药用化妆品等有需求的客户提供全方位的互</w:t>
      </w:r>
      <w:r>
        <w:rPr>
          <w:spacing w:val="-30"/>
        </w:rPr>
        <w:t> </w:t>
      </w:r>
      <w:r>
        <w:rPr>
          <w:spacing w:val="-30"/>
        </w:rPr>
      </w:r>
      <w:r>
        <w:rPr/>
        <w:t>联网精准营销，为品牌客户提供更多的增值服务，增加客户粘性，实现公司主业的优势互补。</w:t>
      </w:r>
    </w:p>
    <w:p>
      <w:pPr>
        <w:pStyle w:val="Heading3"/>
        <w:spacing w:line="240" w:lineRule="auto" w:before="58"/>
        <w:ind w:left="633" w:right="0"/>
        <w:jc w:val="left"/>
        <w:rPr>
          <w:b w:val="0"/>
          <w:bCs w:val="0"/>
        </w:rPr>
      </w:pPr>
      <w:r>
        <w:rPr/>
        <w:t>②</w:t>
      </w:r>
      <w:r>
        <w:rPr>
          <w:spacing w:val="4"/>
        </w:rPr>
        <w:t> </w:t>
      </w:r>
      <w:r>
        <w:rPr/>
        <w:t>做强互联网精准营销业务</w:t>
      </w:r>
      <w:r>
        <w:rPr>
          <w:b w:val="0"/>
          <w:bCs w:val="0"/>
        </w:rPr>
      </w:r>
    </w:p>
    <w:p>
      <w:pPr>
        <w:spacing w:line="240" w:lineRule="auto" w:before="8"/>
        <w:rPr>
          <w:rFonts w:ascii="宋体" w:hAnsi="宋体" w:cs="宋体" w:eastAsia="宋体" w:hint="default"/>
          <w:b/>
          <w:bCs/>
          <w:sz w:val="21"/>
          <w:szCs w:val="21"/>
        </w:rPr>
      </w:pPr>
    </w:p>
    <w:p>
      <w:pPr>
        <w:pStyle w:val="BodyText"/>
        <w:spacing w:line="314" w:lineRule="auto" w:before="0"/>
        <w:ind w:right="1125" w:firstLine="422"/>
        <w:jc w:val="both"/>
      </w:pPr>
      <w:r>
        <w:rPr>
          <w:spacing w:val="-2"/>
        </w:rPr>
        <w:t>随着网络广告市场发展不断成熟、用户使用习惯的转移，未来几年移动广告在整体网络广告中的占比</w:t>
      </w:r>
      <w:r>
        <w:rPr>
          <w:w w:val="100"/>
        </w:rPr>
        <w:t> </w:t>
      </w:r>
      <w:r>
        <w:rPr/>
        <w:t>将持续增大。公司作为多家权威媒体（今日头条</w:t>
      </w:r>
      <w:r>
        <w:rPr>
          <w:rFonts w:ascii="宋体" w:hAnsi="宋体" w:cs="宋体" w:eastAsia="宋体" w:hint="default"/>
        </w:rPr>
        <w:t>/</w:t>
      </w:r>
      <w:r>
        <w:rPr/>
        <w:t>腾讯）的核心广告代理商，互联网精准营销业务同比增</w:t>
      </w:r>
      <w:r>
        <w:rPr>
          <w:spacing w:val="-30"/>
        </w:rPr>
        <w:t> </w:t>
      </w:r>
      <w:r>
        <w:rPr>
          <w:spacing w:val="-30"/>
        </w:rPr>
      </w:r>
      <w:r>
        <w:rPr>
          <w:spacing w:val="-3"/>
        </w:rPr>
        <w:t>长显著。</w:t>
      </w:r>
      <w:r>
        <w:rPr>
          <w:rFonts w:ascii="宋体" w:hAnsi="宋体" w:cs="宋体" w:eastAsia="宋体" w:hint="default"/>
          <w:spacing w:val="-3"/>
        </w:rPr>
        <w:t>2020 </w:t>
      </w:r>
      <w:r>
        <w:rPr>
          <w:spacing w:val="-3"/>
        </w:rPr>
        <w:t>年要进一步顺应时代发展，深耕移动互联网，扩大全媒体资源覆盖面，发挥协调效应，提高</w:t>
      </w:r>
      <w:r>
        <w:rPr>
          <w:spacing w:val="-85"/>
        </w:rPr>
        <w:t> </w:t>
      </w:r>
      <w:r>
        <w:rPr>
          <w:spacing w:val="-85"/>
        </w:rPr>
      </w:r>
      <w:r>
        <w:rPr>
          <w:spacing w:val="-2"/>
        </w:rPr>
        <w:t>客户服务的广度和深度；进一步强化与数字媒体的合作关系，降低媒介采购运营成本，提高运营效率，进</w:t>
      </w:r>
      <w:r>
        <w:rPr>
          <w:spacing w:val="-33"/>
        </w:rPr>
        <w:t> </w:t>
      </w:r>
      <w:r>
        <w:rPr>
          <w:spacing w:val="-33"/>
        </w:rPr>
      </w:r>
      <w:r>
        <w:rPr>
          <w:spacing w:val="-2"/>
        </w:rPr>
        <w:t>一步规范管理做到风险可控；不断探索互联网精准营销业务与制药、消费品客户的市场推广的契合点，以</w:t>
      </w:r>
      <w:r>
        <w:rPr>
          <w:spacing w:val="-33"/>
        </w:rPr>
        <w:t> </w:t>
      </w:r>
      <w:r>
        <w:rPr>
          <w:spacing w:val="-33"/>
        </w:rPr>
      </w:r>
      <w:r>
        <w:rPr/>
        <w:t>寻求新的业务增长模式。</w:t>
      </w:r>
    </w:p>
    <w:p>
      <w:pPr>
        <w:spacing w:line="240" w:lineRule="auto" w:before="10"/>
        <w:rPr>
          <w:rFonts w:ascii="宋体" w:hAnsi="宋体" w:cs="宋体" w:eastAsia="宋体" w:hint="default"/>
          <w:sz w:val="19"/>
          <w:szCs w:val="19"/>
        </w:rPr>
      </w:pPr>
    </w:p>
    <w:p>
      <w:pPr>
        <w:pStyle w:val="Heading2"/>
        <w:spacing w:line="240" w:lineRule="auto"/>
        <w:ind w:right="0"/>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8"/>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1"/>
        <w:rPr>
          <w:rFonts w:ascii="宋体" w:hAnsi="宋体" w:cs="宋体" w:eastAsia="宋体" w:hint="default"/>
          <w:b/>
          <w:bCs/>
          <w:sz w:val="27"/>
          <w:szCs w:val="27"/>
        </w:rPr>
      </w:pPr>
    </w:p>
    <w:p>
      <w:pPr>
        <w:pStyle w:val="Heading3"/>
        <w:spacing w:line="314" w:lineRule="auto"/>
        <w:ind w:left="513" w:right="7966" w:hanging="360"/>
        <w:jc w:val="left"/>
        <w:rPr>
          <w:b w:val="0"/>
          <w:bCs w:val="0"/>
        </w:rPr>
      </w:pPr>
      <w:r>
        <w:rPr/>
        <w:t>（一）行业格局和发展趋势</w:t>
      </w:r>
      <w:r>
        <w:rPr>
          <w:spacing w:val="-102"/>
        </w:rPr>
        <w:t> </w:t>
      </w:r>
      <w:r>
        <w:rPr>
          <w:rFonts w:ascii="宋体" w:hAnsi="宋体" w:cs="宋体" w:eastAsia="宋体" w:hint="default"/>
        </w:rPr>
        <w:t>1</w:t>
      </w:r>
      <w:r>
        <w:rPr/>
        <w:t>、印刷包装行业发展趋势</w:t>
      </w:r>
      <w:r>
        <w:rPr>
          <w:b w:val="0"/>
          <w:bCs w:val="0"/>
        </w:rPr>
      </w:r>
    </w:p>
    <w:p>
      <w:pPr>
        <w:pStyle w:val="BodyText"/>
        <w:spacing w:line="312" w:lineRule="auto"/>
        <w:ind w:right="1123" w:firstLine="316"/>
        <w:jc w:val="both"/>
      </w:pPr>
      <w:r>
        <w:rPr/>
        <w:t>根据《中国医药包装行业市场前瞻与投资战略规划分析报告》，</w:t>
      </w:r>
      <w:r>
        <w:rPr>
          <w:rFonts w:ascii="宋体" w:hAnsi="宋体" w:cs="宋体" w:eastAsia="宋体" w:hint="default"/>
        </w:rPr>
        <w:t>2018</w:t>
      </w:r>
      <w:r>
        <w:rPr>
          <w:rFonts w:ascii="宋体" w:hAnsi="宋体" w:cs="宋体" w:eastAsia="宋体" w:hint="default"/>
          <w:spacing w:val="-18"/>
        </w:rPr>
        <w:t> </w:t>
      </w:r>
      <w:r>
        <w:rPr/>
        <w:t>年中国医药包装行业市场规模突</w:t>
      </w:r>
      <w:r>
        <w:rPr>
          <w:w w:val="100"/>
        </w:rPr>
        <w:t> </w:t>
      </w:r>
      <w:r>
        <w:rPr/>
        <w:t>破千亿，达到 </w:t>
      </w:r>
      <w:r>
        <w:rPr>
          <w:rFonts w:ascii="宋体" w:hAnsi="宋体" w:cs="宋体" w:eastAsia="宋体" w:hint="default"/>
        </w:rPr>
        <w:t>1068</w:t>
      </w:r>
      <w:r>
        <w:rPr>
          <w:rFonts w:ascii="宋体" w:hAnsi="宋体" w:cs="宋体" w:eastAsia="宋体" w:hint="default"/>
          <w:spacing w:val="-19"/>
        </w:rPr>
        <w:t> </w:t>
      </w:r>
      <w:r>
        <w:rPr/>
        <w:t>亿元。从成长动力看，未来几年国内高品质医药包装纸盒市场的增长主要靠三个因素</w:t>
      </w:r>
      <w:r>
        <w:rPr>
          <w:w w:val="100"/>
        </w:rPr>
        <w:t> </w:t>
      </w:r>
      <w:r>
        <w:rPr>
          <w:spacing w:val="-2"/>
        </w:rPr>
        <w:t>推动：一是自动化包装设备渗透率的提升；二是药品零售市场（院外市场）的持续扩大；三是药品追溯制</w:t>
      </w:r>
      <w:r>
        <w:rPr>
          <w:spacing w:val="-38"/>
        </w:rPr>
        <w:t> </w:t>
      </w:r>
      <w:r>
        <w:rPr>
          <w:spacing w:val="-38"/>
        </w:rPr>
      </w:r>
      <w:r>
        <w:rPr/>
        <w:t>度的全面深入推进。</w:t>
      </w:r>
    </w:p>
    <w:p>
      <w:pPr>
        <w:pStyle w:val="BodyText"/>
        <w:spacing w:line="312" w:lineRule="auto" w:before="22"/>
        <w:ind w:right="1126" w:firstLine="360"/>
        <w:jc w:val="both"/>
      </w:pPr>
      <w:r>
        <w:rPr>
          <w:spacing w:val="-2"/>
        </w:rPr>
        <w:t>就医药包装而言，主要分为初级和次级包装，其中，初级包装指容纳、密封药品或用于剂量的应用并</w:t>
      </w:r>
      <w:r>
        <w:rPr>
          <w:w w:val="100"/>
        </w:rPr>
        <w:t> </w:t>
      </w:r>
      <w:r>
        <w:rPr>
          <w:spacing w:val="-2"/>
        </w:rPr>
        <w:t>与之直接接触的包装；次级包装则指所有其他非接触包装，一般包括印刷的或没有印刷的纸盒、标签、说</w:t>
      </w:r>
      <w:r>
        <w:rPr>
          <w:spacing w:val="-33"/>
        </w:rPr>
        <w:t> </w:t>
      </w:r>
      <w:r>
        <w:rPr>
          <w:spacing w:val="-33"/>
        </w:rPr>
      </w:r>
      <w:r>
        <w:rPr>
          <w:spacing w:val="-2"/>
        </w:rPr>
        <w:t>明书或插页（附页）、外裹等。公司的子公司西安德宝主营业务为药用铝管包装，属于初级包装；公司及</w:t>
      </w:r>
      <w:r>
        <w:rPr>
          <w:spacing w:val="-33"/>
        </w:rPr>
        <w:t> </w:t>
      </w:r>
      <w:r>
        <w:rPr>
          <w:spacing w:val="-33"/>
        </w:rPr>
      </w:r>
      <w:r>
        <w:rPr/>
        <w:t>子公司天津环球生产医药纸盒包装，是使用最为广泛的次级药品包装。</w:t>
      </w:r>
    </w:p>
    <w:p>
      <w:pPr>
        <w:pStyle w:val="BodyText"/>
        <w:spacing w:line="309" w:lineRule="auto" w:before="22"/>
        <w:ind w:left="470" w:right="0" w:firstLine="43"/>
        <w:jc w:val="left"/>
      </w:pPr>
      <w:r>
        <w:rPr>
          <w:rFonts w:ascii="宋体" w:hAnsi="宋体" w:cs="宋体" w:eastAsia="宋体" w:hint="default"/>
          <w:b/>
          <w:bCs/>
        </w:rPr>
        <w:t>2</w:t>
      </w:r>
      <w:r>
        <w:rPr>
          <w:rFonts w:ascii="宋体" w:hAnsi="宋体" w:cs="宋体" w:eastAsia="宋体" w:hint="default"/>
          <w:b/>
          <w:bCs/>
        </w:rPr>
        <w:t>、互联网精准营销</w:t>
      </w:r>
      <w:r>
        <w:rPr>
          <w:rFonts w:ascii="宋体" w:hAnsi="宋体" w:cs="宋体" w:eastAsia="宋体" w:hint="default"/>
          <w:b/>
          <w:bCs/>
          <w:w w:val="100"/>
        </w:rPr>
        <w:t> </w:t>
      </w:r>
      <w:r>
        <w:rPr>
          <w:spacing w:val="-2"/>
        </w:rPr>
        <w:t>根据前膽产业研究所发布的《移动互联网行业市场前膽与投资战略规划分析报告》分析，中国在智能</w:t>
      </w:r>
    </w:p>
    <w:p>
      <w:pPr>
        <w:pStyle w:val="BodyText"/>
        <w:spacing w:line="314" w:lineRule="auto" w:before="24"/>
        <w:ind w:right="1004"/>
        <w:jc w:val="left"/>
      </w:pPr>
      <w:r>
        <w:rPr>
          <w:spacing w:val="-2"/>
        </w:rPr>
        <w:t>手机和移动应用服务方面处于全球领先地位，随着</w:t>
      </w:r>
      <w:r>
        <w:rPr>
          <w:rFonts w:ascii="宋体" w:hAnsi="宋体" w:cs="宋体" w:eastAsia="宋体" w:hint="default"/>
          <w:spacing w:val="-2"/>
        </w:rPr>
        <w:t>5G</w:t>
      </w:r>
      <w:r>
        <w:rPr>
          <w:spacing w:val="-2"/>
        </w:rPr>
        <w:t>网络的快速应用，预计中国互联网市场规模将保持稳</w:t>
      </w:r>
      <w:r>
        <w:rPr>
          <w:spacing w:val="-29"/>
        </w:rPr>
        <w:t> </w:t>
      </w:r>
      <w:r>
        <w:rPr>
          <w:spacing w:val="-29"/>
        </w:rPr>
      </w:r>
      <w:r>
        <w:rPr/>
        <w:t>定增长。</w:t>
      </w:r>
    </w:p>
    <w:p>
      <w:pPr>
        <w:spacing w:after="0" w:line="314" w:lineRule="auto"/>
        <w:jc w:val="left"/>
        <w:sectPr>
          <w:pgSz w:w="11910" w:h="16840"/>
          <w:pgMar w:header="0" w:footer="979" w:top="1100" w:bottom="1160" w:left="980" w:right="0"/>
        </w:sectPr>
      </w:pPr>
    </w:p>
    <w:p>
      <w:pPr>
        <w:spacing w:line="240" w:lineRule="auto" w:before="7"/>
        <w:rPr>
          <w:rFonts w:ascii="宋体" w:hAnsi="宋体" w:cs="宋体" w:eastAsia="宋体" w:hint="default"/>
          <w:sz w:val="22"/>
          <w:szCs w:val="22"/>
        </w:rPr>
      </w:pPr>
    </w:p>
    <w:p>
      <w:pPr>
        <w:pStyle w:val="BodyText"/>
        <w:spacing w:line="314" w:lineRule="auto" w:before="36"/>
        <w:ind w:right="1207" w:firstLine="316"/>
        <w:jc w:val="both"/>
      </w:pPr>
      <w:r>
        <w:rPr>
          <w:spacing w:val="-2"/>
        </w:rPr>
        <w:t>目前，我国互联网营销行业尚处于发展的起步阶段，行业市场规模较大，在互联网营销模式下，营销</w:t>
      </w:r>
      <w:r>
        <w:rPr>
          <w:w w:val="100"/>
        </w:rPr>
        <w:t> </w:t>
      </w:r>
      <w:r>
        <w:rPr/>
        <w:t>服务提供商需要更多关注客户的需求，通过技术分析、商业模式创新等手段为客户创造更大的价值。</w:t>
      </w:r>
    </w:p>
    <w:p>
      <w:pPr>
        <w:pStyle w:val="BodyText"/>
        <w:spacing w:line="314" w:lineRule="auto" w:before="15"/>
        <w:ind w:right="1123" w:firstLine="316"/>
        <w:jc w:val="both"/>
      </w:pPr>
      <w:r>
        <w:rPr>
          <w:spacing w:val="-2"/>
        </w:rPr>
        <w:t>近年来，国家不断出台政策，规范互联网运行环境。</w:t>
      </w:r>
      <w:r>
        <w:rPr>
          <w:rFonts w:ascii="宋体" w:hAnsi="宋体" w:cs="宋体" w:eastAsia="宋体" w:hint="default"/>
          <w:spacing w:val="-2"/>
        </w:rPr>
        <w:t>P2P</w:t>
      </w:r>
      <w:r>
        <w:rPr>
          <w:spacing w:val="-2"/>
        </w:rPr>
        <w:t>的爆雷、游戏版号的限制、电商平台的优胜劣</w:t>
      </w:r>
      <w:r>
        <w:rPr>
          <w:w w:val="100"/>
        </w:rPr>
        <w:t> </w:t>
      </w:r>
      <w:r>
        <w:rPr>
          <w:spacing w:val="-2"/>
        </w:rPr>
        <w:t>汰，互联网企业逐步向规模化发展、新头部企业行业地位基本稳定，同时，随着人们消费习惯的改变，线</w:t>
      </w:r>
      <w:r>
        <w:rPr>
          <w:spacing w:val="-38"/>
        </w:rPr>
        <w:t> </w:t>
      </w:r>
      <w:r>
        <w:rPr>
          <w:spacing w:val="-38"/>
        </w:rPr>
      </w:r>
      <w:r>
        <w:rPr>
          <w:spacing w:val="-2"/>
        </w:rPr>
        <w:t>下实体企业也越来越重视自身产品的线上推广效果，这为互联网精准营销行业提供了新的市场空间和发展</w:t>
      </w:r>
      <w:r>
        <w:rPr>
          <w:spacing w:val="-33"/>
        </w:rPr>
        <w:t> </w:t>
      </w:r>
      <w:r>
        <w:rPr>
          <w:spacing w:val="-33"/>
        </w:rPr>
      </w:r>
      <w:r>
        <w:rPr/>
        <w:t>机遇。</w:t>
      </w:r>
    </w:p>
    <w:p>
      <w:pPr>
        <w:pStyle w:val="BodyText"/>
        <w:spacing w:line="314" w:lineRule="auto" w:before="15"/>
        <w:ind w:right="0" w:firstLine="316"/>
        <w:jc w:val="left"/>
      </w:pPr>
      <w:r>
        <w:rPr/>
        <w:t>公司是该产业链中的营销服务提供商，为客户提供互联网精准营销服务，是连结广告主、互联网媒体</w:t>
      </w:r>
      <w:r>
        <w:rPr>
          <w:w w:val="100"/>
        </w:rPr>
        <w:t> </w:t>
      </w:r>
      <w:r>
        <w:rPr>
          <w:spacing w:val="-2"/>
        </w:rPr>
        <w:t>及终端用户的平台。不仅能够提供一般意义上的互联网广告投放服务，还能依托其大数据技术和手段进行</w:t>
      </w:r>
      <w:r>
        <w:rPr>
          <w:spacing w:val="-33"/>
        </w:rPr>
        <w:t> </w:t>
      </w:r>
      <w:r>
        <w:rPr>
          <w:spacing w:val="-33"/>
        </w:rPr>
      </w:r>
      <w:r>
        <w:rPr>
          <w:spacing w:val="-2"/>
        </w:rPr>
        <w:t>跟踪分析，并对发现的特定客户实施针对性的精准营销。公司将持续加大对广告平台大数据工具持续的研</w:t>
      </w:r>
      <w:r>
        <w:rPr>
          <w:spacing w:val="-33"/>
        </w:rPr>
        <w:t> </w:t>
      </w:r>
      <w:r>
        <w:rPr>
          <w:spacing w:val="-33"/>
        </w:rPr>
      </w:r>
      <w:r>
        <w:rPr/>
        <w:t>发投入从而推动大数据融合升级。</w:t>
      </w:r>
    </w:p>
    <w:p>
      <w:pPr>
        <w:pStyle w:val="BodyText"/>
        <w:spacing w:line="314" w:lineRule="auto" w:before="15"/>
        <w:ind w:right="1207" w:firstLine="316"/>
        <w:jc w:val="both"/>
      </w:pPr>
      <w:r>
        <w:rPr>
          <w:spacing w:val="-2"/>
        </w:rPr>
        <w:t>未来公司将重点维护、挖掘已有头部客户，进一步拓展更多优质客户，同时深层挖掘线下实体企业，</w:t>
      </w:r>
      <w:r>
        <w:rPr>
          <w:w w:val="100"/>
        </w:rPr>
        <w:t> </w:t>
      </w:r>
      <w:r>
        <w:rPr>
          <w:spacing w:val="-2"/>
        </w:rPr>
        <w:t>并依托公司优质的客户资源，为快消品、</w:t>
      </w:r>
      <w:r>
        <w:rPr>
          <w:rFonts w:ascii="宋体" w:hAnsi="宋体" w:cs="宋体" w:eastAsia="宋体" w:hint="default"/>
          <w:spacing w:val="-2"/>
        </w:rPr>
        <w:t>OTC</w:t>
      </w:r>
      <w:r>
        <w:rPr>
          <w:spacing w:val="-2"/>
        </w:rPr>
        <w:t>（非处方药）、药用化妆品等有需求的客户提供全方位的互</w:t>
      </w:r>
      <w:r>
        <w:rPr>
          <w:spacing w:val="-11"/>
        </w:rPr>
        <w:t> </w:t>
      </w:r>
      <w:r>
        <w:rPr>
          <w:spacing w:val="-11"/>
        </w:rPr>
      </w:r>
      <w:r>
        <w:rPr/>
        <w:t>联网精准营销，为品牌客户提供更多的增值服务，增加客户粘性，实现公司主业的优势互补。</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3"/>
        <w:spacing w:line="240" w:lineRule="auto"/>
        <w:ind w:right="0"/>
        <w:jc w:val="left"/>
        <w:rPr>
          <w:b w:val="0"/>
          <w:bCs w:val="0"/>
        </w:rPr>
      </w:pPr>
      <w:r>
        <w:rPr/>
        <w:t>（二）战略定位</w:t>
      </w:r>
      <w:r>
        <w:rPr>
          <w:b w:val="0"/>
          <w:bCs w:val="0"/>
        </w:rPr>
      </w:r>
    </w:p>
    <w:p>
      <w:pPr>
        <w:pStyle w:val="Heading3"/>
        <w:spacing w:line="240" w:lineRule="auto" w:before="85"/>
        <w:ind w:left="633" w:right="0"/>
        <w:jc w:val="left"/>
        <w:rPr>
          <w:b w:val="0"/>
          <w:bCs w:val="0"/>
        </w:rPr>
      </w:pPr>
      <w:r>
        <w:rPr>
          <w:rFonts w:ascii="宋体" w:hAnsi="宋体" w:cs="宋体" w:eastAsia="宋体" w:hint="default"/>
        </w:rPr>
        <w:t>1</w:t>
      </w:r>
      <w:r>
        <w:rPr/>
        <w:t>、保持医药包装的领先地位</w:t>
      </w:r>
      <w:r>
        <w:rPr>
          <w:b w:val="0"/>
          <w:bCs w:val="0"/>
        </w:rPr>
      </w:r>
    </w:p>
    <w:p>
      <w:pPr>
        <w:spacing w:line="240" w:lineRule="auto" w:before="8"/>
        <w:rPr>
          <w:rFonts w:ascii="宋体" w:hAnsi="宋体" w:cs="宋体" w:eastAsia="宋体" w:hint="default"/>
          <w:b/>
          <w:bCs/>
          <w:sz w:val="21"/>
          <w:szCs w:val="21"/>
        </w:rPr>
      </w:pPr>
    </w:p>
    <w:p>
      <w:pPr>
        <w:pStyle w:val="BodyText"/>
        <w:spacing w:line="314" w:lineRule="auto" w:before="0"/>
        <w:ind w:right="0" w:firstLine="422"/>
        <w:jc w:val="left"/>
      </w:pPr>
      <w:r>
        <w:rPr>
          <w:spacing w:val="-2"/>
        </w:rPr>
        <w:t>目前，区块链产业发展的政策体系逐步完善，各地政府积极从产业高度定位区块链技术，区块链技术</w:t>
      </w:r>
      <w:r>
        <w:rPr>
          <w:w w:val="100"/>
        </w:rPr>
        <w:t> </w:t>
      </w:r>
      <w:r>
        <w:rPr>
          <w:spacing w:val="-2"/>
        </w:rPr>
        <w:t>已经上升到国家科技战略层面。随着药品溯源制度的全面深入推进，公司将以区块链技术为引领，充分发</w:t>
      </w:r>
      <w:r>
        <w:rPr>
          <w:spacing w:val="-33"/>
        </w:rPr>
        <w:t> </w:t>
      </w:r>
      <w:r>
        <w:rPr>
          <w:spacing w:val="-33"/>
        </w:rPr>
      </w:r>
      <w:r>
        <w:rPr>
          <w:spacing w:val="-2"/>
        </w:rPr>
        <w:t>挥市场优势、平台优势和数据资源优势，促成区块链技术在医药溯源、医药物流、消费者安全用药、医保</w:t>
      </w:r>
      <w:r>
        <w:rPr>
          <w:spacing w:val="-38"/>
        </w:rPr>
        <w:t> </w:t>
      </w:r>
      <w:r>
        <w:rPr>
          <w:spacing w:val="-38"/>
        </w:rPr>
      </w:r>
      <w:r>
        <w:rPr/>
        <w:t>控费、供应链平台等领域的开发和应用，为行业提供“互联网</w:t>
      </w:r>
      <w:r>
        <w:rPr>
          <w:rFonts w:ascii="宋体" w:hAnsi="宋体" w:cs="宋体" w:eastAsia="宋体" w:hint="default"/>
        </w:rPr>
        <w:t>+</w:t>
      </w:r>
      <w:r>
        <w:rPr/>
        <w:t>智能制造”的一体化解决方案，共同培育</w:t>
      </w:r>
      <w:r>
        <w:rPr>
          <w:w w:val="100"/>
        </w:rPr>
        <w:t> </w:t>
      </w:r>
      <w:r>
        <w:rPr>
          <w:spacing w:val="-2"/>
        </w:rPr>
        <w:t>和打造新一代区块链技术产品和服务。公司的技术创新能力一直处在市场前沿，从最初为药品生产企业提</w:t>
      </w:r>
      <w:r>
        <w:rPr>
          <w:spacing w:val="-33"/>
        </w:rPr>
        <w:t> </w:t>
      </w:r>
      <w:r>
        <w:rPr>
          <w:spacing w:val="-33"/>
        </w:rPr>
      </w:r>
      <w:r>
        <w:rPr>
          <w:spacing w:val="-2"/>
        </w:rPr>
        <w:t>供高速在线包装，到为客户提供防伪、防混淆解决方案，以及为客户提供功能型的智能包装，尤其最早为</w:t>
      </w:r>
      <w:r>
        <w:rPr>
          <w:spacing w:val="-33"/>
        </w:rPr>
        <w:t> </w:t>
      </w:r>
      <w:r>
        <w:rPr>
          <w:spacing w:val="-33"/>
        </w:rPr>
      </w:r>
      <w:r>
        <w:rPr/>
        <w:t>行业建立起药品电子监管码赋码系统，到区块链技术的开发和应用都把握着市场方向。</w:t>
      </w:r>
    </w:p>
    <w:p>
      <w:pPr>
        <w:pStyle w:val="BodyText"/>
        <w:spacing w:line="314" w:lineRule="auto"/>
        <w:ind w:right="1121" w:firstLine="422"/>
        <w:jc w:val="both"/>
      </w:pPr>
      <w:r>
        <w:rPr>
          <w:spacing w:val="-2"/>
        </w:rPr>
        <w:t>公司在药品包装行业一直占据着市场的领先地位，目前拥有四个行业先进水平的生产基地为制药企业</w:t>
      </w:r>
      <w:r>
        <w:rPr>
          <w:w w:val="100"/>
        </w:rPr>
        <w:t> </w:t>
      </w:r>
      <w:r>
        <w:rPr>
          <w:spacing w:val="-2"/>
        </w:rPr>
        <w:t>提供产品，产品线覆盖药品的初级包装（药用铝管）和次级包装（说明书、折叠纸盒以及运输包装），除</w:t>
      </w:r>
      <w:r>
        <w:rPr>
          <w:spacing w:val="-38"/>
        </w:rPr>
        <w:t> </w:t>
      </w:r>
      <w:r>
        <w:rPr>
          <w:spacing w:val="-38"/>
        </w:rPr>
      </w:r>
      <w:r>
        <w:rPr>
          <w:spacing w:val="-2"/>
        </w:rPr>
        <w:t>了高品质的产品之外，公司还向客户提供一站式的专业配套服务，使客户的供应链管理更为高效。公司拥</w:t>
      </w:r>
      <w:r>
        <w:rPr>
          <w:spacing w:val="-31"/>
        </w:rPr>
        <w:t> </w:t>
      </w:r>
      <w:r>
        <w:rPr>
          <w:spacing w:val="-31"/>
        </w:rPr>
      </w:r>
      <w:r>
        <w:rPr>
          <w:spacing w:val="-2"/>
        </w:rPr>
        <w:t>有着行业内国际级的客户群，而且都与公司建立了长期、稳定的战略合作关系，对公司技术服务和产品交</w:t>
      </w:r>
      <w:r>
        <w:rPr>
          <w:spacing w:val="-33"/>
        </w:rPr>
        <w:t> </w:t>
      </w:r>
      <w:r>
        <w:rPr>
          <w:spacing w:val="-33"/>
        </w:rPr>
      </w:r>
      <w:r>
        <w:rPr/>
        <w:t>付的依赖粘性非常高。</w:t>
      </w:r>
    </w:p>
    <w:p>
      <w:pPr>
        <w:pStyle w:val="BodyText"/>
        <w:spacing w:line="314" w:lineRule="auto" w:before="15"/>
        <w:ind w:right="1125" w:firstLine="422"/>
        <w:jc w:val="both"/>
      </w:pPr>
      <w:r>
        <w:rPr>
          <w:spacing w:val="-2"/>
        </w:rPr>
        <w:t>公司经过多年的发展，现已建立起完备的、覆盖全领域的销售网络以及专业化的销售队伍，完全具备</w:t>
      </w:r>
      <w:r>
        <w:rPr>
          <w:w w:val="100"/>
        </w:rPr>
        <w:t> </w:t>
      </w:r>
      <w:r>
        <w:rPr>
          <w:spacing w:val="-7"/>
        </w:rPr>
        <w:t>对其他药品包装材料销售和服务的协同能力。未来，公司将扩展现有药品包装材料品类，继续完善产品线，</w:t>
      </w:r>
      <w:r>
        <w:rPr>
          <w:spacing w:val="-6"/>
        </w:rPr>
        <w:t> </w:t>
      </w:r>
      <w:r>
        <w:rPr>
          <w:spacing w:val="-6"/>
        </w:rPr>
      </w:r>
      <w:r>
        <w:rPr/>
        <w:t>利用品牌优势，发挥行业协同效应，为客户优化供应链管理创造更大的价值。</w:t>
      </w:r>
    </w:p>
    <w:p>
      <w:pPr>
        <w:pStyle w:val="BodyText"/>
        <w:spacing w:line="309" w:lineRule="auto"/>
        <w:ind w:right="1126" w:firstLine="422"/>
        <w:jc w:val="both"/>
      </w:pPr>
      <w:r>
        <w:rPr>
          <w:spacing w:val="-2"/>
        </w:rPr>
        <w:t>未来，公司仍将密切关注客户需求、行业发展趋势和国家相关政策的变化，探索、研发、应用各种最</w:t>
      </w:r>
      <w:r>
        <w:rPr>
          <w:w w:val="100"/>
        </w:rPr>
        <w:t> </w:t>
      </w:r>
      <w:r>
        <w:rPr/>
        <w:t>新的技术，解决行业面临的普遍性痛点，继续保持在医药包装领域的领先地位。</w:t>
      </w:r>
    </w:p>
    <w:p>
      <w:pPr>
        <w:spacing w:line="240" w:lineRule="auto" w:before="5"/>
        <w:rPr>
          <w:rFonts w:ascii="宋体" w:hAnsi="宋体" w:cs="宋体" w:eastAsia="宋体" w:hint="default"/>
          <w:sz w:val="29"/>
          <w:szCs w:val="29"/>
        </w:rPr>
      </w:pPr>
    </w:p>
    <w:p>
      <w:pPr>
        <w:spacing w:line="314" w:lineRule="auto" w:before="0"/>
        <w:ind w:left="575" w:right="0" w:firstLine="28"/>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、加快产能扩产及新区位布局</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报告期内，公司四个生产基地的产能都已趋于饱和状态，生产最饱和的工厂的生产设备全年连续生产</w:t>
      </w:r>
    </w:p>
    <w:p>
      <w:pPr>
        <w:pStyle w:val="BodyText"/>
        <w:spacing w:line="314" w:lineRule="auto" w:before="15"/>
        <w:ind w:left="575" w:right="0" w:hanging="423"/>
        <w:jc w:val="left"/>
      </w:pPr>
      <w:r>
        <w:rPr>
          <w:rFonts w:ascii="宋体" w:hAnsi="宋体" w:cs="宋体" w:eastAsia="宋体" w:hint="default"/>
        </w:rPr>
        <w:t>360</w:t>
      </w:r>
      <w:r>
        <w:rPr/>
        <w:t>天以上，四个生产基地主要设备的产能利用率最低也达到了</w:t>
      </w:r>
      <w:r>
        <w:rPr>
          <w:rFonts w:ascii="宋体" w:hAnsi="宋体" w:cs="宋体" w:eastAsia="宋体" w:hint="default"/>
        </w:rPr>
        <w:t>85%</w:t>
      </w:r>
      <w:r>
        <w:rPr/>
        <w:t>以上，给产品交付带来了极大的挑战。</w:t>
      </w:r>
      <w:r>
        <w:rPr>
          <w:spacing w:val="-30"/>
        </w:rPr>
        <w:t> </w:t>
      </w:r>
      <w:r>
        <w:rPr>
          <w:spacing w:val="-30"/>
        </w:rPr>
      </w:r>
      <w:r>
        <w:rPr/>
        <w:t>公司在保证质量的前提下，全面推行精益生产和高质量发展，深化调整客户结构，优化产品结构，缩</w:t>
      </w:r>
    </w:p>
    <w:p>
      <w:pPr>
        <w:spacing w:after="0" w:line="314" w:lineRule="auto"/>
        <w:jc w:val="left"/>
        <w:sectPr>
          <w:pgSz w:w="11910" w:h="16840"/>
          <w:pgMar w:header="0" w:footer="979" w:top="1100" w:bottom="1160" w:left="980" w:right="0"/>
        </w:sectPr>
      </w:pPr>
    </w:p>
    <w:p>
      <w:pPr>
        <w:spacing w:line="240" w:lineRule="auto" w:before="7"/>
        <w:rPr>
          <w:rFonts w:ascii="宋体" w:hAnsi="宋体" w:cs="宋体" w:eastAsia="宋体" w:hint="default"/>
          <w:sz w:val="22"/>
          <w:szCs w:val="22"/>
        </w:rPr>
      </w:pPr>
    </w:p>
    <w:p>
      <w:pPr>
        <w:pStyle w:val="BodyText"/>
        <w:spacing w:line="314" w:lineRule="auto" w:before="36"/>
        <w:ind w:left="575" w:right="0" w:hanging="423"/>
        <w:jc w:val="left"/>
      </w:pPr>
      <w:r>
        <w:rPr/>
        <w:t>短交付周期，将有限的资源向战略客户倾斜，但产能的饱和仍不可避免地错失掉一些市场机会。</w:t>
      </w:r>
      <w:r>
        <w:rPr>
          <w:spacing w:val="-103"/>
        </w:rPr>
        <w:t> </w:t>
      </w:r>
      <w:r>
        <w:rPr>
          <w:spacing w:val="-103"/>
        </w:rPr>
      </w:r>
      <w:r>
        <w:rPr>
          <w:spacing w:val="-2"/>
        </w:rPr>
        <w:t>公司未来在积极进入新的初级包装材料领域的同时，仍将会继续扩大原有产品的产能，提高产品交付</w:t>
      </w:r>
    </w:p>
    <w:p>
      <w:pPr>
        <w:pStyle w:val="BodyText"/>
        <w:spacing w:line="314" w:lineRule="auto" w:before="15"/>
        <w:ind w:left="575" w:right="0" w:hanging="423"/>
        <w:jc w:val="left"/>
      </w:pPr>
      <w:r>
        <w:rPr/>
        <w:t>能力以及市场响应速度。</w:t>
      </w:r>
      <w:r>
        <w:rPr>
          <w:spacing w:val="-102"/>
        </w:rPr>
        <w:t> </w:t>
      </w:r>
      <w:r>
        <w:rPr>
          <w:spacing w:val="-102"/>
        </w:rPr>
      </w:r>
      <w:r>
        <w:rPr>
          <w:spacing w:val="-2"/>
        </w:rPr>
        <w:t>在扩产和扩大产品品类的同时，公司仍将继续按照发展战略，完成全国重点区域布局，缩短产品交付</w:t>
      </w:r>
    </w:p>
    <w:p>
      <w:pPr>
        <w:spacing w:line="314" w:lineRule="auto" w:before="20"/>
        <w:ind w:left="604" w:right="6054" w:hanging="452"/>
        <w:jc w:val="left"/>
        <w:rPr>
          <w:rFonts w:ascii="宋体" w:hAnsi="宋体" w:cs="宋体" w:eastAsia="宋体" w:hint="default"/>
          <w:sz w:val="21"/>
          <w:szCs w:val="21"/>
        </w:rPr>
      </w:pPr>
      <w:r>
        <w:rPr>
          <w:rFonts w:ascii="宋体" w:hAnsi="宋体" w:cs="宋体" w:eastAsia="宋体" w:hint="default"/>
          <w:spacing w:val="-1"/>
          <w:sz w:val="21"/>
          <w:szCs w:val="21"/>
        </w:rPr>
        <w:t>半径，使快速响应能全国无缝覆盖。</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、加快智能化制造</w:t>
      </w:r>
      <w:r>
        <w:rPr>
          <w:rFonts w:ascii="宋体" w:hAnsi="宋体" w:cs="宋体" w:eastAsia="宋体" w:hint="default"/>
          <w:sz w:val="21"/>
          <w:szCs w:val="21"/>
        </w:rPr>
      </w:r>
    </w:p>
    <w:p>
      <w:pPr>
        <w:pStyle w:val="BodyText"/>
        <w:spacing w:line="314" w:lineRule="auto" w:before="15"/>
        <w:ind w:right="1122" w:firstLine="422"/>
        <w:jc w:val="both"/>
      </w:pPr>
      <w:r>
        <w:rPr>
          <w:spacing w:val="-2"/>
        </w:rPr>
        <w:t>报告期内，公司设计实施了行业领先的信息化系统，集合了</w:t>
      </w:r>
      <w:r>
        <w:rPr>
          <w:rFonts w:ascii="宋体" w:hAnsi="宋体" w:cs="宋体" w:eastAsia="宋体" w:hint="default"/>
          <w:spacing w:val="-2"/>
        </w:rPr>
        <w:t>OA</w:t>
      </w:r>
      <w:r>
        <w:rPr>
          <w:spacing w:val="-2"/>
        </w:rPr>
        <w:t>、</w:t>
      </w:r>
      <w:r>
        <w:rPr>
          <w:rFonts w:ascii="宋体" w:hAnsi="宋体" w:cs="宋体" w:eastAsia="宋体" w:hint="default"/>
          <w:spacing w:val="-2"/>
        </w:rPr>
        <w:t>MES</w:t>
      </w:r>
      <w:r>
        <w:rPr>
          <w:spacing w:val="-2"/>
        </w:rPr>
        <w:t>、</w:t>
      </w:r>
      <w:r>
        <w:rPr>
          <w:rFonts w:ascii="宋体" w:hAnsi="宋体" w:cs="宋体" w:eastAsia="宋体" w:hint="default"/>
          <w:spacing w:val="-2"/>
        </w:rPr>
        <w:t>ERP</w:t>
      </w:r>
      <w:r>
        <w:rPr>
          <w:spacing w:val="-2"/>
        </w:rPr>
        <w:t>等系统的综合功能，行业内</w:t>
      </w:r>
      <w:r>
        <w:rPr>
          <w:w w:val="100"/>
        </w:rPr>
        <w:t> </w:t>
      </w:r>
      <w:r>
        <w:rPr>
          <w:spacing w:val="-2"/>
        </w:rPr>
        <w:t>首家实现了生产设备数据的采集，使效率和资源透明化，该项目的实施，为公司向智能化制造升级迈出了</w:t>
      </w:r>
      <w:r>
        <w:rPr>
          <w:spacing w:val="-33"/>
        </w:rPr>
        <w:t> </w:t>
      </w:r>
      <w:r>
        <w:rPr>
          <w:spacing w:val="-33"/>
        </w:rPr>
      </w:r>
      <w:r>
        <w:rPr/>
        <w:t>坚实的一步。</w:t>
      </w:r>
    </w:p>
    <w:p>
      <w:pPr>
        <w:pStyle w:val="BodyText"/>
        <w:spacing w:line="309" w:lineRule="auto"/>
        <w:ind w:right="1125" w:firstLine="422"/>
        <w:jc w:val="both"/>
      </w:pPr>
      <w:r>
        <w:rPr>
          <w:spacing w:val="-2"/>
        </w:rPr>
        <w:t>公司未来将积极探索出适合自身发展的自动化生产模式，在基于已经完成的信息化基础之上，实现智</w:t>
      </w:r>
      <w:r>
        <w:rPr>
          <w:w w:val="100"/>
        </w:rPr>
        <w:t> </w:t>
      </w:r>
      <w:r>
        <w:rPr/>
        <w:t>能化制造，全面实现工业</w:t>
      </w:r>
      <w:r>
        <w:rPr>
          <w:rFonts w:ascii="宋体" w:hAnsi="宋体" w:cs="宋体" w:eastAsia="宋体" w:hint="default"/>
        </w:rPr>
        <w:t>4.0</w:t>
      </w:r>
      <w:r>
        <w:rPr/>
        <w:t>。</w:t>
      </w:r>
    </w:p>
    <w:p>
      <w:pPr>
        <w:spacing w:line="348" w:lineRule="auto" w:before="67"/>
        <w:ind w:left="575" w:right="0" w:firstLine="124"/>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、实现互联网与供应链的有效协同</w:t>
      </w:r>
      <w:r>
        <w:rPr>
          <w:rFonts w:ascii="宋体" w:hAnsi="宋体" w:cs="宋体" w:eastAsia="宋体" w:hint="default"/>
          <w:b/>
          <w:bCs/>
          <w:w w:val="100"/>
          <w:sz w:val="21"/>
          <w:szCs w:val="21"/>
        </w:rPr>
        <w:t> </w:t>
      </w:r>
      <w:r>
        <w:rPr>
          <w:rFonts w:ascii="宋体" w:hAnsi="宋体" w:cs="宋体" w:eastAsia="宋体" w:hint="default"/>
          <w:spacing w:val="-2"/>
          <w:sz w:val="21"/>
          <w:szCs w:val="21"/>
        </w:rPr>
        <w:t>目前我国处于专业供应链管理阶段的导入期，国家层面重视供应链管理服务行业的发展，政策频发助</w:t>
      </w:r>
    </w:p>
    <w:p>
      <w:pPr>
        <w:pStyle w:val="BodyText"/>
        <w:spacing w:line="261" w:lineRule="exact" w:before="0"/>
        <w:ind w:right="0"/>
        <w:jc w:val="left"/>
      </w:pPr>
      <w:r>
        <w:rPr/>
        <w:t>力行业规模扩大。我国现有的基础设施建设为供应链管理服务提供了有力的硬件保障，供应链管理服务企</w:t>
      </w:r>
    </w:p>
    <w:p>
      <w:pPr>
        <w:pStyle w:val="BodyText"/>
        <w:spacing w:line="314" w:lineRule="auto" w:before="85"/>
        <w:ind w:left="575" w:right="0" w:hanging="423"/>
        <w:jc w:val="left"/>
      </w:pPr>
      <w:r>
        <w:rPr/>
        <w:t>业也呈现多元化的发展趋势。未来，供应链生态圈的建设是供应链管理服务行业发展的必然趋势。</w:t>
      </w:r>
      <w:r>
        <w:rPr>
          <w:w w:val="100"/>
        </w:rPr>
        <w:t> </w:t>
      </w:r>
      <w:r>
        <w:rPr>
          <w:spacing w:val="-2"/>
        </w:rPr>
        <w:t>公司在收购金印联后将以行业供应链管理为切入点，同时结合互联网、区块链技术、云计算技术，打</w:t>
      </w:r>
    </w:p>
    <w:p>
      <w:pPr>
        <w:pStyle w:val="BodyText"/>
        <w:spacing w:line="312" w:lineRule="auto"/>
        <w:ind w:right="0"/>
        <w:jc w:val="left"/>
      </w:pPr>
      <w:r>
        <w:rPr>
          <w:spacing w:val="-2"/>
        </w:rPr>
        <w:t>造信息流、订单流、物流、资金流于一体的产业互联网线上服务平台，把线下大部分业务迅速线上化、数</w:t>
      </w:r>
      <w:r>
        <w:rPr>
          <w:spacing w:val="-38"/>
        </w:rPr>
        <w:t> </w:t>
      </w:r>
      <w:r>
        <w:rPr>
          <w:spacing w:val="-38"/>
        </w:rPr>
      </w:r>
      <w:r>
        <w:rPr/>
        <w:t>据化、平台化，同时通过为服务的各细分领域打造</w:t>
      </w:r>
      <w:r>
        <w:rPr>
          <w:rFonts w:ascii="宋体" w:hAnsi="宋体" w:cs="宋体" w:eastAsia="宋体" w:hint="default"/>
        </w:rPr>
        <w:t>C2B</w:t>
      </w:r>
      <w:r>
        <w:rPr/>
        <w:t>反向供应链整合新模式，实现互联网与供应链管理</w:t>
      </w:r>
      <w:r>
        <w:rPr>
          <w:w w:val="100"/>
        </w:rPr>
        <w:t> </w:t>
      </w:r>
      <w:r>
        <w:rPr/>
        <w:t>的有效协同。</w:t>
      </w:r>
    </w:p>
    <w:p>
      <w:pPr>
        <w:spacing w:line="240" w:lineRule="auto" w:before="0"/>
        <w:rPr>
          <w:rFonts w:ascii="宋体" w:hAnsi="宋体" w:cs="宋体" w:eastAsia="宋体" w:hint="default"/>
          <w:sz w:val="20"/>
          <w:szCs w:val="20"/>
        </w:rPr>
      </w:pPr>
    </w:p>
    <w:p>
      <w:pPr>
        <w:pStyle w:val="Heading3"/>
        <w:spacing w:line="309" w:lineRule="auto" w:before="163"/>
        <w:ind w:left="604" w:right="7588" w:hanging="452"/>
        <w:jc w:val="left"/>
        <w:rPr>
          <w:b w:val="0"/>
          <w:bCs w:val="0"/>
        </w:rPr>
      </w:pPr>
      <w:r>
        <w:rPr/>
        <w:t>（三）</w:t>
      </w:r>
      <w:r>
        <w:rPr>
          <w:rFonts w:ascii="宋体" w:hAnsi="宋体" w:cs="宋体" w:eastAsia="宋体" w:hint="default"/>
        </w:rPr>
        <w:t>2020</w:t>
      </w:r>
      <w:r>
        <w:rPr/>
        <w:t>年公司发展方向及举措</w:t>
      </w:r>
      <w:r>
        <w:rPr>
          <w:spacing w:val="-102"/>
        </w:rPr>
        <w:t> </w:t>
      </w:r>
      <w:r>
        <w:rPr>
          <w:rFonts w:ascii="宋体" w:hAnsi="宋体" w:cs="宋体" w:eastAsia="宋体" w:hint="default"/>
        </w:rPr>
        <w:t>1</w:t>
      </w:r>
      <w:r>
        <w:rPr/>
        <w:t>、确保企业效益稳步增长。</w:t>
      </w:r>
      <w:r>
        <w:rPr>
          <w:b w:val="0"/>
          <w:bCs w:val="0"/>
        </w:rPr>
      </w:r>
    </w:p>
    <w:p>
      <w:pPr>
        <w:pStyle w:val="BodyText"/>
        <w:spacing w:line="314" w:lineRule="auto" w:before="19"/>
        <w:ind w:right="1125" w:firstLine="422"/>
        <w:jc w:val="both"/>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）持续优化客户结构，目标客户再定位。</w:t>
      </w:r>
      <w:r>
        <w:rPr/>
        <w:t>不断分析研究市场形势，例如带量采购扩围倒逼药企创</w:t>
      </w:r>
      <w:r>
        <w:rPr>
          <w:w w:val="100"/>
        </w:rPr>
        <w:t> </w:t>
      </w:r>
      <w:r>
        <w:rPr>
          <w:spacing w:val="-2"/>
        </w:rPr>
        <w:t>新、跨国药企在中国发展势头依旧强劲、产业资本全面进入医药创新领域、中药产业将迎来发展的拐点等</w:t>
      </w:r>
      <w:r>
        <w:rPr>
          <w:spacing w:val="-33"/>
        </w:rPr>
        <w:t> </w:t>
      </w:r>
      <w:r>
        <w:rPr>
          <w:spacing w:val="-33"/>
        </w:rPr>
      </w:r>
      <w:r>
        <w:rPr>
          <w:spacing w:val="-2"/>
        </w:rPr>
        <w:t>新趋势，持续研判客户结构和目标定位。同时培养消费品包装、药品说明书，加大次级包装投入，使其成</w:t>
      </w:r>
      <w:r>
        <w:rPr>
          <w:spacing w:val="-37"/>
        </w:rPr>
        <w:t> </w:t>
      </w:r>
      <w:r>
        <w:rPr>
          <w:spacing w:val="-37"/>
        </w:rPr>
      </w:r>
      <w:r>
        <w:rPr/>
        <w:t>为公司业务的增长点，确保全年目标实现。</w:t>
      </w:r>
    </w:p>
    <w:p>
      <w:pPr>
        <w:pStyle w:val="BodyText"/>
        <w:spacing w:line="314" w:lineRule="auto" w:before="16"/>
        <w:ind w:right="0" w:firstLine="480"/>
        <w:jc w:val="left"/>
      </w:pPr>
      <w:r>
        <w:rPr>
          <w:rFonts w:ascii="宋体" w:hAnsi="宋体" w:cs="宋体" w:eastAsia="宋体" w:hint="default"/>
          <w:b/>
          <w:bCs/>
          <w:spacing w:val="-1"/>
        </w:rPr>
        <w:t>（</w:t>
      </w:r>
      <w:r>
        <w:rPr>
          <w:rFonts w:ascii="宋体" w:hAnsi="宋体" w:cs="宋体" w:eastAsia="宋体" w:hint="default"/>
          <w:b/>
          <w:bCs/>
          <w:spacing w:val="-1"/>
        </w:rPr>
        <w:t>2</w:t>
      </w:r>
      <w:r>
        <w:rPr>
          <w:rFonts w:ascii="宋体" w:hAnsi="宋体" w:cs="宋体" w:eastAsia="宋体" w:hint="default"/>
          <w:b/>
          <w:bCs/>
          <w:spacing w:val="-1"/>
        </w:rPr>
        <w:t>）持续强化创新变革。</w:t>
      </w:r>
      <w:r>
        <w:rPr>
          <w:spacing w:val="-1"/>
        </w:rPr>
        <w:t>以两化融合管理体系贯标为核心驱动，以国家药监局发布《药品上市许可</w:t>
      </w:r>
      <w:r>
        <w:rPr>
          <w:w w:val="100"/>
        </w:rPr>
        <w:t> </w:t>
      </w:r>
      <w:r>
        <w:rPr/>
        <w:t>持有人和生产企业追溯基本数据集》等</w:t>
      </w:r>
      <w:r>
        <w:rPr>
          <w:rFonts w:ascii="宋体" w:hAnsi="宋体" w:cs="宋体" w:eastAsia="宋体" w:hint="default"/>
        </w:rPr>
        <w:t>5</w:t>
      </w:r>
      <w:r>
        <w:rPr/>
        <w:t>项信息化标准为依据，加大药品溯源投入力度，以天津环球智能</w:t>
      </w:r>
      <w:r>
        <w:rPr>
          <w:w w:val="100"/>
        </w:rPr>
        <w:t> </w:t>
      </w:r>
      <w:r>
        <w:rPr/>
        <w:t>制造工厂升级改造为创新突破，做好顶层设计，为高质量发展增添新引擎。</w:t>
      </w:r>
    </w:p>
    <w:p>
      <w:pPr>
        <w:pStyle w:val="BodyText"/>
        <w:spacing w:line="312" w:lineRule="auto"/>
        <w:ind w:right="1128" w:firstLine="480"/>
        <w:jc w:val="both"/>
      </w:pPr>
      <w:r>
        <w:rPr>
          <w:rFonts w:ascii="宋体" w:hAnsi="宋体" w:cs="宋体" w:eastAsia="宋体" w:hint="default"/>
          <w:b/>
          <w:bCs/>
          <w:spacing w:val="-1"/>
        </w:rPr>
        <w:t>（</w:t>
      </w:r>
      <w:r>
        <w:rPr>
          <w:rFonts w:ascii="宋体" w:hAnsi="宋体" w:cs="宋体" w:eastAsia="宋体" w:hint="default"/>
          <w:b/>
          <w:bCs/>
          <w:spacing w:val="-1"/>
        </w:rPr>
        <w:t>3</w:t>
      </w:r>
      <w:r>
        <w:rPr>
          <w:rFonts w:ascii="宋体" w:hAnsi="宋体" w:cs="宋体" w:eastAsia="宋体" w:hint="default"/>
          <w:b/>
          <w:bCs/>
          <w:spacing w:val="-1"/>
        </w:rPr>
        <w:t>）深入践行全面质量管理。</w:t>
      </w:r>
      <w:r>
        <w:rPr>
          <w:spacing w:val="-1"/>
        </w:rPr>
        <w:t>继续以提升产品质量为主线，提升管理水平为基础，实施全面质量管</w:t>
      </w:r>
      <w:r>
        <w:rPr>
          <w:w w:val="100"/>
        </w:rPr>
        <w:t> </w:t>
      </w:r>
      <w:r>
        <w:rPr>
          <w:spacing w:val="-2"/>
        </w:rPr>
        <w:t>理，以效益增长为出发点和落脚点，努力降低人工、仓储和物流成本，持续开展精益生产，不断提高资源</w:t>
      </w:r>
      <w:r>
        <w:rPr>
          <w:spacing w:val="-36"/>
        </w:rPr>
        <w:t> </w:t>
      </w:r>
      <w:r>
        <w:rPr>
          <w:spacing w:val="-36"/>
        </w:rPr>
      </w:r>
      <w:r>
        <w:rPr/>
        <w:t>配置效率和劳动用工效率，持续降本增效。</w:t>
      </w:r>
    </w:p>
    <w:p>
      <w:pPr>
        <w:pStyle w:val="BodyText"/>
        <w:spacing w:line="312" w:lineRule="auto" w:before="22"/>
        <w:ind w:right="0" w:firstLine="480"/>
        <w:jc w:val="left"/>
      </w:pPr>
      <w:r>
        <w:rPr>
          <w:rFonts w:ascii="宋体" w:hAnsi="宋体" w:cs="宋体" w:eastAsia="宋体" w:hint="default"/>
          <w:b/>
          <w:bCs/>
        </w:rPr>
        <w:t>（</w:t>
      </w:r>
      <w:r>
        <w:rPr>
          <w:rFonts w:ascii="宋体" w:hAnsi="宋体" w:cs="宋体" w:eastAsia="宋体" w:hint="default"/>
          <w:b/>
          <w:bCs/>
        </w:rPr>
        <w:t>4</w:t>
      </w:r>
      <w:r>
        <w:rPr>
          <w:rFonts w:ascii="宋体" w:hAnsi="宋体" w:cs="宋体" w:eastAsia="宋体" w:hint="default"/>
          <w:b/>
          <w:bCs/>
        </w:rPr>
        <w:t>）持之以恒加强管理创新。</w:t>
      </w:r>
      <w:r>
        <w:rPr/>
        <w:t>围绕年度目标指标，继续优化组织架构，理顺集团化管理和子公司之</w:t>
      </w:r>
      <w:r>
        <w:rPr>
          <w:w w:val="100"/>
        </w:rPr>
        <w:t> </w:t>
      </w:r>
      <w:r>
        <w:rPr>
          <w:spacing w:val="-2"/>
        </w:rPr>
        <w:t>间的治理结构，以制度建设、管理能力、信息化建设的高水平推动整体发展质量的大提升；要积极应用新</w:t>
      </w:r>
      <w:r>
        <w:rPr>
          <w:spacing w:val="-33"/>
        </w:rPr>
        <w:t> </w:t>
      </w:r>
      <w:r>
        <w:rPr>
          <w:spacing w:val="-33"/>
        </w:rPr>
      </w:r>
      <w:r>
        <w:rPr/>
        <w:t>技术升级管理，持续推进管理创新，更新管理理念，采取走出去对标学习和引入外部培训相结合的方式，</w:t>
      </w:r>
      <w:r>
        <w:rPr>
          <w:spacing w:val="-33"/>
        </w:rPr>
        <w:t> </w:t>
      </w:r>
      <w:r>
        <w:rPr>
          <w:spacing w:val="-33"/>
        </w:rPr>
      </w:r>
      <w:r>
        <w:rPr/>
        <w:t>全方位提升综合管理水平。</w:t>
      </w:r>
    </w:p>
    <w:p>
      <w:pPr>
        <w:spacing w:line="314" w:lineRule="auto" w:before="22"/>
        <w:ind w:left="153" w:right="1133" w:firstLine="480"/>
        <w:jc w:val="both"/>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5</w:t>
      </w:r>
      <w:r>
        <w:rPr>
          <w:rFonts w:ascii="宋体" w:hAnsi="宋体" w:cs="宋体" w:eastAsia="宋体" w:hint="default"/>
          <w:b/>
          <w:bCs/>
          <w:spacing w:val="-1"/>
          <w:sz w:val="21"/>
          <w:szCs w:val="21"/>
        </w:rPr>
        <w:t>）加大固定资产投入，确保产能释放。</w:t>
      </w:r>
      <w:r>
        <w:rPr>
          <w:rFonts w:ascii="宋体" w:hAnsi="宋体" w:cs="宋体" w:eastAsia="宋体" w:hint="default"/>
          <w:spacing w:val="-1"/>
          <w:sz w:val="21"/>
          <w:szCs w:val="21"/>
        </w:rPr>
        <w:t>抓好公司固定资产投资调研采购工作，确保固定资产投资</w:t>
      </w:r>
      <w:r>
        <w:rPr>
          <w:rFonts w:ascii="宋体" w:hAnsi="宋体" w:cs="宋体" w:eastAsia="宋体" w:hint="default"/>
          <w:w w:val="100"/>
          <w:sz w:val="21"/>
          <w:szCs w:val="21"/>
        </w:rPr>
        <w:t> </w:t>
      </w:r>
      <w:r>
        <w:rPr>
          <w:rFonts w:ascii="宋体" w:hAnsi="宋体" w:cs="宋体" w:eastAsia="宋体" w:hint="default"/>
          <w:sz w:val="21"/>
          <w:szCs w:val="21"/>
        </w:rPr>
        <w:t>工作的科学有效落地。</w:t>
      </w:r>
    </w:p>
    <w:p>
      <w:pPr>
        <w:spacing w:after="0" w:line="314" w:lineRule="auto"/>
        <w:jc w:val="both"/>
        <w:rPr>
          <w:rFonts w:ascii="宋体" w:hAnsi="宋体" w:cs="宋体" w:eastAsia="宋体" w:hint="default"/>
          <w:sz w:val="21"/>
          <w:szCs w:val="21"/>
        </w:rPr>
        <w:sectPr>
          <w:pgSz w:w="11910" w:h="16840"/>
          <w:pgMar w:header="0" w:footer="979" w:top="1100" w:bottom="1160" w:left="980" w:right="0"/>
        </w:sectPr>
      </w:pPr>
    </w:p>
    <w:p>
      <w:pPr>
        <w:spacing w:line="240" w:lineRule="auto" w:before="7"/>
        <w:rPr>
          <w:rFonts w:ascii="宋体" w:hAnsi="宋体" w:cs="宋体" w:eastAsia="宋体" w:hint="default"/>
          <w:sz w:val="22"/>
          <w:szCs w:val="22"/>
        </w:rPr>
      </w:pPr>
    </w:p>
    <w:p>
      <w:pPr>
        <w:spacing w:line="314" w:lineRule="auto" w:before="36"/>
        <w:ind w:left="604"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、做强互联网精准营销业务</w:t>
      </w:r>
      <w:r>
        <w:rPr>
          <w:rFonts w:ascii="宋体" w:hAnsi="宋体" w:cs="宋体" w:eastAsia="宋体" w:hint="default"/>
          <w:b/>
          <w:bCs/>
          <w:spacing w:val="-102"/>
          <w:sz w:val="21"/>
          <w:szCs w:val="21"/>
        </w:rPr>
        <w:t> </w:t>
      </w:r>
      <w:r>
        <w:rPr>
          <w:rFonts w:ascii="宋体" w:hAnsi="宋体" w:cs="宋体" w:eastAsia="宋体" w:hint="default"/>
          <w:spacing w:val="-3"/>
          <w:sz w:val="21"/>
          <w:szCs w:val="21"/>
        </w:rPr>
        <w:t>随着网络广告市场发展不断成熟、用户使用习惯的转移，未来几年移动广告在整体网络广告中的占比</w:t>
      </w:r>
    </w:p>
    <w:p>
      <w:pPr>
        <w:pStyle w:val="BodyText"/>
        <w:spacing w:line="314" w:lineRule="auto" w:before="15"/>
        <w:ind w:right="0"/>
        <w:jc w:val="left"/>
      </w:pPr>
      <w:r>
        <w:rPr/>
        <w:t>将持续增大。公司作为多家权威媒体（今日头条</w:t>
      </w:r>
      <w:r>
        <w:rPr>
          <w:rFonts w:ascii="宋体" w:hAnsi="宋体" w:cs="宋体" w:eastAsia="宋体" w:hint="default"/>
        </w:rPr>
        <w:t>/</w:t>
      </w:r>
      <w:r>
        <w:rPr/>
        <w:t>腾讯）的核心广告代理商，互联网精准营销业务同比增</w:t>
      </w:r>
      <w:r>
        <w:rPr>
          <w:w w:val="100"/>
        </w:rPr>
        <w:t> </w:t>
      </w:r>
      <w:r>
        <w:rPr>
          <w:spacing w:val="-2"/>
        </w:rPr>
        <w:t>长显著。</w:t>
      </w:r>
      <w:r>
        <w:rPr>
          <w:rFonts w:ascii="宋体" w:hAnsi="宋体" w:cs="宋体" w:eastAsia="宋体" w:hint="default"/>
          <w:spacing w:val="-2"/>
        </w:rPr>
        <w:t>2020</w:t>
      </w:r>
      <w:r>
        <w:rPr>
          <w:spacing w:val="-2"/>
        </w:rPr>
        <w:t>年要进一步顺应时代发展，深耕移动互联网，扩大全媒体资源覆盖面，发挥协调效应，提高</w:t>
      </w:r>
      <w:r>
        <w:rPr>
          <w:spacing w:val="-34"/>
        </w:rPr>
        <w:t> </w:t>
      </w:r>
      <w:r>
        <w:rPr>
          <w:spacing w:val="-34"/>
        </w:rPr>
      </w:r>
      <w:r>
        <w:rPr>
          <w:spacing w:val="-2"/>
        </w:rPr>
        <w:t>客户服务的广度和深度；进一步强化与数字媒体的合作关系，降低媒介采购运营成本，提高运营效率，进</w:t>
      </w:r>
      <w:r>
        <w:rPr>
          <w:spacing w:val="-33"/>
        </w:rPr>
        <w:t> </w:t>
      </w:r>
      <w:r>
        <w:rPr>
          <w:spacing w:val="-33"/>
        </w:rPr>
      </w:r>
      <w:r>
        <w:rPr>
          <w:spacing w:val="-2"/>
        </w:rPr>
        <w:t>一步规范管理做到风险可控；不断探索互联网精准营销业务与制药、消费品客户的市场推广的契合点，以</w:t>
      </w:r>
      <w:r>
        <w:rPr>
          <w:spacing w:val="-33"/>
        </w:rPr>
        <w:t> </w:t>
      </w:r>
      <w:r>
        <w:rPr>
          <w:spacing w:val="-33"/>
        </w:rPr>
      </w:r>
      <w:r>
        <w:rPr/>
        <w:t>寻求新的业务增长模式。</w:t>
      </w:r>
    </w:p>
    <w:p>
      <w:pPr>
        <w:spacing w:line="314" w:lineRule="auto" w:before="20"/>
        <w:ind w:left="633" w:right="0" w:hanging="29"/>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、创新供应链管理模式。</w:t>
      </w:r>
      <w:r>
        <w:rPr>
          <w:rFonts w:ascii="宋体" w:hAnsi="宋体" w:cs="宋体" w:eastAsia="宋体" w:hint="default"/>
          <w:b/>
          <w:bCs/>
          <w:spacing w:val="-102"/>
          <w:sz w:val="21"/>
          <w:szCs w:val="21"/>
        </w:rPr>
        <w:t> </w:t>
      </w:r>
      <w:r>
        <w:rPr>
          <w:rFonts w:ascii="宋体" w:hAnsi="宋体" w:cs="宋体" w:eastAsia="宋体" w:hint="default"/>
          <w:spacing w:val="-1"/>
          <w:sz w:val="21"/>
          <w:szCs w:val="21"/>
        </w:rPr>
        <w:t>智能升级、行业整合将成为未来几年包装行业的主要发展趋势，公司将以行业供应链管理为切入点，</w:t>
      </w:r>
    </w:p>
    <w:p>
      <w:pPr>
        <w:pStyle w:val="BodyText"/>
        <w:spacing w:line="312" w:lineRule="auto"/>
        <w:ind w:right="0"/>
        <w:jc w:val="left"/>
      </w:pPr>
      <w:r>
        <w:rPr>
          <w:spacing w:val="-2"/>
        </w:rPr>
        <w:t>同时结合互联网、区块链技术、云计算技术，打造信息流、订单流、物流、资金流于一体的产业互联网线</w:t>
      </w:r>
      <w:r>
        <w:rPr>
          <w:spacing w:val="-33"/>
        </w:rPr>
        <w:t> </w:t>
      </w:r>
      <w:r>
        <w:rPr>
          <w:spacing w:val="-33"/>
        </w:rPr>
      </w:r>
      <w:r>
        <w:rPr/>
        <w:t>上服务平台，把线下大部分业务迅速线上化、数据化、平台化，同时通过为服务的各细分领域打造</w:t>
      </w:r>
      <w:r>
        <w:rPr>
          <w:rFonts w:ascii="宋体" w:hAnsi="宋体" w:cs="宋体" w:eastAsia="宋体" w:hint="default"/>
        </w:rPr>
        <w:t>C2B</w:t>
      </w:r>
      <w:r>
        <w:rPr/>
        <w:t>反</w:t>
      </w:r>
      <w:r>
        <w:rPr>
          <w:spacing w:val="-103"/>
        </w:rPr>
        <w:t> </w:t>
      </w:r>
      <w:r>
        <w:rPr>
          <w:spacing w:val="-2"/>
        </w:rPr>
        <w:t>向供应链整合新模式，打造一个内容更多、弹性更大的各类材料和技术服务的供给体系，实现互联网与供</w:t>
      </w:r>
      <w:r>
        <w:rPr>
          <w:spacing w:val="-33"/>
        </w:rPr>
        <w:t> </w:t>
      </w:r>
      <w:r>
        <w:rPr>
          <w:spacing w:val="-33"/>
        </w:rPr>
      </w:r>
      <w:r>
        <w:rPr/>
        <w:t>应链管理的有效协同。</w:t>
      </w:r>
    </w:p>
    <w:p>
      <w:pPr>
        <w:spacing w:line="348" w:lineRule="auto" w:before="22"/>
        <w:ind w:left="633" w:right="0" w:hanging="58"/>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、探索“区块链”发展模式。</w:t>
      </w:r>
      <w:r>
        <w:rPr>
          <w:rFonts w:ascii="宋体" w:hAnsi="宋体" w:cs="宋体" w:eastAsia="宋体" w:hint="default"/>
          <w:b/>
          <w:bCs/>
          <w:spacing w:val="-102"/>
          <w:sz w:val="21"/>
          <w:szCs w:val="21"/>
        </w:rPr>
        <w:t> </w:t>
      </w:r>
      <w:r>
        <w:rPr>
          <w:rFonts w:ascii="宋体" w:hAnsi="宋体" w:cs="宋体" w:eastAsia="宋体" w:hint="default"/>
          <w:spacing w:val="-4"/>
          <w:sz w:val="21"/>
          <w:szCs w:val="21"/>
        </w:rPr>
        <w:t>目前区块链产业发展的政策体系逐步完善，各地政府积极从产业高度定位区块链技术，区块链技术已</w:t>
      </w:r>
    </w:p>
    <w:p>
      <w:pPr>
        <w:pStyle w:val="BodyText"/>
        <w:spacing w:line="314" w:lineRule="auto" w:before="0"/>
        <w:ind w:right="0"/>
        <w:jc w:val="left"/>
      </w:pPr>
      <w:r>
        <w:rPr>
          <w:spacing w:val="-2"/>
        </w:rPr>
        <w:t>经上升到国家科技战略层面。未来，随着药品溯源制度的全面深入推进，公司将以区块链技术为引领，充</w:t>
      </w:r>
      <w:r>
        <w:rPr>
          <w:spacing w:val="-33"/>
        </w:rPr>
        <w:t> </w:t>
      </w:r>
      <w:r>
        <w:rPr>
          <w:spacing w:val="-33"/>
        </w:rPr>
      </w:r>
      <w:r>
        <w:rPr/>
        <w:t>分发挥市场优势、平台优势和数据资源优势，促成区块链技术在医药溯源、医药物流、消费者安全用药、</w:t>
      </w:r>
      <w:r>
        <w:rPr>
          <w:spacing w:val="-30"/>
        </w:rPr>
        <w:t> </w:t>
      </w:r>
      <w:r>
        <w:rPr>
          <w:spacing w:val="-30"/>
        </w:rPr>
      </w:r>
      <w:r>
        <w:rPr>
          <w:spacing w:val="-2"/>
        </w:rPr>
        <w:t>医保控费、供应链平台等领域的开发和应用，共同培育和打造新一代区块链技术产品和服务，为行业提供</w:t>
      </w:r>
      <w:r>
        <w:rPr>
          <w:spacing w:val="-33"/>
        </w:rPr>
        <w:t> </w:t>
      </w:r>
      <w:r>
        <w:rPr>
          <w:spacing w:val="-33"/>
        </w:rPr>
      </w:r>
      <w:r>
        <w:rPr/>
        <w:t>“互联网</w:t>
      </w:r>
      <w:r>
        <w:rPr>
          <w:rFonts w:ascii="宋体" w:hAnsi="宋体" w:cs="宋体" w:eastAsia="宋体" w:hint="default"/>
        </w:rPr>
        <w:t>+</w:t>
      </w:r>
      <w:r>
        <w:rPr/>
        <w:t>智能制造”的一体化解决方案。</w:t>
      </w:r>
    </w:p>
    <w:p>
      <w:pPr>
        <w:spacing w:line="314" w:lineRule="auto" w:before="53"/>
        <w:ind w:left="604"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、坚持高标准全面加强党的建设。</w:t>
      </w:r>
      <w:r>
        <w:rPr>
          <w:rFonts w:ascii="宋体" w:hAnsi="宋体" w:cs="宋体" w:eastAsia="宋体" w:hint="default"/>
          <w:b/>
          <w:bCs/>
          <w:spacing w:val="-101"/>
          <w:sz w:val="21"/>
          <w:szCs w:val="21"/>
        </w:rPr>
        <w:t> </w:t>
      </w:r>
      <w:r>
        <w:rPr>
          <w:rFonts w:ascii="宋体" w:hAnsi="宋体" w:cs="宋体" w:eastAsia="宋体" w:hint="default"/>
          <w:spacing w:val="-3"/>
          <w:sz w:val="21"/>
          <w:szCs w:val="21"/>
        </w:rPr>
        <w:t>持续深入学习贯彻习近平新时代中国特色社会主义思想和党的十九大精神，把“不忘初心、牢记使命”</w:t>
      </w:r>
    </w:p>
    <w:p>
      <w:pPr>
        <w:pStyle w:val="BodyText"/>
        <w:spacing w:line="314" w:lineRule="auto" w:before="15"/>
        <w:ind w:right="0"/>
        <w:jc w:val="left"/>
      </w:pPr>
      <w:r>
        <w:rPr>
          <w:spacing w:val="-7"/>
        </w:rPr>
        <w:t>作为党的建设的永恒课题和全体党员、干部的终身课题常抓不懈；深入贯彻《党支部工作条例（试行）》，</w:t>
      </w:r>
      <w:r>
        <w:rPr>
          <w:spacing w:val="-9"/>
        </w:rPr>
        <w:t> </w:t>
      </w:r>
      <w:r>
        <w:rPr>
          <w:spacing w:val="-9"/>
        </w:rPr>
      </w:r>
      <w:r>
        <w:rPr/>
        <w:t>推进基层组织标准化、规范化建设，切实履行党建工作责任制，不断提高党组织把方向、管大局、抓落实</w:t>
      </w:r>
      <w:r>
        <w:rPr>
          <w:w w:val="100"/>
        </w:rPr>
        <w:t> </w:t>
      </w:r>
      <w:r>
        <w:rPr>
          <w:spacing w:val="-6"/>
        </w:rPr>
        <w:t>的能力；加强党风廉政建设，不断锤炼忠诚干净担当的政治品格，团结带领全体党员干部增强“四个意识”，</w:t>
      </w:r>
      <w:r>
        <w:rPr>
          <w:spacing w:val="-42"/>
        </w:rPr>
        <w:t> </w:t>
      </w:r>
      <w:r>
        <w:rPr>
          <w:spacing w:val="-42"/>
        </w:rPr>
      </w:r>
      <w:r>
        <w:rPr/>
        <w:t>坚定“四个自信”，做到“两个坚决维护”。</w:t>
      </w:r>
    </w:p>
    <w:p>
      <w:pPr>
        <w:spacing w:line="240" w:lineRule="auto" w:before="9"/>
        <w:rPr>
          <w:rFonts w:ascii="宋体" w:hAnsi="宋体" w:cs="宋体" w:eastAsia="宋体" w:hint="default"/>
          <w:sz w:val="28"/>
          <w:szCs w:val="28"/>
        </w:rPr>
      </w:pPr>
    </w:p>
    <w:p>
      <w:pPr>
        <w:pStyle w:val="Heading3"/>
        <w:spacing w:line="314" w:lineRule="auto"/>
        <w:ind w:left="604" w:right="7320" w:hanging="183"/>
        <w:jc w:val="left"/>
        <w:rPr>
          <w:b w:val="0"/>
          <w:bCs w:val="0"/>
        </w:rPr>
      </w:pPr>
      <w:r>
        <w:rPr/>
        <w:t>（四）可能面对的风险和应对措施</w:t>
      </w:r>
      <w:r>
        <w:rPr>
          <w:spacing w:val="-101"/>
        </w:rPr>
        <w:t> </w:t>
      </w:r>
      <w:r>
        <w:rPr>
          <w:rFonts w:ascii="宋体" w:hAnsi="宋体" w:cs="宋体" w:eastAsia="宋体" w:hint="default"/>
        </w:rPr>
        <w:t>1</w:t>
      </w:r>
      <w:r>
        <w:rPr/>
        <w:t>、受国家政策调整带来的风险</w:t>
      </w:r>
      <w:r>
        <w:rPr>
          <w:b w:val="0"/>
          <w:bCs w:val="0"/>
        </w:rPr>
      </w:r>
    </w:p>
    <w:p>
      <w:pPr>
        <w:pStyle w:val="BodyText"/>
        <w:spacing w:line="314" w:lineRule="auto"/>
        <w:ind w:right="1123" w:firstLine="360"/>
        <w:jc w:val="both"/>
      </w:pPr>
      <w:r>
        <w:rPr>
          <w:spacing w:val="-2"/>
        </w:rPr>
        <w:t>公司主要为制药行业提供一站式包装解决方案，并逐步向消费品包装辐射，其经营状况受制药行业、</w:t>
      </w:r>
      <w:r>
        <w:rPr>
          <w:w w:val="100"/>
        </w:rPr>
        <w:t> </w:t>
      </w:r>
      <w:r>
        <w:rPr/>
        <w:t>消费品及其他行业政策环境、发展状况变化影响较大。近年来，随着新医改的实施，“4+7”带量采购，</w:t>
      </w:r>
      <w:r>
        <w:rPr>
          <w:spacing w:val="-103"/>
        </w:rPr>
        <w:t> </w:t>
      </w:r>
      <w:r>
        <w:rPr>
          <w:spacing w:val="-103"/>
        </w:rPr>
      </w:r>
      <w:r>
        <w:rPr>
          <w:spacing w:val="-2"/>
        </w:rPr>
        <w:t>行业监管的加强，环保政策进一步趋严，虽然公司存在一定的规模优势、品牌优势、技术优势等，但仍有</w:t>
      </w:r>
      <w:r>
        <w:rPr>
          <w:spacing w:val="-38"/>
        </w:rPr>
        <w:t> </w:t>
      </w:r>
      <w:r>
        <w:rPr>
          <w:spacing w:val="-38"/>
        </w:rPr>
      </w:r>
      <w:r>
        <w:rPr/>
        <w:t>可能因国家政策层面发生变化存在一定的经营风险。</w:t>
      </w:r>
      <w:r>
        <w:rPr>
          <w:spacing w:val="88"/>
        </w:rPr>
        <w:t> </w:t>
      </w:r>
      <w:r>
        <w:rPr/>
        <w:t>对于互联网营销行业，国家出台相关政策限制某些</w:t>
      </w:r>
      <w:r>
        <w:rPr>
          <w:w w:val="100"/>
        </w:rPr>
        <w:t> </w:t>
      </w:r>
      <w:r>
        <w:rPr/>
        <w:t>敏感利润较高行业投放，如医疗，金融，游戏，彩票等。</w:t>
      </w:r>
    </w:p>
    <w:p>
      <w:pPr>
        <w:pStyle w:val="BodyText"/>
        <w:spacing w:line="314" w:lineRule="auto" w:before="15"/>
        <w:ind w:right="1131" w:firstLine="360"/>
        <w:jc w:val="both"/>
      </w:pPr>
      <w:r>
        <w:rPr>
          <w:spacing w:val="-2"/>
        </w:rPr>
        <w:t>应对措施：公司将密切关注国家政策方向，加强对行业新准则的把握理解，合理确定公司发展目标和</w:t>
      </w:r>
      <w:r>
        <w:rPr>
          <w:w w:val="100"/>
        </w:rPr>
        <w:t> </w:t>
      </w:r>
      <w:r>
        <w:rPr>
          <w:spacing w:val="-2"/>
        </w:rPr>
        <w:t>战略，拓宽客户行业类别，重点服务国家扶持行业客户，同时加强内部管理，努力提高经营效率，增强抵</w:t>
      </w:r>
      <w:r>
        <w:rPr>
          <w:spacing w:val="-38"/>
        </w:rPr>
        <w:t> </w:t>
      </w:r>
      <w:r>
        <w:rPr>
          <w:spacing w:val="-38"/>
        </w:rPr>
      </w:r>
      <w:r>
        <w:rPr/>
        <w:t>御政策风险的能力。</w:t>
      </w:r>
    </w:p>
    <w:p>
      <w:pPr>
        <w:spacing w:line="309" w:lineRule="auto" w:before="20"/>
        <w:ind w:left="513" w:right="0" w:firstLine="91"/>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、行业整合加剧的风险</w:t>
      </w:r>
      <w:r>
        <w:rPr>
          <w:rFonts w:ascii="宋体" w:hAnsi="宋体" w:cs="宋体" w:eastAsia="宋体" w:hint="default"/>
          <w:b/>
          <w:bCs/>
          <w:w w:val="100"/>
          <w:sz w:val="21"/>
          <w:szCs w:val="21"/>
        </w:rPr>
        <w:t> </w:t>
      </w:r>
      <w:r>
        <w:rPr>
          <w:rFonts w:ascii="宋体" w:hAnsi="宋体" w:cs="宋体" w:eastAsia="宋体" w:hint="default"/>
          <w:spacing w:val="-2"/>
          <w:sz w:val="21"/>
          <w:szCs w:val="21"/>
        </w:rPr>
        <w:t>我国包装行业的市场集中度较低，不能形成规范化、标准化、信息化的行业资源整合，导致经营成本</w:t>
      </w:r>
    </w:p>
    <w:p>
      <w:pPr>
        <w:spacing w:after="0" w:line="309" w:lineRule="auto"/>
        <w:jc w:val="left"/>
        <w:rPr>
          <w:rFonts w:ascii="宋体" w:hAnsi="宋体" w:cs="宋体" w:eastAsia="宋体" w:hint="default"/>
          <w:sz w:val="21"/>
          <w:szCs w:val="21"/>
        </w:rPr>
        <w:sectPr>
          <w:pgSz w:w="11910" w:h="16840"/>
          <w:pgMar w:header="0" w:footer="979" w:top="1100" w:bottom="1160" w:left="980" w:right="0"/>
        </w:sectPr>
      </w:pPr>
    </w:p>
    <w:p>
      <w:pPr>
        <w:spacing w:line="240" w:lineRule="auto" w:before="7"/>
        <w:rPr>
          <w:rFonts w:ascii="宋体" w:hAnsi="宋体" w:cs="宋体" w:eastAsia="宋体" w:hint="default"/>
          <w:sz w:val="22"/>
          <w:szCs w:val="22"/>
        </w:rPr>
      </w:pPr>
    </w:p>
    <w:p>
      <w:pPr>
        <w:pStyle w:val="BodyText"/>
        <w:spacing w:line="314" w:lineRule="auto" w:before="36"/>
        <w:ind w:right="0"/>
        <w:jc w:val="left"/>
      </w:pPr>
      <w:r>
        <w:rPr/>
        <w:t>较大，利润空间较低，市场竞争程度较为激烈。公司上市后行业领域已发生变化，从印刷包装细分领域向</w:t>
      </w:r>
      <w:r>
        <w:rPr>
          <w:w w:val="100"/>
        </w:rPr>
        <w:t> </w:t>
      </w:r>
      <w:r>
        <w:rPr>
          <w:spacing w:val="-4"/>
        </w:rPr>
        <w:t>全行业领域发展，如果公司在行业扩张和丰富产品方面的步伐放缓，将会对公司的未来战略发展产生影响。</w:t>
      </w:r>
    </w:p>
    <w:p>
      <w:pPr>
        <w:pStyle w:val="BodyText"/>
        <w:spacing w:line="314" w:lineRule="auto" w:before="15"/>
        <w:ind w:right="0" w:firstLine="360"/>
        <w:jc w:val="left"/>
      </w:pPr>
      <w:r>
        <w:rPr/>
        <w:t>现阶段，我国互联网营销行业告别爆发式增长进入平稳增长阶段，而市场并未出现明显的龙头效应，</w:t>
      </w:r>
      <w:r>
        <w:rPr>
          <w:w w:val="100"/>
        </w:rPr>
        <w:t> </w:t>
      </w:r>
      <w:r>
        <w:rPr>
          <w:spacing w:val="-4"/>
        </w:rPr>
        <w:t>竞争格局比较分散，公司互联网营销业务在扩展业务范围的同时，不断提高自身技术创新和数据分析能力。</w:t>
      </w:r>
      <w:r>
        <w:rPr>
          <w:spacing w:val="-42"/>
        </w:rPr>
        <w:t> </w:t>
      </w:r>
      <w:r>
        <w:rPr>
          <w:spacing w:val="-42"/>
        </w:rPr>
      </w:r>
      <w:r>
        <w:rPr>
          <w:spacing w:val="-4"/>
        </w:rPr>
        <w:t>但互联网营销行业面对大量竞争对手，不排除公司互联网板块子公司面临行业洗牌，导致其业务创新能力、</w:t>
      </w:r>
      <w:r>
        <w:rPr>
          <w:spacing w:val="-42"/>
        </w:rPr>
        <w:t> </w:t>
      </w:r>
      <w:r>
        <w:rPr>
          <w:spacing w:val="-42"/>
        </w:rPr>
      </w:r>
      <w:r>
        <w:rPr/>
        <w:t>财务状况及经营业绩等面临一定的风险。</w:t>
      </w:r>
    </w:p>
    <w:p>
      <w:pPr>
        <w:pStyle w:val="BodyText"/>
        <w:spacing w:line="314" w:lineRule="auto" w:before="15"/>
        <w:ind w:right="1125" w:firstLine="360"/>
        <w:jc w:val="both"/>
      </w:pPr>
      <w:r>
        <w:rPr>
          <w:spacing w:val="-2"/>
        </w:rPr>
        <w:t>应对措施：面对激烈的市场竞争，公司将适时调整经营策略，加大研发投入及市场开拓力度，对现有</w:t>
      </w:r>
      <w:r>
        <w:rPr>
          <w:w w:val="100"/>
        </w:rPr>
        <w:t> </w:t>
      </w:r>
      <w:r>
        <w:rPr>
          <w:spacing w:val="-7"/>
        </w:rPr>
        <w:t>业务进行整合调整，同时向上游供应链延伸，积极拓展新的领域。通过技术、管理、营销等全方位的创新，</w:t>
      </w:r>
      <w:r>
        <w:rPr>
          <w:spacing w:val="-5"/>
        </w:rPr>
        <w:t> </w:t>
      </w:r>
      <w:r>
        <w:rPr>
          <w:spacing w:val="-5"/>
        </w:rPr>
      </w:r>
      <w:r>
        <w:rPr/>
        <w:t>进一步提高公司的核心竞争力。</w:t>
      </w:r>
    </w:p>
    <w:p>
      <w:pPr>
        <w:spacing w:line="309" w:lineRule="auto" w:before="20"/>
        <w:ind w:left="513" w:right="0" w:firstLine="91"/>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、公司经营规模迅速扩大带来的风险</w:t>
      </w:r>
      <w:r>
        <w:rPr>
          <w:rFonts w:ascii="宋体" w:hAnsi="宋体" w:cs="宋体" w:eastAsia="宋体" w:hint="default"/>
          <w:b/>
          <w:bCs/>
          <w:w w:val="100"/>
          <w:sz w:val="21"/>
          <w:szCs w:val="21"/>
        </w:rPr>
        <w:t> </w:t>
      </w:r>
      <w:r>
        <w:rPr>
          <w:rFonts w:ascii="宋体" w:hAnsi="宋体" w:cs="宋体" w:eastAsia="宋体" w:hint="default"/>
          <w:spacing w:val="-3"/>
          <w:sz w:val="21"/>
          <w:szCs w:val="21"/>
        </w:rPr>
        <w:t>公司未来发展战略规划已向其他包装领域、“互联网+”等方向发展，经营规模将快速变化、扩大，给</w:t>
      </w:r>
    </w:p>
    <w:p>
      <w:pPr>
        <w:pStyle w:val="BodyText"/>
        <w:spacing w:line="314" w:lineRule="auto" w:before="24"/>
        <w:ind w:right="1125"/>
        <w:jc w:val="both"/>
      </w:pPr>
      <w:r>
        <w:rPr>
          <w:spacing w:val="-2"/>
        </w:rPr>
        <w:t>公司的经营管理提出了新的挑战，如果公司不能够很好适应经营规模扩大后新的经营管理要求，特别是在</w:t>
      </w:r>
      <w:r>
        <w:rPr>
          <w:spacing w:val="-33"/>
        </w:rPr>
        <w:t> </w:t>
      </w:r>
      <w:r>
        <w:rPr>
          <w:spacing w:val="-33"/>
        </w:rPr>
      </w:r>
      <w:r>
        <w:rPr/>
        <w:t>新市场开拓、新技术开发、集团化管控等诸多方面滞后，将给公司的未来经营和盈利带来挑战。</w:t>
      </w:r>
    </w:p>
    <w:p>
      <w:pPr>
        <w:pStyle w:val="BodyText"/>
        <w:spacing w:line="309" w:lineRule="auto"/>
        <w:ind w:right="1164" w:firstLine="360"/>
        <w:jc w:val="both"/>
      </w:pPr>
      <w:r>
        <w:rPr>
          <w:spacing w:val="-2"/>
        </w:rPr>
        <w:t>应对措施：公司通过建立严格的内部控制和授权体系，优化内部流程，提高管理效率，并进一步加强</w:t>
      </w:r>
      <w:r>
        <w:rPr>
          <w:w w:val="100"/>
        </w:rPr>
        <w:t> </w:t>
      </w:r>
      <w:r>
        <w:rPr/>
        <w:t>人才引进和培养，以降低管理风险。</w:t>
      </w:r>
    </w:p>
    <w:p>
      <w:pPr>
        <w:spacing w:line="314" w:lineRule="auto" w:before="24"/>
        <w:ind w:left="513" w:right="0" w:firstLine="91"/>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、技术革新周期加速风险</w:t>
      </w:r>
      <w:r>
        <w:rPr>
          <w:rFonts w:ascii="宋体" w:hAnsi="宋体" w:cs="宋体" w:eastAsia="宋体" w:hint="default"/>
          <w:b/>
          <w:bCs/>
          <w:w w:val="100"/>
          <w:sz w:val="21"/>
          <w:szCs w:val="21"/>
        </w:rPr>
        <w:t> </w:t>
      </w:r>
      <w:r>
        <w:rPr>
          <w:rFonts w:ascii="宋体" w:hAnsi="宋体" w:cs="宋体" w:eastAsia="宋体" w:hint="default"/>
          <w:spacing w:val="-2"/>
          <w:sz w:val="21"/>
          <w:szCs w:val="21"/>
        </w:rPr>
        <w:t>随着世界科技的突飞猛进的发展，人工智能等技术的不断创新，制造行业不断在向自动化、智能化发</w:t>
      </w:r>
    </w:p>
    <w:p>
      <w:pPr>
        <w:pStyle w:val="BodyText"/>
        <w:spacing w:line="312" w:lineRule="auto"/>
        <w:ind w:right="1123"/>
        <w:jc w:val="both"/>
      </w:pPr>
      <w:r>
        <w:rPr>
          <w:spacing w:val="-2"/>
        </w:rPr>
        <w:t>展，生产效率较低，人工成本过高的经营模式，已经不符合现今社会的发展趋势。尤其包装行业属于传统</w:t>
      </w:r>
      <w:r>
        <w:rPr>
          <w:spacing w:val="-30"/>
        </w:rPr>
        <w:t> </w:t>
      </w:r>
      <w:r>
        <w:rPr>
          <w:spacing w:val="-30"/>
        </w:rPr>
      </w:r>
      <w:r>
        <w:rPr>
          <w:spacing w:val="-2"/>
        </w:rPr>
        <w:t>工业，如何更好的使用人工智能等科技工具，从传统工业向智能化、智慧化的新工业转变是当前包装行业</w:t>
      </w:r>
      <w:r>
        <w:rPr>
          <w:spacing w:val="-33"/>
        </w:rPr>
        <w:t> </w:t>
      </w:r>
      <w:r>
        <w:rPr>
          <w:spacing w:val="-33"/>
        </w:rPr>
      </w:r>
      <w:r>
        <w:rPr/>
        <w:t>的重大课题。</w:t>
      </w:r>
    </w:p>
    <w:p>
      <w:pPr>
        <w:pStyle w:val="BodyText"/>
        <w:spacing w:line="312" w:lineRule="auto" w:before="22"/>
        <w:ind w:left="513" w:right="0"/>
        <w:jc w:val="left"/>
      </w:pPr>
      <w:r>
        <w:rPr>
          <w:spacing w:val="-6"/>
        </w:rPr>
        <w:t>应对措施：公司紧跟行业新技术的发展步伐，不断加强研发投入，保持产品和服务的持续改进与创新。</w:t>
      </w:r>
      <w:r>
        <w:rPr>
          <w:spacing w:val="-10"/>
        </w:rPr>
        <w:t> </w:t>
      </w:r>
      <w:r>
        <w:rPr>
          <w:spacing w:val="-10"/>
        </w:rPr>
      </w:r>
      <w:r>
        <w:rPr>
          <w:rFonts w:ascii="宋体" w:hAnsi="宋体" w:cs="宋体" w:eastAsia="宋体" w:hint="default"/>
          <w:b/>
          <w:bCs/>
        </w:rPr>
        <w:t>5</w:t>
      </w:r>
      <w:r>
        <w:rPr>
          <w:rFonts w:ascii="宋体" w:hAnsi="宋体" w:cs="宋体" w:eastAsia="宋体" w:hint="default"/>
          <w:b/>
          <w:bCs/>
        </w:rPr>
        <w:t>、所得税税收优惠不能持续的风险</w:t>
      </w:r>
      <w:r>
        <w:rPr>
          <w:rFonts w:ascii="宋体" w:hAnsi="宋体" w:cs="宋体" w:eastAsia="宋体" w:hint="default"/>
          <w:b/>
          <w:bCs/>
          <w:spacing w:val="-101"/>
        </w:rPr>
        <w:t> </w:t>
      </w:r>
      <w:r>
        <w:rPr>
          <w:spacing w:val="-2"/>
        </w:rPr>
        <w:t>公司与子公司天津环球、领凯科技目前所享受的所得税收优惠政策符合相关法律法规的规定，但如果</w:t>
      </w:r>
    </w:p>
    <w:p>
      <w:pPr>
        <w:pStyle w:val="BodyText"/>
        <w:spacing w:line="314" w:lineRule="auto" w:before="22"/>
        <w:ind w:left="513" w:right="4340" w:hanging="360"/>
        <w:jc w:val="left"/>
        <w:rPr>
          <w:rFonts w:ascii="宋体" w:hAnsi="宋体" w:cs="宋体" w:eastAsia="宋体" w:hint="default"/>
        </w:rPr>
      </w:pPr>
      <w:r>
        <w:rPr>
          <w:spacing w:val="-2"/>
        </w:rPr>
        <w:t>前述税收优惠政策发生变化，将会对公司的净利润产生一定影响。</w:t>
      </w:r>
      <w:r>
        <w:rPr>
          <w:spacing w:val="-48"/>
        </w:rPr>
        <w:t> </w:t>
      </w:r>
      <w:r>
        <w:rPr>
          <w:spacing w:val="-48"/>
        </w:rPr>
      </w:r>
      <w:r>
        <w:rPr/>
        <w:t>应对措施：公司将积极关注国家税收优惠的相关政策。</w:t>
      </w:r>
      <w:r>
        <w:rPr>
          <w:w w:val="100"/>
        </w:rPr>
        <w:t> </w:t>
      </w:r>
      <w:r>
        <w:rPr>
          <w:rFonts w:ascii="宋体" w:hAnsi="宋体" w:cs="宋体" w:eastAsia="宋体" w:hint="default"/>
          <w:b/>
          <w:bCs/>
        </w:rPr>
        <w:t>6</w:t>
      </w:r>
      <w:r>
        <w:rPr>
          <w:rFonts w:ascii="宋体" w:hAnsi="宋体" w:cs="宋体" w:eastAsia="宋体" w:hint="default"/>
          <w:b/>
          <w:bCs/>
        </w:rPr>
        <w:t>、原材料价格波动的风险</w:t>
      </w:r>
      <w:r>
        <w:rPr>
          <w:rFonts w:ascii="宋体" w:hAnsi="宋体" w:cs="宋体" w:eastAsia="宋体" w:hint="default"/>
        </w:rPr>
      </w:r>
    </w:p>
    <w:p>
      <w:pPr>
        <w:pStyle w:val="BodyText"/>
        <w:spacing w:line="314" w:lineRule="auto" w:before="16"/>
        <w:ind w:right="1125" w:firstLine="360"/>
        <w:jc w:val="both"/>
      </w:pPr>
      <w:r>
        <w:rPr>
          <w:spacing w:val="-2"/>
        </w:rPr>
        <w:t>公司主要原材料为工业包装用纸，其需求与药品、食品、化妆品等消费品行业具有高度相关性，其价</w:t>
      </w:r>
      <w:r>
        <w:rPr>
          <w:w w:val="100"/>
        </w:rPr>
        <w:t> </w:t>
      </w:r>
      <w:r>
        <w:rPr>
          <w:spacing w:val="-2"/>
        </w:rPr>
        <w:t>格对公司产品成本的影响较大。近年来，随着汇率及国内外纸浆价格波动、国家环保政策趋严等方面的影</w:t>
      </w:r>
      <w:r>
        <w:rPr>
          <w:spacing w:val="-33"/>
        </w:rPr>
        <w:t> </w:t>
      </w:r>
      <w:r>
        <w:rPr>
          <w:spacing w:val="-33"/>
        </w:rPr>
      </w:r>
      <w:r>
        <w:rPr>
          <w:spacing w:val="-2"/>
        </w:rPr>
        <w:t>响，国际及国内工业包装用纸市场价格亦不断波动，进而给公司生产经营带来一定影响。若发生公司主要</w:t>
      </w:r>
      <w:r>
        <w:rPr>
          <w:spacing w:val="-33"/>
        </w:rPr>
        <w:t> </w:t>
      </w:r>
      <w:r>
        <w:rPr>
          <w:spacing w:val="-33"/>
        </w:rPr>
      </w:r>
      <w:r>
        <w:rPr>
          <w:spacing w:val="-2"/>
        </w:rPr>
        <w:t>原材料成本大幅上升而公司又未能及时通过提高销售价格，或者其他原因显著影响了公司的销售收入，公</w:t>
      </w:r>
      <w:r>
        <w:rPr>
          <w:spacing w:val="-33"/>
        </w:rPr>
        <w:t> </w:t>
      </w:r>
      <w:r>
        <w:rPr>
          <w:spacing w:val="-33"/>
        </w:rPr>
      </w:r>
      <w:r>
        <w:rPr/>
        <w:t>司可能存在营业利润下降或者亏损的风险。</w:t>
      </w:r>
    </w:p>
    <w:p>
      <w:pPr>
        <w:pStyle w:val="BodyText"/>
        <w:spacing w:line="314" w:lineRule="auto"/>
        <w:ind w:right="1164" w:firstLine="360"/>
        <w:jc w:val="both"/>
      </w:pPr>
      <w:r>
        <w:rPr>
          <w:spacing w:val="-2"/>
        </w:rPr>
        <w:t>应对措施：公司通过整合上游供应链，保证主要原材料供货渠道及合理价格，提高客户合作深度等方</w:t>
      </w:r>
      <w:r>
        <w:rPr>
          <w:w w:val="100"/>
        </w:rPr>
        <w:t> </w:t>
      </w:r>
      <w:r>
        <w:rPr/>
        <w:t>式控制原材料价格上涨的影响。</w:t>
      </w:r>
    </w:p>
    <w:p>
      <w:pPr>
        <w:spacing w:line="309" w:lineRule="auto" w:before="20"/>
        <w:ind w:left="513" w:right="0" w:firstLine="91"/>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、应收账款发生坏账的风险</w:t>
      </w:r>
      <w:r>
        <w:rPr>
          <w:rFonts w:ascii="宋体" w:hAnsi="宋体" w:cs="宋体" w:eastAsia="宋体" w:hint="default"/>
          <w:b/>
          <w:bCs/>
          <w:w w:val="100"/>
          <w:sz w:val="21"/>
          <w:szCs w:val="21"/>
        </w:rPr>
        <w:t> </w:t>
      </w:r>
      <w:r>
        <w:rPr>
          <w:rFonts w:ascii="宋体" w:hAnsi="宋体" w:cs="宋体" w:eastAsia="宋体" w:hint="default"/>
          <w:spacing w:val="-3"/>
          <w:sz w:val="21"/>
          <w:szCs w:val="21"/>
        </w:rPr>
        <w:t>报告期末，公司应收账款净额为</w:t>
      </w:r>
      <w:r>
        <w:rPr>
          <w:rFonts w:ascii="宋体" w:hAnsi="宋体" w:cs="宋体" w:eastAsia="宋体" w:hint="default"/>
          <w:spacing w:val="-3"/>
          <w:sz w:val="21"/>
          <w:szCs w:val="21"/>
        </w:rPr>
        <w:t>28,961.28</w:t>
      </w:r>
      <w:r>
        <w:rPr>
          <w:rFonts w:ascii="宋体" w:hAnsi="宋体" w:cs="宋体" w:eastAsia="宋体" w:hint="default"/>
          <w:spacing w:val="-3"/>
          <w:sz w:val="21"/>
          <w:szCs w:val="21"/>
        </w:rPr>
        <w:t>万元，应收账款净额较大。虽然公司目前应收账款质量和回</w:t>
      </w:r>
    </w:p>
    <w:p>
      <w:pPr>
        <w:pStyle w:val="BodyText"/>
        <w:spacing w:line="314" w:lineRule="auto" w:before="24"/>
        <w:ind w:right="1125"/>
        <w:jc w:val="both"/>
      </w:pPr>
      <w:r>
        <w:rPr>
          <w:spacing w:val="-2"/>
        </w:rPr>
        <w:t>收情况良好，但由于应收账款余额较大，如果出现客户经营状况发生重大不利变化，可能存在发生坏账的</w:t>
      </w:r>
      <w:r>
        <w:rPr>
          <w:spacing w:val="-33"/>
        </w:rPr>
        <w:t> </w:t>
      </w:r>
      <w:r>
        <w:rPr>
          <w:spacing w:val="-33"/>
        </w:rPr>
      </w:r>
      <w:r>
        <w:rPr/>
        <w:t>风险，进而影响公司未来年度的利润水平。</w:t>
      </w:r>
    </w:p>
    <w:p>
      <w:pPr>
        <w:pStyle w:val="BodyText"/>
        <w:spacing w:line="309" w:lineRule="auto"/>
        <w:ind w:right="1126" w:firstLine="360"/>
        <w:jc w:val="both"/>
      </w:pPr>
      <w:r>
        <w:rPr>
          <w:spacing w:val="-2"/>
        </w:rPr>
        <w:t>应对措施：一方面，公司将密切关注外部环境变化趋势，适时制定严格的销售回款考核制度，加强对</w:t>
      </w:r>
      <w:r>
        <w:rPr>
          <w:w w:val="100"/>
        </w:rPr>
        <w:t> </w:t>
      </w:r>
      <w:r>
        <w:rPr>
          <w:spacing w:val="-2"/>
        </w:rPr>
        <w:t>客户的信用考察，最大限度地降低坏账风险；另一方面，针对应收账款制定了稳健的会计政策，加强对账</w:t>
      </w:r>
    </w:p>
    <w:p>
      <w:pPr>
        <w:spacing w:after="0" w:line="309" w:lineRule="auto"/>
        <w:jc w:val="both"/>
        <w:sectPr>
          <w:pgSz w:w="11910" w:h="16840"/>
          <w:pgMar w:header="0" w:footer="979" w:top="1100" w:bottom="1160" w:left="980" w:right="0"/>
        </w:sectPr>
      </w:pPr>
    </w:p>
    <w:p>
      <w:pPr>
        <w:spacing w:line="240" w:lineRule="auto" w:before="7"/>
        <w:rPr>
          <w:rFonts w:ascii="宋体" w:hAnsi="宋体" w:cs="宋体" w:eastAsia="宋体" w:hint="default"/>
          <w:sz w:val="22"/>
          <w:szCs w:val="22"/>
        </w:rPr>
      </w:pPr>
    </w:p>
    <w:p>
      <w:pPr>
        <w:pStyle w:val="BodyText"/>
        <w:spacing w:line="314" w:lineRule="auto" w:before="36"/>
        <w:ind w:right="0"/>
        <w:jc w:val="left"/>
      </w:pPr>
      <w:r>
        <w:rPr/>
        <w:t>期较长的应收账款的催收和清理工作，逐步降低应收账款余额占营业收入的比例，改善公司经营现金流，</w:t>
      </w:r>
      <w:r>
        <w:rPr>
          <w:spacing w:val="-33"/>
        </w:rPr>
        <w:t> </w:t>
      </w:r>
      <w:r>
        <w:rPr>
          <w:spacing w:val="-33"/>
        </w:rPr>
      </w:r>
      <w:r>
        <w:rPr/>
        <w:t>努力降低应收账款带来的风险。</w:t>
      </w:r>
    </w:p>
    <w:p>
      <w:pPr>
        <w:pStyle w:val="BodyText"/>
        <w:spacing w:line="352" w:lineRule="auto" w:before="15"/>
        <w:ind w:left="513" w:right="0" w:firstLine="91"/>
        <w:jc w:val="left"/>
      </w:pPr>
      <w:r>
        <w:rPr>
          <w:rFonts w:ascii="宋体" w:hAnsi="宋体" w:cs="宋体" w:eastAsia="宋体" w:hint="default"/>
          <w:b/>
          <w:bCs/>
        </w:rPr>
        <w:t>8</w:t>
      </w:r>
      <w:r>
        <w:rPr>
          <w:rFonts w:ascii="宋体" w:hAnsi="宋体" w:cs="宋体" w:eastAsia="宋体" w:hint="default"/>
          <w:b/>
          <w:bCs/>
        </w:rPr>
        <w:t>、商誉减值风险</w:t>
      </w:r>
      <w:r>
        <w:rPr>
          <w:rFonts w:ascii="宋体" w:hAnsi="宋体" w:cs="宋体" w:eastAsia="宋体" w:hint="default"/>
          <w:b/>
          <w:bCs/>
          <w:w w:val="100"/>
        </w:rPr>
        <w:t> </w:t>
      </w:r>
      <w:r>
        <w:rPr>
          <w:spacing w:val="-1"/>
        </w:rPr>
        <w:t>公司收购霍尔果斯领凯网络科技有限公司</w:t>
      </w:r>
      <w:r>
        <w:rPr>
          <w:rFonts w:ascii="宋体" w:hAnsi="宋体" w:cs="宋体" w:eastAsia="宋体" w:hint="default"/>
          <w:spacing w:val="-1"/>
        </w:rPr>
        <w:t>70%</w:t>
      </w:r>
      <w:r>
        <w:rPr>
          <w:spacing w:val="-1"/>
        </w:rPr>
        <w:t>股权、北京金印联国际供应链管理有限公司</w:t>
      </w:r>
      <w:r>
        <w:rPr>
          <w:rFonts w:ascii="宋体" w:hAnsi="宋体" w:cs="宋体" w:eastAsia="宋体" w:hint="default"/>
          <w:spacing w:val="-1"/>
        </w:rPr>
        <w:t>70%</w:t>
      </w:r>
      <w:r>
        <w:rPr>
          <w:spacing w:val="-1"/>
        </w:rPr>
        <w:t>股权，构</w:t>
      </w:r>
    </w:p>
    <w:p>
      <w:pPr>
        <w:pStyle w:val="BodyText"/>
        <w:spacing w:line="257" w:lineRule="exact" w:before="0"/>
        <w:ind w:right="0"/>
        <w:jc w:val="both"/>
      </w:pPr>
      <w:r>
        <w:rPr/>
        <w:t>成非同一控制下企业合并，在合并资产负债表层面形成</w:t>
      </w:r>
      <w:r>
        <w:rPr>
          <w:rFonts w:ascii="宋体" w:hAnsi="宋体" w:cs="宋体" w:eastAsia="宋体" w:hint="default"/>
        </w:rPr>
        <w:t>1.80</w:t>
      </w:r>
      <w:r>
        <w:rPr/>
        <w:t>亿元的商誉。根据《企业会计准则》规定，该</w:t>
      </w:r>
    </w:p>
    <w:p>
      <w:pPr>
        <w:pStyle w:val="BodyText"/>
        <w:spacing w:line="316" w:lineRule="auto" w:before="85"/>
        <w:ind w:right="1125"/>
        <w:jc w:val="both"/>
      </w:pPr>
      <w:r>
        <w:rPr>
          <w:spacing w:val="-2"/>
        </w:rPr>
        <w:t>交易形成的商誉不作摊销处理，但需在未来每年年度终了时做减值测试。未来，宏观经济形势及市场行情</w:t>
      </w:r>
      <w:r>
        <w:rPr>
          <w:spacing w:val="-33"/>
        </w:rPr>
        <w:t> </w:t>
      </w:r>
      <w:r>
        <w:rPr>
          <w:spacing w:val="-33"/>
        </w:rPr>
      </w:r>
      <w:r>
        <w:rPr>
          <w:spacing w:val="-2"/>
        </w:rPr>
        <w:t>的变化，客户需求变化，行业竞争加剧以及国家法律法规及产业政策的变化等均可能对公司的经营业绩造</w:t>
      </w:r>
      <w:r>
        <w:rPr>
          <w:spacing w:val="-33"/>
        </w:rPr>
        <w:t> </w:t>
      </w:r>
      <w:r>
        <w:rPr>
          <w:spacing w:val="-33"/>
        </w:rPr>
      </w:r>
      <w:r>
        <w:rPr/>
        <w:t>成影响，进而公司存在商誉减值的风险。</w:t>
      </w:r>
    </w:p>
    <w:p>
      <w:pPr>
        <w:pStyle w:val="BodyText"/>
        <w:spacing w:line="314" w:lineRule="auto" w:before="51"/>
        <w:ind w:right="1125" w:firstLine="360"/>
        <w:jc w:val="both"/>
      </w:pPr>
      <w:r>
        <w:rPr>
          <w:spacing w:val="-1"/>
        </w:rPr>
        <w:t>应对措施：公司将加强投后管理工作，密切关注被并购企业的发展动态，同时将通过战略规划、风险</w:t>
      </w:r>
      <w:r>
        <w:rPr>
          <w:w w:val="100"/>
        </w:rPr>
        <w:t> </w:t>
      </w:r>
      <w:r>
        <w:rPr>
          <w:spacing w:val="-2"/>
        </w:rPr>
        <w:t>把控、资源整合、矩阵化等措施为被并购企业赋能，充分发挥集团协同效应，促进被并购公司自主经营管</w:t>
      </w:r>
      <w:r>
        <w:rPr>
          <w:spacing w:val="-33"/>
        </w:rPr>
        <w:t> </w:t>
      </w:r>
      <w:r>
        <w:rPr>
          <w:spacing w:val="-33"/>
        </w:rPr>
      </w:r>
      <w:r>
        <w:rPr/>
        <w:t>理能力的提升。</w:t>
      </w:r>
    </w:p>
    <w:p>
      <w:pPr>
        <w:pStyle w:val="BodyText"/>
        <w:spacing w:line="316" w:lineRule="auto" w:before="53"/>
        <w:ind w:right="0" w:firstLine="360"/>
        <w:jc w:val="left"/>
      </w:pPr>
      <w:r>
        <w:rPr/>
        <w:t>上述风险因素是公司根据重要性原则或可能影响投资者决策的程度大小排序，但该排序并不表示上述</w:t>
      </w:r>
      <w:r>
        <w:rPr>
          <w:w w:val="100"/>
        </w:rPr>
        <w:t> </w:t>
      </w:r>
      <w:r>
        <w:rPr/>
        <w:t>风险因素会依次发生。针对上述可能存在的风险，公司将积极关注，并及时根据具体情况进行适当调整，</w:t>
      </w:r>
      <w:r>
        <w:rPr>
          <w:spacing w:val="-30"/>
        </w:rPr>
        <w:t> </w:t>
      </w:r>
      <w:r>
        <w:rPr>
          <w:spacing w:val="-30"/>
        </w:rPr>
      </w:r>
      <w:r>
        <w:rPr/>
        <w:t>积极应对，力争业绩承诺顺利达成。</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both"/>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6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公司报告期内未发生接待调研、沟通、采访等活动。</w:t>
      </w:r>
    </w:p>
    <w:p>
      <w:pPr>
        <w:spacing w:after="0" w:line="338"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751" w:right="4724"/>
        <w:jc w:val="center"/>
        <w:rPr>
          <w:b w:val="0"/>
          <w:bCs w:val="0"/>
        </w:rPr>
      </w:pPr>
      <w:bookmarkStart w:name="第五节 重要事项" w:id="62"/>
      <w:bookmarkEnd w:id="62"/>
      <w:r>
        <w:rPr>
          <w:b w:val="0"/>
          <w:bCs w:val="0"/>
        </w:rPr>
      </w:r>
      <w:bookmarkStart w:name="_bookmark4" w:id="63"/>
      <w:bookmarkEnd w:id="63"/>
      <w:r>
        <w:rPr>
          <w:b w:val="0"/>
          <w:bCs w:val="0"/>
        </w:rPr>
      </w:r>
      <w:r>
        <w:rPr/>
        <w:t>第五节</w:t>
      </w:r>
      <w:r>
        <w:rPr>
          <w:spacing w:val="-1"/>
        </w:rPr>
        <w:t> </w:t>
      </w:r>
      <w:r>
        <w:rPr/>
        <w:t>重要事项</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报告期内普通股利润分配政策，特别是现金分红政策的制定、执行或调整情况</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314" w:lineRule="auto"/>
        <w:ind w:right="1148" w:firstLine="422"/>
        <w:jc w:val="left"/>
        <w:rPr>
          <w:b w:val="0"/>
          <w:bCs w:val="0"/>
        </w:rPr>
      </w:pPr>
      <w:r>
        <w:rPr/>
        <w:t>公司</w:t>
      </w:r>
      <w:r>
        <w:rPr>
          <w:rFonts w:ascii="宋体" w:hAnsi="宋体" w:cs="宋体" w:eastAsia="宋体" w:hint="default"/>
        </w:rPr>
        <w:t>2019</w:t>
      </w:r>
      <w:r>
        <w:rPr/>
        <w:t>年度利润分配预案为：以</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150,000,000</w:t>
      </w:r>
      <w:r>
        <w:rPr/>
        <w:t>股为基数，向全体股东每</w:t>
      </w:r>
      <w:r>
        <w:rPr>
          <w:rFonts w:ascii="宋体" w:hAnsi="宋体" w:cs="宋体" w:eastAsia="宋体" w:hint="default"/>
        </w:rPr>
        <w:t>10</w:t>
      </w:r>
      <w:r>
        <w:rPr/>
        <w:t>股</w:t>
      </w:r>
      <w:r>
        <w:rPr>
          <w:w w:val="100"/>
        </w:rPr>
        <w:t> </w:t>
      </w:r>
      <w:r>
        <w:rPr/>
        <w:t>派发现金红利</w:t>
      </w:r>
      <w:r>
        <w:rPr>
          <w:rFonts w:ascii="宋体" w:hAnsi="宋体" w:cs="宋体" w:eastAsia="宋体" w:hint="default"/>
        </w:rPr>
        <w:t>1</w:t>
      </w:r>
      <w:r>
        <w:rPr/>
        <w:t>元（含税），送红股</w:t>
      </w:r>
      <w:r>
        <w:rPr>
          <w:rFonts w:ascii="宋体" w:hAnsi="宋体" w:cs="宋体" w:eastAsia="宋体" w:hint="default"/>
        </w:rPr>
        <w:t>0</w:t>
      </w:r>
      <w:r>
        <w:rPr/>
        <w:t>股（含税），以资本公积金向全体股东每</w:t>
      </w:r>
      <w:r>
        <w:rPr>
          <w:rFonts w:ascii="宋体" w:hAnsi="宋体" w:cs="宋体" w:eastAsia="宋体" w:hint="default"/>
        </w:rPr>
        <w:t>10</w:t>
      </w:r>
      <w:r>
        <w:rPr/>
        <w:t>股转增</w:t>
      </w:r>
      <w:r>
        <w:rPr>
          <w:rFonts w:ascii="宋体" w:hAnsi="宋体" w:cs="宋体" w:eastAsia="宋体" w:hint="default"/>
        </w:rPr>
        <w:t>2</w:t>
      </w:r>
      <w:r>
        <w:rPr/>
        <w:t>股。</w:t>
      </w:r>
      <w:r>
        <w:rPr>
          <w:b w:val="0"/>
          <w:bCs w:val="0"/>
        </w:rPr>
      </w:r>
    </w:p>
    <w:p>
      <w:pPr>
        <w:spacing w:line="240" w:lineRule="auto" w:before="9"/>
        <w:rPr>
          <w:rFonts w:ascii="宋体" w:hAnsi="宋体" w:cs="宋体" w:eastAsia="宋体" w:hint="default"/>
          <w:b/>
          <w:bCs/>
          <w:sz w:val="24"/>
          <w:szCs w:val="24"/>
        </w:rPr>
      </w:pPr>
    </w:p>
    <w:tbl>
      <w:tblPr>
        <w:tblW w:w="0" w:type="auto"/>
        <w:jc w:val="left"/>
        <w:tblInd w:w="194" w:type="dxa"/>
        <w:tblLayout w:type="fixed"/>
        <w:tblCellMar>
          <w:top w:w="0" w:type="dxa"/>
          <w:left w:w="0" w:type="dxa"/>
          <w:bottom w:w="0" w:type="dxa"/>
          <w:right w:w="0" w:type="dxa"/>
        </w:tblCellMar>
        <w:tblLook w:val="01E0"/>
      </w:tblPr>
      <w:tblGrid>
        <w:gridCol w:w="4764"/>
        <w:gridCol w:w="4800"/>
      </w:tblGrid>
      <w:tr>
        <w:trPr>
          <w:trHeight w:val="394" w:hRule="exact"/>
        </w:trPr>
        <w:tc>
          <w:tcPr>
            <w:tcW w:w="95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pacing w:val="-3"/>
                <w:sz w:val="18"/>
                <w:szCs w:val="18"/>
              </w:rPr>
              <w:t>现金分红政策的专项说明</w:t>
            </w:r>
          </w:p>
        </w:tc>
      </w:tr>
      <w:tr>
        <w:trPr>
          <w:trHeight w:val="40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pacing w:val="-3"/>
                <w:sz w:val="18"/>
                <w:szCs w:val="18"/>
              </w:rPr>
              <w:t>是否符合公司章程的规定或股东大会决议的要求：</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分红标准和比例是否明确和清晰：</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相关的决策程序和机制是否完备：</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独立董事是否履职尽责并发挥了应有的作用：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2" w:right="7"/>
              <w:jc w:val="left"/>
              <w:rPr>
                <w:rFonts w:ascii="宋体" w:hAnsi="宋体" w:cs="宋体" w:eastAsia="宋体" w:hint="default"/>
                <w:sz w:val="18"/>
                <w:szCs w:val="18"/>
              </w:rPr>
            </w:pPr>
            <w:r>
              <w:rPr>
                <w:rFonts w:ascii="宋体" w:hAnsi="宋体" w:cs="宋体" w:eastAsia="宋体" w:hint="default"/>
                <w:spacing w:val="-1"/>
                <w:sz w:val="18"/>
                <w:szCs w:val="18"/>
              </w:rPr>
              <w:t>中小股东是否有充分表达意见和诉求的机会，其合法权益是</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pacing w:val="-3"/>
                <w:sz w:val="18"/>
                <w:szCs w:val="18"/>
              </w:rPr>
              <w:t>否得到了充分保护：</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2" w:right="7"/>
              <w:jc w:val="left"/>
              <w:rPr>
                <w:rFonts w:ascii="宋体" w:hAnsi="宋体" w:cs="宋体" w:eastAsia="宋体" w:hint="default"/>
                <w:sz w:val="18"/>
                <w:szCs w:val="18"/>
              </w:rPr>
            </w:pPr>
            <w:r>
              <w:rPr>
                <w:rFonts w:ascii="宋体" w:hAnsi="宋体" w:cs="宋体" w:eastAsia="宋体" w:hint="default"/>
                <w:spacing w:val="-1"/>
                <w:sz w:val="18"/>
                <w:szCs w:val="18"/>
              </w:rPr>
              <w:t>现金分红政策进行调整或变更的，条件及程序是否合规、透</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z w:val="18"/>
                <w:szCs w:val="18"/>
              </w:rPr>
              <w:t>明：</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line="326" w:lineRule="auto" w:before="28"/>
        <w:ind w:left="575" w:right="0" w:hanging="423"/>
        <w:jc w:val="left"/>
        <w:rPr>
          <w:rFonts w:ascii="宋体" w:hAnsi="宋体" w:cs="宋体" w:eastAsia="宋体" w:hint="default"/>
          <w:sz w:val="21"/>
          <w:szCs w:val="21"/>
        </w:rPr>
      </w:pPr>
      <w:r>
        <w:rPr>
          <w:rFonts w:ascii="宋体" w:hAnsi="宋体" w:cs="宋体" w:eastAsia="宋体" w:hint="default"/>
          <w:b/>
          <w:bCs/>
          <w:w w:val="100"/>
          <w:sz w:val="21"/>
          <w:szCs w:val="21"/>
        </w:rPr>
        <w:t>公司近</w:t>
      </w:r>
      <w:r>
        <w:rPr>
          <w:rFonts w:ascii="宋体" w:hAnsi="宋体" w:cs="宋体" w:eastAsia="宋体" w:hint="default"/>
          <w:b/>
          <w:bCs/>
          <w:spacing w:val="-52"/>
          <w:w w:val="100"/>
          <w:sz w:val="21"/>
          <w:szCs w:val="21"/>
        </w:rPr>
        <w:t> </w:t>
      </w:r>
      <w:r>
        <w:rPr>
          <w:rFonts w:ascii="宋体" w:hAnsi="宋体" w:cs="宋体" w:eastAsia="宋体" w:hint="default"/>
          <w:b/>
          <w:bCs/>
          <w:w w:val="99"/>
          <w:sz w:val="21"/>
          <w:szCs w:val="21"/>
        </w:rPr>
        <w:t>3</w:t>
      </w:r>
      <w:r>
        <w:rPr>
          <w:rFonts w:ascii="宋体" w:hAnsi="宋体" w:cs="宋体" w:eastAsia="宋体" w:hint="default"/>
          <w:b/>
          <w:bCs/>
          <w:spacing w:val="-50"/>
          <w:w w:val="99"/>
          <w:sz w:val="21"/>
          <w:szCs w:val="21"/>
        </w:rPr>
        <w:t> </w:t>
      </w:r>
      <w:r>
        <w:rPr>
          <w:rFonts w:ascii="宋体" w:hAnsi="宋体" w:cs="宋体" w:eastAsia="宋体" w:hint="default"/>
          <w:b/>
          <w:bCs/>
          <w:spacing w:val="-3"/>
          <w:w w:val="100"/>
          <w:sz w:val="21"/>
          <w:szCs w:val="21"/>
        </w:rPr>
        <w:t>年（包括本报告期）的普通股股利分配方案（预案）、资本公积金转增股本方案（预案）情况：</w:t>
      </w:r>
      <w:r>
        <w:rPr>
          <w:rFonts w:ascii="宋体" w:hAnsi="宋体" w:cs="宋体" w:eastAsia="宋体" w:hint="default"/>
          <w:b/>
          <w:bCs/>
          <w:spacing w:val="-104"/>
          <w:w w:val="100"/>
          <w:sz w:val="21"/>
          <w:szCs w:val="21"/>
        </w:rPr>
        <w:t> </w:t>
      </w:r>
      <w:r>
        <w:rPr>
          <w:rFonts w:ascii="宋体" w:hAnsi="宋体" w:cs="宋体" w:eastAsia="宋体" w:hint="default"/>
          <w:b/>
          <w:bCs/>
          <w:spacing w:val="-104"/>
          <w:w w:val="100"/>
          <w:sz w:val="21"/>
          <w:szCs w:val="21"/>
        </w:rPr>
      </w:r>
      <w:r>
        <w:rPr>
          <w:rFonts w:ascii="宋体" w:hAnsi="宋体" w:cs="宋体" w:eastAsia="宋体" w:hint="default"/>
          <w:sz w:val="21"/>
          <w:szCs w:val="21"/>
        </w:rPr>
        <w:t>1</w:t>
      </w:r>
      <w:r>
        <w:rPr>
          <w:rFonts w:ascii="宋体" w:hAnsi="宋体" w:cs="宋体" w:eastAsia="宋体" w:hint="default"/>
          <w:sz w:val="21"/>
          <w:szCs w:val="21"/>
        </w:rPr>
        <w:t>、公司</w:t>
      </w:r>
      <w:r>
        <w:rPr>
          <w:rFonts w:ascii="宋体" w:hAnsi="宋体" w:cs="宋体" w:eastAsia="宋体" w:hint="default"/>
          <w:sz w:val="21"/>
          <w:szCs w:val="21"/>
        </w:rPr>
        <w:t>2017</w:t>
      </w:r>
      <w:r>
        <w:rPr>
          <w:rFonts w:ascii="宋体" w:hAnsi="宋体" w:cs="宋体" w:eastAsia="宋体" w:hint="default"/>
          <w:sz w:val="21"/>
          <w:szCs w:val="21"/>
        </w:rPr>
        <w:t>年度利润分配方案为：不进行利润分配，不送红股，也不进行资本公积金转增股本。该</w:t>
      </w:r>
    </w:p>
    <w:p>
      <w:pPr>
        <w:pStyle w:val="BodyText"/>
        <w:spacing w:line="314" w:lineRule="auto" w:before="4"/>
        <w:ind w:left="575" w:right="0" w:hanging="423"/>
        <w:jc w:val="left"/>
        <w:rPr>
          <w:rFonts w:ascii="宋体" w:hAnsi="宋体" w:cs="宋体" w:eastAsia="宋体" w:hint="default"/>
        </w:rPr>
      </w:pPr>
      <w:r>
        <w:rPr/>
        <w:t>方案已经</w:t>
      </w:r>
      <w:r>
        <w:rPr>
          <w:rFonts w:ascii="宋体" w:hAnsi="宋体" w:cs="宋体" w:eastAsia="宋体" w:hint="default"/>
        </w:rPr>
        <w:t>2017</w:t>
      </w:r>
      <w:r>
        <w:rPr/>
        <w:t>年度股东大会审议通过。</w:t>
      </w:r>
      <w:r>
        <w:rPr>
          <w:spacing w:val="-100"/>
        </w:rPr>
        <w:t> </w:t>
      </w:r>
      <w:r>
        <w:rPr>
          <w:spacing w:val="-100"/>
        </w:rPr>
      </w:r>
      <w:r>
        <w:rPr>
          <w:rFonts w:ascii="宋体" w:hAnsi="宋体" w:cs="宋体" w:eastAsia="宋体" w:hint="default"/>
          <w:spacing w:val="-2"/>
        </w:rPr>
        <w:t>2</w:t>
      </w:r>
      <w:r>
        <w:rPr>
          <w:spacing w:val="-2"/>
        </w:rPr>
        <w:t>、公司</w:t>
      </w:r>
      <w:r>
        <w:rPr>
          <w:rFonts w:ascii="宋体" w:hAnsi="宋体" w:cs="宋体" w:eastAsia="宋体" w:hint="default"/>
          <w:spacing w:val="-2"/>
        </w:rPr>
        <w:t>2018</w:t>
      </w:r>
      <w:r>
        <w:rPr>
          <w:spacing w:val="-2"/>
        </w:rPr>
        <w:t>年度利润分配预案为：以</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150,000,000</w:t>
      </w:r>
      <w:r>
        <w:rPr>
          <w:spacing w:val="-2"/>
        </w:rPr>
        <w:t>股为基数，向全体股东每</w:t>
      </w:r>
      <w:r>
        <w:rPr>
          <w:rFonts w:ascii="宋体" w:hAnsi="宋体" w:cs="宋体" w:eastAsia="宋体" w:hint="default"/>
          <w:spacing w:val="-2"/>
        </w:rPr>
        <w:t>10</w:t>
      </w:r>
    </w:p>
    <w:p>
      <w:pPr>
        <w:pStyle w:val="BodyText"/>
        <w:spacing w:line="314" w:lineRule="auto"/>
        <w:ind w:right="1004"/>
        <w:jc w:val="left"/>
      </w:pPr>
      <w:r>
        <w:rPr/>
        <w:t>股派发现金红利人民币</w:t>
      </w:r>
      <w:r>
        <w:rPr>
          <w:rFonts w:ascii="宋体" w:hAnsi="宋体" w:cs="宋体" w:eastAsia="宋体" w:hint="default"/>
        </w:rPr>
        <w:t>0.35</w:t>
      </w:r>
      <w:r>
        <w:rPr/>
        <w:t>元（含税），共计派发现金</w:t>
      </w:r>
      <w:r>
        <w:rPr>
          <w:rFonts w:ascii="宋体" w:hAnsi="宋体" w:cs="宋体" w:eastAsia="宋体" w:hint="default"/>
        </w:rPr>
        <w:t>5,250,000</w:t>
      </w:r>
      <w:r>
        <w:rPr/>
        <w:t>元。该方案已经</w:t>
      </w:r>
      <w:r>
        <w:rPr>
          <w:rFonts w:ascii="宋体" w:hAnsi="宋体" w:cs="宋体" w:eastAsia="宋体" w:hint="default"/>
        </w:rPr>
        <w:t>2018</w:t>
      </w:r>
      <w:r>
        <w:rPr/>
        <w:t>年度股东大会审议</w:t>
      </w:r>
      <w:r>
        <w:rPr>
          <w:spacing w:val="-29"/>
        </w:rPr>
        <w:t> </w:t>
      </w:r>
      <w:r>
        <w:rPr>
          <w:spacing w:val="-29"/>
        </w:rPr>
      </w:r>
      <w:r>
        <w:rPr/>
        <w:t>通过。</w:t>
      </w:r>
    </w:p>
    <w:p>
      <w:pPr>
        <w:pStyle w:val="BodyText"/>
        <w:spacing w:line="314" w:lineRule="auto" w:before="15"/>
        <w:ind w:right="1122" w:firstLine="422"/>
        <w:jc w:val="both"/>
      </w:pPr>
      <w:r>
        <w:rPr>
          <w:rFonts w:ascii="宋体" w:hAnsi="宋体" w:cs="宋体" w:eastAsia="宋体" w:hint="default"/>
          <w:spacing w:val="-2"/>
        </w:rPr>
        <w:t>3</w:t>
      </w:r>
      <w:r>
        <w:rPr>
          <w:spacing w:val="-2"/>
        </w:rPr>
        <w:t>、公司</w:t>
      </w:r>
      <w:r>
        <w:rPr>
          <w:rFonts w:ascii="宋体" w:hAnsi="宋体" w:cs="宋体" w:eastAsia="宋体" w:hint="default"/>
          <w:spacing w:val="-2"/>
        </w:rPr>
        <w:t>2019</w:t>
      </w:r>
      <w:r>
        <w:rPr>
          <w:spacing w:val="-2"/>
        </w:rPr>
        <w:t>年度利润分配预案为：以</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150,000,000</w:t>
      </w:r>
      <w:r>
        <w:rPr>
          <w:spacing w:val="-2"/>
        </w:rPr>
        <w:t>股为基数，向全体股东每</w:t>
      </w:r>
      <w:r>
        <w:rPr>
          <w:rFonts w:ascii="宋体" w:hAnsi="宋体" w:cs="宋体" w:eastAsia="宋体" w:hint="default"/>
          <w:spacing w:val="-2"/>
        </w:rPr>
        <w:t>10</w:t>
      </w:r>
      <w:r>
        <w:rPr>
          <w:rFonts w:ascii="宋体" w:hAnsi="宋体" w:cs="宋体" w:eastAsia="宋体" w:hint="default"/>
          <w:w w:val="100"/>
        </w:rPr>
        <w:t> </w:t>
      </w:r>
      <w:r>
        <w:rPr/>
        <w:t>股派发现金红利</w:t>
      </w:r>
      <w:r>
        <w:rPr>
          <w:rFonts w:ascii="宋体" w:hAnsi="宋体" w:cs="宋体" w:eastAsia="宋体" w:hint="default"/>
        </w:rPr>
        <w:t>1</w:t>
      </w:r>
      <w:r>
        <w:rPr/>
        <w:t>元（含税），送红股</w:t>
      </w:r>
      <w:r>
        <w:rPr>
          <w:rFonts w:ascii="宋体" w:hAnsi="宋体" w:cs="宋体" w:eastAsia="宋体" w:hint="default"/>
        </w:rPr>
        <w:t>0</w:t>
      </w:r>
      <w:r>
        <w:rPr/>
        <w:t>股（含税），以资本公积金向全体股东每</w:t>
      </w:r>
      <w:r>
        <w:rPr>
          <w:rFonts w:ascii="宋体" w:hAnsi="宋体" w:cs="宋体" w:eastAsia="宋体" w:hint="default"/>
        </w:rPr>
        <w:t>10</w:t>
      </w:r>
      <w:r>
        <w:rPr/>
        <w:t>股转增</w:t>
      </w:r>
      <w:r>
        <w:rPr>
          <w:rFonts w:ascii="宋体" w:hAnsi="宋体" w:cs="宋体" w:eastAsia="宋体" w:hint="default"/>
        </w:rPr>
        <w:t>2</w:t>
      </w:r>
      <w:r>
        <w:rPr/>
        <w:t>股。该方案尚</w:t>
      </w:r>
      <w:r>
        <w:rPr>
          <w:spacing w:val="-29"/>
        </w:rPr>
        <w:t> </w:t>
      </w:r>
      <w:r>
        <w:rPr>
          <w:spacing w:val="-29"/>
        </w:rPr>
      </w:r>
      <w:r>
        <w:rPr/>
        <w:t>需提交公司</w:t>
      </w:r>
      <w:r>
        <w:rPr>
          <w:rFonts w:ascii="宋体" w:hAnsi="宋体" w:cs="宋体" w:eastAsia="宋体" w:hint="default"/>
        </w:rPr>
        <w:t>2019</w:t>
      </w:r>
      <w:r>
        <w:rPr/>
        <w:t>年度股东大会审议。</w:t>
      </w:r>
    </w:p>
    <w:p>
      <w:pPr>
        <w:spacing w:line="240" w:lineRule="auto" w:before="3"/>
        <w:rPr>
          <w:rFonts w:ascii="宋体" w:hAnsi="宋体" w:cs="宋体" w:eastAsia="宋体" w:hint="default"/>
          <w:sz w:val="25"/>
          <w:szCs w:val="25"/>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公司近三年（包括本报告期）普通股现金分红情况表</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after="0"/>
        <w:jc w:val="right"/>
        <w:rPr>
          <w:rFonts w:ascii="宋体" w:hAnsi="宋体" w:cs="宋体" w:eastAsia="宋体" w:hint="default"/>
          <w:sz w:val="18"/>
          <w:szCs w:val="18"/>
        </w:rPr>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201"/>
        <w:gridCol w:w="1196"/>
        <w:gridCol w:w="1196"/>
        <w:gridCol w:w="1184"/>
        <w:gridCol w:w="1220"/>
        <w:gridCol w:w="1174"/>
      </w:tblGrid>
      <w:tr>
        <w:trPr>
          <w:trHeight w:val="163"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vMerge w:val="restart"/>
            <w:tcBorders>
              <w:top w:val="single" w:sz="4" w:space="0" w:color="000000"/>
              <w:left w:val="single" w:sz="4" w:space="0" w:color="000000"/>
              <w:right w:val="single" w:sz="4" w:space="0" w:color="000000"/>
            </w:tcBorders>
            <w:shd w:val="clear" w:color="auto" w:fill="D2D2D2"/>
          </w:tcPr>
          <w:p>
            <w:pP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1"/>
              <w:ind w:left="40" w:right="36"/>
              <w:jc w:val="center"/>
              <w:rPr>
                <w:rFonts w:ascii="宋体" w:hAnsi="宋体" w:cs="宋体" w:eastAsia="宋体" w:hint="default"/>
                <w:sz w:val="18"/>
                <w:szCs w:val="18"/>
              </w:rPr>
            </w:pPr>
            <w:r>
              <w:rPr>
                <w:rFonts w:ascii="宋体" w:hAnsi="宋体" w:cs="宋体" w:eastAsia="宋体" w:hint="default"/>
                <w:sz w:val="18"/>
                <w:szCs w:val="18"/>
              </w:rPr>
              <w:t>（含其他方</w:t>
            </w:r>
            <w:r>
              <w:rPr>
                <w:rFonts w:ascii="宋体" w:hAnsi="宋体" w:cs="宋体" w:eastAsia="宋体" w:hint="default"/>
                <w:w w:val="101"/>
                <w:sz w:val="18"/>
                <w:szCs w:val="18"/>
              </w:rPr>
              <w:t> </w:t>
            </w:r>
            <w:r>
              <w:rPr>
                <w:rFonts w:ascii="宋体" w:hAnsi="宋体" w:cs="宋体" w:eastAsia="宋体" w:hint="default"/>
                <w:spacing w:val="-2"/>
                <w:sz w:val="18"/>
                <w:szCs w:val="18"/>
              </w:rPr>
              <w:t>式）占合并报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表中归属于上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市公司普通股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股东的净利润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的比率</w:t>
            </w: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2" w:right="46"/>
              <w:jc w:val="center"/>
              <w:rPr>
                <w:rFonts w:ascii="宋体" w:hAnsi="宋体" w:cs="宋体" w:eastAsia="宋体" w:hint="default"/>
                <w:sz w:val="18"/>
                <w:szCs w:val="18"/>
              </w:rPr>
            </w:pPr>
            <w:r>
              <w:rPr>
                <w:rFonts w:ascii="宋体" w:hAnsi="宋体" w:cs="宋体" w:eastAsia="宋体" w:hint="default"/>
                <w:spacing w:val="-2"/>
                <w:sz w:val="18"/>
                <w:szCs w:val="18"/>
              </w:rPr>
              <w:t>现金分红金额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占合并报表中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归属于上市公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司普通股股东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的净利润的比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率</w:t>
            </w:r>
          </w:p>
        </w:tc>
        <w:tc>
          <w:tcPr>
            <w:tcW w:w="1196"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2" w:right="34"/>
              <w:jc w:val="both"/>
              <w:rPr>
                <w:rFonts w:ascii="宋体" w:hAnsi="宋体" w:cs="宋体" w:eastAsia="宋体" w:hint="default"/>
                <w:sz w:val="18"/>
                <w:szCs w:val="18"/>
              </w:rPr>
            </w:pPr>
            <w:r>
              <w:rPr>
                <w:rFonts w:ascii="宋体" w:hAnsi="宋体" w:cs="宋体" w:eastAsia="宋体" w:hint="default"/>
                <w:spacing w:val="-2"/>
                <w:sz w:val="18"/>
                <w:szCs w:val="18"/>
              </w:rPr>
              <w:t>以其他方式现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金分红金额占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合并报表中归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属于上市公司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净利润的比例</w:t>
            </w: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2" w:right="51"/>
              <w:jc w:val="center"/>
              <w:rPr>
                <w:rFonts w:ascii="宋体" w:hAnsi="宋体" w:cs="宋体" w:eastAsia="宋体" w:hint="default"/>
                <w:sz w:val="18"/>
                <w:szCs w:val="18"/>
              </w:rPr>
            </w:pPr>
            <w:r>
              <w:rPr>
                <w:rFonts w:ascii="宋体" w:hAnsi="宋体" w:cs="宋体" w:eastAsia="宋体" w:hint="default"/>
                <w:spacing w:val="-2"/>
                <w:sz w:val="18"/>
                <w:szCs w:val="18"/>
              </w:rPr>
              <w:t>分红年度合并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报表中归属于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上市公司普通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股股东的净利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润</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21" w:lineRule="auto" w:before="71"/>
              <w:ind w:left="52" w:right="46"/>
              <w:jc w:val="center"/>
              <w:rPr>
                <w:rFonts w:ascii="宋体" w:hAnsi="宋体" w:cs="宋体" w:eastAsia="宋体" w:hint="default"/>
                <w:sz w:val="18"/>
                <w:szCs w:val="18"/>
              </w:rPr>
            </w:pPr>
            <w:r>
              <w:rPr>
                <w:rFonts w:ascii="宋体" w:hAnsi="宋体" w:cs="宋体" w:eastAsia="宋体" w:hint="default"/>
                <w:sz w:val="18"/>
                <w:szCs w:val="18"/>
              </w:rPr>
              <w:t>（如回购股</w:t>
            </w:r>
            <w:r>
              <w:rPr>
                <w:rFonts w:ascii="宋体" w:hAnsi="宋体" w:cs="宋体" w:eastAsia="宋体" w:hint="default"/>
                <w:w w:val="101"/>
                <w:sz w:val="18"/>
                <w:szCs w:val="18"/>
              </w:rPr>
              <w:t> </w:t>
            </w:r>
            <w:r>
              <w:rPr>
                <w:rFonts w:ascii="宋体" w:hAnsi="宋体" w:cs="宋体" w:eastAsia="宋体" w:hint="default"/>
                <w:spacing w:val="-2"/>
                <w:sz w:val="18"/>
                <w:szCs w:val="18"/>
              </w:rPr>
              <w:t>份）现金分红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的金额</w:t>
            </w: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1" w:lineRule="auto" w:before="72"/>
              <w:ind w:left="424" w:right="149" w:hanging="269"/>
              <w:jc w:val="left"/>
              <w:rPr>
                <w:rFonts w:ascii="宋体" w:hAnsi="宋体" w:cs="宋体" w:eastAsia="宋体" w:hint="default"/>
                <w:sz w:val="18"/>
                <w:szCs w:val="18"/>
              </w:rPr>
            </w:pPr>
            <w:r>
              <w:rPr>
                <w:rFonts w:ascii="宋体" w:hAnsi="宋体" w:cs="宋体" w:eastAsia="宋体" w:hint="default"/>
                <w:spacing w:val="-2"/>
                <w:sz w:val="18"/>
                <w:szCs w:val="18"/>
              </w:rPr>
              <w:t>（含其他方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39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63"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15,000,000.00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66,562,444.36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22.54%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15,000,000.00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22.54%</w:t>
            </w: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5,250,000.00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28,112,269.71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18.68%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5"/>
              <w:jc w:val="right"/>
              <w:rPr>
                <w:rFonts w:ascii="Times New Roman" w:hAnsi="Times New Roman" w:cs="Times New Roman" w:eastAsia="Times New Roman" w:hint="default"/>
                <w:sz w:val="18"/>
                <w:szCs w:val="18"/>
              </w:rPr>
            </w:pPr>
            <w:r>
              <w:rPr>
                <w:rFonts w:ascii="Times New Roman"/>
                <w:spacing w:val="-1"/>
                <w:sz w:val="18"/>
              </w:rPr>
              <w:t>5,250,000.00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
              <w:jc w:val="right"/>
              <w:rPr>
                <w:rFonts w:ascii="Times New Roman" w:hAnsi="Times New Roman" w:cs="Times New Roman" w:eastAsia="Times New Roman" w:hint="default"/>
                <w:sz w:val="18"/>
                <w:szCs w:val="18"/>
              </w:rPr>
            </w:pPr>
            <w:r>
              <w:rPr>
                <w:rFonts w:ascii="Times New Roman"/>
                <w:spacing w:val="-1"/>
                <w:sz w:val="18"/>
              </w:rPr>
              <w:t>18.68%</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22,608,687.67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z w:val="18"/>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公司报告期内盈利且母公司可供普通股股东分配利润为正但未提出普通股现金红利分配预案</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二、本报告期利润分配及资本公积金转增股本情况" w:id="65"/>
      <w:bookmarkEnd w:id="65"/>
      <w:r>
        <w:rPr>
          <w:b w:val="0"/>
          <w:bCs w:val="0"/>
        </w:rPr>
      </w:r>
      <w:r>
        <w:rPr/>
        <w:t>二、本报告期利润分配及资本公积金转增股本情况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74"/>
        <w:gridCol w:w="5783"/>
      </w:tblGrid>
      <w:tr>
        <w:trPr>
          <w:trHeight w:val="403"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股送红股数（股）</w:t>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w w:val="101"/>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派</w:t>
            </w:r>
            <w:r>
              <w:rPr>
                <w:rFonts w:ascii="宋体" w:hAnsi="宋体" w:cs="宋体" w:eastAsia="宋体" w:hint="default"/>
                <w:w w:val="101"/>
                <w:sz w:val="18"/>
                <w:szCs w:val="18"/>
              </w:rPr>
              <w:t>息</w:t>
            </w:r>
            <w:r>
              <w:rPr>
                <w:rFonts w:ascii="宋体" w:hAnsi="宋体" w:cs="宋体" w:eastAsia="宋体" w:hint="default"/>
                <w:spacing w:val="-5"/>
                <w:w w:val="101"/>
                <w:sz w:val="18"/>
                <w:szCs w:val="18"/>
              </w:rPr>
              <w:t>数</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pacing w:val="-5"/>
                <w:w w:val="101"/>
                <w:sz w:val="18"/>
                <w:szCs w:val="18"/>
              </w:rPr>
              <w:t>税</w:t>
            </w:r>
            <w:r>
              <w:rPr>
                <w:rFonts w:ascii="宋体" w:hAnsi="宋体" w:cs="宋体" w:eastAsia="宋体" w:hint="default"/>
                <w:w w:val="101"/>
                <w:sz w:val="18"/>
                <w:szCs w:val="18"/>
              </w:rPr>
              <w:t>）</w:t>
            </w:r>
            <w:r>
              <w:rPr>
                <w:rFonts w:ascii="宋体" w:hAnsi="宋体" w:cs="宋体" w:eastAsia="宋体" w:hint="default"/>
                <w:sz w:val="18"/>
                <w:szCs w:val="18"/>
              </w:rPr>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403"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股转增数（股）</w:t>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398"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分配预案的股本基数（股）</w:t>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150,000,000</w:t>
            </w:r>
          </w:p>
        </w:tc>
      </w:tr>
      <w:tr>
        <w:trPr>
          <w:trHeight w:val="403"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金</w:t>
            </w:r>
            <w:r>
              <w:rPr>
                <w:rFonts w:ascii="宋体" w:hAnsi="宋体" w:cs="宋体" w:eastAsia="宋体" w:hint="default"/>
                <w:spacing w:val="-5"/>
                <w:w w:val="101"/>
                <w:sz w:val="18"/>
                <w:szCs w:val="18"/>
              </w:rPr>
              <w:t>额</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z w:val="18"/>
                <w:szCs w:val="18"/>
              </w:rPr>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15,000,000</w:t>
            </w:r>
          </w:p>
        </w:tc>
      </w:tr>
      <w:tr>
        <w:trPr>
          <w:trHeight w:val="404" w:hRule="exact"/>
        </w:trPr>
        <w:tc>
          <w:tcPr>
            <w:tcW w:w="3774"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3"/>
              <w:ind w:left="11" w:right="-43"/>
              <w:jc w:val="left"/>
              <w:rPr>
                <w:rFonts w:ascii="宋体" w:hAnsi="宋体" w:cs="宋体" w:eastAsia="宋体" w:hint="default"/>
                <w:sz w:val="18"/>
                <w:szCs w:val="18"/>
              </w:rPr>
            </w:pPr>
            <w:r>
              <w:rPr>
                <w:rFonts w:ascii="宋体" w:hAnsi="宋体" w:cs="宋体" w:eastAsia="宋体" w:hint="default"/>
                <w:spacing w:val="-3"/>
                <w:sz w:val="18"/>
                <w:szCs w:val="18"/>
              </w:rPr>
              <w:t>以其他方式（如回购股份）现金分红金额（元）</w:t>
            </w:r>
          </w:p>
        </w:tc>
        <w:tc>
          <w:tcPr>
            <w:tcW w:w="5783"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96"/>
              <w:ind w:right="5"/>
              <w:jc w:val="center"/>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总</w:t>
            </w:r>
            <w:r>
              <w:rPr>
                <w:rFonts w:ascii="宋体" w:hAnsi="宋体" w:cs="宋体" w:eastAsia="宋体" w:hint="default"/>
                <w:spacing w:val="-5"/>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其</w:t>
            </w:r>
            <w:r>
              <w:rPr>
                <w:rFonts w:ascii="宋体" w:hAnsi="宋体" w:cs="宋体" w:eastAsia="宋体" w:hint="default"/>
                <w:spacing w:val="-5"/>
                <w:w w:val="101"/>
                <w:sz w:val="18"/>
                <w:szCs w:val="18"/>
              </w:rPr>
              <w:t>他</w:t>
            </w:r>
            <w:r>
              <w:rPr>
                <w:rFonts w:ascii="宋体" w:hAnsi="宋体" w:cs="宋体" w:eastAsia="宋体" w:hint="default"/>
                <w:w w:val="101"/>
                <w:sz w:val="18"/>
                <w:szCs w:val="18"/>
              </w:rPr>
              <w:t>方式</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15,000,000</w:t>
            </w:r>
          </w:p>
        </w:tc>
      </w:tr>
      <w:tr>
        <w:trPr>
          <w:trHeight w:val="398"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200,122,905.85</w:t>
            </w:r>
          </w:p>
        </w:tc>
      </w:tr>
      <w:tr>
        <w:trPr>
          <w:trHeight w:val="715"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6"/>
              <w:jc w:val="left"/>
              <w:rPr>
                <w:rFonts w:ascii="宋体" w:hAnsi="宋体" w:cs="宋体" w:eastAsia="宋体" w:hint="default"/>
                <w:sz w:val="18"/>
                <w:szCs w:val="18"/>
              </w:rPr>
            </w:pPr>
            <w:r>
              <w:rPr>
                <w:rFonts w:ascii="宋体" w:hAnsi="宋体" w:cs="宋体" w:eastAsia="宋体" w:hint="default"/>
                <w:spacing w:val="-5"/>
                <w:sz w:val="18"/>
                <w:szCs w:val="18"/>
              </w:rPr>
              <w:t>现金分红总额（含其他方式）占利润分配总额的</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比例</w:t>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100%</w:t>
            </w:r>
          </w:p>
        </w:tc>
      </w:tr>
      <w:tr>
        <w:trPr>
          <w:trHeight w:val="404"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4"/>
                <w:sz w:val="18"/>
                <w:szCs w:val="18"/>
              </w:rPr>
              <w:t>公司发展阶段属成长期且有重大资金支出安排的，进行利润分配时，现金分红在本次利润分配中所占比例最低应达到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398"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78" w:right="0"/>
              <w:jc w:val="left"/>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利润分配或资本公积金转增预案的详细情况说明</w:t>
            </w:r>
          </w:p>
        </w:tc>
      </w:tr>
      <w:tr>
        <w:trPr>
          <w:trHeight w:val="1652" w:hRule="exact"/>
        </w:trPr>
        <w:tc>
          <w:tcPr>
            <w:tcW w:w="9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w w:val="101"/>
                <w:sz w:val="18"/>
                <w:szCs w:val="18"/>
              </w:rPr>
              <w:t>经</w:t>
            </w:r>
            <w:r>
              <w:rPr>
                <w:rFonts w:ascii="宋体" w:hAnsi="宋体" w:cs="宋体" w:eastAsia="宋体" w:hint="default"/>
                <w:spacing w:val="-5"/>
                <w:w w:val="101"/>
                <w:sz w:val="18"/>
                <w:szCs w:val="18"/>
              </w:rPr>
              <w:t>希</w:t>
            </w:r>
            <w:r>
              <w:rPr>
                <w:rFonts w:ascii="宋体" w:hAnsi="宋体" w:cs="宋体" w:eastAsia="宋体" w:hint="default"/>
                <w:w w:val="101"/>
                <w:sz w:val="18"/>
                <w:szCs w:val="18"/>
              </w:rPr>
              <w:t>格</w:t>
            </w:r>
            <w:r>
              <w:rPr>
                <w:rFonts w:ascii="宋体" w:hAnsi="宋体" w:cs="宋体" w:eastAsia="宋体" w:hint="default"/>
                <w:spacing w:val="-5"/>
                <w:w w:val="101"/>
                <w:sz w:val="18"/>
                <w:szCs w:val="18"/>
              </w:rPr>
              <w:t>玛</w:t>
            </w:r>
            <w:r>
              <w:rPr>
                <w:rFonts w:ascii="宋体" w:hAnsi="宋体" w:cs="宋体" w:eastAsia="宋体" w:hint="default"/>
                <w:w w:val="101"/>
                <w:sz w:val="18"/>
                <w:szCs w:val="18"/>
              </w:rPr>
              <w:t>会</w:t>
            </w:r>
            <w:r>
              <w:rPr>
                <w:rFonts w:ascii="宋体" w:hAnsi="宋体" w:cs="宋体" w:eastAsia="宋体" w:hint="default"/>
                <w:spacing w:val="-5"/>
                <w:w w:val="101"/>
                <w:sz w:val="18"/>
                <w:szCs w:val="18"/>
              </w:rPr>
              <w:t>计</w:t>
            </w:r>
            <w:r>
              <w:rPr>
                <w:rFonts w:ascii="宋体" w:hAnsi="宋体" w:cs="宋体" w:eastAsia="宋体" w:hint="default"/>
                <w:w w:val="101"/>
                <w:sz w:val="18"/>
                <w:szCs w:val="18"/>
              </w:rPr>
              <w:t>师</w:t>
            </w:r>
            <w:r>
              <w:rPr>
                <w:rFonts w:ascii="宋体" w:hAnsi="宋体" w:cs="宋体" w:eastAsia="宋体" w:hint="default"/>
                <w:spacing w:val="-5"/>
                <w:w w:val="101"/>
                <w:sz w:val="18"/>
                <w:szCs w:val="18"/>
              </w:rPr>
              <w:t>事</w:t>
            </w:r>
            <w:r>
              <w:rPr>
                <w:rFonts w:ascii="宋体" w:hAnsi="宋体" w:cs="宋体" w:eastAsia="宋体" w:hint="default"/>
                <w:w w:val="101"/>
                <w:sz w:val="18"/>
                <w:szCs w:val="18"/>
              </w:rPr>
              <w:t>务</w:t>
            </w:r>
            <w:r>
              <w:rPr>
                <w:rFonts w:ascii="宋体" w:hAnsi="宋体" w:cs="宋体" w:eastAsia="宋体" w:hint="default"/>
                <w:spacing w:val="-10"/>
                <w:w w:val="101"/>
                <w:sz w:val="18"/>
                <w:szCs w:val="18"/>
              </w:rPr>
              <w:t>所</w:t>
            </w:r>
            <w:r>
              <w:rPr>
                <w:rFonts w:ascii="宋体" w:hAnsi="宋体" w:cs="宋体" w:eastAsia="宋体" w:hint="default"/>
                <w:w w:val="101"/>
                <w:sz w:val="18"/>
                <w:szCs w:val="18"/>
              </w:rPr>
              <w:t>（</w:t>
            </w:r>
            <w:r>
              <w:rPr>
                <w:rFonts w:ascii="宋体" w:hAnsi="宋体" w:cs="宋体" w:eastAsia="宋体" w:hint="default"/>
                <w:spacing w:val="-5"/>
                <w:w w:val="101"/>
                <w:sz w:val="18"/>
                <w:szCs w:val="18"/>
              </w:rPr>
              <w:t>特</w:t>
            </w:r>
            <w:r>
              <w:rPr>
                <w:rFonts w:ascii="宋体" w:hAnsi="宋体" w:cs="宋体" w:eastAsia="宋体" w:hint="default"/>
                <w:w w:val="101"/>
                <w:sz w:val="18"/>
                <w:szCs w:val="18"/>
              </w:rPr>
              <w:t>殊</w:t>
            </w:r>
            <w:r>
              <w:rPr>
                <w:rFonts w:ascii="宋体" w:hAnsi="宋体" w:cs="宋体" w:eastAsia="宋体" w:hint="default"/>
                <w:spacing w:val="-5"/>
                <w:w w:val="101"/>
                <w:sz w:val="18"/>
                <w:szCs w:val="18"/>
              </w:rPr>
              <w:t>普</w:t>
            </w:r>
            <w:r>
              <w:rPr>
                <w:rFonts w:ascii="宋体" w:hAnsi="宋体" w:cs="宋体" w:eastAsia="宋体" w:hint="default"/>
                <w:w w:val="101"/>
                <w:sz w:val="18"/>
                <w:szCs w:val="18"/>
              </w:rPr>
              <w:t>通</w:t>
            </w:r>
            <w:r>
              <w:rPr>
                <w:rFonts w:ascii="宋体" w:hAnsi="宋体" w:cs="宋体" w:eastAsia="宋体" w:hint="default"/>
                <w:spacing w:val="-5"/>
                <w:w w:val="101"/>
                <w:sz w:val="18"/>
                <w:szCs w:val="18"/>
              </w:rPr>
              <w:t>合</w:t>
            </w:r>
            <w:r>
              <w:rPr>
                <w:rFonts w:ascii="宋体" w:hAnsi="宋体" w:cs="宋体" w:eastAsia="宋体" w:hint="default"/>
                <w:w w:val="101"/>
                <w:sz w:val="18"/>
                <w:szCs w:val="18"/>
              </w:rPr>
              <w:t>伙</w:t>
            </w:r>
            <w:r>
              <w:rPr>
                <w:rFonts w:ascii="宋体" w:hAnsi="宋体" w:cs="宋体" w:eastAsia="宋体" w:hint="default"/>
                <w:spacing w:val="-10"/>
                <w:w w:val="101"/>
                <w:sz w:val="18"/>
                <w:szCs w:val="18"/>
              </w:rPr>
              <w:t>）</w:t>
            </w:r>
            <w:r>
              <w:rPr>
                <w:rFonts w:ascii="宋体" w:hAnsi="宋体" w:cs="宋体" w:eastAsia="宋体" w:hint="default"/>
                <w:w w:val="101"/>
                <w:sz w:val="18"/>
                <w:szCs w:val="18"/>
              </w:rPr>
              <w:t>审</w:t>
            </w:r>
            <w:r>
              <w:rPr>
                <w:rFonts w:ascii="宋体" w:hAnsi="宋体" w:cs="宋体" w:eastAsia="宋体" w:hint="default"/>
                <w:spacing w:val="-5"/>
                <w:w w:val="101"/>
                <w:sz w:val="18"/>
                <w:szCs w:val="18"/>
              </w:rPr>
              <w:t>计，母</w:t>
            </w:r>
            <w:r>
              <w:rPr>
                <w:rFonts w:ascii="宋体" w:hAnsi="宋体" w:cs="宋体" w:eastAsia="宋体" w:hint="default"/>
                <w:w w:val="101"/>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年</w:t>
            </w:r>
            <w:r>
              <w:rPr>
                <w:rFonts w:ascii="宋体" w:hAnsi="宋体" w:cs="宋体" w:eastAsia="宋体" w:hint="default"/>
                <w:spacing w:val="-5"/>
                <w:w w:val="101"/>
                <w:sz w:val="18"/>
                <w:szCs w:val="18"/>
              </w:rPr>
              <w:t>度</w:t>
            </w:r>
            <w:r>
              <w:rPr>
                <w:rFonts w:ascii="宋体" w:hAnsi="宋体" w:cs="宋体" w:eastAsia="宋体" w:hint="default"/>
                <w:w w:val="101"/>
                <w:sz w:val="18"/>
                <w:szCs w:val="18"/>
              </w:rPr>
              <w:t>实</w:t>
            </w:r>
            <w:r>
              <w:rPr>
                <w:rFonts w:ascii="宋体" w:hAnsi="宋体" w:cs="宋体" w:eastAsia="宋体" w:hint="default"/>
                <w:spacing w:val="-5"/>
                <w:w w:val="101"/>
                <w:sz w:val="18"/>
                <w:szCs w:val="18"/>
              </w:rPr>
              <w:t>现</w:t>
            </w:r>
            <w:r>
              <w:rPr>
                <w:rFonts w:ascii="宋体" w:hAnsi="宋体" w:cs="宋体" w:eastAsia="宋体" w:hint="default"/>
                <w:w w:val="101"/>
                <w:sz w:val="18"/>
                <w:szCs w:val="18"/>
              </w:rPr>
              <w:t>净利润</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09</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44</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pacing w:val="-5"/>
                <w:w w:val="101"/>
                <w:sz w:val="18"/>
                <w:szCs w:val="18"/>
              </w:rPr>
              <w:t>元。根据《</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法</w:t>
            </w:r>
            <w:r>
              <w:rPr>
                <w:rFonts w:ascii="宋体" w:hAnsi="宋体" w:cs="宋体" w:eastAsia="宋体" w:hint="default"/>
                <w:spacing w:val="-92"/>
                <w:w w:val="101"/>
                <w:sz w:val="18"/>
                <w:szCs w:val="18"/>
              </w:rPr>
              <w:t>》</w:t>
            </w:r>
            <w:r>
              <w:rPr>
                <w:rFonts w:ascii="宋体" w:hAnsi="宋体" w:cs="宋体" w:eastAsia="宋体" w:hint="default"/>
                <w:spacing w:val="-101"/>
                <w:w w:val="101"/>
                <w:sz w:val="18"/>
                <w:szCs w:val="18"/>
              </w:rPr>
              <w:t>、</w:t>
            </w:r>
            <w:r>
              <w:rPr>
                <w:rFonts w:ascii="宋体" w:hAnsi="宋体" w:cs="宋体" w:eastAsia="宋体" w:hint="default"/>
                <w:w w:val="101"/>
                <w:sz w:val="18"/>
                <w:szCs w:val="18"/>
              </w:rPr>
              <w:t>《企</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pacing w:val="-3"/>
                <w:sz w:val="18"/>
                <w:szCs w:val="18"/>
              </w:rPr>
              <w:t>业会计准则》及《公司章程》等规定，公司拟按照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年度实现净利润的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提取法定盈余公积 </w:t>
            </w:r>
            <w:r>
              <w:rPr>
                <w:rFonts w:ascii="Times New Roman" w:hAnsi="Times New Roman" w:cs="Times New Roman" w:eastAsia="Times New Roman" w:hint="default"/>
                <w:sz w:val="18"/>
                <w:szCs w:val="18"/>
              </w:rPr>
              <w:t>1,409,644.36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元，加上</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公司年初未分配利润 </w:t>
            </w:r>
            <w:r>
              <w:rPr>
                <w:rFonts w:ascii="Times New Roman" w:hAnsi="Times New Roman" w:cs="Times New Roman" w:eastAsia="Times New Roman" w:hint="default"/>
                <w:sz w:val="18"/>
                <w:szCs w:val="18"/>
              </w:rPr>
              <w:t>192,686,106.64 </w:t>
            </w:r>
            <w:r>
              <w:rPr>
                <w:rFonts w:ascii="宋体" w:hAnsi="宋体" w:cs="宋体" w:eastAsia="宋体" w:hint="default"/>
                <w:spacing w:val="-4"/>
                <w:sz w:val="18"/>
                <w:szCs w:val="18"/>
              </w:rPr>
              <w:t>元，实际可供股东分配的利润为  </w:t>
            </w:r>
            <w:r>
              <w:rPr>
                <w:rFonts w:ascii="Times New Roman" w:hAnsi="Times New Roman" w:cs="Times New Roman" w:eastAsia="Times New Roman" w:hint="default"/>
                <w:sz w:val="18"/>
                <w:szCs w:val="18"/>
              </w:rPr>
              <w:t>200,122,905.85  </w:t>
            </w:r>
            <w:r>
              <w:rPr>
                <w:rFonts w:ascii="宋体" w:hAnsi="宋体" w:cs="宋体" w:eastAsia="宋体" w:hint="default"/>
                <w:spacing w:val="-5"/>
                <w:sz w:val="18"/>
                <w:szCs w:val="18"/>
              </w:rPr>
              <w:t>元。经董事会决议，公司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利润分配预案为：以</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日总股本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150,000,000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股为基数，向全体股东每</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股派发现金股利人民币</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w w:val="101"/>
                <w:sz w:val="18"/>
                <w:szCs w:val="18"/>
              </w:rPr>
              <w:t>税</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同</w:t>
            </w:r>
            <w:r>
              <w:rPr>
                <w:rFonts w:ascii="宋体" w:hAnsi="宋体" w:cs="宋体" w:eastAsia="宋体" w:hint="default"/>
                <w:spacing w:val="-5"/>
                <w:w w:val="101"/>
                <w:sz w:val="18"/>
                <w:szCs w:val="18"/>
              </w:rPr>
              <w:t>时</w:t>
            </w:r>
            <w:r>
              <w:rPr>
                <w:rFonts w:ascii="宋体" w:hAnsi="宋体" w:cs="宋体" w:eastAsia="宋体" w:hint="default"/>
                <w:w w:val="101"/>
                <w:sz w:val="18"/>
                <w:szCs w:val="18"/>
              </w:rPr>
              <w:t>以</w:t>
            </w:r>
            <w:r>
              <w:rPr>
                <w:rFonts w:ascii="宋体" w:hAnsi="宋体" w:cs="宋体" w:eastAsia="宋体" w:hint="default"/>
                <w:spacing w:val="-5"/>
                <w:w w:val="101"/>
                <w:sz w:val="18"/>
                <w:szCs w:val="18"/>
              </w:rPr>
              <w:t>资</w:t>
            </w:r>
            <w:r>
              <w:rPr>
                <w:rFonts w:ascii="宋体" w:hAnsi="宋体" w:cs="宋体" w:eastAsia="宋体" w:hint="default"/>
                <w:w w:val="101"/>
                <w:sz w:val="18"/>
                <w:szCs w:val="18"/>
              </w:rPr>
              <w:t>本</w:t>
            </w:r>
            <w:r>
              <w:rPr>
                <w:rFonts w:ascii="宋体" w:hAnsi="宋体" w:cs="宋体" w:eastAsia="宋体" w:hint="default"/>
                <w:spacing w:val="-5"/>
                <w:w w:val="101"/>
                <w:sz w:val="18"/>
                <w:szCs w:val="18"/>
              </w:rPr>
              <w:t>公</w:t>
            </w:r>
            <w:r>
              <w:rPr>
                <w:rFonts w:ascii="宋体" w:hAnsi="宋体" w:cs="宋体" w:eastAsia="宋体" w:hint="default"/>
                <w:w w:val="101"/>
                <w:sz w:val="18"/>
                <w:szCs w:val="18"/>
              </w:rPr>
              <w:t>积</w:t>
            </w:r>
            <w:r>
              <w:rPr>
                <w:rFonts w:ascii="宋体" w:hAnsi="宋体" w:cs="宋体" w:eastAsia="宋体" w:hint="default"/>
                <w:spacing w:val="-5"/>
                <w:w w:val="101"/>
                <w:sz w:val="18"/>
                <w:szCs w:val="18"/>
              </w:rPr>
              <w:t>向</w:t>
            </w:r>
            <w:r>
              <w:rPr>
                <w:rFonts w:ascii="宋体" w:hAnsi="宋体" w:cs="宋体" w:eastAsia="宋体" w:hint="default"/>
                <w:w w:val="101"/>
                <w:sz w:val="18"/>
                <w:szCs w:val="18"/>
              </w:rPr>
              <w:t>全</w:t>
            </w:r>
            <w:r>
              <w:rPr>
                <w:rFonts w:ascii="宋体" w:hAnsi="宋体" w:cs="宋体" w:eastAsia="宋体" w:hint="default"/>
                <w:spacing w:val="-5"/>
                <w:w w:val="101"/>
                <w:sz w:val="18"/>
                <w:szCs w:val="18"/>
              </w:rPr>
              <w:t>体</w:t>
            </w:r>
            <w:r>
              <w:rPr>
                <w:rFonts w:ascii="宋体" w:hAnsi="宋体" w:cs="宋体" w:eastAsia="宋体" w:hint="default"/>
                <w:w w:val="101"/>
                <w:sz w:val="18"/>
                <w:szCs w:val="18"/>
              </w:rPr>
              <w:t>股东每</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股</w:t>
            </w:r>
            <w:r>
              <w:rPr>
                <w:rFonts w:ascii="宋体" w:hAnsi="宋体" w:cs="宋体" w:eastAsia="宋体" w:hint="default"/>
                <w:w w:val="101"/>
                <w:sz w:val="18"/>
                <w:szCs w:val="18"/>
              </w:rPr>
              <w:t>转增</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股。</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2"/>
        <w:rPr>
          <w:rFonts w:ascii="宋体" w:hAnsi="宋体" w:cs="宋体" w:eastAsia="宋体" w:hint="default"/>
          <w:sz w:val="19"/>
          <w:szCs w:val="19"/>
        </w:rPr>
      </w:pPr>
    </w:p>
    <w:p>
      <w:pPr>
        <w:pStyle w:val="Heading2"/>
        <w:spacing w:line="240" w:lineRule="auto" w:before="26"/>
        <w:ind w:left="233" w:right="0"/>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8"/>
        <w:rPr>
          <w:rFonts w:ascii="宋体" w:hAnsi="宋体" w:cs="宋体" w:eastAsia="宋体" w:hint="default"/>
          <w:b/>
          <w:bCs/>
          <w:sz w:val="25"/>
          <w:szCs w:val="25"/>
        </w:rPr>
      </w:pPr>
    </w:p>
    <w:p>
      <w:pPr>
        <w:pStyle w:val="Heading3"/>
        <w:spacing w:line="254" w:lineRule="auto"/>
        <w:ind w:left="233" w:right="0"/>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1"/>
        </w:rPr>
        <w:t> </w:t>
      </w:r>
      <w:r>
        <w:rPr>
          <w:spacing w:val="-61"/>
        </w:rPr>
      </w:r>
      <w:r>
        <w:rPr/>
        <w:t>尚未履行完毕的承诺事项</w:t>
      </w:r>
      <w:r>
        <w:rPr>
          <w:b w:val="0"/>
          <w:bCs w:val="0"/>
        </w:rPr>
      </w:r>
    </w:p>
    <w:p>
      <w:pPr>
        <w:spacing w:line="240" w:lineRule="auto" w:before="4"/>
        <w:rPr>
          <w:rFonts w:ascii="宋体" w:hAnsi="宋体" w:cs="宋体" w:eastAsia="宋体" w:hint="default"/>
          <w:b/>
          <w:bCs/>
          <w:sz w:val="27"/>
          <w:szCs w:val="27"/>
        </w:rPr>
      </w:pPr>
    </w:p>
    <w:p>
      <w:pPr>
        <w:spacing w:before="0"/>
        <w:ind w:left="2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1280"/>
        <w:gridCol w:w="1176"/>
        <w:gridCol w:w="874"/>
        <w:gridCol w:w="3924"/>
        <w:gridCol w:w="941"/>
        <w:gridCol w:w="639"/>
        <w:gridCol w:w="1023"/>
      </w:tblGrid>
      <w:tr>
        <w:trPr>
          <w:trHeight w:val="643" w:hRule="exact"/>
        </w:trPr>
        <w:tc>
          <w:tcPr>
            <w:tcW w:w="128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17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10"/>
              <w:ind w:left="335" w:right="151" w:hanging="178"/>
              <w:jc w:val="left"/>
              <w:rPr>
                <w:rFonts w:ascii="宋体" w:hAnsi="宋体" w:cs="宋体" w:eastAsia="宋体" w:hint="default"/>
                <w:sz w:val="18"/>
                <w:szCs w:val="18"/>
              </w:rPr>
            </w:pPr>
            <w:r>
              <w:rPr>
                <w:rFonts w:ascii="宋体" w:hAnsi="宋体" w:cs="宋体" w:eastAsia="宋体" w:hint="default"/>
                <w:sz w:val="18"/>
                <w:szCs w:val="18"/>
              </w:rPr>
              <w:t>承诺类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392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4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639"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10"/>
              <w:ind w:left="124" w:right="129"/>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pacing w:val="-86"/>
                <w:sz w:val="18"/>
                <w:szCs w:val="18"/>
              </w:rPr>
              <w:t> </w:t>
            </w:r>
            <w:r>
              <w:rPr>
                <w:rFonts w:ascii="宋体" w:hAnsi="宋体" w:cs="宋体" w:eastAsia="宋体" w:hint="default"/>
                <w:sz w:val="18"/>
                <w:szCs w:val="18"/>
              </w:rPr>
              <w:t>期限</w:t>
            </w:r>
          </w:p>
        </w:tc>
        <w:tc>
          <w:tcPr>
            <w:tcW w:w="102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389" w:hRule="exact"/>
        </w:trPr>
        <w:tc>
          <w:tcPr>
            <w:tcW w:w="1280" w:type="dxa"/>
            <w:vMerge w:val="restart"/>
            <w:tcBorders>
              <w:top w:val="single" w:sz="8" w:space="0" w:color="000000"/>
              <w:left w:val="single" w:sz="8" w:space="0" w:color="000000"/>
              <w:right w:val="single" w:sz="8"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316" w:lineRule="auto"/>
              <w:ind w:left="98" w:right="257"/>
              <w:jc w:val="both"/>
              <w:rPr>
                <w:rFonts w:ascii="宋体" w:hAnsi="宋体" w:cs="宋体" w:eastAsia="宋体" w:hint="default"/>
                <w:sz w:val="18"/>
                <w:szCs w:val="18"/>
              </w:rPr>
            </w:pPr>
            <w:r>
              <w:rPr>
                <w:rFonts w:ascii="宋体" w:hAnsi="宋体" w:cs="宋体" w:eastAsia="宋体" w:hint="default"/>
                <w:sz w:val="18"/>
                <w:szCs w:val="18"/>
              </w:rPr>
              <w:t>首次公开发</w:t>
            </w:r>
            <w:r>
              <w:rPr>
                <w:rFonts w:ascii="宋体" w:hAnsi="宋体" w:cs="宋体" w:eastAsia="宋体" w:hint="default"/>
                <w:w w:val="101"/>
                <w:sz w:val="18"/>
                <w:szCs w:val="18"/>
              </w:rPr>
              <w:t> </w:t>
            </w:r>
            <w:r>
              <w:rPr>
                <w:rFonts w:ascii="宋体" w:hAnsi="宋体" w:cs="宋体" w:eastAsia="宋体" w:hint="default"/>
                <w:sz w:val="18"/>
                <w:szCs w:val="18"/>
              </w:rPr>
              <w:t>行或再融资</w:t>
            </w:r>
            <w:r>
              <w:rPr>
                <w:rFonts w:ascii="宋体" w:hAnsi="宋体" w:cs="宋体" w:eastAsia="宋体" w:hint="default"/>
                <w:w w:val="101"/>
                <w:sz w:val="18"/>
                <w:szCs w:val="18"/>
              </w:rPr>
              <w:t> </w:t>
            </w:r>
            <w:r>
              <w:rPr>
                <w:rFonts w:ascii="宋体" w:hAnsi="宋体" w:cs="宋体" w:eastAsia="宋体" w:hint="default"/>
                <w:sz w:val="18"/>
                <w:szCs w:val="18"/>
              </w:rPr>
              <w:t>时所作承诺</w:t>
            </w: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95" w:right="156"/>
              <w:jc w:val="both"/>
              <w:rPr>
                <w:rFonts w:ascii="宋体" w:hAnsi="宋体" w:cs="宋体" w:eastAsia="宋体" w:hint="default"/>
                <w:sz w:val="18"/>
                <w:szCs w:val="18"/>
              </w:rPr>
            </w:pPr>
            <w:r>
              <w:rPr>
                <w:rFonts w:ascii="宋体" w:hAnsi="宋体" w:cs="宋体" w:eastAsia="宋体" w:hint="default"/>
                <w:sz w:val="18"/>
                <w:szCs w:val="18"/>
              </w:rPr>
              <w:t>陕西医药控</w:t>
            </w:r>
            <w:r>
              <w:rPr>
                <w:rFonts w:ascii="宋体" w:hAnsi="宋体" w:cs="宋体" w:eastAsia="宋体" w:hint="default"/>
                <w:w w:val="101"/>
                <w:sz w:val="18"/>
                <w:szCs w:val="18"/>
              </w:rPr>
              <w:t> </w:t>
            </w:r>
            <w:r>
              <w:rPr>
                <w:rFonts w:ascii="宋体" w:hAnsi="宋体" w:cs="宋体" w:eastAsia="宋体" w:hint="default"/>
                <w:sz w:val="18"/>
                <w:szCs w:val="18"/>
              </w:rPr>
              <w:t>股集团有限</w:t>
            </w:r>
            <w:r>
              <w:rPr>
                <w:rFonts w:ascii="宋体" w:hAnsi="宋体" w:cs="宋体" w:eastAsia="宋体" w:hint="default"/>
                <w:w w:val="101"/>
                <w:sz w:val="18"/>
                <w:szCs w:val="18"/>
              </w:rPr>
              <w:t> </w:t>
            </w:r>
            <w:r>
              <w:rPr>
                <w:rFonts w:ascii="宋体" w:hAnsi="宋体" w:cs="宋体" w:eastAsia="宋体" w:hint="default"/>
                <w:sz w:val="18"/>
                <w:szCs w:val="18"/>
              </w:rPr>
              <w:t>责任公司</w:t>
            </w:r>
          </w:p>
        </w:tc>
        <w:tc>
          <w:tcPr>
            <w:tcW w:w="8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316" w:lineRule="auto"/>
              <w:ind w:left="100" w:right="209"/>
              <w:jc w:val="left"/>
              <w:rPr>
                <w:rFonts w:ascii="宋体" w:hAnsi="宋体" w:cs="宋体" w:eastAsia="宋体" w:hint="default"/>
                <w:sz w:val="18"/>
                <w:szCs w:val="18"/>
              </w:rPr>
            </w:pPr>
            <w:r>
              <w:rPr>
                <w:rFonts w:ascii="宋体" w:hAnsi="宋体" w:cs="宋体" w:eastAsia="宋体" w:hint="default"/>
                <w:sz w:val="18"/>
                <w:szCs w:val="18"/>
              </w:rPr>
              <w:t>股份限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售承诺</w:t>
            </w:r>
          </w:p>
        </w:tc>
        <w:tc>
          <w:tcPr>
            <w:tcW w:w="3924"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1"/>
              <w:ind w:left="101"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自发行人股票上市交易之日起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个月内，本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公司不转让或者委托他人管理本公司持有的发</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w w:val="101"/>
                <w:sz w:val="18"/>
                <w:szCs w:val="18"/>
              </w:rPr>
              <w:t>行人股份，也不由发行人回购本公司持有的发行</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人于股票上市前已发行的股份。</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、发行人上市</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个月内如发行人股票连续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个交易日的收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盘价均低于发行人首次公开发行股票并上市时</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5"/>
                <w:sz w:val="18"/>
                <w:szCs w:val="18"/>
              </w:rPr>
              <w:t>的股票发行价（以下简称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发行价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），或者发行</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2"/>
                <w:w w:val="101"/>
                <w:sz w:val="18"/>
                <w:szCs w:val="18"/>
              </w:rPr>
              <w:t>人上市后</w:t>
            </w:r>
            <w:r>
              <w:rPr>
                <w:rFonts w:ascii="宋体" w:hAnsi="宋体" w:cs="宋体" w:eastAsia="宋体" w:hint="default"/>
                <w:spacing w:val="-48"/>
                <w:w w:val="101"/>
                <w:sz w:val="18"/>
                <w:szCs w:val="18"/>
              </w:rPr>
              <w:t> </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7"/>
                <w:w w:val="101"/>
                <w:sz w:val="18"/>
                <w:szCs w:val="18"/>
              </w:rPr>
              <w:t>个月发行人股票期末（如该日不是交</w:t>
            </w:r>
            <w:r>
              <w:rPr>
                <w:rFonts w:ascii="宋体" w:hAnsi="宋体" w:cs="宋体" w:eastAsia="宋体" w:hint="default"/>
                <w:w w:val="101"/>
                <w:sz w:val="18"/>
                <w:szCs w:val="18"/>
              </w:rPr>
              <w:t> </w:t>
            </w:r>
            <w:r>
              <w:rPr>
                <w:rFonts w:ascii="宋体" w:hAnsi="宋体" w:cs="宋体" w:eastAsia="宋体" w:hint="default"/>
                <w:spacing w:val="-6"/>
                <w:sz w:val="18"/>
                <w:szCs w:val="18"/>
              </w:rPr>
              <w:t>易日，则为该日后第一个交易日）收盘价低于发</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6"/>
                <w:w w:val="101"/>
                <w:sz w:val="18"/>
                <w:szCs w:val="18"/>
              </w:rPr>
              <w:t>行价，本公司持有的发行人上述股份的锁定期限</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自动延长至少</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个月。</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、本公司将积极采取合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法措施履行就发行人首次公开发行股票并上市</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sz w:val="18"/>
                <w:szCs w:val="18"/>
              </w:rPr>
              <w:t>事宜所做的全部承诺，自愿接受监管部门、社会</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公众及投资者的监督，并依法承担相应责任。</w:t>
            </w:r>
          </w:p>
        </w:tc>
        <w:tc>
          <w:tcPr>
            <w:tcW w:w="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96" w:right="156"/>
              <w:jc w:val="both"/>
              <w:rPr>
                <w:rFonts w:ascii="宋体" w:hAnsi="宋体" w:cs="宋体" w:eastAsia="宋体" w:hint="default"/>
                <w:sz w:val="18"/>
                <w:szCs w:val="18"/>
              </w:rPr>
            </w:pPr>
            <w:r>
              <w:rPr>
                <w:rFonts w:ascii="宋体" w:hAnsi="宋体" w:cs="宋体" w:eastAsia="宋体" w:hint="default"/>
                <w:sz w:val="18"/>
                <w:szCs w:val="18"/>
              </w:rPr>
              <w:t>三十</w:t>
            </w:r>
            <w:r>
              <w:rPr>
                <w:rFonts w:ascii="宋体" w:hAnsi="宋体" w:cs="宋体" w:eastAsia="宋体" w:hint="default"/>
                <w:spacing w:val="-86"/>
                <w:sz w:val="18"/>
                <w:szCs w:val="18"/>
              </w:rPr>
              <w:t> </w:t>
            </w:r>
            <w:r>
              <w:rPr>
                <w:rFonts w:ascii="宋体" w:hAnsi="宋体" w:cs="宋体" w:eastAsia="宋体" w:hint="default"/>
                <w:sz w:val="18"/>
                <w:szCs w:val="18"/>
              </w:rPr>
              <w:t>六个</w:t>
            </w:r>
            <w:r>
              <w:rPr>
                <w:rFonts w:ascii="宋体" w:hAnsi="宋体" w:cs="宋体" w:eastAsia="宋体" w:hint="default"/>
                <w:spacing w:val="-86"/>
                <w:sz w:val="18"/>
                <w:szCs w:val="18"/>
              </w:rPr>
              <w:t> </w:t>
            </w:r>
            <w:r>
              <w:rPr>
                <w:rFonts w:ascii="宋体" w:hAnsi="宋体" w:cs="宋体" w:eastAsia="宋体" w:hint="default"/>
                <w:sz w:val="18"/>
                <w:szCs w:val="18"/>
              </w:rPr>
              <w:t>月</w:t>
            </w:r>
          </w:p>
        </w:tc>
        <w:tc>
          <w:tcPr>
            <w:tcW w:w="10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316" w:lineRule="auto"/>
              <w:ind w:left="100" w:right="176"/>
              <w:jc w:val="left"/>
              <w:rPr>
                <w:rFonts w:ascii="宋体" w:hAnsi="宋体" w:cs="宋体" w:eastAsia="宋体" w:hint="default"/>
                <w:sz w:val="18"/>
                <w:szCs w:val="18"/>
              </w:rPr>
            </w:pPr>
            <w:r>
              <w:rPr>
                <w:rFonts w:ascii="宋体" w:hAnsi="宋体" w:cs="宋体" w:eastAsia="宋体" w:hint="default"/>
                <w:sz w:val="18"/>
                <w:szCs w:val="18"/>
              </w:rPr>
              <w:t>已履行完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毕</w:t>
            </w:r>
          </w:p>
        </w:tc>
      </w:tr>
      <w:tr>
        <w:trPr>
          <w:trHeight w:val="2833" w:hRule="exact"/>
        </w:trPr>
        <w:tc>
          <w:tcPr>
            <w:tcW w:w="1280" w:type="dxa"/>
            <w:vMerge/>
            <w:tcBorders>
              <w:left w:val="single" w:sz="8" w:space="0" w:color="000000"/>
              <w:right w:val="single" w:sz="8" w:space="0" w:color="000000"/>
            </w:tcBorders>
            <w:shd w:val="clear" w:color="auto" w:fill="D2D2D2"/>
          </w:tcPr>
          <w:p>
            <w:pP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95" w:right="156"/>
              <w:jc w:val="both"/>
              <w:rPr>
                <w:rFonts w:ascii="宋体" w:hAnsi="宋体" w:cs="宋体" w:eastAsia="宋体" w:hint="default"/>
                <w:sz w:val="18"/>
                <w:szCs w:val="18"/>
              </w:rPr>
            </w:pPr>
            <w:r>
              <w:rPr>
                <w:rFonts w:ascii="宋体" w:hAnsi="宋体" w:cs="宋体" w:eastAsia="宋体" w:hint="default"/>
                <w:sz w:val="18"/>
                <w:szCs w:val="18"/>
              </w:rPr>
              <w:t>全国社会保</w:t>
            </w:r>
            <w:r>
              <w:rPr>
                <w:rFonts w:ascii="宋体" w:hAnsi="宋体" w:cs="宋体" w:eastAsia="宋体" w:hint="default"/>
                <w:w w:val="101"/>
                <w:sz w:val="18"/>
                <w:szCs w:val="18"/>
              </w:rPr>
              <w:t> </w:t>
            </w:r>
            <w:r>
              <w:rPr>
                <w:rFonts w:ascii="宋体" w:hAnsi="宋体" w:cs="宋体" w:eastAsia="宋体" w:hint="default"/>
                <w:sz w:val="18"/>
                <w:szCs w:val="18"/>
              </w:rPr>
              <w:t>障基金理事</w:t>
            </w:r>
            <w:r>
              <w:rPr>
                <w:rFonts w:ascii="宋体" w:hAnsi="宋体" w:cs="宋体" w:eastAsia="宋体" w:hint="default"/>
                <w:w w:val="101"/>
                <w:sz w:val="18"/>
                <w:szCs w:val="18"/>
              </w:rPr>
              <w:t> </w:t>
            </w:r>
            <w:r>
              <w:rPr>
                <w:rFonts w:ascii="宋体" w:hAnsi="宋体" w:cs="宋体" w:eastAsia="宋体" w:hint="default"/>
                <w:sz w:val="18"/>
                <w:szCs w:val="18"/>
              </w:rPr>
              <w:t>会转持二户</w:t>
            </w:r>
          </w:p>
        </w:tc>
        <w:tc>
          <w:tcPr>
            <w:tcW w:w="8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0" w:right="209"/>
              <w:jc w:val="left"/>
              <w:rPr>
                <w:rFonts w:ascii="宋体" w:hAnsi="宋体" w:cs="宋体" w:eastAsia="宋体" w:hint="default"/>
                <w:sz w:val="18"/>
                <w:szCs w:val="18"/>
              </w:rPr>
            </w:pPr>
            <w:r>
              <w:rPr>
                <w:rFonts w:ascii="宋体" w:hAnsi="宋体" w:cs="宋体" w:eastAsia="宋体" w:hint="default"/>
                <w:sz w:val="18"/>
                <w:szCs w:val="18"/>
              </w:rPr>
              <w:t>股份限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售承诺</w:t>
            </w:r>
          </w:p>
        </w:tc>
        <w:tc>
          <w:tcPr>
            <w:tcW w:w="3924"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15"/>
              <w:ind w:left="101" w:right="90"/>
              <w:jc w:val="left"/>
              <w:rPr>
                <w:rFonts w:ascii="宋体" w:hAnsi="宋体" w:cs="宋体" w:eastAsia="宋体" w:hint="default"/>
                <w:sz w:val="18"/>
                <w:szCs w:val="18"/>
              </w:rPr>
            </w:pPr>
            <w:r>
              <w:rPr>
                <w:rFonts w:ascii="宋体" w:hAnsi="宋体" w:cs="宋体" w:eastAsia="宋体" w:hint="default"/>
                <w:spacing w:val="-6"/>
                <w:w w:val="101"/>
                <w:sz w:val="18"/>
                <w:szCs w:val="18"/>
              </w:rPr>
              <w:t>根据《境内证券市场转持部分国有股充实全国社</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6"/>
                <w:sz w:val="18"/>
                <w:szCs w:val="18"/>
              </w:rPr>
              <w:t>会保障基金实施办法》的规定，公司本次公开发</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6"/>
                <w:w w:val="101"/>
                <w:sz w:val="18"/>
                <w:szCs w:val="18"/>
              </w:rPr>
              <w:t>行股票并上市后，陕西医药控股集团有限责任公</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司将其持有的发行人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万股股份划转给全国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6"/>
                <w:w w:val="101"/>
                <w:sz w:val="18"/>
                <w:szCs w:val="18"/>
              </w:rPr>
              <w:t>社会保障基金理事会，全国社会保障基金理事会</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6"/>
                <w:w w:val="101"/>
                <w:sz w:val="18"/>
                <w:szCs w:val="18"/>
              </w:rPr>
              <w:t>将承继原国有股东的禁售期义务，即自发行人股</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票上市之日起</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个月内，不转让或者委托他人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6"/>
                <w:w w:val="101"/>
                <w:sz w:val="18"/>
                <w:szCs w:val="18"/>
              </w:rPr>
              <w:t>管理该转持的股份，也不由发行人回购该部分股</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份。</w:t>
            </w:r>
          </w:p>
        </w:tc>
        <w:tc>
          <w:tcPr>
            <w:tcW w:w="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96" w:right="156"/>
              <w:jc w:val="both"/>
              <w:rPr>
                <w:rFonts w:ascii="宋体" w:hAnsi="宋体" w:cs="宋体" w:eastAsia="宋体" w:hint="default"/>
                <w:sz w:val="18"/>
                <w:szCs w:val="18"/>
              </w:rPr>
            </w:pPr>
            <w:r>
              <w:rPr>
                <w:rFonts w:ascii="宋体" w:hAnsi="宋体" w:cs="宋体" w:eastAsia="宋体" w:hint="default"/>
                <w:sz w:val="18"/>
                <w:szCs w:val="18"/>
              </w:rPr>
              <w:t>三十</w:t>
            </w:r>
            <w:r>
              <w:rPr>
                <w:rFonts w:ascii="宋体" w:hAnsi="宋体" w:cs="宋体" w:eastAsia="宋体" w:hint="default"/>
                <w:spacing w:val="-86"/>
                <w:sz w:val="18"/>
                <w:szCs w:val="18"/>
              </w:rPr>
              <w:t> </w:t>
            </w:r>
            <w:r>
              <w:rPr>
                <w:rFonts w:ascii="宋体" w:hAnsi="宋体" w:cs="宋体" w:eastAsia="宋体" w:hint="default"/>
                <w:sz w:val="18"/>
                <w:szCs w:val="18"/>
              </w:rPr>
              <w:t>六个</w:t>
            </w:r>
            <w:r>
              <w:rPr>
                <w:rFonts w:ascii="宋体" w:hAnsi="宋体" w:cs="宋体" w:eastAsia="宋体" w:hint="default"/>
                <w:spacing w:val="-86"/>
                <w:sz w:val="18"/>
                <w:szCs w:val="18"/>
              </w:rPr>
              <w:t> </w:t>
            </w:r>
            <w:r>
              <w:rPr>
                <w:rFonts w:ascii="宋体" w:hAnsi="宋体" w:cs="宋体" w:eastAsia="宋体" w:hint="default"/>
                <w:sz w:val="18"/>
                <w:szCs w:val="18"/>
              </w:rPr>
              <w:t>月</w:t>
            </w:r>
          </w:p>
        </w:tc>
        <w:tc>
          <w:tcPr>
            <w:tcW w:w="10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0" w:right="176"/>
              <w:jc w:val="left"/>
              <w:rPr>
                <w:rFonts w:ascii="宋体" w:hAnsi="宋体" w:cs="宋体" w:eastAsia="宋体" w:hint="default"/>
                <w:sz w:val="18"/>
                <w:szCs w:val="18"/>
              </w:rPr>
            </w:pPr>
            <w:r>
              <w:rPr>
                <w:rFonts w:ascii="宋体" w:hAnsi="宋体" w:cs="宋体" w:eastAsia="宋体" w:hint="default"/>
                <w:sz w:val="18"/>
                <w:szCs w:val="18"/>
              </w:rPr>
              <w:t>已履行完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毕</w:t>
            </w:r>
          </w:p>
        </w:tc>
      </w:tr>
      <w:tr>
        <w:trPr>
          <w:trHeight w:val="4076" w:hRule="exact"/>
        </w:trPr>
        <w:tc>
          <w:tcPr>
            <w:tcW w:w="1280" w:type="dxa"/>
            <w:vMerge/>
            <w:tcBorders>
              <w:left w:val="single" w:sz="8" w:space="0" w:color="000000"/>
              <w:bottom w:val="single" w:sz="8" w:space="0" w:color="000000"/>
              <w:right w:val="single" w:sz="8" w:space="0" w:color="000000"/>
            </w:tcBorders>
            <w:shd w:val="clear" w:color="auto" w:fill="D2D2D2"/>
          </w:tcPr>
          <w:p>
            <w:pP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7"/>
              <w:ind w:left="95" w:right="156"/>
              <w:jc w:val="both"/>
              <w:rPr>
                <w:rFonts w:ascii="宋体" w:hAnsi="宋体" w:cs="宋体" w:eastAsia="宋体" w:hint="default"/>
                <w:sz w:val="18"/>
                <w:szCs w:val="18"/>
              </w:rPr>
            </w:pPr>
            <w:r>
              <w:rPr>
                <w:rFonts w:ascii="宋体" w:hAnsi="宋体" w:cs="宋体" w:eastAsia="宋体" w:hint="default"/>
                <w:sz w:val="18"/>
                <w:szCs w:val="18"/>
              </w:rPr>
              <w:t>陕西医药控</w:t>
            </w:r>
            <w:r>
              <w:rPr>
                <w:rFonts w:ascii="宋体" w:hAnsi="宋体" w:cs="宋体" w:eastAsia="宋体" w:hint="default"/>
                <w:w w:val="101"/>
                <w:sz w:val="18"/>
                <w:szCs w:val="18"/>
              </w:rPr>
              <w:t> </w:t>
            </w:r>
            <w:r>
              <w:rPr>
                <w:rFonts w:ascii="宋体" w:hAnsi="宋体" w:cs="宋体" w:eastAsia="宋体" w:hint="default"/>
                <w:sz w:val="18"/>
                <w:szCs w:val="18"/>
              </w:rPr>
              <w:t>股集团有限</w:t>
            </w:r>
            <w:r>
              <w:rPr>
                <w:rFonts w:ascii="宋体" w:hAnsi="宋体" w:cs="宋体" w:eastAsia="宋体" w:hint="default"/>
                <w:w w:val="101"/>
                <w:sz w:val="18"/>
                <w:szCs w:val="18"/>
              </w:rPr>
              <w:t> </w:t>
            </w:r>
            <w:r>
              <w:rPr>
                <w:rFonts w:ascii="宋体" w:hAnsi="宋体" w:cs="宋体" w:eastAsia="宋体" w:hint="default"/>
                <w:sz w:val="18"/>
                <w:szCs w:val="18"/>
              </w:rPr>
              <w:t>责任公司</w:t>
            </w:r>
          </w:p>
        </w:tc>
        <w:tc>
          <w:tcPr>
            <w:tcW w:w="8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100"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w:t>
            </w:r>
          </w:p>
          <w:p>
            <w:pPr>
              <w:pStyle w:val="TableParagraph"/>
              <w:spacing w:line="316" w:lineRule="auto" w:before="63"/>
              <w:ind w:left="100" w:right="209"/>
              <w:jc w:val="left"/>
              <w:rPr>
                <w:rFonts w:ascii="宋体" w:hAnsi="宋体" w:cs="宋体" w:eastAsia="宋体" w:hint="default"/>
                <w:sz w:val="18"/>
                <w:szCs w:val="18"/>
              </w:rPr>
            </w:pPr>
            <w:r>
              <w:rPr>
                <w:rFonts w:ascii="宋体" w:hAnsi="宋体" w:cs="宋体" w:eastAsia="宋体" w:hint="default"/>
                <w:sz w:val="18"/>
                <w:szCs w:val="18"/>
              </w:rPr>
              <w:t>定股价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w:t>
            </w:r>
          </w:p>
        </w:tc>
        <w:tc>
          <w:tcPr>
            <w:tcW w:w="392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101" w:right="90"/>
              <w:jc w:val="left"/>
              <w:rPr>
                <w:rFonts w:ascii="宋体" w:hAnsi="宋体" w:cs="宋体" w:eastAsia="宋体" w:hint="default"/>
                <w:sz w:val="18"/>
                <w:szCs w:val="18"/>
              </w:rPr>
            </w:pPr>
            <w:r>
              <w:rPr>
                <w:rFonts w:ascii="宋体" w:hAnsi="宋体" w:cs="宋体" w:eastAsia="宋体" w:hint="default"/>
                <w:spacing w:val="-6"/>
                <w:w w:val="101"/>
                <w:sz w:val="18"/>
                <w:szCs w:val="18"/>
              </w:rPr>
              <w:t>如发行人上市后三年内，发行人股票收盘价连续</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Times New Roman" w:hAnsi="Times New Roman" w:cs="Times New Roman" w:eastAsia="Times New Roman" w:hint="default"/>
                <w:sz w:val="18"/>
                <w:szCs w:val="18"/>
              </w:rPr>
              <w:t>20 </w:t>
            </w:r>
            <w:r>
              <w:rPr>
                <w:rFonts w:ascii="宋体" w:hAnsi="宋体" w:cs="宋体" w:eastAsia="宋体" w:hint="default"/>
                <w:spacing w:val="-3"/>
                <w:sz w:val="18"/>
                <w:szCs w:val="18"/>
              </w:rPr>
              <w:t>个交易日低于最近一期经审计的每股净资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产，在发行人启动稳定股价预案时，本公司将严</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6"/>
                <w:w w:val="101"/>
                <w:sz w:val="18"/>
                <w:szCs w:val="18"/>
              </w:rPr>
              <w:t>格按照《西安环球印务股份有限公司上市后稳定</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6"/>
                <w:sz w:val="18"/>
                <w:szCs w:val="18"/>
              </w:rPr>
              <w:t>公司股价预案》的要求，履行相关稳定公司股价</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6"/>
                <w:sz w:val="18"/>
                <w:szCs w:val="18"/>
              </w:rPr>
              <w:t>的义务。本公司如未履行上述承诺，则本公司将</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在股东大会及中国证券监督管理委员会指定的</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披露媒体上公开说明未履行承诺的具体原因并</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w w:val="101"/>
                <w:sz w:val="18"/>
                <w:szCs w:val="18"/>
              </w:rPr>
              <w:t>向发行人其他股东和社会公众投资者道歉；发行</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人有权将应付本公司通知的拟增持股份的资金</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w w:val="101"/>
                <w:sz w:val="18"/>
                <w:szCs w:val="18"/>
              </w:rPr>
              <w:t>总额相等的现金分红予以暂时扣留，直至本公司</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6"/>
                <w:w w:val="101"/>
                <w:sz w:val="18"/>
                <w:szCs w:val="18"/>
              </w:rPr>
              <w:t>实际履行上述承诺义务为止；如因未履行承诺导</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6"/>
                <w:w w:val="101"/>
                <w:sz w:val="18"/>
                <w:szCs w:val="18"/>
              </w:rPr>
              <w:t>致发行人或投资者遭受经济损失的，本公司将依</w:t>
            </w:r>
            <w:r>
              <w:rPr>
                <w:rFonts w:ascii="宋体" w:hAnsi="宋体" w:cs="宋体" w:eastAsia="宋体" w:hint="default"/>
                <w:spacing w:val="-6"/>
                <w:sz w:val="18"/>
                <w:szCs w:val="18"/>
              </w:rPr>
            </w:r>
          </w:p>
        </w:tc>
        <w:tc>
          <w:tcPr>
            <w:tcW w:w="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7"/>
              <w:ind w:left="96" w:right="156"/>
              <w:jc w:val="both"/>
              <w:rPr>
                <w:rFonts w:ascii="宋体" w:hAnsi="宋体" w:cs="宋体" w:eastAsia="宋体" w:hint="default"/>
                <w:sz w:val="18"/>
                <w:szCs w:val="18"/>
              </w:rPr>
            </w:pPr>
            <w:r>
              <w:rPr>
                <w:rFonts w:ascii="宋体" w:hAnsi="宋体" w:cs="宋体" w:eastAsia="宋体" w:hint="default"/>
                <w:sz w:val="18"/>
                <w:szCs w:val="18"/>
              </w:rPr>
              <w:t>三十</w:t>
            </w:r>
            <w:r>
              <w:rPr>
                <w:rFonts w:ascii="宋体" w:hAnsi="宋体" w:cs="宋体" w:eastAsia="宋体" w:hint="default"/>
                <w:spacing w:val="-86"/>
                <w:sz w:val="18"/>
                <w:szCs w:val="18"/>
              </w:rPr>
              <w:t> </w:t>
            </w:r>
            <w:r>
              <w:rPr>
                <w:rFonts w:ascii="宋体" w:hAnsi="宋体" w:cs="宋体" w:eastAsia="宋体" w:hint="default"/>
                <w:sz w:val="18"/>
                <w:szCs w:val="18"/>
              </w:rPr>
              <w:t>六个</w:t>
            </w:r>
            <w:r>
              <w:rPr>
                <w:rFonts w:ascii="宋体" w:hAnsi="宋体" w:cs="宋体" w:eastAsia="宋体" w:hint="default"/>
                <w:spacing w:val="-86"/>
                <w:sz w:val="18"/>
                <w:szCs w:val="18"/>
              </w:rPr>
              <w:t> </w:t>
            </w:r>
            <w:r>
              <w:rPr>
                <w:rFonts w:ascii="宋体" w:hAnsi="宋体" w:cs="宋体" w:eastAsia="宋体" w:hint="default"/>
                <w:sz w:val="18"/>
                <w:szCs w:val="18"/>
              </w:rPr>
              <w:t>月</w:t>
            </w:r>
          </w:p>
        </w:tc>
        <w:tc>
          <w:tcPr>
            <w:tcW w:w="10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316" w:lineRule="auto"/>
              <w:ind w:left="100" w:right="176"/>
              <w:jc w:val="left"/>
              <w:rPr>
                <w:rFonts w:ascii="宋体" w:hAnsi="宋体" w:cs="宋体" w:eastAsia="宋体" w:hint="default"/>
                <w:sz w:val="18"/>
                <w:szCs w:val="18"/>
              </w:rPr>
            </w:pPr>
            <w:r>
              <w:rPr>
                <w:rFonts w:ascii="宋体" w:hAnsi="宋体" w:cs="宋体" w:eastAsia="宋体" w:hint="default"/>
                <w:sz w:val="18"/>
                <w:szCs w:val="18"/>
              </w:rPr>
              <w:t>已履行完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毕</w:t>
            </w:r>
          </w:p>
        </w:tc>
      </w:tr>
    </w:tbl>
    <w:p>
      <w:pPr>
        <w:spacing w:after="0" w:line="316" w:lineRule="auto"/>
        <w:jc w:val="left"/>
        <w:rPr>
          <w:rFonts w:ascii="宋体" w:hAnsi="宋体" w:cs="宋体" w:eastAsia="宋体" w:hint="default"/>
          <w:sz w:val="18"/>
          <w:szCs w:val="18"/>
        </w:rPr>
        <w:sectPr>
          <w:pgSz w:w="11910" w:h="16840"/>
          <w:pgMar w:header="0" w:footer="979" w:top="1100" w:bottom="1160" w:left="900" w:right="0"/>
        </w:sectPr>
      </w:pPr>
    </w:p>
    <w:p>
      <w:pPr>
        <w:spacing w:line="240" w:lineRule="auto" w:before="2"/>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1282"/>
        <w:gridCol w:w="1176"/>
        <w:gridCol w:w="874"/>
        <w:gridCol w:w="3924"/>
        <w:gridCol w:w="941"/>
        <w:gridCol w:w="639"/>
        <w:gridCol w:w="1023"/>
      </w:tblGrid>
      <w:tr>
        <w:trPr>
          <w:trHeight w:val="311" w:hRule="exact"/>
        </w:trPr>
        <w:tc>
          <w:tcPr>
            <w:tcW w:w="1282" w:type="dxa"/>
            <w:vMerge w:val="restart"/>
            <w:tcBorders>
              <w:top w:val="nil" w:sz="6" w:space="0" w:color="auto"/>
              <w:left w:val="single" w:sz="8" w:space="0" w:color="000000"/>
              <w:right w:val="single" w:sz="8" w:space="0" w:color="000000"/>
            </w:tcBorders>
            <w:shd w:val="clear" w:color="auto" w:fill="D2D2D2"/>
          </w:tcPr>
          <w:p>
            <w:pPr>
              <w:pStyle w:val="TableParagraph"/>
              <w:spacing w:line="12949" w:lineRule="exact"/>
              <w:ind w:left="4"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8"/>
                <w:sz w:val="20"/>
                <w:szCs w:val="20"/>
              </w:rPr>
              <w:pict>
                <v:group style="width:62.95pt;height:647.5pt;mso-position-horizontal-relative:char;mso-position-vertical-relative:line" coordorigin="0,0" coordsize="1259,12950">
                  <v:group style="position:absolute;left:0;top:0;width:1259;height:1964" coordorigin="0,0" coordsize="1259,1964">
                    <v:shape style="position:absolute;left:0;top:0;width:1259;height:1964" coordorigin="0,0" coordsize="1259,1964" path="m0,1964l1258,1964,1258,0,0,0,0,1964xe" filled="true" fillcolor="#d2d2d2" stroked="false">
                      <v:path arrowok="t"/>
                      <v:fill type="solid"/>
                    </v:shape>
                  </v:group>
                  <v:group style="position:absolute;left:0;top:1968;width:1259;height:4077" coordorigin="0,1968" coordsize="1259,4077">
                    <v:shape style="position:absolute;left:0;top:1968;width:1259;height:4077" coordorigin="0,1968" coordsize="1259,4077" path="m0,6045l1258,6045,1258,1968,0,1968,0,6045xe" filled="true" fillcolor="#d2d2d2" stroked="false">
                      <v:path arrowok="t"/>
                      <v:fill type="solid"/>
                    </v:shape>
                  </v:group>
                  <v:group style="position:absolute;left:0;top:6044;width:1259;height:2829" coordorigin="0,6044" coordsize="1259,2829">
                    <v:shape style="position:absolute;left:0;top:6044;width:1259;height:2829" coordorigin="0,6044" coordsize="1259,2829" path="m0,8873l1258,8873,1258,6044,0,6044,0,8873xe" filled="true" fillcolor="#d2d2d2" stroked="false">
                      <v:path arrowok="t"/>
                      <v:fill type="solid"/>
                    </v:shape>
                  </v:group>
                  <v:group style="position:absolute;left:0;top:8873;width:1259;height:4077" coordorigin="0,8873" coordsize="1259,4077">
                    <v:shape style="position:absolute;left:0;top:8873;width:1259;height:4077" coordorigin="0,8873" coordsize="1259,4077" path="m0,12949l1258,12949,1258,8873,0,8873,0,12949xe" filled="true" fillcolor="#d2d2d2" stroked="false">
                      <v:path arrowok="t"/>
                      <v:fill type="solid"/>
                    </v:shape>
                  </v:group>
                </v:group>
              </w:pict>
            </w:r>
            <w:r>
              <w:rPr>
                <w:rFonts w:ascii="Times New Roman" w:hAnsi="Times New Roman" w:cs="Times New Roman" w:eastAsia="Times New Roman" w:hint="default"/>
                <w:position w:val="-258"/>
                <w:sz w:val="20"/>
                <w:szCs w:val="20"/>
              </w:rPr>
            </w:r>
          </w:p>
        </w:tc>
        <w:tc>
          <w:tcPr>
            <w:tcW w:w="1176" w:type="dxa"/>
            <w:vMerge w:val="restart"/>
            <w:tcBorders>
              <w:top w:val="nil" w:sz="6" w:space="0" w:color="auto"/>
              <w:left w:val="single" w:sz="8" w:space="0" w:color="000000"/>
              <w:right w:val="single" w:sz="8" w:space="0" w:color="000000"/>
            </w:tcBorders>
          </w:tcPr>
          <w:p>
            <w:pPr/>
          </w:p>
        </w:tc>
        <w:tc>
          <w:tcPr>
            <w:tcW w:w="874" w:type="dxa"/>
            <w:vMerge w:val="restart"/>
            <w:tcBorders>
              <w:top w:val="nil" w:sz="6" w:space="0" w:color="auto"/>
              <w:left w:val="single" w:sz="8" w:space="0" w:color="000000"/>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w w:val="101"/>
                <w:sz w:val="18"/>
                <w:szCs w:val="18"/>
              </w:rPr>
              <w:t>法</w:t>
            </w:r>
            <w:r>
              <w:rPr>
                <w:rFonts w:ascii="宋体" w:hAnsi="宋体" w:cs="宋体" w:eastAsia="宋体" w:hint="default"/>
                <w:spacing w:val="-5"/>
                <w:w w:val="101"/>
                <w:sz w:val="18"/>
                <w:szCs w:val="18"/>
              </w:rPr>
              <w:t>予</w:t>
            </w:r>
            <w:r>
              <w:rPr>
                <w:rFonts w:ascii="宋体" w:hAnsi="宋体" w:cs="宋体" w:eastAsia="宋体" w:hint="default"/>
                <w:w w:val="101"/>
                <w:sz w:val="18"/>
                <w:szCs w:val="18"/>
              </w:rPr>
              <w:t>以</w:t>
            </w:r>
            <w:r>
              <w:rPr>
                <w:rFonts w:ascii="宋体" w:hAnsi="宋体" w:cs="宋体" w:eastAsia="宋体" w:hint="default"/>
                <w:spacing w:val="-5"/>
                <w:w w:val="101"/>
                <w:sz w:val="18"/>
                <w:szCs w:val="18"/>
              </w:rPr>
              <w:t>赔</w:t>
            </w:r>
            <w:r>
              <w:rPr>
                <w:rFonts w:ascii="宋体" w:hAnsi="宋体" w:cs="宋体" w:eastAsia="宋体" w:hint="default"/>
                <w:w w:val="101"/>
                <w:sz w:val="18"/>
                <w:szCs w:val="18"/>
              </w:rPr>
              <w:t>偿</w:t>
            </w:r>
            <w:r>
              <w:rPr>
                <w:rFonts w:ascii="宋体" w:hAnsi="宋体" w:cs="宋体" w:eastAsia="宋体" w:hint="default"/>
                <w:spacing w:val="-77"/>
                <w:w w:val="101"/>
                <w:sz w:val="18"/>
                <w:szCs w:val="18"/>
              </w:rPr>
              <w:t>。</w:t>
            </w:r>
            <w:r>
              <w:rPr>
                <w:rFonts w:ascii="宋体" w:hAnsi="宋体" w:cs="宋体" w:eastAsia="宋体" w:hint="default"/>
                <w:w w:val="101"/>
                <w:sz w:val="18"/>
                <w:szCs w:val="18"/>
              </w:rPr>
              <w:t>本</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将</w:t>
            </w:r>
            <w:r>
              <w:rPr>
                <w:rFonts w:ascii="宋体" w:hAnsi="宋体" w:cs="宋体" w:eastAsia="宋体" w:hint="default"/>
                <w:w w:val="101"/>
                <w:sz w:val="18"/>
                <w:szCs w:val="18"/>
              </w:rPr>
              <w:t>积</w:t>
            </w:r>
            <w:r>
              <w:rPr>
                <w:rFonts w:ascii="宋体" w:hAnsi="宋体" w:cs="宋体" w:eastAsia="宋体" w:hint="default"/>
                <w:spacing w:val="-5"/>
                <w:w w:val="101"/>
                <w:sz w:val="18"/>
                <w:szCs w:val="18"/>
              </w:rPr>
              <w:t>极</w:t>
            </w:r>
            <w:r>
              <w:rPr>
                <w:rFonts w:ascii="宋体" w:hAnsi="宋体" w:cs="宋体" w:eastAsia="宋体" w:hint="default"/>
                <w:w w:val="101"/>
                <w:sz w:val="18"/>
                <w:szCs w:val="18"/>
              </w:rPr>
              <w:t>采</w:t>
            </w:r>
            <w:r>
              <w:rPr>
                <w:rFonts w:ascii="宋体" w:hAnsi="宋体" w:cs="宋体" w:eastAsia="宋体" w:hint="default"/>
                <w:spacing w:val="-5"/>
                <w:w w:val="101"/>
                <w:sz w:val="18"/>
                <w:szCs w:val="18"/>
              </w:rPr>
              <w:t>取合</w:t>
            </w:r>
            <w:r>
              <w:rPr>
                <w:rFonts w:ascii="宋体" w:hAnsi="宋体" w:cs="宋体" w:eastAsia="宋体" w:hint="default"/>
                <w:w w:val="101"/>
                <w:sz w:val="18"/>
                <w:szCs w:val="18"/>
              </w:rPr>
              <w:t>法</w:t>
            </w:r>
            <w:r>
              <w:rPr>
                <w:rFonts w:ascii="宋体" w:hAnsi="宋体" w:cs="宋体" w:eastAsia="宋体" w:hint="default"/>
                <w:spacing w:val="-5"/>
                <w:w w:val="101"/>
                <w:sz w:val="18"/>
                <w:szCs w:val="18"/>
              </w:rPr>
              <w:t>措</w:t>
            </w:r>
            <w:r>
              <w:rPr>
                <w:rFonts w:ascii="宋体" w:hAnsi="宋体" w:cs="宋体" w:eastAsia="宋体" w:hint="default"/>
                <w:w w:val="101"/>
                <w:sz w:val="18"/>
                <w:szCs w:val="18"/>
              </w:rPr>
              <w:t>施</w:t>
            </w:r>
            <w:r>
              <w:rPr>
                <w:rFonts w:ascii="宋体" w:hAnsi="宋体" w:cs="宋体" w:eastAsia="宋体" w:hint="default"/>
                <w:spacing w:val="-5"/>
                <w:w w:val="101"/>
                <w:sz w:val="18"/>
                <w:szCs w:val="18"/>
              </w:rPr>
              <w:t>履</w:t>
            </w:r>
            <w:r>
              <w:rPr>
                <w:rFonts w:ascii="宋体" w:hAnsi="宋体" w:cs="宋体" w:eastAsia="宋体" w:hint="default"/>
                <w:w w:val="101"/>
                <w:sz w:val="18"/>
                <w:szCs w:val="18"/>
              </w:rPr>
              <w:t>行就</w:t>
            </w:r>
            <w:r>
              <w:rPr>
                <w:rFonts w:ascii="宋体" w:hAnsi="宋体" w:cs="宋体" w:eastAsia="宋体" w:hint="default"/>
                <w:sz w:val="18"/>
                <w:szCs w:val="18"/>
              </w:rPr>
            </w:r>
          </w:p>
        </w:tc>
        <w:tc>
          <w:tcPr>
            <w:tcW w:w="941" w:type="dxa"/>
            <w:vMerge w:val="restart"/>
            <w:tcBorders>
              <w:top w:val="nil" w:sz="6" w:space="0" w:color="auto"/>
              <w:left w:val="single" w:sz="8" w:space="0" w:color="000000"/>
              <w:right w:val="single" w:sz="8" w:space="0" w:color="000000"/>
            </w:tcBorders>
          </w:tcPr>
          <w:p>
            <w:pPr/>
          </w:p>
        </w:tc>
        <w:tc>
          <w:tcPr>
            <w:tcW w:w="639" w:type="dxa"/>
            <w:vMerge w:val="restart"/>
            <w:tcBorders>
              <w:top w:val="nil" w:sz="6" w:space="0" w:color="auto"/>
              <w:left w:val="single" w:sz="8" w:space="0" w:color="000000"/>
              <w:right w:val="single" w:sz="8" w:space="0" w:color="000000"/>
            </w:tcBorders>
          </w:tcPr>
          <w:p>
            <w:pPr/>
          </w:p>
        </w:tc>
        <w:tc>
          <w:tcPr>
            <w:tcW w:w="1023" w:type="dxa"/>
            <w:vMerge w:val="restart"/>
            <w:tcBorders>
              <w:top w:val="nil" w:sz="6" w:space="0" w:color="auto"/>
              <w:left w:val="single" w:sz="8" w:space="0" w:color="000000"/>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vMerge/>
            <w:tcBorders>
              <w:left w:val="single" w:sz="8" w:space="0" w:color="000000"/>
              <w:right w:val="single" w:sz="8" w:space="0" w:color="000000"/>
            </w:tcBorders>
          </w:tcPr>
          <w:p>
            <w:pPr/>
          </w:p>
        </w:tc>
        <w:tc>
          <w:tcPr>
            <w:tcW w:w="874" w:type="dxa"/>
            <w:vMerge/>
            <w:tcBorders>
              <w:left w:val="single" w:sz="8" w:space="0" w:color="000000"/>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3"/>
                <w:sz w:val="18"/>
                <w:szCs w:val="18"/>
              </w:rPr>
              <w:t>发行人首次公开发行股票并上市事宜所做的全</w:t>
            </w:r>
          </w:p>
        </w:tc>
        <w:tc>
          <w:tcPr>
            <w:tcW w:w="941" w:type="dxa"/>
            <w:vMerge/>
            <w:tcBorders>
              <w:left w:val="single" w:sz="8" w:space="0" w:color="000000"/>
              <w:right w:val="single" w:sz="8" w:space="0" w:color="000000"/>
            </w:tcBorders>
          </w:tcPr>
          <w:p>
            <w:pPr/>
          </w:p>
        </w:tc>
        <w:tc>
          <w:tcPr>
            <w:tcW w:w="639" w:type="dxa"/>
            <w:vMerge/>
            <w:tcBorders>
              <w:left w:val="single" w:sz="8" w:space="0" w:color="000000"/>
              <w:right w:val="single" w:sz="8" w:space="0" w:color="000000"/>
            </w:tcBorders>
          </w:tcPr>
          <w:p>
            <w:pPr/>
          </w:p>
        </w:tc>
        <w:tc>
          <w:tcPr>
            <w:tcW w:w="1023" w:type="dxa"/>
            <w:vMerge/>
            <w:tcBorders>
              <w:left w:val="single" w:sz="8" w:space="0" w:color="000000"/>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vMerge/>
            <w:tcBorders>
              <w:left w:val="single" w:sz="8" w:space="0" w:color="000000"/>
              <w:right w:val="single" w:sz="8" w:space="0" w:color="000000"/>
            </w:tcBorders>
          </w:tcPr>
          <w:p>
            <w:pPr/>
          </w:p>
        </w:tc>
        <w:tc>
          <w:tcPr>
            <w:tcW w:w="874" w:type="dxa"/>
            <w:vMerge/>
            <w:tcBorders>
              <w:left w:val="single" w:sz="8" w:space="0" w:color="000000"/>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6"/>
                <w:sz w:val="18"/>
                <w:szCs w:val="18"/>
              </w:rPr>
              <w:t>部承诺，自愿接受监管部门、社会公众及投资者</w:t>
            </w:r>
          </w:p>
        </w:tc>
        <w:tc>
          <w:tcPr>
            <w:tcW w:w="941" w:type="dxa"/>
            <w:vMerge/>
            <w:tcBorders>
              <w:left w:val="single" w:sz="8" w:space="0" w:color="000000"/>
              <w:right w:val="single" w:sz="8" w:space="0" w:color="000000"/>
            </w:tcBorders>
          </w:tcPr>
          <w:p>
            <w:pPr/>
          </w:p>
        </w:tc>
        <w:tc>
          <w:tcPr>
            <w:tcW w:w="639" w:type="dxa"/>
            <w:vMerge/>
            <w:tcBorders>
              <w:left w:val="single" w:sz="8" w:space="0" w:color="000000"/>
              <w:right w:val="single" w:sz="8" w:space="0" w:color="000000"/>
            </w:tcBorders>
          </w:tcPr>
          <w:p>
            <w:pPr/>
          </w:p>
        </w:tc>
        <w:tc>
          <w:tcPr>
            <w:tcW w:w="1023" w:type="dxa"/>
            <w:vMerge/>
            <w:tcBorders>
              <w:left w:val="single" w:sz="8" w:space="0" w:color="000000"/>
              <w:right w:val="single" w:sz="8" w:space="0" w:color="000000"/>
            </w:tcBorders>
          </w:tcPr>
          <w:p>
            <w:pPr/>
          </w:p>
        </w:tc>
      </w:tr>
      <w:tr>
        <w:trPr>
          <w:trHeight w:val="1038" w:hRule="exact"/>
        </w:trPr>
        <w:tc>
          <w:tcPr>
            <w:tcW w:w="1282" w:type="dxa"/>
            <w:vMerge/>
            <w:tcBorders>
              <w:left w:val="single" w:sz="8" w:space="0" w:color="000000"/>
              <w:right w:val="single" w:sz="8" w:space="0" w:color="000000"/>
            </w:tcBorders>
            <w:shd w:val="clear" w:color="auto" w:fill="D2D2D2"/>
          </w:tcPr>
          <w:p>
            <w:pPr/>
          </w:p>
        </w:tc>
        <w:tc>
          <w:tcPr>
            <w:tcW w:w="1176" w:type="dxa"/>
            <w:vMerge/>
            <w:tcBorders>
              <w:left w:val="single" w:sz="8" w:space="0" w:color="000000"/>
              <w:bottom w:val="single" w:sz="8" w:space="0" w:color="000000"/>
              <w:right w:val="single" w:sz="8" w:space="0" w:color="000000"/>
            </w:tcBorders>
          </w:tcPr>
          <w:p>
            <w:pPr/>
          </w:p>
        </w:tc>
        <w:tc>
          <w:tcPr>
            <w:tcW w:w="874" w:type="dxa"/>
            <w:vMerge/>
            <w:tcBorders>
              <w:left w:val="single" w:sz="8" w:space="0" w:color="000000"/>
              <w:bottom w:val="single" w:sz="8" w:space="0" w:color="000000"/>
              <w:right w:val="single" w:sz="8" w:space="0" w:color="000000"/>
            </w:tcBorders>
          </w:tcPr>
          <w:p>
            <w:pPr/>
          </w:p>
        </w:tc>
        <w:tc>
          <w:tcPr>
            <w:tcW w:w="392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3"/>
                <w:sz w:val="18"/>
                <w:szCs w:val="18"/>
              </w:rPr>
              <w:t>的监督，并依法承担相应责任。</w:t>
            </w:r>
          </w:p>
        </w:tc>
        <w:tc>
          <w:tcPr>
            <w:tcW w:w="941" w:type="dxa"/>
            <w:vMerge/>
            <w:tcBorders>
              <w:left w:val="single" w:sz="8" w:space="0" w:color="000000"/>
              <w:bottom w:val="single" w:sz="8" w:space="0" w:color="000000"/>
              <w:right w:val="single" w:sz="8" w:space="0" w:color="000000"/>
            </w:tcBorders>
          </w:tcPr>
          <w:p>
            <w:pPr/>
          </w:p>
        </w:tc>
        <w:tc>
          <w:tcPr>
            <w:tcW w:w="639" w:type="dxa"/>
            <w:vMerge/>
            <w:tcBorders>
              <w:left w:val="single" w:sz="8" w:space="0" w:color="000000"/>
              <w:bottom w:val="single" w:sz="8" w:space="0" w:color="000000"/>
              <w:right w:val="single" w:sz="8" w:space="0" w:color="000000"/>
            </w:tcBorders>
          </w:tcPr>
          <w:p>
            <w:pPr/>
          </w:p>
        </w:tc>
        <w:tc>
          <w:tcPr>
            <w:tcW w:w="1023" w:type="dxa"/>
            <w:vMerge/>
            <w:tcBorders>
              <w:left w:val="single" w:sz="8" w:space="0" w:color="000000"/>
              <w:bottom w:val="single" w:sz="8" w:space="0" w:color="000000"/>
              <w:right w:val="single" w:sz="8" w:space="0" w:color="000000"/>
            </w:tcBorders>
          </w:tcPr>
          <w:p>
            <w:pPr/>
          </w:p>
        </w:tc>
      </w:tr>
      <w:tr>
        <w:trPr>
          <w:trHeight w:val="326" w:hRule="exact"/>
        </w:trPr>
        <w:tc>
          <w:tcPr>
            <w:tcW w:w="1282" w:type="dxa"/>
            <w:vMerge/>
            <w:tcBorders>
              <w:left w:val="single" w:sz="8" w:space="0" w:color="000000"/>
              <w:right w:val="single" w:sz="8" w:space="0" w:color="000000"/>
            </w:tcBorders>
            <w:shd w:val="clear" w:color="auto" w:fill="D2D2D2"/>
          </w:tcPr>
          <w:p>
            <w:pPr/>
          </w:p>
        </w:tc>
        <w:tc>
          <w:tcPr>
            <w:tcW w:w="1176" w:type="dxa"/>
            <w:tcBorders>
              <w:top w:val="single" w:sz="8" w:space="0" w:color="000000"/>
              <w:left w:val="single" w:sz="8" w:space="0" w:color="000000"/>
              <w:bottom w:val="nil" w:sz="6" w:space="0" w:color="auto"/>
              <w:right w:val="single" w:sz="8" w:space="0" w:color="000000"/>
            </w:tcBorders>
          </w:tcPr>
          <w:p>
            <w:pPr/>
          </w:p>
        </w:tc>
        <w:tc>
          <w:tcPr>
            <w:tcW w:w="874" w:type="dxa"/>
            <w:tcBorders>
              <w:top w:val="single" w:sz="8" w:space="0" w:color="000000"/>
              <w:left w:val="single" w:sz="8" w:space="0" w:color="000000"/>
              <w:bottom w:val="nil" w:sz="6" w:space="0" w:color="auto"/>
              <w:right w:val="single" w:sz="8" w:space="0" w:color="000000"/>
            </w:tcBorders>
          </w:tcPr>
          <w:p>
            <w:pPr/>
          </w:p>
        </w:tc>
        <w:tc>
          <w:tcPr>
            <w:tcW w:w="392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5"/>
              <w:ind w:left="101" w:right="0"/>
              <w:jc w:val="left"/>
              <w:rPr>
                <w:rFonts w:ascii="宋体" w:hAnsi="宋体" w:cs="宋体" w:eastAsia="宋体" w:hint="default"/>
                <w:sz w:val="18"/>
                <w:szCs w:val="18"/>
              </w:rPr>
            </w:pPr>
            <w:r>
              <w:rPr>
                <w:rFonts w:ascii="宋体" w:hAnsi="宋体" w:cs="宋体" w:eastAsia="宋体" w:hint="default"/>
                <w:spacing w:val="-6"/>
                <w:sz w:val="18"/>
                <w:szCs w:val="18"/>
              </w:rPr>
              <w:t>关于稳定股票价格的承诺：本人（指发行人的董</w:t>
            </w:r>
          </w:p>
        </w:tc>
        <w:tc>
          <w:tcPr>
            <w:tcW w:w="941" w:type="dxa"/>
            <w:tcBorders>
              <w:top w:val="single" w:sz="8" w:space="0" w:color="000000"/>
              <w:left w:val="single" w:sz="8" w:space="0" w:color="000000"/>
              <w:bottom w:val="nil" w:sz="6" w:space="0" w:color="auto"/>
              <w:right w:val="single" w:sz="8" w:space="0" w:color="000000"/>
            </w:tcBorders>
          </w:tcPr>
          <w:p>
            <w:pPr/>
          </w:p>
        </w:tc>
        <w:tc>
          <w:tcPr>
            <w:tcW w:w="639" w:type="dxa"/>
            <w:tcBorders>
              <w:top w:val="single" w:sz="8" w:space="0" w:color="000000"/>
              <w:left w:val="single" w:sz="8" w:space="0" w:color="000000"/>
              <w:bottom w:val="nil" w:sz="6" w:space="0" w:color="auto"/>
              <w:right w:val="single" w:sz="8" w:space="0" w:color="000000"/>
            </w:tcBorders>
          </w:tcPr>
          <w:p>
            <w:pPr/>
          </w:p>
        </w:tc>
        <w:tc>
          <w:tcPr>
            <w:tcW w:w="1023" w:type="dxa"/>
            <w:tcBorders>
              <w:top w:val="single" w:sz="8" w:space="0" w:color="000000"/>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14"/>
                <w:sz w:val="18"/>
                <w:szCs w:val="18"/>
              </w:rPr>
              <w:t>事（独立董事除外）、高级管理人员）将根据《西</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3"/>
                <w:sz w:val="18"/>
                <w:szCs w:val="18"/>
              </w:rPr>
              <w:t>安环球印务股份有限公司上市后稳定公司股价</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3"/>
                <w:sz w:val="18"/>
                <w:szCs w:val="18"/>
              </w:rPr>
              <w:t>预案》的相关要求，切实履行该预案所述职责，</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1561"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00" w:lineRule="auto"/>
              <w:ind w:left="95" w:right="105"/>
              <w:jc w:val="left"/>
              <w:rPr>
                <w:rFonts w:ascii="Times New Roman" w:hAnsi="Times New Roman" w:cs="Times New Roman" w:eastAsia="Times New Roman" w:hint="default"/>
                <w:sz w:val="18"/>
                <w:szCs w:val="18"/>
              </w:rPr>
            </w:pPr>
            <w:r>
              <w:rPr>
                <w:rFonts w:ascii="宋体" w:hAnsi="宋体" w:cs="宋体" w:eastAsia="宋体" w:hint="default"/>
                <w:sz w:val="18"/>
                <w:szCs w:val="18"/>
              </w:rPr>
              <w:t>李移岭</w:t>
            </w:r>
            <w:r>
              <w:rPr>
                <w:rFonts w:ascii="Times New Roman" w:hAnsi="Times New Roman" w:cs="Times New Roman" w:eastAsia="Times New Roman" w:hint="default"/>
                <w:sz w:val="18"/>
                <w:szCs w:val="18"/>
              </w:rPr>
              <w:t>;</w:t>
            </w:r>
            <w:r>
              <w:rPr>
                <w:rFonts w:ascii="宋体" w:hAnsi="宋体" w:cs="宋体" w:eastAsia="宋体" w:hint="default"/>
                <w:sz w:val="18"/>
                <w:szCs w:val="18"/>
              </w:rPr>
              <w:t>孙学</w:t>
            </w:r>
            <w:r>
              <w:rPr>
                <w:rFonts w:ascii="宋体" w:hAnsi="宋体" w:cs="宋体" w:eastAsia="宋体" w:hint="default"/>
                <w:spacing w:val="-87"/>
                <w:sz w:val="18"/>
                <w:szCs w:val="18"/>
              </w:rPr>
              <w:t> </w:t>
            </w:r>
            <w:r>
              <w:rPr>
                <w:rFonts w:ascii="宋体" w:hAnsi="宋体" w:cs="宋体" w:eastAsia="宋体" w:hint="default"/>
                <w:sz w:val="18"/>
                <w:szCs w:val="18"/>
              </w:rPr>
              <w:t>军</w:t>
            </w:r>
            <w:r>
              <w:rPr>
                <w:rFonts w:ascii="Times New Roman" w:hAnsi="Times New Roman" w:cs="Times New Roman" w:eastAsia="Times New Roman" w:hint="default"/>
                <w:sz w:val="18"/>
                <w:szCs w:val="18"/>
              </w:rPr>
              <w:t>;</w:t>
            </w:r>
            <w:r>
              <w:rPr>
                <w:rFonts w:ascii="宋体" w:hAnsi="宋体" w:cs="宋体" w:eastAsia="宋体" w:hint="default"/>
                <w:sz w:val="18"/>
                <w:szCs w:val="18"/>
              </w:rPr>
              <w:t>蔡红军</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pacing w:val="-3"/>
                <w:sz w:val="18"/>
                <w:szCs w:val="18"/>
              </w:rPr>
              <w:t>林蔚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赵建</w:t>
            </w:r>
            <w:r>
              <w:rPr>
                <w:rFonts w:ascii="宋体" w:hAnsi="宋体" w:cs="宋体" w:eastAsia="宋体" w:hint="default"/>
                <w:spacing w:val="-78"/>
                <w:sz w:val="18"/>
                <w:szCs w:val="18"/>
              </w:rPr>
              <w:t> </w:t>
            </w:r>
            <w:r>
              <w:rPr>
                <w:rFonts w:ascii="宋体" w:hAnsi="宋体" w:cs="宋体" w:eastAsia="宋体" w:hint="default"/>
                <w:sz w:val="18"/>
                <w:szCs w:val="18"/>
              </w:rPr>
              <w:t>平</w:t>
            </w:r>
            <w:r>
              <w:rPr>
                <w:rFonts w:ascii="Times New Roman" w:hAnsi="Times New Roman" w:cs="Times New Roman" w:eastAsia="Times New Roman" w:hint="default"/>
                <w:sz w:val="18"/>
                <w:szCs w:val="18"/>
              </w:rPr>
              <w:t>;</w:t>
            </w:r>
          </w:p>
        </w:tc>
        <w:tc>
          <w:tcPr>
            <w:tcW w:w="874" w:type="dxa"/>
            <w:tcBorders>
              <w:top w:val="nil" w:sz="6" w:space="0" w:color="auto"/>
              <w:left w:val="single" w:sz="8" w:space="0" w:color="000000"/>
              <w:bottom w:val="nil" w:sz="6" w:space="0" w:color="auto"/>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0"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w:t>
            </w:r>
          </w:p>
          <w:p>
            <w:pPr>
              <w:pStyle w:val="TableParagraph"/>
              <w:spacing w:line="316" w:lineRule="auto" w:before="63"/>
              <w:ind w:left="100" w:right="209"/>
              <w:jc w:val="left"/>
              <w:rPr>
                <w:rFonts w:ascii="宋体" w:hAnsi="宋体" w:cs="宋体" w:eastAsia="宋体" w:hint="default"/>
                <w:sz w:val="18"/>
                <w:szCs w:val="18"/>
              </w:rPr>
            </w:pPr>
            <w:r>
              <w:rPr>
                <w:rFonts w:ascii="宋体" w:hAnsi="宋体" w:cs="宋体" w:eastAsia="宋体" w:hint="default"/>
                <w:sz w:val="18"/>
                <w:szCs w:val="18"/>
              </w:rPr>
              <w:t>定股价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w:t>
            </w: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319" w:lineRule="auto" w:before="11"/>
              <w:ind w:left="101" w:right="18"/>
              <w:jc w:val="left"/>
              <w:rPr>
                <w:rFonts w:ascii="宋体" w:hAnsi="宋体" w:cs="宋体" w:eastAsia="宋体" w:hint="default"/>
                <w:sz w:val="18"/>
                <w:szCs w:val="18"/>
              </w:rPr>
            </w:pPr>
            <w:r>
              <w:rPr>
                <w:rFonts w:ascii="宋体" w:hAnsi="宋体" w:cs="宋体" w:eastAsia="宋体" w:hint="default"/>
                <w:spacing w:val="-3"/>
                <w:sz w:val="18"/>
                <w:szCs w:val="18"/>
              </w:rPr>
              <w:t>以维护发行人股价稳定、保护中小投资者利益。</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w w:val="101"/>
                <w:sz w:val="18"/>
                <w:szCs w:val="18"/>
              </w:rPr>
              <w:t>如本人未履行上述承诺，则本人将在股东大会及</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中国证券监督管理委员会指定的披露媒体上公</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开说明未履行承诺的具体原因并向公司股东和</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w w:val="101"/>
                <w:sz w:val="18"/>
                <w:szCs w:val="18"/>
              </w:rPr>
              <w:t>社会公众投资者道歉；发行人有权将应付本人的</w:t>
            </w:r>
            <w:r>
              <w:rPr>
                <w:rFonts w:ascii="宋体" w:hAnsi="宋体" w:cs="宋体" w:eastAsia="宋体" w:hint="default"/>
                <w:spacing w:val="-6"/>
                <w:sz w:val="18"/>
                <w:szCs w:val="18"/>
              </w:rPr>
            </w:r>
          </w:p>
        </w:tc>
        <w:tc>
          <w:tcPr>
            <w:tcW w:w="941" w:type="dxa"/>
            <w:tcBorders>
              <w:top w:val="nil" w:sz="6" w:space="0" w:color="auto"/>
              <w:left w:val="single" w:sz="8" w:space="0" w:color="000000"/>
              <w:bottom w:val="nil" w:sz="6" w:space="0" w:color="auto"/>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9" w:type="dxa"/>
            <w:tcBorders>
              <w:top w:val="nil" w:sz="6" w:space="0" w:color="auto"/>
              <w:left w:val="single" w:sz="8" w:space="0" w:color="000000"/>
              <w:bottom w:val="nil" w:sz="6" w:space="0" w:color="auto"/>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长期</w:t>
            </w:r>
          </w:p>
        </w:tc>
        <w:tc>
          <w:tcPr>
            <w:tcW w:w="1023" w:type="dxa"/>
            <w:tcBorders>
              <w:top w:val="nil" w:sz="6" w:space="0" w:color="auto"/>
              <w:left w:val="single" w:sz="8" w:space="0" w:color="000000"/>
              <w:bottom w:val="nil" w:sz="6" w:space="0" w:color="auto"/>
              <w:right w:val="single" w:sz="8"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9" w:lineRule="auto"/>
              <w:ind w:left="100" w:right="176"/>
              <w:jc w:val="left"/>
              <w:rPr>
                <w:rFonts w:ascii="宋体" w:hAnsi="宋体" w:cs="宋体" w:eastAsia="宋体" w:hint="default"/>
                <w:sz w:val="18"/>
                <w:szCs w:val="18"/>
              </w:rPr>
            </w:pPr>
            <w:r>
              <w:rPr>
                <w:rFonts w:ascii="宋体" w:hAnsi="宋体" w:cs="宋体" w:eastAsia="宋体" w:hint="default"/>
                <w:sz w:val="18"/>
                <w:szCs w:val="18"/>
              </w:rPr>
              <w:t>尚在承诺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履行期，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严格履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w:t>
            </w: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6"/>
                <w:sz w:val="18"/>
                <w:szCs w:val="18"/>
              </w:rPr>
              <w:t>工资、薪酬、补贴等暂时予以扣留，直至本人完</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w w:val="101"/>
                <w:sz w:val="18"/>
                <w:szCs w:val="18"/>
              </w:rPr>
              <w:t>成</w:t>
            </w:r>
            <w:r>
              <w:rPr>
                <w:rFonts w:ascii="宋体" w:hAnsi="宋体" w:cs="宋体" w:eastAsia="宋体" w:hint="default"/>
                <w:spacing w:val="-5"/>
                <w:w w:val="101"/>
                <w:sz w:val="18"/>
                <w:szCs w:val="18"/>
              </w:rPr>
              <w:t>上</w:t>
            </w:r>
            <w:r>
              <w:rPr>
                <w:rFonts w:ascii="宋体" w:hAnsi="宋体" w:cs="宋体" w:eastAsia="宋体" w:hint="default"/>
                <w:w w:val="101"/>
                <w:sz w:val="18"/>
                <w:szCs w:val="18"/>
              </w:rPr>
              <w:t>述</w:t>
            </w:r>
            <w:r>
              <w:rPr>
                <w:rFonts w:ascii="宋体" w:hAnsi="宋体" w:cs="宋体" w:eastAsia="宋体" w:hint="default"/>
                <w:spacing w:val="-5"/>
                <w:w w:val="101"/>
                <w:sz w:val="18"/>
                <w:szCs w:val="18"/>
              </w:rPr>
              <w:t>承</w:t>
            </w:r>
            <w:r>
              <w:rPr>
                <w:rFonts w:ascii="宋体" w:hAnsi="宋体" w:cs="宋体" w:eastAsia="宋体" w:hint="default"/>
                <w:w w:val="101"/>
                <w:sz w:val="18"/>
                <w:szCs w:val="18"/>
              </w:rPr>
              <w:t>诺</w:t>
            </w:r>
            <w:r>
              <w:rPr>
                <w:rFonts w:ascii="宋体" w:hAnsi="宋体" w:cs="宋体" w:eastAsia="宋体" w:hint="default"/>
                <w:spacing w:val="-5"/>
                <w:w w:val="101"/>
                <w:sz w:val="18"/>
                <w:szCs w:val="18"/>
              </w:rPr>
              <w:t>的</w:t>
            </w:r>
            <w:r>
              <w:rPr>
                <w:rFonts w:ascii="宋体" w:hAnsi="宋体" w:cs="宋体" w:eastAsia="宋体" w:hint="default"/>
                <w:w w:val="101"/>
                <w:sz w:val="18"/>
                <w:szCs w:val="18"/>
              </w:rPr>
              <w:t>履</w:t>
            </w:r>
            <w:r>
              <w:rPr>
                <w:rFonts w:ascii="宋体" w:hAnsi="宋体" w:cs="宋体" w:eastAsia="宋体" w:hint="default"/>
                <w:spacing w:val="-5"/>
                <w:w w:val="101"/>
                <w:sz w:val="18"/>
                <w:szCs w:val="18"/>
              </w:rPr>
              <w:t>行</w:t>
            </w:r>
            <w:r>
              <w:rPr>
                <w:rFonts w:ascii="宋体" w:hAnsi="宋体" w:cs="宋体" w:eastAsia="宋体" w:hint="default"/>
                <w:spacing w:val="-73"/>
                <w:w w:val="101"/>
                <w:sz w:val="18"/>
                <w:szCs w:val="18"/>
              </w:rPr>
              <w:t>。</w:t>
            </w:r>
            <w:r>
              <w:rPr>
                <w:rFonts w:ascii="宋体" w:hAnsi="宋体" w:cs="宋体" w:eastAsia="宋体" w:hint="default"/>
                <w:spacing w:val="-5"/>
                <w:w w:val="101"/>
                <w:sz w:val="18"/>
                <w:szCs w:val="18"/>
              </w:rPr>
              <w:t>如</w:t>
            </w:r>
            <w:r>
              <w:rPr>
                <w:rFonts w:ascii="宋体" w:hAnsi="宋体" w:cs="宋体" w:eastAsia="宋体" w:hint="default"/>
                <w:w w:val="101"/>
                <w:sz w:val="18"/>
                <w:szCs w:val="18"/>
              </w:rPr>
              <w:t>因</w:t>
            </w:r>
            <w:r>
              <w:rPr>
                <w:rFonts w:ascii="宋体" w:hAnsi="宋体" w:cs="宋体" w:eastAsia="宋体" w:hint="default"/>
                <w:spacing w:val="-5"/>
                <w:w w:val="101"/>
                <w:sz w:val="18"/>
                <w:szCs w:val="18"/>
              </w:rPr>
              <w:t>未</w:t>
            </w:r>
            <w:r>
              <w:rPr>
                <w:rFonts w:ascii="宋体" w:hAnsi="宋体" w:cs="宋体" w:eastAsia="宋体" w:hint="default"/>
                <w:w w:val="101"/>
                <w:sz w:val="18"/>
                <w:szCs w:val="18"/>
              </w:rPr>
              <w:t>履</w:t>
            </w:r>
            <w:r>
              <w:rPr>
                <w:rFonts w:ascii="宋体" w:hAnsi="宋体" w:cs="宋体" w:eastAsia="宋体" w:hint="default"/>
                <w:spacing w:val="-5"/>
                <w:w w:val="101"/>
                <w:sz w:val="18"/>
                <w:szCs w:val="18"/>
              </w:rPr>
              <w:t>行承</w:t>
            </w:r>
            <w:r>
              <w:rPr>
                <w:rFonts w:ascii="宋体" w:hAnsi="宋体" w:cs="宋体" w:eastAsia="宋体" w:hint="default"/>
                <w:w w:val="101"/>
                <w:sz w:val="18"/>
                <w:szCs w:val="18"/>
              </w:rPr>
              <w:t>诺</w:t>
            </w:r>
            <w:r>
              <w:rPr>
                <w:rFonts w:ascii="宋体" w:hAnsi="宋体" w:cs="宋体" w:eastAsia="宋体" w:hint="default"/>
                <w:spacing w:val="-5"/>
                <w:w w:val="101"/>
                <w:sz w:val="18"/>
                <w:szCs w:val="18"/>
              </w:rPr>
              <w:t>导</w:t>
            </w:r>
            <w:r>
              <w:rPr>
                <w:rFonts w:ascii="宋体" w:hAnsi="宋体" w:cs="宋体" w:eastAsia="宋体" w:hint="default"/>
                <w:w w:val="101"/>
                <w:sz w:val="18"/>
                <w:szCs w:val="18"/>
              </w:rPr>
              <w:t>致</w:t>
            </w:r>
            <w:r>
              <w:rPr>
                <w:rFonts w:ascii="宋体" w:hAnsi="宋体" w:cs="宋体" w:eastAsia="宋体" w:hint="default"/>
                <w:spacing w:val="-5"/>
                <w:w w:val="101"/>
                <w:sz w:val="18"/>
                <w:szCs w:val="18"/>
              </w:rPr>
              <w:t>发</w:t>
            </w:r>
            <w:r>
              <w:rPr>
                <w:rFonts w:ascii="宋体" w:hAnsi="宋体" w:cs="宋体" w:eastAsia="宋体" w:hint="default"/>
                <w:w w:val="101"/>
                <w:sz w:val="18"/>
                <w:szCs w:val="18"/>
              </w:rPr>
              <w:t>行人</w:t>
            </w:r>
            <w:r>
              <w:rPr>
                <w:rFonts w:ascii="宋体" w:hAnsi="宋体" w:cs="宋体" w:eastAsia="宋体" w:hint="default"/>
                <w:sz w:val="18"/>
                <w:szCs w:val="18"/>
              </w:rPr>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3"/>
                <w:sz w:val="18"/>
                <w:szCs w:val="18"/>
              </w:rPr>
              <w:t>或投资者遭受经济损失的，本人将依法予以赔</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2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single" w:sz="8" w:space="0" w:color="000000"/>
              <w:right w:val="single" w:sz="8" w:space="0" w:color="000000"/>
            </w:tcBorders>
          </w:tcPr>
          <w:p>
            <w:pPr/>
          </w:p>
        </w:tc>
        <w:tc>
          <w:tcPr>
            <w:tcW w:w="874" w:type="dxa"/>
            <w:tcBorders>
              <w:top w:val="nil" w:sz="6" w:space="0" w:color="auto"/>
              <w:left w:val="single" w:sz="8" w:space="0" w:color="000000"/>
              <w:bottom w:val="single" w:sz="8" w:space="0" w:color="000000"/>
              <w:right w:val="single" w:sz="8" w:space="0" w:color="000000"/>
            </w:tcBorders>
          </w:tcPr>
          <w:p>
            <w:pPr/>
          </w:p>
        </w:tc>
        <w:tc>
          <w:tcPr>
            <w:tcW w:w="392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偿。</w:t>
            </w:r>
          </w:p>
        </w:tc>
        <w:tc>
          <w:tcPr>
            <w:tcW w:w="941" w:type="dxa"/>
            <w:tcBorders>
              <w:top w:val="nil" w:sz="6" w:space="0" w:color="auto"/>
              <w:left w:val="single" w:sz="8" w:space="0" w:color="000000"/>
              <w:bottom w:val="single" w:sz="8" w:space="0" w:color="000000"/>
              <w:right w:val="single" w:sz="8" w:space="0" w:color="000000"/>
            </w:tcBorders>
          </w:tcPr>
          <w:p>
            <w:pPr/>
          </w:p>
        </w:tc>
        <w:tc>
          <w:tcPr>
            <w:tcW w:w="639" w:type="dxa"/>
            <w:tcBorders>
              <w:top w:val="nil" w:sz="6" w:space="0" w:color="auto"/>
              <w:left w:val="single" w:sz="8" w:space="0" w:color="000000"/>
              <w:bottom w:val="single" w:sz="8" w:space="0" w:color="000000"/>
              <w:right w:val="single" w:sz="8" w:space="0" w:color="000000"/>
            </w:tcBorders>
          </w:tcPr>
          <w:p>
            <w:pPr/>
          </w:p>
        </w:tc>
        <w:tc>
          <w:tcPr>
            <w:tcW w:w="1023" w:type="dxa"/>
            <w:tcBorders>
              <w:top w:val="nil" w:sz="6" w:space="0" w:color="auto"/>
              <w:left w:val="single" w:sz="8" w:space="0" w:color="000000"/>
              <w:bottom w:val="single" w:sz="8" w:space="0" w:color="000000"/>
              <w:right w:val="single" w:sz="8" w:space="0" w:color="000000"/>
            </w:tcBorders>
          </w:tcPr>
          <w:p>
            <w:pPr/>
          </w:p>
        </w:tc>
      </w:tr>
      <w:tr>
        <w:trPr>
          <w:trHeight w:val="2828" w:hRule="exact"/>
        </w:trPr>
        <w:tc>
          <w:tcPr>
            <w:tcW w:w="1282" w:type="dxa"/>
            <w:vMerge/>
            <w:tcBorders>
              <w:left w:val="single" w:sz="8" w:space="0" w:color="000000"/>
              <w:right w:val="single" w:sz="8" w:space="0" w:color="000000"/>
            </w:tcBorders>
            <w:shd w:val="clear" w:color="auto" w:fill="D2D2D2"/>
          </w:tcPr>
          <w:p>
            <w:pP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1"/>
              <w:ind w:left="95" w:right="105"/>
              <w:jc w:val="left"/>
              <w:rPr>
                <w:rFonts w:ascii="宋体" w:hAnsi="宋体" w:cs="宋体" w:eastAsia="宋体" w:hint="default"/>
                <w:sz w:val="18"/>
                <w:szCs w:val="18"/>
              </w:rPr>
            </w:pPr>
            <w:r>
              <w:rPr>
                <w:rFonts w:ascii="宋体" w:hAnsi="宋体" w:cs="宋体" w:eastAsia="宋体" w:hint="default"/>
                <w:sz w:val="18"/>
                <w:szCs w:val="18"/>
              </w:rPr>
              <w:t>李移岭</w:t>
            </w:r>
            <w:r>
              <w:rPr>
                <w:rFonts w:ascii="Times New Roman" w:hAnsi="Times New Roman" w:cs="Times New Roman" w:eastAsia="Times New Roman" w:hint="default"/>
                <w:sz w:val="18"/>
                <w:szCs w:val="18"/>
              </w:rPr>
              <w:t>;</w:t>
            </w:r>
            <w:r>
              <w:rPr>
                <w:rFonts w:ascii="宋体" w:hAnsi="宋体" w:cs="宋体" w:eastAsia="宋体" w:hint="default"/>
                <w:sz w:val="18"/>
                <w:szCs w:val="18"/>
              </w:rPr>
              <w:t>孙学</w:t>
            </w:r>
            <w:r>
              <w:rPr>
                <w:rFonts w:ascii="宋体" w:hAnsi="宋体" w:cs="宋体" w:eastAsia="宋体" w:hint="default"/>
                <w:spacing w:val="-87"/>
                <w:sz w:val="18"/>
                <w:szCs w:val="18"/>
              </w:rPr>
              <w:t> </w:t>
            </w:r>
            <w:r>
              <w:rPr>
                <w:rFonts w:ascii="宋体" w:hAnsi="宋体" w:cs="宋体" w:eastAsia="宋体" w:hint="default"/>
                <w:sz w:val="18"/>
                <w:szCs w:val="18"/>
              </w:rPr>
              <w:t>军</w:t>
            </w:r>
            <w:r>
              <w:rPr>
                <w:rFonts w:ascii="Times New Roman" w:hAnsi="Times New Roman" w:cs="Times New Roman" w:eastAsia="Times New Roman" w:hint="default"/>
                <w:sz w:val="18"/>
                <w:szCs w:val="18"/>
              </w:rPr>
              <w:t>;</w:t>
            </w:r>
            <w:r>
              <w:rPr>
                <w:rFonts w:ascii="宋体" w:hAnsi="宋体" w:cs="宋体" w:eastAsia="宋体" w:hint="default"/>
                <w:sz w:val="18"/>
                <w:szCs w:val="18"/>
              </w:rPr>
              <w:t>杨军</w:t>
            </w:r>
            <w:r>
              <w:rPr>
                <w:rFonts w:ascii="Times New Roman" w:hAnsi="Times New Roman" w:cs="Times New Roman" w:eastAsia="Times New Roman" w:hint="default"/>
                <w:sz w:val="18"/>
                <w:szCs w:val="18"/>
              </w:rPr>
              <w:t>;</w:t>
            </w:r>
            <w:r>
              <w:rPr>
                <w:rFonts w:ascii="宋体" w:hAnsi="宋体" w:cs="宋体" w:eastAsia="宋体" w:hint="default"/>
                <w:sz w:val="18"/>
                <w:szCs w:val="18"/>
              </w:rPr>
              <w:t>蔡</w:t>
            </w:r>
            <w:r>
              <w:rPr>
                <w:rFonts w:ascii="宋体" w:hAnsi="宋体" w:cs="宋体" w:eastAsia="宋体" w:hint="default"/>
                <w:spacing w:val="-86"/>
                <w:sz w:val="18"/>
                <w:szCs w:val="18"/>
              </w:rPr>
              <w:t> </w:t>
            </w:r>
            <w:r>
              <w:rPr>
                <w:rFonts w:ascii="宋体" w:hAnsi="宋体" w:cs="宋体" w:eastAsia="宋体" w:hint="default"/>
                <w:spacing w:val="-3"/>
                <w:sz w:val="18"/>
                <w:szCs w:val="18"/>
              </w:rPr>
              <w:t>红军</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张明</w:t>
            </w:r>
            <w:r>
              <w:rPr>
                <w:rFonts w:ascii="宋体" w:hAnsi="宋体" w:cs="宋体" w:eastAsia="宋体" w:hint="default"/>
                <w:spacing w:val="-78"/>
                <w:sz w:val="18"/>
                <w:szCs w:val="18"/>
              </w:rPr>
              <w:t> </w:t>
            </w:r>
            <w:r>
              <w:rPr>
                <w:rFonts w:ascii="宋体" w:hAnsi="宋体" w:cs="宋体" w:eastAsia="宋体" w:hint="default"/>
                <w:sz w:val="18"/>
                <w:szCs w:val="18"/>
              </w:rPr>
              <w:t>禹</w:t>
            </w:r>
            <w:r>
              <w:rPr>
                <w:rFonts w:ascii="Times New Roman" w:hAnsi="Times New Roman" w:cs="Times New Roman" w:eastAsia="Times New Roman" w:hint="default"/>
                <w:sz w:val="18"/>
                <w:szCs w:val="18"/>
              </w:rPr>
              <w:t>;</w:t>
            </w:r>
            <w:r>
              <w:rPr>
                <w:rFonts w:ascii="宋体" w:hAnsi="宋体" w:cs="宋体" w:eastAsia="宋体" w:hint="default"/>
                <w:sz w:val="18"/>
                <w:szCs w:val="18"/>
              </w:rPr>
              <w:t>冯均科</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闻松泉</w:t>
            </w:r>
            <w:r>
              <w:rPr>
                <w:rFonts w:ascii="Times New Roman" w:hAnsi="Times New Roman" w:cs="Times New Roman" w:eastAsia="Times New Roman" w:hint="default"/>
                <w:sz w:val="18"/>
                <w:szCs w:val="18"/>
              </w:rPr>
              <w:t>;</w:t>
            </w:r>
            <w:r>
              <w:rPr>
                <w:rFonts w:ascii="宋体" w:hAnsi="宋体" w:cs="宋体" w:eastAsia="宋体" w:hint="default"/>
                <w:sz w:val="18"/>
                <w:szCs w:val="18"/>
              </w:rPr>
              <w:t>张兴</w:t>
            </w:r>
            <w:r>
              <w:rPr>
                <w:rFonts w:ascii="宋体" w:hAnsi="宋体" w:cs="宋体" w:eastAsia="宋体" w:hint="default"/>
                <w:spacing w:val="-87"/>
                <w:sz w:val="18"/>
                <w:szCs w:val="18"/>
              </w:rPr>
              <w:t> </w:t>
            </w:r>
            <w:r>
              <w:rPr>
                <w:rFonts w:ascii="宋体" w:hAnsi="宋体" w:cs="宋体" w:eastAsia="宋体" w:hint="default"/>
                <w:sz w:val="18"/>
                <w:szCs w:val="18"/>
              </w:rPr>
              <w:t>才</w:t>
            </w:r>
            <w:r>
              <w:rPr>
                <w:rFonts w:ascii="Times New Roman" w:hAnsi="Times New Roman" w:cs="Times New Roman" w:eastAsia="Times New Roman" w:hint="default"/>
                <w:sz w:val="18"/>
                <w:szCs w:val="18"/>
              </w:rPr>
              <w:t>;</w:t>
            </w:r>
            <w:r>
              <w:rPr>
                <w:rFonts w:ascii="宋体" w:hAnsi="宋体" w:cs="宋体" w:eastAsia="宋体" w:hint="default"/>
                <w:sz w:val="18"/>
                <w:szCs w:val="18"/>
              </w:rPr>
              <w:t>冯杰</w:t>
            </w:r>
            <w:r>
              <w:rPr>
                <w:rFonts w:ascii="Times New Roman" w:hAnsi="Times New Roman" w:cs="Times New Roman" w:eastAsia="Times New Roman" w:hint="default"/>
                <w:sz w:val="18"/>
                <w:szCs w:val="18"/>
              </w:rPr>
              <w:t>;</w:t>
            </w:r>
            <w:r>
              <w:rPr>
                <w:rFonts w:ascii="宋体" w:hAnsi="宋体" w:cs="宋体" w:eastAsia="宋体" w:hint="default"/>
                <w:sz w:val="18"/>
                <w:szCs w:val="18"/>
              </w:rPr>
              <w:t>惠</w:t>
            </w:r>
          </w:p>
          <w:p>
            <w:pPr>
              <w:pStyle w:val="TableParagraph"/>
              <w:spacing w:line="300" w:lineRule="auto" w:before="13"/>
              <w:ind w:left="95" w:right="235"/>
              <w:jc w:val="both"/>
              <w:rPr>
                <w:rFonts w:ascii="宋体" w:hAnsi="宋体" w:cs="宋体" w:eastAsia="宋体" w:hint="default"/>
                <w:sz w:val="18"/>
                <w:szCs w:val="18"/>
              </w:rPr>
            </w:pPr>
            <w:r>
              <w:rPr>
                <w:rFonts w:ascii="宋体" w:hAnsi="宋体" w:cs="宋体" w:eastAsia="宋体" w:hint="default"/>
                <w:sz w:val="18"/>
                <w:szCs w:val="18"/>
              </w:rPr>
              <w:t>俊玉</w:t>
            </w:r>
            <w:r>
              <w:rPr>
                <w:rFonts w:ascii="Times New Roman" w:hAnsi="Times New Roman" w:cs="Times New Roman" w:eastAsia="Times New Roman" w:hint="default"/>
                <w:sz w:val="18"/>
                <w:szCs w:val="18"/>
              </w:rPr>
              <w:t>;</w:t>
            </w:r>
            <w:r>
              <w:rPr>
                <w:rFonts w:ascii="宋体" w:hAnsi="宋体" w:cs="宋体" w:eastAsia="宋体" w:hint="default"/>
                <w:sz w:val="18"/>
                <w:szCs w:val="18"/>
              </w:rPr>
              <w:t>林蔚</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赵建平</w:t>
            </w:r>
            <w:r>
              <w:rPr>
                <w:rFonts w:ascii="Times New Roman" w:hAnsi="Times New Roman" w:cs="Times New Roman" w:eastAsia="Times New Roman" w:hint="default"/>
                <w:sz w:val="18"/>
                <w:szCs w:val="18"/>
              </w:rPr>
              <w:t>;</w:t>
            </w:r>
            <w:r>
              <w:rPr>
                <w:rFonts w:ascii="宋体" w:hAnsi="宋体" w:cs="宋体" w:eastAsia="宋体" w:hint="default"/>
                <w:sz w:val="18"/>
                <w:szCs w:val="18"/>
              </w:rPr>
              <w:t>许</w:t>
            </w:r>
            <w:r>
              <w:rPr>
                <w:rFonts w:ascii="宋体" w:hAnsi="宋体" w:cs="宋体" w:eastAsia="宋体" w:hint="default"/>
                <w:w w:val="101"/>
                <w:sz w:val="18"/>
                <w:szCs w:val="18"/>
              </w:rPr>
              <w:t> </w:t>
            </w:r>
            <w:r>
              <w:rPr>
                <w:rFonts w:ascii="宋体" w:hAnsi="宋体" w:cs="宋体" w:eastAsia="宋体" w:hint="default"/>
                <w:sz w:val="18"/>
                <w:szCs w:val="18"/>
              </w:rPr>
              <w:t>明</w:t>
            </w:r>
            <w:r>
              <w:rPr>
                <w:rFonts w:ascii="Times New Roman" w:hAnsi="Times New Roman" w:cs="Times New Roman" w:eastAsia="Times New Roman" w:hint="default"/>
                <w:sz w:val="18"/>
                <w:szCs w:val="18"/>
              </w:rPr>
              <w:t>;</w:t>
            </w:r>
            <w:r>
              <w:rPr>
                <w:rFonts w:ascii="宋体" w:hAnsi="宋体" w:cs="宋体" w:eastAsia="宋体" w:hint="default"/>
                <w:sz w:val="18"/>
                <w:szCs w:val="18"/>
              </w:rPr>
              <w:t>常鹏</w:t>
            </w:r>
          </w:p>
        </w:tc>
        <w:tc>
          <w:tcPr>
            <w:tcW w:w="8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100" w:right="209"/>
              <w:jc w:val="left"/>
              <w:rPr>
                <w:rFonts w:ascii="宋体" w:hAnsi="宋体" w:cs="宋体" w:eastAsia="宋体" w:hint="default"/>
                <w:sz w:val="18"/>
                <w:szCs w:val="18"/>
              </w:rPr>
            </w:pPr>
            <w:r>
              <w:rPr>
                <w:rFonts w:ascii="宋体" w:hAnsi="宋体" w:cs="宋体" w:eastAsia="宋体" w:hint="default"/>
                <w:sz w:val="18"/>
                <w:szCs w:val="18"/>
              </w:rPr>
              <w:t>其他承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w:t>
            </w:r>
          </w:p>
        </w:tc>
        <w:tc>
          <w:tcPr>
            <w:tcW w:w="39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101" w:right="0"/>
              <w:jc w:val="left"/>
              <w:rPr>
                <w:rFonts w:ascii="宋体" w:hAnsi="宋体" w:cs="宋体" w:eastAsia="宋体" w:hint="default"/>
                <w:sz w:val="18"/>
                <w:szCs w:val="18"/>
              </w:rPr>
            </w:pPr>
            <w:r>
              <w:rPr>
                <w:rFonts w:ascii="宋体" w:hAnsi="宋体" w:cs="宋体" w:eastAsia="宋体" w:hint="default"/>
                <w:spacing w:val="-6"/>
                <w:w w:val="101"/>
                <w:sz w:val="18"/>
                <w:szCs w:val="18"/>
              </w:rPr>
              <w:t>关于招股说明书如有虚假记载、误导性陈述或者</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6"/>
                <w:w w:val="101"/>
                <w:sz w:val="18"/>
                <w:szCs w:val="18"/>
              </w:rPr>
              <w:t>重大遗漏的承诺：如发行人招股说明书存在虚假</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6"/>
                <w:sz w:val="18"/>
                <w:szCs w:val="18"/>
              </w:rPr>
              <w:t>记载、误导性陈述或者重大遗漏，致使投资者在</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10"/>
                <w:w w:val="101"/>
                <w:sz w:val="18"/>
                <w:szCs w:val="18"/>
              </w:rPr>
              <w:t>证券交易中遭受损失的，本人（指发行人的董事、</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6"/>
                <w:sz w:val="18"/>
                <w:szCs w:val="18"/>
              </w:rPr>
              <w:t>监事、高级管理人员）将承担相应的民事赔偿责</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6"/>
                <w:sz w:val="18"/>
                <w:szCs w:val="18"/>
              </w:rPr>
              <w:t>任，依法赔偿投资者损失。具体的赔偿标准、赔</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6"/>
                <w:w w:val="101"/>
                <w:sz w:val="18"/>
                <w:szCs w:val="18"/>
              </w:rPr>
              <w:t>偿主体范围、赔偿金额等细节内容待上述情形实</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际发生时，以最终确定的赔偿方案为准。</w:t>
            </w:r>
          </w:p>
        </w:tc>
        <w:tc>
          <w:tcPr>
            <w:tcW w:w="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长期</w:t>
            </w:r>
          </w:p>
        </w:tc>
        <w:tc>
          <w:tcPr>
            <w:tcW w:w="10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9" w:lineRule="auto"/>
              <w:ind w:left="100" w:right="176"/>
              <w:jc w:val="left"/>
              <w:rPr>
                <w:rFonts w:ascii="宋体" w:hAnsi="宋体" w:cs="宋体" w:eastAsia="宋体" w:hint="default"/>
                <w:sz w:val="18"/>
                <w:szCs w:val="18"/>
              </w:rPr>
            </w:pPr>
            <w:r>
              <w:rPr>
                <w:rFonts w:ascii="宋体" w:hAnsi="宋体" w:cs="宋体" w:eastAsia="宋体" w:hint="default"/>
                <w:sz w:val="18"/>
                <w:szCs w:val="18"/>
              </w:rPr>
              <w:t>尚在承诺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履行期，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严格履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w:t>
            </w:r>
          </w:p>
        </w:tc>
      </w:tr>
      <w:tr>
        <w:trPr>
          <w:trHeight w:val="321" w:hRule="exact"/>
        </w:trPr>
        <w:tc>
          <w:tcPr>
            <w:tcW w:w="1282" w:type="dxa"/>
            <w:vMerge/>
            <w:tcBorders>
              <w:left w:val="single" w:sz="8" w:space="0" w:color="000000"/>
              <w:right w:val="single" w:sz="8" w:space="0" w:color="000000"/>
            </w:tcBorders>
            <w:shd w:val="clear" w:color="auto" w:fill="D2D2D2"/>
          </w:tcPr>
          <w:p>
            <w:pPr/>
          </w:p>
        </w:tc>
        <w:tc>
          <w:tcPr>
            <w:tcW w:w="1176" w:type="dxa"/>
            <w:tcBorders>
              <w:top w:val="single" w:sz="8" w:space="0" w:color="000000"/>
              <w:left w:val="single" w:sz="8" w:space="0" w:color="000000"/>
              <w:bottom w:val="nil" w:sz="6" w:space="0" w:color="auto"/>
              <w:right w:val="single" w:sz="8" w:space="0" w:color="000000"/>
            </w:tcBorders>
          </w:tcPr>
          <w:p>
            <w:pPr/>
          </w:p>
        </w:tc>
        <w:tc>
          <w:tcPr>
            <w:tcW w:w="874" w:type="dxa"/>
            <w:tcBorders>
              <w:top w:val="single" w:sz="8" w:space="0" w:color="000000"/>
              <w:left w:val="single" w:sz="8" w:space="0" w:color="000000"/>
              <w:bottom w:val="nil" w:sz="6" w:space="0" w:color="auto"/>
              <w:right w:val="single" w:sz="8" w:space="0" w:color="000000"/>
            </w:tcBorders>
          </w:tcPr>
          <w:p>
            <w:pPr/>
          </w:p>
        </w:tc>
        <w:tc>
          <w:tcPr>
            <w:tcW w:w="392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w w:val="101"/>
                <w:sz w:val="18"/>
                <w:szCs w:val="18"/>
              </w:rPr>
              <w:t>关</w:t>
            </w:r>
            <w:r>
              <w:rPr>
                <w:rFonts w:ascii="宋体" w:hAnsi="宋体" w:cs="宋体" w:eastAsia="宋体" w:hint="default"/>
                <w:spacing w:val="-5"/>
                <w:w w:val="101"/>
                <w:sz w:val="18"/>
                <w:szCs w:val="18"/>
              </w:rPr>
              <w:t>于</w:t>
            </w:r>
            <w:r>
              <w:rPr>
                <w:rFonts w:ascii="宋体" w:hAnsi="宋体" w:cs="宋体" w:eastAsia="宋体" w:hint="default"/>
                <w:w w:val="101"/>
                <w:sz w:val="18"/>
                <w:szCs w:val="18"/>
              </w:rPr>
              <w:t>招</w:t>
            </w:r>
            <w:r>
              <w:rPr>
                <w:rFonts w:ascii="宋体" w:hAnsi="宋体" w:cs="宋体" w:eastAsia="宋体" w:hint="default"/>
                <w:spacing w:val="-5"/>
                <w:w w:val="101"/>
                <w:sz w:val="18"/>
                <w:szCs w:val="18"/>
              </w:rPr>
              <w:t>股</w:t>
            </w:r>
            <w:r>
              <w:rPr>
                <w:rFonts w:ascii="宋体" w:hAnsi="宋体" w:cs="宋体" w:eastAsia="宋体" w:hint="default"/>
                <w:w w:val="101"/>
                <w:sz w:val="18"/>
                <w:szCs w:val="18"/>
              </w:rPr>
              <w:t>说</w:t>
            </w:r>
            <w:r>
              <w:rPr>
                <w:rFonts w:ascii="宋体" w:hAnsi="宋体" w:cs="宋体" w:eastAsia="宋体" w:hint="default"/>
                <w:spacing w:val="-5"/>
                <w:w w:val="101"/>
                <w:sz w:val="18"/>
                <w:szCs w:val="18"/>
              </w:rPr>
              <w:t>明</w:t>
            </w:r>
            <w:r>
              <w:rPr>
                <w:rFonts w:ascii="宋体" w:hAnsi="宋体" w:cs="宋体" w:eastAsia="宋体" w:hint="default"/>
                <w:w w:val="101"/>
                <w:sz w:val="18"/>
                <w:szCs w:val="18"/>
              </w:rPr>
              <w:t>书</w:t>
            </w:r>
            <w:r>
              <w:rPr>
                <w:rFonts w:ascii="宋体" w:hAnsi="宋体" w:cs="宋体" w:eastAsia="宋体" w:hint="default"/>
                <w:spacing w:val="-5"/>
                <w:w w:val="101"/>
                <w:sz w:val="18"/>
                <w:szCs w:val="18"/>
              </w:rPr>
              <w:t>如</w:t>
            </w:r>
            <w:r>
              <w:rPr>
                <w:rFonts w:ascii="宋体" w:hAnsi="宋体" w:cs="宋体" w:eastAsia="宋体" w:hint="default"/>
                <w:w w:val="101"/>
                <w:sz w:val="18"/>
                <w:szCs w:val="18"/>
              </w:rPr>
              <w:t>有</w:t>
            </w:r>
            <w:r>
              <w:rPr>
                <w:rFonts w:ascii="宋体" w:hAnsi="宋体" w:cs="宋体" w:eastAsia="宋体" w:hint="default"/>
                <w:spacing w:val="-5"/>
                <w:w w:val="101"/>
                <w:sz w:val="18"/>
                <w:szCs w:val="18"/>
              </w:rPr>
              <w:t>虚</w:t>
            </w:r>
            <w:r>
              <w:rPr>
                <w:rFonts w:ascii="宋体" w:hAnsi="宋体" w:cs="宋体" w:eastAsia="宋体" w:hint="default"/>
                <w:w w:val="101"/>
                <w:sz w:val="18"/>
                <w:szCs w:val="18"/>
              </w:rPr>
              <w:t>假</w:t>
            </w:r>
            <w:r>
              <w:rPr>
                <w:rFonts w:ascii="宋体" w:hAnsi="宋体" w:cs="宋体" w:eastAsia="宋体" w:hint="default"/>
                <w:spacing w:val="-5"/>
                <w:w w:val="101"/>
                <w:sz w:val="18"/>
                <w:szCs w:val="18"/>
              </w:rPr>
              <w:t>记</w:t>
            </w:r>
            <w:r>
              <w:rPr>
                <w:rFonts w:ascii="宋体" w:hAnsi="宋体" w:cs="宋体" w:eastAsia="宋体" w:hint="default"/>
                <w:w w:val="101"/>
                <w:sz w:val="18"/>
                <w:szCs w:val="18"/>
              </w:rPr>
              <w:t>载</w:t>
            </w:r>
            <w:r>
              <w:rPr>
                <w:rFonts w:ascii="宋体" w:hAnsi="宋体" w:cs="宋体" w:eastAsia="宋体" w:hint="default"/>
                <w:spacing w:val="-77"/>
                <w:w w:val="101"/>
                <w:sz w:val="18"/>
                <w:szCs w:val="18"/>
              </w:rPr>
              <w:t>、</w:t>
            </w:r>
            <w:r>
              <w:rPr>
                <w:rFonts w:ascii="宋体" w:hAnsi="宋体" w:cs="宋体" w:eastAsia="宋体" w:hint="default"/>
                <w:spacing w:val="-5"/>
                <w:w w:val="101"/>
                <w:sz w:val="18"/>
                <w:szCs w:val="18"/>
              </w:rPr>
              <w:t>误</w:t>
            </w:r>
            <w:r>
              <w:rPr>
                <w:rFonts w:ascii="宋体" w:hAnsi="宋体" w:cs="宋体" w:eastAsia="宋体" w:hint="default"/>
                <w:w w:val="101"/>
                <w:sz w:val="18"/>
                <w:szCs w:val="18"/>
              </w:rPr>
              <w:t>导</w:t>
            </w:r>
            <w:r>
              <w:rPr>
                <w:rFonts w:ascii="宋体" w:hAnsi="宋体" w:cs="宋体" w:eastAsia="宋体" w:hint="default"/>
                <w:spacing w:val="-5"/>
                <w:w w:val="101"/>
                <w:sz w:val="18"/>
                <w:szCs w:val="18"/>
              </w:rPr>
              <w:t>性</w:t>
            </w:r>
            <w:r>
              <w:rPr>
                <w:rFonts w:ascii="宋体" w:hAnsi="宋体" w:cs="宋体" w:eastAsia="宋体" w:hint="default"/>
                <w:w w:val="101"/>
                <w:sz w:val="18"/>
                <w:szCs w:val="18"/>
              </w:rPr>
              <w:t>陈</w:t>
            </w:r>
            <w:r>
              <w:rPr>
                <w:rFonts w:ascii="宋体" w:hAnsi="宋体" w:cs="宋体" w:eastAsia="宋体" w:hint="default"/>
                <w:spacing w:val="-5"/>
                <w:w w:val="101"/>
                <w:sz w:val="18"/>
                <w:szCs w:val="18"/>
              </w:rPr>
              <w:t>述</w:t>
            </w:r>
            <w:r>
              <w:rPr>
                <w:rFonts w:ascii="宋体" w:hAnsi="宋体" w:cs="宋体" w:eastAsia="宋体" w:hint="default"/>
                <w:w w:val="101"/>
                <w:sz w:val="18"/>
                <w:szCs w:val="18"/>
              </w:rPr>
              <w:t>或者</w:t>
            </w:r>
            <w:r>
              <w:rPr>
                <w:rFonts w:ascii="宋体" w:hAnsi="宋体" w:cs="宋体" w:eastAsia="宋体" w:hint="default"/>
                <w:sz w:val="18"/>
                <w:szCs w:val="18"/>
              </w:rPr>
            </w:r>
          </w:p>
        </w:tc>
        <w:tc>
          <w:tcPr>
            <w:tcW w:w="941" w:type="dxa"/>
            <w:tcBorders>
              <w:top w:val="single" w:sz="8" w:space="0" w:color="000000"/>
              <w:left w:val="single" w:sz="8" w:space="0" w:color="000000"/>
              <w:bottom w:val="nil" w:sz="6" w:space="0" w:color="auto"/>
              <w:right w:val="single" w:sz="8" w:space="0" w:color="000000"/>
            </w:tcBorders>
          </w:tcPr>
          <w:p>
            <w:pPr/>
          </w:p>
        </w:tc>
        <w:tc>
          <w:tcPr>
            <w:tcW w:w="639" w:type="dxa"/>
            <w:tcBorders>
              <w:top w:val="single" w:sz="8" w:space="0" w:color="000000"/>
              <w:left w:val="single" w:sz="8" w:space="0" w:color="000000"/>
              <w:bottom w:val="nil" w:sz="6" w:space="0" w:color="auto"/>
              <w:right w:val="single" w:sz="8" w:space="0" w:color="000000"/>
            </w:tcBorders>
          </w:tcPr>
          <w:p>
            <w:pPr/>
          </w:p>
        </w:tc>
        <w:tc>
          <w:tcPr>
            <w:tcW w:w="1023" w:type="dxa"/>
            <w:tcBorders>
              <w:top w:val="single" w:sz="8" w:space="0" w:color="000000"/>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w w:val="101"/>
                <w:sz w:val="18"/>
                <w:szCs w:val="18"/>
              </w:rPr>
              <w:t>重</w:t>
            </w:r>
            <w:r>
              <w:rPr>
                <w:rFonts w:ascii="宋体" w:hAnsi="宋体" w:cs="宋体" w:eastAsia="宋体" w:hint="default"/>
                <w:spacing w:val="-5"/>
                <w:w w:val="101"/>
                <w:sz w:val="18"/>
                <w:szCs w:val="18"/>
              </w:rPr>
              <w:t>大</w:t>
            </w:r>
            <w:r>
              <w:rPr>
                <w:rFonts w:ascii="宋体" w:hAnsi="宋体" w:cs="宋体" w:eastAsia="宋体" w:hint="default"/>
                <w:w w:val="101"/>
                <w:sz w:val="18"/>
                <w:szCs w:val="18"/>
              </w:rPr>
              <w:t>遗</w:t>
            </w:r>
            <w:r>
              <w:rPr>
                <w:rFonts w:ascii="宋体" w:hAnsi="宋体" w:cs="宋体" w:eastAsia="宋体" w:hint="default"/>
                <w:spacing w:val="-5"/>
                <w:w w:val="101"/>
                <w:sz w:val="18"/>
                <w:szCs w:val="18"/>
              </w:rPr>
              <w:t>漏</w:t>
            </w:r>
            <w:r>
              <w:rPr>
                <w:rFonts w:ascii="宋体" w:hAnsi="宋体" w:cs="宋体" w:eastAsia="宋体" w:hint="default"/>
                <w:w w:val="101"/>
                <w:sz w:val="18"/>
                <w:szCs w:val="18"/>
              </w:rPr>
              <w:t>的</w:t>
            </w:r>
            <w:r>
              <w:rPr>
                <w:rFonts w:ascii="宋体" w:hAnsi="宋体" w:cs="宋体" w:eastAsia="宋体" w:hint="default"/>
                <w:spacing w:val="-5"/>
                <w:w w:val="101"/>
                <w:sz w:val="18"/>
                <w:szCs w:val="18"/>
              </w:rPr>
              <w:t>承</w:t>
            </w:r>
            <w:r>
              <w:rPr>
                <w:rFonts w:ascii="宋体" w:hAnsi="宋体" w:cs="宋体" w:eastAsia="宋体" w:hint="default"/>
                <w:w w:val="101"/>
                <w:sz w:val="18"/>
                <w:szCs w:val="18"/>
              </w:rPr>
              <w:t>诺</w:t>
            </w:r>
            <w:r>
              <w:rPr>
                <w:rFonts w:ascii="宋体" w:hAnsi="宋体" w:cs="宋体" w:eastAsia="宋体" w:hint="default"/>
                <w:spacing w:val="-77"/>
                <w:w w:val="101"/>
                <w:sz w:val="18"/>
                <w:szCs w:val="18"/>
              </w:rPr>
              <w:t>：</w:t>
            </w:r>
            <w:r>
              <w:rPr>
                <w:rFonts w:ascii="宋体" w:hAnsi="宋体" w:cs="宋体" w:eastAsia="宋体" w:hint="default"/>
                <w:w w:val="101"/>
                <w:sz w:val="18"/>
                <w:szCs w:val="18"/>
              </w:rPr>
              <w:t>如</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人</w:t>
            </w:r>
            <w:r>
              <w:rPr>
                <w:rFonts w:ascii="宋体" w:hAnsi="宋体" w:cs="宋体" w:eastAsia="宋体" w:hint="default"/>
                <w:w w:val="101"/>
                <w:sz w:val="18"/>
                <w:szCs w:val="18"/>
              </w:rPr>
              <w:t>招</w:t>
            </w:r>
            <w:r>
              <w:rPr>
                <w:rFonts w:ascii="宋体" w:hAnsi="宋体" w:cs="宋体" w:eastAsia="宋体" w:hint="default"/>
                <w:spacing w:val="-5"/>
                <w:w w:val="101"/>
                <w:sz w:val="18"/>
                <w:szCs w:val="18"/>
              </w:rPr>
              <w:t>股说</w:t>
            </w:r>
            <w:r>
              <w:rPr>
                <w:rFonts w:ascii="宋体" w:hAnsi="宋体" w:cs="宋体" w:eastAsia="宋体" w:hint="default"/>
                <w:w w:val="101"/>
                <w:sz w:val="18"/>
                <w:szCs w:val="18"/>
              </w:rPr>
              <w:t>明</w:t>
            </w:r>
            <w:r>
              <w:rPr>
                <w:rFonts w:ascii="宋体" w:hAnsi="宋体" w:cs="宋体" w:eastAsia="宋体" w:hint="default"/>
                <w:spacing w:val="-5"/>
                <w:w w:val="101"/>
                <w:sz w:val="18"/>
                <w:szCs w:val="18"/>
              </w:rPr>
              <w:t>书</w:t>
            </w:r>
            <w:r>
              <w:rPr>
                <w:rFonts w:ascii="宋体" w:hAnsi="宋体" w:cs="宋体" w:eastAsia="宋体" w:hint="default"/>
                <w:w w:val="101"/>
                <w:sz w:val="18"/>
                <w:szCs w:val="18"/>
              </w:rPr>
              <w:t>有</w:t>
            </w:r>
            <w:r>
              <w:rPr>
                <w:rFonts w:ascii="宋体" w:hAnsi="宋体" w:cs="宋体" w:eastAsia="宋体" w:hint="default"/>
                <w:spacing w:val="-5"/>
                <w:w w:val="101"/>
                <w:sz w:val="18"/>
                <w:szCs w:val="18"/>
              </w:rPr>
              <w:t>虚</w:t>
            </w:r>
            <w:r>
              <w:rPr>
                <w:rFonts w:ascii="宋体" w:hAnsi="宋体" w:cs="宋体" w:eastAsia="宋体" w:hint="default"/>
                <w:w w:val="101"/>
                <w:sz w:val="18"/>
                <w:szCs w:val="18"/>
              </w:rPr>
              <w:t>假记</w:t>
            </w:r>
            <w:r>
              <w:rPr>
                <w:rFonts w:ascii="宋体" w:hAnsi="宋体" w:cs="宋体" w:eastAsia="宋体" w:hint="default"/>
                <w:sz w:val="18"/>
                <w:szCs w:val="18"/>
              </w:rPr>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6"/>
                <w:sz w:val="18"/>
                <w:szCs w:val="18"/>
              </w:rPr>
              <w:t>载、误导性陈述或者重大遗漏，致使投资者在证</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3"/>
                <w:sz w:val="18"/>
                <w:szCs w:val="18"/>
              </w:rPr>
              <w:t>券交易中遭受损失的，本公司将依照相关法律、</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1560"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6"/>
              <w:ind w:left="95" w:right="156"/>
              <w:jc w:val="both"/>
              <w:rPr>
                <w:rFonts w:ascii="宋体" w:hAnsi="宋体" w:cs="宋体" w:eastAsia="宋体" w:hint="default"/>
                <w:sz w:val="18"/>
                <w:szCs w:val="18"/>
              </w:rPr>
            </w:pPr>
            <w:r>
              <w:rPr>
                <w:rFonts w:ascii="宋体" w:hAnsi="宋体" w:cs="宋体" w:eastAsia="宋体" w:hint="default"/>
                <w:sz w:val="18"/>
                <w:szCs w:val="18"/>
              </w:rPr>
              <w:t>陕西医药控</w:t>
            </w:r>
            <w:r>
              <w:rPr>
                <w:rFonts w:ascii="宋体" w:hAnsi="宋体" w:cs="宋体" w:eastAsia="宋体" w:hint="default"/>
                <w:w w:val="101"/>
                <w:sz w:val="18"/>
                <w:szCs w:val="18"/>
              </w:rPr>
              <w:t> </w:t>
            </w:r>
            <w:r>
              <w:rPr>
                <w:rFonts w:ascii="宋体" w:hAnsi="宋体" w:cs="宋体" w:eastAsia="宋体" w:hint="default"/>
                <w:sz w:val="18"/>
                <w:szCs w:val="18"/>
              </w:rPr>
              <w:t>股集团有限</w:t>
            </w:r>
            <w:r>
              <w:rPr>
                <w:rFonts w:ascii="宋体" w:hAnsi="宋体" w:cs="宋体" w:eastAsia="宋体" w:hint="default"/>
                <w:w w:val="101"/>
                <w:sz w:val="18"/>
                <w:szCs w:val="18"/>
              </w:rPr>
              <w:t> </w:t>
            </w:r>
            <w:r>
              <w:rPr>
                <w:rFonts w:ascii="宋体" w:hAnsi="宋体" w:cs="宋体" w:eastAsia="宋体" w:hint="default"/>
                <w:sz w:val="18"/>
                <w:szCs w:val="18"/>
              </w:rPr>
              <w:t>责任公司</w:t>
            </w:r>
          </w:p>
        </w:tc>
        <w:tc>
          <w:tcPr>
            <w:tcW w:w="874" w:type="dxa"/>
            <w:tcBorders>
              <w:top w:val="nil" w:sz="6" w:space="0" w:color="auto"/>
              <w:left w:val="single" w:sz="8" w:space="0" w:color="000000"/>
              <w:bottom w:val="nil" w:sz="6" w:space="0" w:color="auto"/>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0" w:right="209"/>
              <w:jc w:val="left"/>
              <w:rPr>
                <w:rFonts w:ascii="宋体" w:hAnsi="宋体" w:cs="宋体" w:eastAsia="宋体" w:hint="default"/>
                <w:sz w:val="18"/>
                <w:szCs w:val="18"/>
              </w:rPr>
            </w:pPr>
            <w:r>
              <w:rPr>
                <w:rFonts w:ascii="宋体" w:hAnsi="宋体" w:cs="宋体" w:eastAsia="宋体" w:hint="default"/>
                <w:sz w:val="18"/>
                <w:szCs w:val="18"/>
              </w:rPr>
              <w:t>其他承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w:t>
            </w: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319" w:lineRule="auto" w:before="11"/>
              <w:ind w:left="101" w:right="18"/>
              <w:jc w:val="left"/>
              <w:rPr>
                <w:rFonts w:ascii="宋体" w:hAnsi="宋体" w:cs="宋体" w:eastAsia="宋体" w:hint="default"/>
                <w:sz w:val="18"/>
                <w:szCs w:val="18"/>
              </w:rPr>
            </w:pPr>
            <w:r>
              <w:rPr>
                <w:rFonts w:ascii="宋体" w:hAnsi="宋体" w:cs="宋体" w:eastAsia="宋体" w:hint="default"/>
                <w:spacing w:val="-3"/>
                <w:sz w:val="18"/>
                <w:szCs w:val="18"/>
              </w:rPr>
              <w:t>法规规定承担民事赔偿责任，赔偿投资者损失。</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w w:val="101"/>
                <w:sz w:val="18"/>
                <w:szCs w:val="18"/>
              </w:rPr>
              <w:t>本公司如未履行上述承诺，则本公司将在股东大</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会及中国证券监督管理委员会指定的披露媒体</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上公开说明未履行承诺的具体原因并向公司股</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w w:val="101"/>
                <w:sz w:val="18"/>
                <w:szCs w:val="18"/>
              </w:rPr>
              <w:t>东和社会公众投资者道歉；发行人有权将应付本</w:t>
            </w:r>
            <w:r>
              <w:rPr>
                <w:rFonts w:ascii="宋体" w:hAnsi="宋体" w:cs="宋体" w:eastAsia="宋体" w:hint="default"/>
                <w:spacing w:val="-6"/>
                <w:sz w:val="18"/>
                <w:szCs w:val="18"/>
              </w:rPr>
            </w:r>
          </w:p>
        </w:tc>
        <w:tc>
          <w:tcPr>
            <w:tcW w:w="941" w:type="dxa"/>
            <w:tcBorders>
              <w:top w:val="nil" w:sz="6" w:space="0" w:color="auto"/>
              <w:left w:val="single" w:sz="8" w:space="0" w:color="000000"/>
              <w:bottom w:val="nil" w:sz="6" w:space="0" w:color="auto"/>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9" w:type="dxa"/>
            <w:tcBorders>
              <w:top w:val="nil" w:sz="6" w:space="0" w:color="auto"/>
              <w:left w:val="single" w:sz="8" w:space="0" w:color="000000"/>
              <w:bottom w:val="nil" w:sz="6" w:space="0" w:color="auto"/>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长期</w:t>
            </w:r>
          </w:p>
        </w:tc>
        <w:tc>
          <w:tcPr>
            <w:tcW w:w="1023" w:type="dxa"/>
            <w:tcBorders>
              <w:top w:val="nil" w:sz="6" w:space="0" w:color="auto"/>
              <w:left w:val="single" w:sz="8" w:space="0" w:color="000000"/>
              <w:bottom w:val="nil" w:sz="6" w:space="0" w:color="auto"/>
              <w:right w:val="single" w:sz="8"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9" w:lineRule="auto"/>
              <w:ind w:left="100" w:right="176"/>
              <w:jc w:val="left"/>
              <w:rPr>
                <w:rFonts w:ascii="宋体" w:hAnsi="宋体" w:cs="宋体" w:eastAsia="宋体" w:hint="default"/>
                <w:sz w:val="18"/>
                <w:szCs w:val="18"/>
              </w:rPr>
            </w:pPr>
            <w:r>
              <w:rPr>
                <w:rFonts w:ascii="宋体" w:hAnsi="宋体" w:cs="宋体" w:eastAsia="宋体" w:hint="default"/>
                <w:sz w:val="18"/>
                <w:szCs w:val="18"/>
              </w:rPr>
              <w:t>尚在承诺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履行期，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严格履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w:t>
            </w: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的</w:t>
            </w:r>
            <w:r>
              <w:rPr>
                <w:rFonts w:ascii="宋体" w:hAnsi="宋体" w:cs="宋体" w:eastAsia="宋体" w:hint="default"/>
                <w:spacing w:val="-5"/>
                <w:w w:val="101"/>
                <w:sz w:val="18"/>
                <w:szCs w:val="18"/>
              </w:rPr>
              <w:t>现</w:t>
            </w:r>
            <w:r>
              <w:rPr>
                <w:rFonts w:ascii="宋体" w:hAnsi="宋体" w:cs="宋体" w:eastAsia="宋体" w:hint="default"/>
                <w:w w:val="101"/>
                <w:sz w:val="18"/>
                <w:szCs w:val="18"/>
              </w:rPr>
              <w:t>金</w:t>
            </w:r>
            <w:r>
              <w:rPr>
                <w:rFonts w:ascii="宋体" w:hAnsi="宋体" w:cs="宋体" w:eastAsia="宋体" w:hint="default"/>
                <w:spacing w:val="-5"/>
                <w:w w:val="101"/>
                <w:sz w:val="18"/>
                <w:szCs w:val="18"/>
              </w:rPr>
              <w:t>分</w:t>
            </w:r>
            <w:r>
              <w:rPr>
                <w:rFonts w:ascii="宋体" w:hAnsi="宋体" w:cs="宋体" w:eastAsia="宋体" w:hint="default"/>
                <w:w w:val="101"/>
                <w:sz w:val="18"/>
                <w:szCs w:val="18"/>
              </w:rPr>
              <w:t>红</w:t>
            </w:r>
            <w:r>
              <w:rPr>
                <w:rFonts w:ascii="宋体" w:hAnsi="宋体" w:cs="宋体" w:eastAsia="宋体" w:hint="default"/>
                <w:spacing w:val="-5"/>
                <w:w w:val="101"/>
                <w:sz w:val="18"/>
                <w:szCs w:val="18"/>
              </w:rPr>
              <w:t>予</w:t>
            </w:r>
            <w:r>
              <w:rPr>
                <w:rFonts w:ascii="宋体" w:hAnsi="宋体" w:cs="宋体" w:eastAsia="宋体" w:hint="default"/>
                <w:w w:val="101"/>
                <w:sz w:val="18"/>
                <w:szCs w:val="18"/>
              </w:rPr>
              <w:t>以</w:t>
            </w:r>
            <w:r>
              <w:rPr>
                <w:rFonts w:ascii="宋体" w:hAnsi="宋体" w:cs="宋体" w:eastAsia="宋体" w:hint="default"/>
                <w:spacing w:val="-5"/>
                <w:w w:val="101"/>
                <w:sz w:val="18"/>
                <w:szCs w:val="18"/>
              </w:rPr>
              <w:t>暂</w:t>
            </w:r>
            <w:r>
              <w:rPr>
                <w:rFonts w:ascii="宋体" w:hAnsi="宋体" w:cs="宋体" w:eastAsia="宋体" w:hint="default"/>
                <w:w w:val="101"/>
                <w:sz w:val="18"/>
                <w:szCs w:val="18"/>
              </w:rPr>
              <w:t>时</w:t>
            </w:r>
            <w:r>
              <w:rPr>
                <w:rFonts w:ascii="宋体" w:hAnsi="宋体" w:cs="宋体" w:eastAsia="宋体" w:hint="default"/>
                <w:spacing w:val="-5"/>
                <w:w w:val="101"/>
                <w:sz w:val="18"/>
                <w:szCs w:val="18"/>
              </w:rPr>
              <w:t>扣</w:t>
            </w:r>
            <w:r>
              <w:rPr>
                <w:rFonts w:ascii="宋体" w:hAnsi="宋体" w:cs="宋体" w:eastAsia="宋体" w:hint="default"/>
                <w:w w:val="101"/>
                <w:sz w:val="18"/>
                <w:szCs w:val="18"/>
              </w:rPr>
              <w:t>留</w:t>
            </w:r>
            <w:r>
              <w:rPr>
                <w:rFonts w:ascii="宋体" w:hAnsi="宋体" w:cs="宋体" w:eastAsia="宋体" w:hint="default"/>
                <w:spacing w:val="-77"/>
                <w:w w:val="101"/>
                <w:sz w:val="18"/>
                <w:szCs w:val="18"/>
              </w:rPr>
              <w:t>，</w:t>
            </w:r>
            <w:r>
              <w:rPr>
                <w:rFonts w:ascii="宋体" w:hAnsi="宋体" w:cs="宋体" w:eastAsia="宋体" w:hint="default"/>
                <w:spacing w:val="-5"/>
                <w:w w:val="101"/>
                <w:sz w:val="18"/>
                <w:szCs w:val="18"/>
              </w:rPr>
              <w:t>直</w:t>
            </w:r>
            <w:r>
              <w:rPr>
                <w:rFonts w:ascii="宋体" w:hAnsi="宋体" w:cs="宋体" w:eastAsia="宋体" w:hint="default"/>
                <w:w w:val="101"/>
                <w:sz w:val="18"/>
                <w:szCs w:val="18"/>
              </w:rPr>
              <w:t>至</w:t>
            </w:r>
            <w:r>
              <w:rPr>
                <w:rFonts w:ascii="宋体" w:hAnsi="宋体" w:cs="宋体" w:eastAsia="宋体" w:hint="default"/>
                <w:spacing w:val="-5"/>
                <w:w w:val="101"/>
                <w:sz w:val="18"/>
                <w:szCs w:val="18"/>
              </w:rPr>
              <w:t>本</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实际</w:t>
            </w:r>
            <w:r>
              <w:rPr>
                <w:rFonts w:ascii="宋体" w:hAnsi="宋体" w:cs="宋体" w:eastAsia="宋体" w:hint="default"/>
                <w:sz w:val="18"/>
                <w:szCs w:val="18"/>
              </w:rPr>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w w:val="101"/>
                <w:sz w:val="18"/>
                <w:szCs w:val="18"/>
              </w:rPr>
              <w:t>履</w:t>
            </w:r>
            <w:r>
              <w:rPr>
                <w:rFonts w:ascii="宋体" w:hAnsi="宋体" w:cs="宋体" w:eastAsia="宋体" w:hint="default"/>
                <w:spacing w:val="-5"/>
                <w:w w:val="101"/>
                <w:sz w:val="18"/>
                <w:szCs w:val="18"/>
              </w:rPr>
              <w:t>行</w:t>
            </w:r>
            <w:r>
              <w:rPr>
                <w:rFonts w:ascii="宋体" w:hAnsi="宋体" w:cs="宋体" w:eastAsia="宋体" w:hint="default"/>
                <w:w w:val="101"/>
                <w:sz w:val="18"/>
                <w:szCs w:val="18"/>
              </w:rPr>
              <w:t>上</w:t>
            </w:r>
            <w:r>
              <w:rPr>
                <w:rFonts w:ascii="宋体" w:hAnsi="宋体" w:cs="宋体" w:eastAsia="宋体" w:hint="default"/>
                <w:spacing w:val="-5"/>
                <w:w w:val="101"/>
                <w:sz w:val="18"/>
                <w:szCs w:val="18"/>
              </w:rPr>
              <w:t>述</w:t>
            </w:r>
            <w:r>
              <w:rPr>
                <w:rFonts w:ascii="宋体" w:hAnsi="宋体" w:cs="宋体" w:eastAsia="宋体" w:hint="default"/>
                <w:w w:val="101"/>
                <w:sz w:val="18"/>
                <w:szCs w:val="18"/>
              </w:rPr>
              <w:t>承</w:t>
            </w:r>
            <w:r>
              <w:rPr>
                <w:rFonts w:ascii="宋体" w:hAnsi="宋体" w:cs="宋体" w:eastAsia="宋体" w:hint="default"/>
                <w:spacing w:val="-5"/>
                <w:w w:val="101"/>
                <w:sz w:val="18"/>
                <w:szCs w:val="18"/>
              </w:rPr>
              <w:t>诺</w:t>
            </w:r>
            <w:r>
              <w:rPr>
                <w:rFonts w:ascii="宋体" w:hAnsi="宋体" w:cs="宋体" w:eastAsia="宋体" w:hint="default"/>
                <w:w w:val="101"/>
                <w:sz w:val="18"/>
                <w:szCs w:val="18"/>
              </w:rPr>
              <w:t>义</w:t>
            </w:r>
            <w:r>
              <w:rPr>
                <w:rFonts w:ascii="宋体" w:hAnsi="宋体" w:cs="宋体" w:eastAsia="宋体" w:hint="default"/>
                <w:spacing w:val="-5"/>
                <w:w w:val="101"/>
                <w:sz w:val="18"/>
                <w:szCs w:val="18"/>
              </w:rPr>
              <w:t>务</w:t>
            </w:r>
            <w:r>
              <w:rPr>
                <w:rFonts w:ascii="宋体" w:hAnsi="宋体" w:cs="宋体" w:eastAsia="宋体" w:hint="default"/>
                <w:w w:val="101"/>
                <w:sz w:val="18"/>
                <w:szCs w:val="18"/>
              </w:rPr>
              <w:t>为</w:t>
            </w:r>
            <w:r>
              <w:rPr>
                <w:rFonts w:ascii="宋体" w:hAnsi="宋体" w:cs="宋体" w:eastAsia="宋体" w:hint="default"/>
                <w:spacing w:val="-5"/>
                <w:w w:val="101"/>
                <w:sz w:val="18"/>
                <w:szCs w:val="18"/>
              </w:rPr>
              <w:t>止</w:t>
            </w:r>
            <w:r>
              <w:rPr>
                <w:rFonts w:ascii="宋体" w:hAnsi="宋体" w:cs="宋体" w:eastAsia="宋体" w:hint="default"/>
                <w:spacing w:val="-73"/>
                <w:w w:val="101"/>
                <w:sz w:val="18"/>
                <w:szCs w:val="18"/>
              </w:rPr>
              <w:t>；</w:t>
            </w:r>
            <w:r>
              <w:rPr>
                <w:rFonts w:ascii="宋体" w:hAnsi="宋体" w:cs="宋体" w:eastAsia="宋体" w:hint="default"/>
                <w:spacing w:val="-5"/>
                <w:w w:val="101"/>
                <w:sz w:val="18"/>
                <w:szCs w:val="18"/>
              </w:rPr>
              <w:t>如</w:t>
            </w:r>
            <w:r>
              <w:rPr>
                <w:rFonts w:ascii="宋体" w:hAnsi="宋体" w:cs="宋体" w:eastAsia="宋体" w:hint="default"/>
                <w:w w:val="101"/>
                <w:sz w:val="18"/>
                <w:szCs w:val="18"/>
              </w:rPr>
              <w:t>因</w:t>
            </w:r>
            <w:r>
              <w:rPr>
                <w:rFonts w:ascii="宋体" w:hAnsi="宋体" w:cs="宋体" w:eastAsia="宋体" w:hint="default"/>
                <w:spacing w:val="-5"/>
                <w:w w:val="101"/>
                <w:sz w:val="18"/>
                <w:szCs w:val="18"/>
              </w:rPr>
              <w:t>未履</w:t>
            </w:r>
            <w:r>
              <w:rPr>
                <w:rFonts w:ascii="宋体" w:hAnsi="宋体" w:cs="宋体" w:eastAsia="宋体" w:hint="default"/>
                <w:w w:val="101"/>
                <w:sz w:val="18"/>
                <w:szCs w:val="18"/>
              </w:rPr>
              <w:t>行</w:t>
            </w:r>
            <w:r>
              <w:rPr>
                <w:rFonts w:ascii="宋体" w:hAnsi="宋体" w:cs="宋体" w:eastAsia="宋体" w:hint="default"/>
                <w:spacing w:val="-5"/>
                <w:w w:val="101"/>
                <w:sz w:val="18"/>
                <w:szCs w:val="18"/>
              </w:rPr>
              <w:t>承</w:t>
            </w:r>
            <w:r>
              <w:rPr>
                <w:rFonts w:ascii="宋体" w:hAnsi="宋体" w:cs="宋体" w:eastAsia="宋体" w:hint="default"/>
                <w:w w:val="101"/>
                <w:sz w:val="18"/>
                <w:szCs w:val="18"/>
              </w:rPr>
              <w:t>诺</w:t>
            </w:r>
            <w:r>
              <w:rPr>
                <w:rFonts w:ascii="宋体" w:hAnsi="宋体" w:cs="宋体" w:eastAsia="宋体" w:hint="default"/>
                <w:spacing w:val="-5"/>
                <w:w w:val="101"/>
                <w:sz w:val="18"/>
                <w:szCs w:val="18"/>
              </w:rPr>
              <w:t>导</w:t>
            </w:r>
            <w:r>
              <w:rPr>
                <w:rFonts w:ascii="宋体" w:hAnsi="宋体" w:cs="宋体" w:eastAsia="宋体" w:hint="default"/>
                <w:w w:val="101"/>
                <w:sz w:val="18"/>
                <w:szCs w:val="18"/>
              </w:rPr>
              <w:t>致发</w:t>
            </w:r>
            <w:r>
              <w:rPr>
                <w:rFonts w:ascii="宋体" w:hAnsi="宋体" w:cs="宋体" w:eastAsia="宋体" w:hint="default"/>
                <w:sz w:val="18"/>
                <w:szCs w:val="18"/>
              </w:rPr>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w w:val="101"/>
                <w:sz w:val="18"/>
                <w:szCs w:val="18"/>
              </w:rPr>
              <w:t>行</w:t>
            </w:r>
            <w:r>
              <w:rPr>
                <w:rFonts w:ascii="宋体" w:hAnsi="宋体" w:cs="宋体" w:eastAsia="宋体" w:hint="default"/>
                <w:spacing w:val="-5"/>
                <w:w w:val="101"/>
                <w:sz w:val="18"/>
                <w:szCs w:val="18"/>
              </w:rPr>
              <w:t>人</w:t>
            </w:r>
            <w:r>
              <w:rPr>
                <w:rFonts w:ascii="宋体" w:hAnsi="宋体" w:cs="宋体" w:eastAsia="宋体" w:hint="default"/>
                <w:w w:val="101"/>
                <w:sz w:val="18"/>
                <w:szCs w:val="18"/>
              </w:rPr>
              <w:t>或</w:t>
            </w:r>
            <w:r>
              <w:rPr>
                <w:rFonts w:ascii="宋体" w:hAnsi="宋体" w:cs="宋体" w:eastAsia="宋体" w:hint="default"/>
                <w:spacing w:val="-5"/>
                <w:w w:val="101"/>
                <w:sz w:val="18"/>
                <w:szCs w:val="18"/>
              </w:rPr>
              <w:t>投</w:t>
            </w:r>
            <w:r>
              <w:rPr>
                <w:rFonts w:ascii="宋体" w:hAnsi="宋体" w:cs="宋体" w:eastAsia="宋体" w:hint="default"/>
                <w:w w:val="101"/>
                <w:sz w:val="18"/>
                <w:szCs w:val="18"/>
              </w:rPr>
              <w:t>资</w:t>
            </w:r>
            <w:r>
              <w:rPr>
                <w:rFonts w:ascii="宋体" w:hAnsi="宋体" w:cs="宋体" w:eastAsia="宋体" w:hint="default"/>
                <w:spacing w:val="-5"/>
                <w:w w:val="101"/>
                <w:sz w:val="18"/>
                <w:szCs w:val="18"/>
              </w:rPr>
              <w:t>者</w:t>
            </w:r>
            <w:r>
              <w:rPr>
                <w:rFonts w:ascii="宋体" w:hAnsi="宋体" w:cs="宋体" w:eastAsia="宋体" w:hint="default"/>
                <w:w w:val="101"/>
                <w:sz w:val="18"/>
                <w:szCs w:val="18"/>
              </w:rPr>
              <w:t>遭</w:t>
            </w:r>
            <w:r>
              <w:rPr>
                <w:rFonts w:ascii="宋体" w:hAnsi="宋体" w:cs="宋体" w:eastAsia="宋体" w:hint="default"/>
                <w:spacing w:val="-5"/>
                <w:w w:val="101"/>
                <w:sz w:val="18"/>
                <w:szCs w:val="18"/>
              </w:rPr>
              <w:t>受</w:t>
            </w:r>
            <w:r>
              <w:rPr>
                <w:rFonts w:ascii="宋体" w:hAnsi="宋体" w:cs="宋体" w:eastAsia="宋体" w:hint="default"/>
                <w:w w:val="101"/>
                <w:sz w:val="18"/>
                <w:szCs w:val="18"/>
              </w:rPr>
              <w:t>经</w:t>
            </w:r>
            <w:r>
              <w:rPr>
                <w:rFonts w:ascii="宋体" w:hAnsi="宋体" w:cs="宋体" w:eastAsia="宋体" w:hint="default"/>
                <w:spacing w:val="-5"/>
                <w:w w:val="101"/>
                <w:sz w:val="18"/>
                <w:szCs w:val="18"/>
              </w:rPr>
              <w:t>济</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的</w:t>
            </w:r>
            <w:r>
              <w:rPr>
                <w:rFonts w:ascii="宋体" w:hAnsi="宋体" w:cs="宋体" w:eastAsia="宋体" w:hint="default"/>
                <w:spacing w:val="-77"/>
                <w:w w:val="101"/>
                <w:sz w:val="18"/>
                <w:szCs w:val="18"/>
              </w:rPr>
              <w:t>，</w:t>
            </w:r>
            <w:r>
              <w:rPr>
                <w:rFonts w:ascii="宋体" w:hAnsi="宋体" w:cs="宋体" w:eastAsia="宋体" w:hint="default"/>
                <w:spacing w:val="-5"/>
                <w:w w:val="101"/>
                <w:sz w:val="18"/>
                <w:szCs w:val="18"/>
              </w:rPr>
              <w:t>本</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将</w:t>
            </w:r>
            <w:r>
              <w:rPr>
                <w:rFonts w:ascii="宋体" w:hAnsi="宋体" w:cs="宋体" w:eastAsia="宋体" w:hint="default"/>
                <w:spacing w:val="-5"/>
                <w:w w:val="101"/>
                <w:sz w:val="18"/>
                <w:szCs w:val="18"/>
              </w:rPr>
              <w:t>依</w:t>
            </w:r>
            <w:r>
              <w:rPr>
                <w:rFonts w:ascii="宋体" w:hAnsi="宋体" w:cs="宋体" w:eastAsia="宋体" w:hint="default"/>
                <w:w w:val="101"/>
                <w:sz w:val="18"/>
                <w:szCs w:val="18"/>
              </w:rPr>
              <w:t>法予</w:t>
            </w:r>
            <w:r>
              <w:rPr>
                <w:rFonts w:ascii="宋体" w:hAnsi="宋体" w:cs="宋体" w:eastAsia="宋体" w:hint="default"/>
                <w:sz w:val="18"/>
                <w:szCs w:val="18"/>
              </w:rPr>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23" w:hRule="exact"/>
        </w:trPr>
        <w:tc>
          <w:tcPr>
            <w:tcW w:w="1282" w:type="dxa"/>
            <w:vMerge/>
            <w:tcBorders>
              <w:left w:val="single" w:sz="8" w:space="0" w:color="000000"/>
              <w:bottom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single" w:sz="8" w:space="0" w:color="000000"/>
              <w:right w:val="single" w:sz="8" w:space="0" w:color="000000"/>
            </w:tcBorders>
          </w:tcPr>
          <w:p>
            <w:pPr/>
          </w:p>
        </w:tc>
        <w:tc>
          <w:tcPr>
            <w:tcW w:w="874" w:type="dxa"/>
            <w:tcBorders>
              <w:top w:val="nil" w:sz="6" w:space="0" w:color="auto"/>
              <w:left w:val="single" w:sz="8" w:space="0" w:color="000000"/>
              <w:bottom w:val="single" w:sz="8" w:space="0" w:color="000000"/>
              <w:right w:val="single" w:sz="8" w:space="0" w:color="000000"/>
            </w:tcBorders>
          </w:tcPr>
          <w:p>
            <w:pPr/>
          </w:p>
        </w:tc>
        <w:tc>
          <w:tcPr>
            <w:tcW w:w="392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以赔偿。</w:t>
            </w:r>
          </w:p>
        </w:tc>
        <w:tc>
          <w:tcPr>
            <w:tcW w:w="941" w:type="dxa"/>
            <w:tcBorders>
              <w:top w:val="nil" w:sz="6" w:space="0" w:color="auto"/>
              <w:left w:val="single" w:sz="8" w:space="0" w:color="000000"/>
              <w:bottom w:val="single" w:sz="8" w:space="0" w:color="000000"/>
              <w:right w:val="single" w:sz="8" w:space="0" w:color="000000"/>
            </w:tcBorders>
          </w:tcPr>
          <w:p>
            <w:pPr/>
          </w:p>
        </w:tc>
        <w:tc>
          <w:tcPr>
            <w:tcW w:w="639" w:type="dxa"/>
            <w:tcBorders>
              <w:top w:val="nil" w:sz="6" w:space="0" w:color="auto"/>
              <w:left w:val="single" w:sz="8" w:space="0" w:color="000000"/>
              <w:bottom w:val="single" w:sz="8" w:space="0" w:color="000000"/>
              <w:right w:val="single" w:sz="8" w:space="0" w:color="000000"/>
            </w:tcBorders>
          </w:tcPr>
          <w:p>
            <w:pPr/>
          </w:p>
        </w:tc>
        <w:tc>
          <w:tcPr>
            <w:tcW w:w="1023" w:type="dxa"/>
            <w:tcBorders>
              <w:top w:val="nil" w:sz="6" w:space="0" w:color="auto"/>
              <w:left w:val="single" w:sz="8" w:space="0" w:color="000000"/>
              <w:bottom w:val="single" w:sz="8" w:space="0" w:color="000000"/>
              <w:right w:val="single" w:sz="8" w:space="0" w:color="000000"/>
            </w:tcBorders>
          </w:tcPr>
          <w:p>
            <w:pPr/>
          </w:p>
        </w:tc>
      </w:tr>
    </w:tbl>
    <w:p>
      <w:pPr>
        <w:spacing w:after="0"/>
        <w:sectPr>
          <w:pgSz w:w="11910" w:h="16840"/>
          <w:pgMar w:header="0" w:footer="979" w:top="1100" w:bottom="1160" w:left="900" w:right="0"/>
        </w:sectPr>
      </w:pPr>
    </w:p>
    <w:p>
      <w:pPr>
        <w:spacing w:line="240" w:lineRule="auto" w:before="2"/>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1282"/>
        <w:gridCol w:w="1176"/>
        <w:gridCol w:w="874"/>
        <w:gridCol w:w="3924"/>
        <w:gridCol w:w="941"/>
        <w:gridCol w:w="639"/>
        <w:gridCol w:w="1023"/>
      </w:tblGrid>
      <w:tr>
        <w:trPr>
          <w:trHeight w:val="316" w:hRule="exact"/>
        </w:trPr>
        <w:tc>
          <w:tcPr>
            <w:tcW w:w="1282" w:type="dxa"/>
            <w:vMerge w:val="restart"/>
            <w:tcBorders>
              <w:top w:val="nil" w:sz="6" w:space="0" w:color="auto"/>
              <w:left w:val="single" w:sz="8" w:space="0" w:color="000000"/>
              <w:right w:val="single" w:sz="8" w:space="0" w:color="000000"/>
            </w:tcBorders>
            <w:shd w:val="clear" w:color="auto" w:fill="D2D2D2"/>
          </w:tcPr>
          <w:p>
            <w:pPr>
              <w:pStyle w:val="TableParagraph"/>
              <w:spacing w:line="13750" w:lineRule="exact"/>
              <w:ind w:left="4"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62.95pt;height:687.55pt;mso-position-horizontal-relative:char;mso-position-vertical-relative:line" coordorigin="0,0" coordsize="1259,13751">
                  <v:group style="position:absolute;left:0;top:0;width:1259;height:5930" coordorigin="0,0" coordsize="1259,5930">
                    <v:shape style="position:absolute;left:0;top:0;width:1259;height:5930" coordorigin="0,0" coordsize="1259,5930" path="m0,5929l1258,5929,1258,0,0,0,0,5929xe" filled="true" fillcolor="#d2d2d2" stroked="false">
                      <v:path arrowok="t"/>
                      <v:fill type="solid"/>
                    </v:shape>
                  </v:group>
                  <v:group style="position:absolute;left:0;top:5929;width:1259;height:7822" coordorigin="0,5929" coordsize="1259,7822">
                    <v:shape style="position:absolute;left:0;top:5929;width:1259;height:7822" coordorigin="0,5929" coordsize="1259,7822" path="m0,13751l1258,13751,1258,5929,0,5929,0,13751xe" filled="true" fillcolor="#d2d2d2" stroked="false">
                      <v:path arrowok="t"/>
                      <v:fill type="solid"/>
                    </v:shape>
                  </v:group>
                </v:group>
              </w:pict>
            </w:r>
            <w:r>
              <w:rPr>
                <w:rFonts w:ascii="Times New Roman" w:hAnsi="Times New Roman" w:cs="Times New Roman" w:eastAsia="Times New Roman" w:hint="default"/>
                <w:position w:val="-274"/>
                <w:sz w:val="20"/>
                <w:szCs w:val="20"/>
              </w:rPr>
            </w: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3"/>
                <w:sz w:val="18"/>
                <w:szCs w:val="18"/>
              </w:rPr>
              <w:t>关于避免同业竞争的承诺函</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、本公司目前没</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07"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pacing w:val="-6"/>
                <w:sz w:val="18"/>
                <w:szCs w:val="18"/>
              </w:rPr>
              <w:t>有，将来在作为环球印务股东期间，也不直接或</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3"/>
                <w:sz w:val="18"/>
                <w:szCs w:val="18"/>
              </w:rPr>
              <w:t>间接从事与环球印务及其控股子公司构成同业</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w w:val="101"/>
                <w:sz w:val="18"/>
                <w:szCs w:val="18"/>
              </w:rPr>
              <w:t>竞</w:t>
            </w:r>
            <w:r>
              <w:rPr>
                <w:rFonts w:ascii="宋体" w:hAnsi="宋体" w:cs="宋体" w:eastAsia="宋体" w:hint="default"/>
                <w:spacing w:val="-5"/>
                <w:w w:val="101"/>
                <w:sz w:val="18"/>
                <w:szCs w:val="18"/>
              </w:rPr>
              <w:t>争</w:t>
            </w:r>
            <w:r>
              <w:rPr>
                <w:rFonts w:ascii="宋体" w:hAnsi="宋体" w:cs="宋体" w:eastAsia="宋体" w:hint="default"/>
                <w:w w:val="101"/>
                <w:sz w:val="18"/>
                <w:szCs w:val="18"/>
              </w:rPr>
              <w:t>的</w:t>
            </w:r>
            <w:r>
              <w:rPr>
                <w:rFonts w:ascii="宋体" w:hAnsi="宋体" w:cs="宋体" w:eastAsia="宋体" w:hint="default"/>
                <w:spacing w:val="-5"/>
                <w:w w:val="101"/>
                <w:sz w:val="18"/>
                <w:szCs w:val="18"/>
              </w:rPr>
              <w:t>任</w:t>
            </w:r>
            <w:r>
              <w:rPr>
                <w:rFonts w:ascii="宋体" w:hAnsi="宋体" w:cs="宋体" w:eastAsia="宋体" w:hint="default"/>
                <w:w w:val="101"/>
                <w:sz w:val="18"/>
                <w:szCs w:val="18"/>
              </w:rPr>
              <w:t>何</w:t>
            </w:r>
            <w:r>
              <w:rPr>
                <w:rFonts w:ascii="宋体" w:hAnsi="宋体" w:cs="宋体" w:eastAsia="宋体" w:hint="default"/>
                <w:spacing w:val="-5"/>
                <w:w w:val="101"/>
                <w:sz w:val="18"/>
                <w:szCs w:val="18"/>
              </w:rPr>
              <w:t>活</w:t>
            </w:r>
            <w:r>
              <w:rPr>
                <w:rFonts w:ascii="宋体" w:hAnsi="宋体" w:cs="宋体" w:eastAsia="宋体" w:hint="default"/>
                <w:w w:val="101"/>
                <w:sz w:val="18"/>
                <w:szCs w:val="18"/>
              </w:rPr>
              <w:t>动</w:t>
            </w:r>
            <w:r>
              <w:rPr>
                <w:rFonts w:ascii="宋体" w:hAnsi="宋体" w:cs="宋体" w:eastAsia="宋体" w:hint="default"/>
                <w:spacing w:val="-77"/>
                <w:w w:val="101"/>
                <w:sz w:val="18"/>
                <w:szCs w:val="18"/>
              </w:rPr>
              <w:t>，</w:t>
            </w:r>
            <w:r>
              <w:rPr>
                <w:rFonts w:ascii="宋体" w:hAnsi="宋体" w:cs="宋体" w:eastAsia="宋体" w:hint="default"/>
                <w:w w:val="101"/>
                <w:sz w:val="18"/>
                <w:szCs w:val="18"/>
              </w:rPr>
              <w:t>不</w:t>
            </w:r>
            <w:r>
              <w:rPr>
                <w:rFonts w:ascii="宋体" w:hAnsi="宋体" w:cs="宋体" w:eastAsia="宋体" w:hint="default"/>
                <w:spacing w:val="-5"/>
                <w:w w:val="101"/>
                <w:sz w:val="18"/>
                <w:szCs w:val="18"/>
              </w:rPr>
              <w:t>利</w:t>
            </w:r>
            <w:r>
              <w:rPr>
                <w:rFonts w:ascii="宋体" w:hAnsi="宋体" w:cs="宋体" w:eastAsia="宋体" w:hint="default"/>
                <w:w w:val="101"/>
                <w:sz w:val="18"/>
                <w:szCs w:val="18"/>
              </w:rPr>
              <w:t>用</w:t>
            </w:r>
            <w:r>
              <w:rPr>
                <w:rFonts w:ascii="宋体" w:hAnsi="宋体" w:cs="宋体" w:eastAsia="宋体" w:hint="default"/>
                <w:spacing w:val="-5"/>
                <w:w w:val="101"/>
                <w:sz w:val="18"/>
                <w:szCs w:val="18"/>
              </w:rPr>
              <w:t>控</w:t>
            </w:r>
            <w:r>
              <w:rPr>
                <w:rFonts w:ascii="宋体" w:hAnsi="宋体" w:cs="宋体" w:eastAsia="宋体" w:hint="default"/>
                <w:w w:val="101"/>
                <w:sz w:val="18"/>
                <w:szCs w:val="18"/>
              </w:rPr>
              <w:t>股</w:t>
            </w:r>
            <w:r>
              <w:rPr>
                <w:rFonts w:ascii="宋体" w:hAnsi="宋体" w:cs="宋体" w:eastAsia="宋体" w:hint="default"/>
                <w:spacing w:val="-5"/>
                <w:w w:val="101"/>
                <w:sz w:val="18"/>
                <w:szCs w:val="18"/>
              </w:rPr>
              <w:t>股东</w:t>
            </w:r>
            <w:r>
              <w:rPr>
                <w:rFonts w:ascii="宋体" w:hAnsi="宋体" w:cs="宋体" w:eastAsia="宋体" w:hint="default"/>
                <w:w w:val="101"/>
                <w:sz w:val="18"/>
                <w:szCs w:val="18"/>
              </w:rPr>
              <w:t>地</w:t>
            </w:r>
            <w:r>
              <w:rPr>
                <w:rFonts w:ascii="宋体" w:hAnsi="宋体" w:cs="宋体" w:eastAsia="宋体" w:hint="default"/>
                <w:spacing w:val="-5"/>
                <w:w w:val="101"/>
                <w:sz w:val="18"/>
                <w:szCs w:val="18"/>
              </w:rPr>
              <w:t>位</w:t>
            </w:r>
            <w:r>
              <w:rPr>
                <w:rFonts w:ascii="宋体" w:hAnsi="宋体" w:cs="宋体" w:eastAsia="宋体" w:hint="default"/>
                <w:w w:val="101"/>
                <w:sz w:val="18"/>
                <w:szCs w:val="18"/>
              </w:rPr>
              <w:t>谋</w:t>
            </w:r>
            <w:r>
              <w:rPr>
                <w:rFonts w:ascii="宋体" w:hAnsi="宋体" w:cs="宋体" w:eastAsia="宋体" w:hint="default"/>
                <w:spacing w:val="-5"/>
                <w:w w:val="101"/>
                <w:sz w:val="18"/>
                <w:szCs w:val="18"/>
              </w:rPr>
              <w:t>求</w:t>
            </w:r>
            <w:r>
              <w:rPr>
                <w:rFonts w:ascii="宋体" w:hAnsi="宋体" w:cs="宋体" w:eastAsia="宋体" w:hint="default"/>
                <w:w w:val="101"/>
                <w:sz w:val="18"/>
                <w:szCs w:val="18"/>
              </w:rPr>
              <w:t>任何</w:t>
            </w:r>
            <w:r>
              <w:rPr>
                <w:rFonts w:ascii="宋体" w:hAnsi="宋体" w:cs="宋体" w:eastAsia="宋体" w:hint="default"/>
                <w:sz w:val="18"/>
                <w:szCs w:val="18"/>
              </w:rPr>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w w:val="101"/>
                <w:sz w:val="18"/>
                <w:szCs w:val="18"/>
              </w:rPr>
              <w:t>不</w:t>
            </w:r>
            <w:r>
              <w:rPr>
                <w:rFonts w:ascii="宋体" w:hAnsi="宋体" w:cs="宋体" w:eastAsia="宋体" w:hint="default"/>
                <w:spacing w:val="-5"/>
                <w:w w:val="101"/>
                <w:sz w:val="18"/>
                <w:szCs w:val="18"/>
              </w:rPr>
              <w:t>正</w:t>
            </w:r>
            <w:r>
              <w:rPr>
                <w:rFonts w:ascii="宋体" w:hAnsi="宋体" w:cs="宋体" w:eastAsia="宋体" w:hint="default"/>
                <w:w w:val="101"/>
                <w:sz w:val="18"/>
                <w:szCs w:val="18"/>
              </w:rPr>
              <w:t>当</w:t>
            </w:r>
            <w:r>
              <w:rPr>
                <w:rFonts w:ascii="宋体" w:hAnsi="宋体" w:cs="宋体" w:eastAsia="宋体" w:hint="default"/>
                <w:spacing w:val="-5"/>
                <w:w w:val="101"/>
                <w:sz w:val="18"/>
                <w:szCs w:val="18"/>
              </w:rPr>
              <w:t>利</w:t>
            </w:r>
            <w:r>
              <w:rPr>
                <w:rFonts w:ascii="宋体" w:hAnsi="宋体" w:cs="宋体" w:eastAsia="宋体" w:hint="default"/>
                <w:w w:val="101"/>
                <w:sz w:val="18"/>
                <w:szCs w:val="18"/>
              </w:rPr>
              <w:t>益</w:t>
            </w:r>
            <w:r>
              <w:rPr>
                <w:rFonts w:ascii="宋体" w:hAnsi="宋体" w:cs="宋体" w:eastAsia="宋体" w:hint="default"/>
                <w:spacing w:val="-77"/>
                <w:w w:val="101"/>
                <w:sz w:val="18"/>
                <w:szCs w:val="18"/>
              </w:rPr>
              <w:t>，</w:t>
            </w:r>
            <w:r>
              <w:rPr>
                <w:rFonts w:ascii="宋体" w:hAnsi="宋体" w:cs="宋体" w:eastAsia="宋体" w:hint="default"/>
                <w:w w:val="101"/>
                <w:sz w:val="18"/>
                <w:szCs w:val="18"/>
              </w:rPr>
              <w:t>进</w:t>
            </w:r>
            <w:r>
              <w:rPr>
                <w:rFonts w:ascii="宋体" w:hAnsi="宋体" w:cs="宋体" w:eastAsia="宋体" w:hint="default"/>
                <w:spacing w:val="-5"/>
                <w:w w:val="101"/>
                <w:sz w:val="18"/>
                <w:szCs w:val="18"/>
              </w:rPr>
              <w:t>而</w:t>
            </w:r>
            <w:r>
              <w:rPr>
                <w:rFonts w:ascii="宋体" w:hAnsi="宋体" w:cs="宋体" w:eastAsia="宋体" w:hint="default"/>
                <w:w w:val="101"/>
                <w:sz w:val="18"/>
                <w:szCs w:val="18"/>
              </w:rPr>
              <w:t>损</w:t>
            </w:r>
            <w:r>
              <w:rPr>
                <w:rFonts w:ascii="宋体" w:hAnsi="宋体" w:cs="宋体" w:eastAsia="宋体" w:hint="default"/>
                <w:spacing w:val="-5"/>
                <w:w w:val="101"/>
                <w:sz w:val="18"/>
                <w:szCs w:val="18"/>
              </w:rPr>
              <w:t>害</w:t>
            </w:r>
            <w:r>
              <w:rPr>
                <w:rFonts w:ascii="宋体" w:hAnsi="宋体" w:cs="宋体" w:eastAsia="宋体" w:hint="default"/>
                <w:w w:val="101"/>
                <w:sz w:val="18"/>
                <w:szCs w:val="18"/>
              </w:rPr>
              <w:t>环</w:t>
            </w:r>
            <w:r>
              <w:rPr>
                <w:rFonts w:ascii="宋体" w:hAnsi="宋体" w:cs="宋体" w:eastAsia="宋体" w:hint="default"/>
                <w:spacing w:val="-5"/>
                <w:w w:val="101"/>
                <w:sz w:val="18"/>
                <w:szCs w:val="18"/>
              </w:rPr>
              <w:t>球</w:t>
            </w:r>
            <w:r>
              <w:rPr>
                <w:rFonts w:ascii="宋体" w:hAnsi="宋体" w:cs="宋体" w:eastAsia="宋体" w:hint="default"/>
                <w:w w:val="101"/>
                <w:sz w:val="18"/>
                <w:szCs w:val="18"/>
              </w:rPr>
              <w:t>印</w:t>
            </w:r>
            <w:r>
              <w:rPr>
                <w:rFonts w:ascii="宋体" w:hAnsi="宋体" w:cs="宋体" w:eastAsia="宋体" w:hint="default"/>
                <w:spacing w:val="-5"/>
                <w:w w:val="101"/>
                <w:sz w:val="18"/>
                <w:szCs w:val="18"/>
              </w:rPr>
              <w:t>务或</w:t>
            </w:r>
            <w:r>
              <w:rPr>
                <w:rFonts w:ascii="宋体" w:hAnsi="宋体" w:cs="宋体" w:eastAsia="宋体" w:hint="default"/>
                <w:w w:val="101"/>
                <w:sz w:val="18"/>
                <w:szCs w:val="18"/>
              </w:rPr>
              <w:t>环</w:t>
            </w:r>
            <w:r>
              <w:rPr>
                <w:rFonts w:ascii="宋体" w:hAnsi="宋体" w:cs="宋体" w:eastAsia="宋体" w:hint="default"/>
                <w:spacing w:val="-5"/>
                <w:w w:val="101"/>
                <w:sz w:val="18"/>
                <w:szCs w:val="18"/>
              </w:rPr>
              <w:t>球</w:t>
            </w:r>
            <w:r>
              <w:rPr>
                <w:rFonts w:ascii="宋体" w:hAnsi="宋体" w:cs="宋体" w:eastAsia="宋体" w:hint="default"/>
                <w:w w:val="101"/>
                <w:sz w:val="18"/>
                <w:szCs w:val="18"/>
              </w:rPr>
              <w:t>印</w:t>
            </w:r>
            <w:r>
              <w:rPr>
                <w:rFonts w:ascii="宋体" w:hAnsi="宋体" w:cs="宋体" w:eastAsia="宋体" w:hint="default"/>
                <w:spacing w:val="-5"/>
                <w:w w:val="101"/>
                <w:sz w:val="18"/>
                <w:szCs w:val="18"/>
              </w:rPr>
              <w:t>务</w:t>
            </w:r>
            <w:r>
              <w:rPr>
                <w:rFonts w:ascii="宋体" w:hAnsi="宋体" w:cs="宋体" w:eastAsia="宋体" w:hint="default"/>
                <w:w w:val="101"/>
                <w:sz w:val="18"/>
                <w:szCs w:val="18"/>
              </w:rPr>
              <w:t>其他</w:t>
            </w:r>
            <w:r>
              <w:rPr>
                <w:rFonts w:ascii="宋体" w:hAnsi="宋体" w:cs="宋体" w:eastAsia="宋体" w:hint="default"/>
                <w:sz w:val="18"/>
                <w:szCs w:val="18"/>
              </w:rPr>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7"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3"/>
                <w:sz w:val="18"/>
                <w:szCs w:val="18"/>
              </w:rPr>
              <w:t>股东的利益。</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、本公司将通过本公司的控制地</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07"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关于同</w:t>
            </w: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pacing w:val="-6"/>
                <w:sz w:val="18"/>
                <w:szCs w:val="18"/>
              </w:rPr>
              <w:t>位以及派出机构和人员（包括但不限于董事、经</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1560"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6"/>
              <w:ind w:left="95" w:right="156"/>
              <w:jc w:val="both"/>
              <w:rPr>
                <w:rFonts w:ascii="宋体" w:hAnsi="宋体" w:cs="宋体" w:eastAsia="宋体" w:hint="default"/>
                <w:sz w:val="18"/>
                <w:szCs w:val="18"/>
              </w:rPr>
            </w:pPr>
            <w:r>
              <w:rPr>
                <w:rFonts w:ascii="宋体" w:hAnsi="宋体" w:cs="宋体" w:eastAsia="宋体" w:hint="default"/>
                <w:sz w:val="18"/>
                <w:szCs w:val="18"/>
              </w:rPr>
              <w:t>陕西医药控</w:t>
            </w:r>
            <w:r>
              <w:rPr>
                <w:rFonts w:ascii="宋体" w:hAnsi="宋体" w:cs="宋体" w:eastAsia="宋体" w:hint="default"/>
                <w:w w:val="101"/>
                <w:sz w:val="18"/>
                <w:szCs w:val="18"/>
              </w:rPr>
              <w:t> </w:t>
            </w:r>
            <w:r>
              <w:rPr>
                <w:rFonts w:ascii="宋体" w:hAnsi="宋体" w:cs="宋体" w:eastAsia="宋体" w:hint="default"/>
                <w:sz w:val="18"/>
                <w:szCs w:val="18"/>
              </w:rPr>
              <w:t>股集团有限</w:t>
            </w:r>
            <w:r>
              <w:rPr>
                <w:rFonts w:ascii="宋体" w:hAnsi="宋体" w:cs="宋体" w:eastAsia="宋体" w:hint="default"/>
                <w:w w:val="101"/>
                <w:sz w:val="18"/>
                <w:szCs w:val="18"/>
              </w:rPr>
              <w:t> </w:t>
            </w:r>
            <w:r>
              <w:rPr>
                <w:rFonts w:ascii="宋体" w:hAnsi="宋体" w:cs="宋体" w:eastAsia="宋体" w:hint="default"/>
                <w:sz w:val="18"/>
                <w:szCs w:val="18"/>
              </w:rPr>
              <w:t>责任公司</w:t>
            </w:r>
          </w:p>
        </w:tc>
        <w:tc>
          <w:tcPr>
            <w:tcW w:w="874" w:type="dxa"/>
            <w:tcBorders>
              <w:top w:val="nil" w:sz="6" w:space="0" w:color="auto"/>
              <w:left w:val="single" w:sz="8" w:space="0" w:color="000000"/>
              <w:bottom w:val="nil" w:sz="6" w:space="0" w:color="auto"/>
              <w:right w:val="single" w:sz="8" w:space="0" w:color="000000"/>
            </w:tcBorders>
          </w:tcPr>
          <w:p>
            <w:pPr>
              <w:pStyle w:val="TableParagraph"/>
              <w:spacing w:line="319" w:lineRule="auto" w:before="11"/>
              <w:ind w:left="100" w:right="26"/>
              <w:jc w:val="left"/>
              <w:rPr>
                <w:rFonts w:ascii="宋体" w:hAnsi="宋体" w:cs="宋体" w:eastAsia="宋体" w:hint="default"/>
                <w:sz w:val="18"/>
                <w:szCs w:val="18"/>
              </w:rPr>
            </w:pPr>
            <w:r>
              <w:rPr>
                <w:rFonts w:ascii="宋体" w:hAnsi="宋体" w:cs="宋体" w:eastAsia="宋体" w:hint="default"/>
                <w:sz w:val="18"/>
                <w:szCs w:val="18"/>
              </w:rPr>
              <w:t>业竞争、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易、资金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占用方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面的承</w:t>
            </w: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314" w:lineRule="auto" w:before="11"/>
              <w:ind w:left="101" w:right="90"/>
              <w:jc w:val="left"/>
              <w:rPr>
                <w:rFonts w:ascii="宋体" w:hAnsi="宋体" w:cs="宋体" w:eastAsia="宋体" w:hint="default"/>
                <w:sz w:val="18"/>
                <w:szCs w:val="18"/>
              </w:rPr>
            </w:pPr>
            <w:r>
              <w:rPr>
                <w:rFonts w:ascii="宋体" w:hAnsi="宋体" w:cs="宋体" w:eastAsia="宋体" w:hint="default"/>
                <w:spacing w:val="-6"/>
                <w:sz w:val="18"/>
                <w:szCs w:val="18"/>
              </w:rPr>
              <w:t>理），保证本公司直接和间接控制的企业或组织</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履行与本公司相同的义务。</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、若环球印务今后</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6"/>
                <w:w w:val="101"/>
                <w:sz w:val="18"/>
                <w:szCs w:val="18"/>
              </w:rPr>
              <w:t>从事新的业务领域，则本公司及本公司控制的其</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他企业或组织将不以控股或参股但拥有实质控</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w w:val="101"/>
                <w:sz w:val="18"/>
                <w:szCs w:val="18"/>
              </w:rPr>
              <w:t>制权的方式，从事与环球印务新业务相同或相似</w:t>
            </w:r>
            <w:r>
              <w:rPr>
                <w:rFonts w:ascii="宋体" w:hAnsi="宋体" w:cs="宋体" w:eastAsia="宋体" w:hint="default"/>
                <w:spacing w:val="-6"/>
                <w:sz w:val="18"/>
                <w:szCs w:val="18"/>
              </w:rPr>
            </w:r>
          </w:p>
        </w:tc>
        <w:tc>
          <w:tcPr>
            <w:tcW w:w="941" w:type="dxa"/>
            <w:tcBorders>
              <w:top w:val="nil" w:sz="6" w:space="0" w:color="auto"/>
              <w:left w:val="single" w:sz="8" w:space="0" w:color="000000"/>
              <w:bottom w:val="nil" w:sz="6" w:space="0" w:color="auto"/>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9" w:type="dxa"/>
            <w:tcBorders>
              <w:top w:val="nil" w:sz="6" w:space="0" w:color="auto"/>
              <w:left w:val="single" w:sz="8" w:space="0" w:color="000000"/>
              <w:bottom w:val="nil" w:sz="6" w:space="0" w:color="auto"/>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长期</w:t>
            </w:r>
          </w:p>
        </w:tc>
        <w:tc>
          <w:tcPr>
            <w:tcW w:w="1023" w:type="dxa"/>
            <w:tcBorders>
              <w:top w:val="nil" w:sz="6" w:space="0" w:color="auto"/>
              <w:left w:val="single" w:sz="8" w:space="0" w:color="000000"/>
              <w:bottom w:val="nil" w:sz="6" w:space="0" w:color="auto"/>
              <w:right w:val="single" w:sz="8"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9" w:lineRule="auto"/>
              <w:ind w:left="100" w:right="176"/>
              <w:jc w:val="left"/>
              <w:rPr>
                <w:rFonts w:ascii="宋体" w:hAnsi="宋体" w:cs="宋体" w:eastAsia="宋体" w:hint="default"/>
                <w:sz w:val="18"/>
                <w:szCs w:val="18"/>
              </w:rPr>
            </w:pPr>
            <w:r>
              <w:rPr>
                <w:rFonts w:ascii="宋体" w:hAnsi="宋体" w:cs="宋体" w:eastAsia="宋体" w:hint="default"/>
                <w:sz w:val="18"/>
                <w:szCs w:val="18"/>
              </w:rPr>
              <w:t>尚在承诺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履行期，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严格履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w:t>
            </w:r>
          </w:p>
        </w:tc>
      </w:tr>
      <w:tr>
        <w:trPr>
          <w:trHeight w:val="317"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w w:val="101"/>
                <w:sz w:val="18"/>
                <w:szCs w:val="18"/>
              </w:rPr>
              <w:t>诺</w:t>
            </w:r>
            <w:r>
              <w:rPr>
                <w:rFonts w:ascii="宋体" w:hAnsi="宋体" w:cs="宋体" w:eastAsia="宋体" w:hint="default"/>
                <w:sz w:val="18"/>
                <w:szCs w:val="18"/>
              </w:rPr>
            </w: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3"/>
                <w:sz w:val="18"/>
                <w:szCs w:val="18"/>
              </w:rPr>
              <w:t>的业务活动。</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、如本公司及本公司控制的其他</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07"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w w:val="101"/>
                <w:sz w:val="18"/>
                <w:szCs w:val="18"/>
              </w:rPr>
              <w:t>企</w:t>
            </w:r>
            <w:r>
              <w:rPr>
                <w:rFonts w:ascii="宋体" w:hAnsi="宋体" w:cs="宋体" w:eastAsia="宋体" w:hint="default"/>
                <w:spacing w:val="-5"/>
                <w:w w:val="101"/>
                <w:sz w:val="18"/>
                <w:szCs w:val="18"/>
              </w:rPr>
              <w:t>业</w:t>
            </w:r>
            <w:r>
              <w:rPr>
                <w:rFonts w:ascii="宋体" w:hAnsi="宋体" w:cs="宋体" w:eastAsia="宋体" w:hint="default"/>
                <w:w w:val="101"/>
                <w:sz w:val="18"/>
                <w:szCs w:val="18"/>
              </w:rPr>
              <w:t>或</w:t>
            </w:r>
            <w:r>
              <w:rPr>
                <w:rFonts w:ascii="宋体" w:hAnsi="宋体" w:cs="宋体" w:eastAsia="宋体" w:hint="default"/>
                <w:spacing w:val="-5"/>
                <w:w w:val="101"/>
                <w:sz w:val="18"/>
                <w:szCs w:val="18"/>
              </w:rPr>
              <w:t>组</w:t>
            </w:r>
            <w:r>
              <w:rPr>
                <w:rFonts w:ascii="宋体" w:hAnsi="宋体" w:cs="宋体" w:eastAsia="宋体" w:hint="default"/>
                <w:w w:val="101"/>
                <w:sz w:val="18"/>
                <w:szCs w:val="18"/>
              </w:rPr>
              <w:t>织</w:t>
            </w:r>
            <w:r>
              <w:rPr>
                <w:rFonts w:ascii="宋体" w:hAnsi="宋体" w:cs="宋体" w:eastAsia="宋体" w:hint="default"/>
                <w:spacing w:val="-5"/>
                <w:w w:val="101"/>
                <w:sz w:val="18"/>
                <w:szCs w:val="18"/>
              </w:rPr>
              <w:t>出</w:t>
            </w:r>
            <w:r>
              <w:rPr>
                <w:rFonts w:ascii="宋体" w:hAnsi="宋体" w:cs="宋体" w:eastAsia="宋体" w:hint="default"/>
                <w:w w:val="101"/>
                <w:sz w:val="18"/>
                <w:szCs w:val="18"/>
              </w:rPr>
              <w:t>现</w:t>
            </w:r>
            <w:r>
              <w:rPr>
                <w:rFonts w:ascii="宋体" w:hAnsi="宋体" w:cs="宋体" w:eastAsia="宋体" w:hint="default"/>
                <w:spacing w:val="-5"/>
                <w:w w:val="101"/>
                <w:sz w:val="18"/>
                <w:szCs w:val="18"/>
              </w:rPr>
              <w:t>与</w:t>
            </w:r>
            <w:r>
              <w:rPr>
                <w:rFonts w:ascii="宋体" w:hAnsi="宋体" w:cs="宋体" w:eastAsia="宋体" w:hint="default"/>
                <w:w w:val="101"/>
                <w:sz w:val="18"/>
                <w:szCs w:val="18"/>
              </w:rPr>
              <w:t>环</w:t>
            </w:r>
            <w:r>
              <w:rPr>
                <w:rFonts w:ascii="宋体" w:hAnsi="宋体" w:cs="宋体" w:eastAsia="宋体" w:hint="default"/>
                <w:spacing w:val="-5"/>
                <w:w w:val="101"/>
                <w:sz w:val="18"/>
                <w:szCs w:val="18"/>
              </w:rPr>
              <w:t>球</w:t>
            </w:r>
            <w:r>
              <w:rPr>
                <w:rFonts w:ascii="宋体" w:hAnsi="宋体" w:cs="宋体" w:eastAsia="宋体" w:hint="default"/>
                <w:w w:val="101"/>
                <w:sz w:val="18"/>
                <w:szCs w:val="18"/>
              </w:rPr>
              <w:t>印</w:t>
            </w:r>
            <w:r>
              <w:rPr>
                <w:rFonts w:ascii="宋体" w:hAnsi="宋体" w:cs="宋体" w:eastAsia="宋体" w:hint="default"/>
                <w:spacing w:val="-5"/>
                <w:w w:val="101"/>
                <w:sz w:val="18"/>
                <w:szCs w:val="18"/>
              </w:rPr>
              <w:t>务</w:t>
            </w:r>
            <w:r>
              <w:rPr>
                <w:rFonts w:ascii="宋体" w:hAnsi="宋体" w:cs="宋体" w:eastAsia="宋体" w:hint="default"/>
                <w:w w:val="101"/>
                <w:sz w:val="18"/>
                <w:szCs w:val="18"/>
              </w:rPr>
              <w:t>同</w:t>
            </w:r>
            <w:r>
              <w:rPr>
                <w:rFonts w:ascii="宋体" w:hAnsi="宋体" w:cs="宋体" w:eastAsia="宋体" w:hint="default"/>
                <w:spacing w:val="-5"/>
                <w:w w:val="101"/>
                <w:sz w:val="18"/>
                <w:szCs w:val="18"/>
              </w:rPr>
              <w:t>业</w:t>
            </w:r>
            <w:r>
              <w:rPr>
                <w:rFonts w:ascii="宋体" w:hAnsi="宋体" w:cs="宋体" w:eastAsia="宋体" w:hint="default"/>
                <w:w w:val="101"/>
                <w:sz w:val="18"/>
                <w:szCs w:val="18"/>
              </w:rPr>
              <w:t>竞</w:t>
            </w:r>
            <w:r>
              <w:rPr>
                <w:rFonts w:ascii="宋体" w:hAnsi="宋体" w:cs="宋体" w:eastAsia="宋体" w:hint="default"/>
                <w:spacing w:val="-5"/>
                <w:w w:val="101"/>
                <w:sz w:val="18"/>
                <w:szCs w:val="18"/>
              </w:rPr>
              <w:t>争</w:t>
            </w:r>
            <w:r>
              <w:rPr>
                <w:rFonts w:ascii="宋体" w:hAnsi="宋体" w:cs="宋体" w:eastAsia="宋体" w:hint="default"/>
                <w:w w:val="101"/>
                <w:sz w:val="18"/>
                <w:szCs w:val="18"/>
              </w:rPr>
              <w:t>的</w:t>
            </w:r>
            <w:r>
              <w:rPr>
                <w:rFonts w:ascii="宋体" w:hAnsi="宋体" w:cs="宋体" w:eastAsia="宋体" w:hint="default"/>
                <w:spacing w:val="-5"/>
                <w:w w:val="101"/>
                <w:sz w:val="18"/>
                <w:szCs w:val="18"/>
              </w:rPr>
              <w:t>情形</w:t>
            </w:r>
            <w:r>
              <w:rPr>
                <w:rFonts w:ascii="宋体" w:hAnsi="宋体" w:cs="宋体" w:eastAsia="宋体" w:hint="default"/>
                <w:spacing w:val="-73"/>
                <w:w w:val="101"/>
                <w:sz w:val="18"/>
                <w:szCs w:val="18"/>
              </w:rPr>
              <w:t>，</w:t>
            </w:r>
            <w:r>
              <w:rPr>
                <w:rFonts w:ascii="宋体" w:hAnsi="宋体" w:cs="宋体" w:eastAsia="宋体" w:hint="default"/>
                <w:w w:val="101"/>
                <w:sz w:val="18"/>
                <w:szCs w:val="18"/>
              </w:rPr>
              <w:t>环</w:t>
            </w:r>
            <w:r>
              <w:rPr>
                <w:rFonts w:ascii="宋体" w:hAnsi="宋体" w:cs="宋体" w:eastAsia="宋体" w:hint="default"/>
                <w:sz w:val="18"/>
                <w:szCs w:val="18"/>
              </w:rPr>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3"/>
                <w:sz w:val="18"/>
                <w:szCs w:val="18"/>
              </w:rPr>
              <w:t>球印务有权通过优先收购或委托经营的方式将</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w w:val="101"/>
                <w:sz w:val="18"/>
                <w:szCs w:val="18"/>
              </w:rPr>
              <w:t>该</w:t>
            </w:r>
            <w:r>
              <w:rPr>
                <w:rFonts w:ascii="宋体" w:hAnsi="宋体" w:cs="宋体" w:eastAsia="宋体" w:hint="default"/>
                <w:spacing w:val="-5"/>
                <w:w w:val="101"/>
                <w:sz w:val="18"/>
                <w:szCs w:val="18"/>
              </w:rPr>
              <w:t>业</w:t>
            </w:r>
            <w:r>
              <w:rPr>
                <w:rFonts w:ascii="宋体" w:hAnsi="宋体" w:cs="宋体" w:eastAsia="宋体" w:hint="default"/>
                <w:w w:val="101"/>
                <w:sz w:val="18"/>
                <w:szCs w:val="18"/>
              </w:rPr>
              <w:t>务</w:t>
            </w:r>
            <w:r>
              <w:rPr>
                <w:rFonts w:ascii="宋体" w:hAnsi="宋体" w:cs="宋体" w:eastAsia="宋体" w:hint="default"/>
                <w:spacing w:val="-5"/>
                <w:w w:val="101"/>
                <w:sz w:val="18"/>
                <w:szCs w:val="18"/>
              </w:rPr>
              <w:t>集</w:t>
            </w:r>
            <w:r>
              <w:rPr>
                <w:rFonts w:ascii="宋体" w:hAnsi="宋体" w:cs="宋体" w:eastAsia="宋体" w:hint="default"/>
                <w:w w:val="101"/>
                <w:sz w:val="18"/>
                <w:szCs w:val="18"/>
              </w:rPr>
              <w:t>中</w:t>
            </w:r>
            <w:r>
              <w:rPr>
                <w:rFonts w:ascii="宋体" w:hAnsi="宋体" w:cs="宋体" w:eastAsia="宋体" w:hint="default"/>
                <w:spacing w:val="-5"/>
                <w:w w:val="101"/>
                <w:sz w:val="18"/>
                <w:szCs w:val="18"/>
              </w:rPr>
              <w:t>到</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经</w:t>
            </w:r>
            <w:r>
              <w:rPr>
                <w:rFonts w:ascii="宋体" w:hAnsi="宋体" w:cs="宋体" w:eastAsia="宋体" w:hint="default"/>
                <w:spacing w:val="-5"/>
                <w:w w:val="101"/>
                <w:sz w:val="18"/>
                <w:szCs w:val="18"/>
              </w:rPr>
              <w:t>营</w:t>
            </w:r>
            <w:r>
              <w:rPr>
                <w:rFonts w:ascii="宋体" w:hAnsi="宋体" w:cs="宋体" w:eastAsia="宋体" w:hint="default"/>
                <w:spacing w:val="-73"/>
                <w:w w:val="101"/>
                <w:sz w:val="18"/>
                <w:szCs w:val="18"/>
              </w:rPr>
              <w:t>。</w:t>
            </w:r>
            <w:r>
              <w:rPr>
                <w:rFonts w:ascii="宋体" w:hAnsi="宋体" w:cs="宋体" w:eastAsia="宋体" w:hint="default"/>
                <w:spacing w:val="-5"/>
                <w:w w:val="101"/>
                <w:sz w:val="18"/>
                <w:szCs w:val="18"/>
              </w:rPr>
              <w:t>如</w:t>
            </w:r>
            <w:r>
              <w:rPr>
                <w:rFonts w:ascii="宋体" w:hAnsi="宋体" w:cs="宋体" w:eastAsia="宋体" w:hint="default"/>
                <w:w w:val="101"/>
                <w:sz w:val="18"/>
                <w:szCs w:val="18"/>
              </w:rPr>
              <w:t>因</w:t>
            </w:r>
            <w:r>
              <w:rPr>
                <w:rFonts w:ascii="宋体" w:hAnsi="宋体" w:cs="宋体" w:eastAsia="宋体" w:hint="default"/>
                <w:spacing w:val="-5"/>
                <w:w w:val="101"/>
                <w:sz w:val="18"/>
                <w:szCs w:val="18"/>
              </w:rPr>
              <w:t>本公</w:t>
            </w:r>
            <w:r>
              <w:rPr>
                <w:rFonts w:ascii="宋体" w:hAnsi="宋体" w:cs="宋体" w:eastAsia="宋体" w:hint="default"/>
                <w:w w:val="101"/>
                <w:sz w:val="18"/>
                <w:szCs w:val="18"/>
              </w:rPr>
              <w:t>司</w:t>
            </w:r>
            <w:r>
              <w:rPr>
                <w:rFonts w:ascii="宋体" w:hAnsi="宋体" w:cs="宋体" w:eastAsia="宋体" w:hint="default"/>
                <w:spacing w:val="-5"/>
                <w:w w:val="101"/>
                <w:sz w:val="18"/>
                <w:szCs w:val="18"/>
              </w:rPr>
              <w:t>及</w:t>
            </w:r>
            <w:r>
              <w:rPr>
                <w:rFonts w:ascii="宋体" w:hAnsi="宋体" w:cs="宋体" w:eastAsia="宋体" w:hint="default"/>
                <w:w w:val="101"/>
                <w:sz w:val="18"/>
                <w:szCs w:val="18"/>
              </w:rPr>
              <w:t>本</w:t>
            </w:r>
            <w:r>
              <w:rPr>
                <w:rFonts w:ascii="宋体" w:hAnsi="宋体" w:cs="宋体" w:eastAsia="宋体" w:hint="default"/>
                <w:spacing w:val="-5"/>
                <w:w w:val="101"/>
                <w:sz w:val="18"/>
                <w:szCs w:val="18"/>
              </w:rPr>
              <w:t>公</w:t>
            </w:r>
            <w:r>
              <w:rPr>
                <w:rFonts w:ascii="宋体" w:hAnsi="宋体" w:cs="宋体" w:eastAsia="宋体" w:hint="default"/>
                <w:w w:val="101"/>
                <w:sz w:val="18"/>
                <w:szCs w:val="18"/>
              </w:rPr>
              <w:t>司控</w:t>
            </w:r>
            <w:r>
              <w:rPr>
                <w:rFonts w:ascii="宋体" w:hAnsi="宋体" w:cs="宋体" w:eastAsia="宋体" w:hint="default"/>
                <w:sz w:val="18"/>
                <w:szCs w:val="18"/>
              </w:rPr>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3"/>
                <w:sz w:val="18"/>
                <w:szCs w:val="18"/>
              </w:rPr>
              <w:t>制的其他企业或组织违反上述承诺而导致花你</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3"/>
                <w:sz w:val="18"/>
                <w:szCs w:val="18"/>
              </w:rPr>
              <w:t>去印务或环球印务其他股东的权益受到损害的，</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2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single" w:sz="8" w:space="0" w:color="000000"/>
              <w:right w:val="single" w:sz="8" w:space="0" w:color="000000"/>
            </w:tcBorders>
          </w:tcPr>
          <w:p>
            <w:pPr/>
          </w:p>
        </w:tc>
        <w:tc>
          <w:tcPr>
            <w:tcW w:w="874" w:type="dxa"/>
            <w:tcBorders>
              <w:top w:val="nil" w:sz="6" w:space="0" w:color="auto"/>
              <w:left w:val="single" w:sz="8" w:space="0" w:color="000000"/>
              <w:bottom w:val="single" w:sz="8" w:space="0" w:color="000000"/>
              <w:right w:val="single" w:sz="8" w:space="0" w:color="000000"/>
            </w:tcBorders>
          </w:tcPr>
          <w:p>
            <w:pPr/>
          </w:p>
        </w:tc>
        <w:tc>
          <w:tcPr>
            <w:tcW w:w="392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
              <w:ind w:left="101"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本公司将承担相应的损害赔偿责任。</w:t>
            </w:r>
            <w:r>
              <w:rPr>
                <w:rFonts w:ascii="Times New Roman" w:hAnsi="Times New Roman" w:cs="Times New Roman" w:eastAsia="Times New Roman" w:hint="default"/>
                <w:spacing w:val="-3"/>
                <w:sz w:val="18"/>
                <w:szCs w:val="18"/>
              </w:rPr>
              <w:t>”</w:t>
            </w:r>
          </w:p>
        </w:tc>
        <w:tc>
          <w:tcPr>
            <w:tcW w:w="941" w:type="dxa"/>
            <w:tcBorders>
              <w:top w:val="nil" w:sz="6" w:space="0" w:color="auto"/>
              <w:left w:val="single" w:sz="8" w:space="0" w:color="000000"/>
              <w:bottom w:val="single" w:sz="8" w:space="0" w:color="000000"/>
              <w:right w:val="single" w:sz="8" w:space="0" w:color="000000"/>
            </w:tcBorders>
          </w:tcPr>
          <w:p>
            <w:pPr/>
          </w:p>
        </w:tc>
        <w:tc>
          <w:tcPr>
            <w:tcW w:w="639" w:type="dxa"/>
            <w:tcBorders>
              <w:top w:val="nil" w:sz="6" w:space="0" w:color="auto"/>
              <w:left w:val="single" w:sz="8" w:space="0" w:color="000000"/>
              <w:bottom w:val="single" w:sz="8" w:space="0" w:color="000000"/>
              <w:right w:val="single" w:sz="8" w:space="0" w:color="000000"/>
            </w:tcBorders>
          </w:tcPr>
          <w:p>
            <w:pPr/>
          </w:p>
        </w:tc>
        <w:tc>
          <w:tcPr>
            <w:tcW w:w="1023" w:type="dxa"/>
            <w:tcBorders>
              <w:top w:val="nil" w:sz="6" w:space="0" w:color="auto"/>
              <w:left w:val="single" w:sz="8" w:space="0" w:color="000000"/>
              <w:bottom w:val="single" w:sz="8" w:space="0" w:color="000000"/>
              <w:right w:val="single" w:sz="8" w:space="0" w:color="000000"/>
            </w:tcBorders>
          </w:tcPr>
          <w:p>
            <w:pPr/>
          </w:p>
        </w:tc>
      </w:tr>
      <w:tr>
        <w:trPr>
          <w:trHeight w:val="321" w:hRule="exact"/>
        </w:trPr>
        <w:tc>
          <w:tcPr>
            <w:tcW w:w="1282" w:type="dxa"/>
            <w:vMerge/>
            <w:tcBorders>
              <w:left w:val="single" w:sz="8" w:space="0" w:color="000000"/>
              <w:right w:val="single" w:sz="8" w:space="0" w:color="000000"/>
            </w:tcBorders>
            <w:shd w:val="clear" w:color="auto" w:fill="D2D2D2"/>
          </w:tcPr>
          <w:p>
            <w:pPr/>
          </w:p>
        </w:tc>
        <w:tc>
          <w:tcPr>
            <w:tcW w:w="1176" w:type="dxa"/>
            <w:tcBorders>
              <w:top w:val="single" w:sz="8" w:space="0" w:color="000000"/>
              <w:left w:val="single" w:sz="8" w:space="0" w:color="000000"/>
              <w:bottom w:val="nil" w:sz="6" w:space="0" w:color="auto"/>
              <w:right w:val="single" w:sz="8" w:space="0" w:color="000000"/>
            </w:tcBorders>
          </w:tcPr>
          <w:p>
            <w:pPr/>
          </w:p>
        </w:tc>
        <w:tc>
          <w:tcPr>
            <w:tcW w:w="874" w:type="dxa"/>
            <w:tcBorders>
              <w:top w:val="single" w:sz="8" w:space="0" w:color="000000"/>
              <w:left w:val="single" w:sz="8" w:space="0" w:color="000000"/>
              <w:bottom w:val="nil" w:sz="6" w:space="0" w:color="auto"/>
              <w:right w:val="single" w:sz="8" w:space="0" w:color="000000"/>
            </w:tcBorders>
          </w:tcPr>
          <w:p>
            <w:pPr/>
          </w:p>
        </w:tc>
        <w:tc>
          <w:tcPr>
            <w:tcW w:w="392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3"/>
                <w:sz w:val="18"/>
                <w:szCs w:val="18"/>
              </w:rPr>
              <w:t>关于规范与西安环球印务股份有限公司关联交</w:t>
            </w:r>
          </w:p>
        </w:tc>
        <w:tc>
          <w:tcPr>
            <w:tcW w:w="941" w:type="dxa"/>
            <w:tcBorders>
              <w:top w:val="single" w:sz="8" w:space="0" w:color="000000"/>
              <w:left w:val="single" w:sz="8" w:space="0" w:color="000000"/>
              <w:bottom w:val="nil" w:sz="6" w:space="0" w:color="auto"/>
              <w:right w:val="single" w:sz="8" w:space="0" w:color="000000"/>
            </w:tcBorders>
          </w:tcPr>
          <w:p>
            <w:pPr/>
          </w:p>
        </w:tc>
        <w:tc>
          <w:tcPr>
            <w:tcW w:w="639" w:type="dxa"/>
            <w:tcBorders>
              <w:top w:val="single" w:sz="8" w:space="0" w:color="000000"/>
              <w:left w:val="single" w:sz="8" w:space="0" w:color="000000"/>
              <w:bottom w:val="nil" w:sz="6" w:space="0" w:color="auto"/>
              <w:right w:val="single" w:sz="8" w:space="0" w:color="000000"/>
            </w:tcBorders>
          </w:tcPr>
          <w:p>
            <w:pPr/>
          </w:p>
        </w:tc>
        <w:tc>
          <w:tcPr>
            <w:tcW w:w="1023" w:type="dxa"/>
            <w:tcBorders>
              <w:top w:val="single" w:sz="8" w:space="0" w:color="000000"/>
              <w:left w:val="single" w:sz="8" w:space="0" w:color="000000"/>
              <w:bottom w:val="nil" w:sz="6" w:space="0" w:color="auto"/>
              <w:right w:val="single" w:sz="8" w:space="0" w:color="000000"/>
            </w:tcBorders>
          </w:tcPr>
          <w:p>
            <w:pPr/>
          </w:p>
        </w:tc>
      </w:tr>
      <w:tr>
        <w:trPr>
          <w:trHeight w:val="317"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4"/>
                <w:sz w:val="18"/>
                <w:szCs w:val="18"/>
              </w:rPr>
              <w:t>易的承诺函</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截至本承诺函出具之日，陕西医药</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pacing w:val="-7"/>
                <w:sz w:val="18"/>
                <w:szCs w:val="18"/>
              </w:rPr>
              <w:t>控股集团有限责任公司（以下简称</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本公司</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）持</w:t>
            </w:r>
            <w:r>
              <w:rPr>
                <w:rFonts w:ascii="宋体" w:hAnsi="宋体" w:cs="宋体" w:eastAsia="宋体" w:hint="default"/>
                <w:sz w:val="18"/>
                <w:szCs w:val="18"/>
              </w:rPr>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pacing w:val="-3"/>
                <w:sz w:val="18"/>
                <w:szCs w:val="18"/>
              </w:rPr>
              <w:t>有西安环球印务股份有限公司（以下简称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环球</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pacing w:val="-5"/>
                <w:sz w:val="18"/>
                <w:szCs w:val="18"/>
              </w:rPr>
              <w:t>印务</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）的</w:t>
            </w:r>
            <w:r>
              <w:rPr>
                <w:rFonts w:ascii="宋体" w:hAnsi="宋体" w:cs="宋体" w:eastAsia="宋体" w:hint="default"/>
                <w:spacing w:val="7"/>
                <w:sz w:val="18"/>
                <w:szCs w:val="18"/>
              </w:rPr>
              <w:t> </w:t>
            </w:r>
            <w:r>
              <w:rPr>
                <w:rFonts w:ascii="Times New Roman" w:hAnsi="Times New Roman" w:cs="Times New Roman" w:eastAsia="Times New Roman" w:hint="default"/>
                <w:spacing w:val="-6"/>
                <w:sz w:val="18"/>
                <w:szCs w:val="18"/>
              </w:rPr>
              <w:t>65%</w:t>
            </w:r>
            <w:r>
              <w:rPr>
                <w:rFonts w:ascii="宋体" w:hAnsi="宋体" w:cs="宋体" w:eastAsia="宋体" w:hint="default"/>
                <w:spacing w:val="-6"/>
                <w:sz w:val="18"/>
                <w:szCs w:val="18"/>
              </w:rPr>
              <w:t>股份，本公司特此承诺：</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、本公</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07"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pacing w:val="-3"/>
                <w:sz w:val="18"/>
                <w:szCs w:val="18"/>
              </w:rPr>
              <w:t>司及本公司控制或影响的企业将尽量避免和减</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3"/>
                <w:sz w:val="18"/>
                <w:szCs w:val="18"/>
              </w:rPr>
              <w:t>少与环球印务及其下属子公司之间的关联交易，</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3"/>
                <w:sz w:val="18"/>
                <w:szCs w:val="18"/>
              </w:rPr>
              <w:t>对于环球印务及其下属子公司能够通过市场与</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w w:val="101"/>
                <w:sz w:val="18"/>
                <w:szCs w:val="18"/>
              </w:rPr>
              <w:t>独</w:t>
            </w:r>
            <w:r>
              <w:rPr>
                <w:rFonts w:ascii="宋体" w:hAnsi="宋体" w:cs="宋体" w:eastAsia="宋体" w:hint="default"/>
                <w:spacing w:val="-5"/>
                <w:w w:val="101"/>
                <w:sz w:val="18"/>
                <w:szCs w:val="18"/>
              </w:rPr>
              <w:t>立</w:t>
            </w:r>
            <w:r>
              <w:rPr>
                <w:rFonts w:ascii="宋体" w:hAnsi="宋体" w:cs="宋体" w:eastAsia="宋体" w:hint="default"/>
                <w:w w:val="101"/>
                <w:sz w:val="18"/>
                <w:szCs w:val="18"/>
              </w:rPr>
              <w:t>第</w:t>
            </w:r>
            <w:r>
              <w:rPr>
                <w:rFonts w:ascii="宋体" w:hAnsi="宋体" w:cs="宋体" w:eastAsia="宋体" w:hint="default"/>
                <w:spacing w:val="-5"/>
                <w:w w:val="101"/>
                <w:sz w:val="18"/>
                <w:szCs w:val="18"/>
              </w:rPr>
              <w:t>三</w:t>
            </w:r>
            <w:r>
              <w:rPr>
                <w:rFonts w:ascii="宋体" w:hAnsi="宋体" w:cs="宋体" w:eastAsia="宋体" w:hint="default"/>
                <w:w w:val="101"/>
                <w:sz w:val="18"/>
                <w:szCs w:val="18"/>
              </w:rPr>
              <w:t>方</w:t>
            </w:r>
            <w:r>
              <w:rPr>
                <w:rFonts w:ascii="宋体" w:hAnsi="宋体" w:cs="宋体" w:eastAsia="宋体" w:hint="default"/>
                <w:spacing w:val="-5"/>
                <w:w w:val="101"/>
                <w:sz w:val="18"/>
                <w:szCs w:val="18"/>
              </w:rPr>
              <w:t>之</w:t>
            </w:r>
            <w:r>
              <w:rPr>
                <w:rFonts w:ascii="宋体" w:hAnsi="宋体" w:cs="宋体" w:eastAsia="宋体" w:hint="default"/>
                <w:w w:val="101"/>
                <w:sz w:val="18"/>
                <w:szCs w:val="18"/>
              </w:rPr>
              <w:t>间</w:t>
            </w:r>
            <w:r>
              <w:rPr>
                <w:rFonts w:ascii="宋体" w:hAnsi="宋体" w:cs="宋体" w:eastAsia="宋体" w:hint="default"/>
                <w:spacing w:val="-5"/>
                <w:w w:val="101"/>
                <w:sz w:val="18"/>
                <w:szCs w:val="18"/>
              </w:rPr>
              <w:t>发</w:t>
            </w:r>
            <w:r>
              <w:rPr>
                <w:rFonts w:ascii="宋体" w:hAnsi="宋体" w:cs="宋体" w:eastAsia="宋体" w:hint="default"/>
                <w:w w:val="101"/>
                <w:sz w:val="18"/>
                <w:szCs w:val="18"/>
              </w:rPr>
              <w:t>生</w:t>
            </w:r>
            <w:r>
              <w:rPr>
                <w:rFonts w:ascii="宋体" w:hAnsi="宋体" w:cs="宋体" w:eastAsia="宋体" w:hint="default"/>
                <w:spacing w:val="-5"/>
                <w:w w:val="101"/>
                <w:sz w:val="18"/>
                <w:szCs w:val="18"/>
              </w:rPr>
              <w:t>的</w:t>
            </w:r>
            <w:r>
              <w:rPr>
                <w:rFonts w:ascii="宋体" w:hAnsi="宋体" w:cs="宋体" w:eastAsia="宋体" w:hint="default"/>
                <w:w w:val="101"/>
                <w:sz w:val="18"/>
                <w:szCs w:val="18"/>
              </w:rPr>
              <w:t>交</w:t>
            </w:r>
            <w:r>
              <w:rPr>
                <w:rFonts w:ascii="宋体" w:hAnsi="宋体" w:cs="宋体" w:eastAsia="宋体" w:hint="default"/>
                <w:spacing w:val="-5"/>
                <w:w w:val="101"/>
                <w:sz w:val="18"/>
                <w:szCs w:val="18"/>
              </w:rPr>
              <w:t>易</w:t>
            </w:r>
            <w:r>
              <w:rPr>
                <w:rFonts w:ascii="宋体" w:hAnsi="宋体" w:cs="宋体" w:eastAsia="宋体" w:hint="default"/>
                <w:spacing w:val="-73"/>
                <w:w w:val="101"/>
                <w:sz w:val="18"/>
                <w:szCs w:val="18"/>
              </w:rPr>
              <w:t>，</w:t>
            </w:r>
            <w:r>
              <w:rPr>
                <w:rFonts w:ascii="宋体" w:hAnsi="宋体" w:cs="宋体" w:eastAsia="宋体" w:hint="default"/>
                <w:spacing w:val="-5"/>
                <w:w w:val="101"/>
                <w:sz w:val="18"/>
                <w:szCs w:val="18"/>
              </w:rPr>
              <w:t>将由</w:t>
            </w:r>
            <w:r>
              <w:rPr>
                <w:rFonts w:ascii="宋体" w:hAnsi="宋体" w:cs="宋体" w:eastAsia="宋体" w:hint="default"/>
                <w:w w:val="101"/>
                <w:sz w:val="18"/>
                <w:szCs w:val="18"/>
              </w:rPr>
              <w:t>环</w:t>
            </w:r>
            <w:r>
              <w:rPr>
                <w:rFonts w:ascii="宋体" w:hAnsi="宋体" w:cs="宋体" w:eastAsia="宋体" w:hint="default"/>
                <w:spacing w:val="-5"/>
                <w:w w:val="101"/>
                <w:sz w:val="18"/>
                <w:szCs w:val="18"/>
              </w:rPr>
              <w:t>球</w:t>
            </w:r>
            <w:r>
              <w:rPr>
                <w:rFonts w:ascii="宋体" w:hAnsi="宋体" w:cs="宋体" w:eastAsia="宋体" w:hint="default"/>
                <w:w w:val="101"/>
                <w:sz w:val="18"/>
                <w:szCs w:val="18"/>
              </w:rPr>
              <w:t>印</w:t>
            </w:r>
            <w:r>
              <w:rPr>
                <w:rFonts w:ascii="宋体" w:hAnsi="宋体" w:cs="宋体" w:eastAsia="宋体" w:hint="default"/>
                <w:spacing w:val="-5"/>
                <w:w w:val="101"/>
                <w:sz w:val="18"/>
                <w:szCs w:val="18"/>
              </w:rPr>
              <w:t>务</w:t>
            </w:r>
            <w:r>
              <w:rPr>
                <w:rFonts w:ascii="宋体" w:hAnsi="宋体" w:cs="宋体" w:eastAsia="宋体" w:hint="default"/>
                <w:w w:val="101"/>
                <w:sz w:val="18"/>
                <w:szCs w:val="18"/>
              </w:rPr>
              <w:t>及其</w:t>
            </w:r>
            <w:r>
              <w:rPr>
                <w:rFonts w:ascii="宋体" w:hAnsi="宋体" w:cs="宋体" w:eastAsia="宋体" w:hint="default"/>
                <w:sz w:val="18"/>
                <w:szCs w:val="18"/>
              </w:rPr>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关于同</w:t>
            </w: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w w:val="101"/>
                <w:sz w:val="18"/>
                <w:szCs w:val="18"/>
              </w:rPr>
              <w:t>下</w:t>
            </w:r>
            <w:r>
              <w:rPr>
                <w:rFonts w:ascii="宋体" w:hAnsi="宋体" w:cs="宋体" w:eastAsia="宋体" w:hint="default"/>
                <w:spacing w:val="-5"/>
                <w:w w:val="101"/>
                <w:sz w:val="18"/>
                <w:szCs w:val="18"/>
              </w:rPr>
              <w:t>属</w:t>
            </w:r>
            <w:r>
              <w:rPr>
                <w:rFonts w:ascii="宋体" w:hAnsi="宋体" w:cs="宋体" w:eastAsia="宋体" w:hint="default"/>
                <w:w w:val="101"/>
                <w:sz w:val="18"/>
                <w:szCs w:val="18"/>
              </w:rPr>
              <w:t>子</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与</w:t>
            </w:r>
            <w:r>
              <w:rPr>
                <w:rFonts w:ascii="宋体" w:hAnsi="宋体" w:cs="宋体" w:eastAsia="宋体" w:hint="default"/>
                <w:w w:val="101"/>
                <w:sz w:val="18"/>
                <w:szCs w:val="18"/>
              </w:rPr>
              <w:t>独</w:t>
            </w:r>
            <w:r>
              <w:rPr>
                <w:rFonts w:ascii="宋体" w:hAnsi="宋体" w:cs="宋体" w:eastAsia="宋体" w:hint="default"/>
                <w:spacing w:val="-5"/>
                <w:w w:val="101"/>
                <w:sz w:val="18"/>
                <w:szCs w:val="18"/>
              </w:rPr>
              <w:t>立</w:t>
            </w:r>
            <w:r>
              <w:rPr>
                <w:rFonts w:ascii="宋体" w:hAnsi="宋体" w:cs="宋体" w:eastAsia="宋体" w:hint="default"/>
                <w:w w:val="101"/>
                <w:sz w:val="18"/>
                <w:szCs w:val="18"/>
              </w:rPr>
              <w:t>第</w:t>
            </w:r>
            <w:r>
              <w:rPr>
                <w:rFonts w:ascii="宋体" w:hAnsi="宋体" w:cs="宋体" w:eastAsia="宋体" w:hint="default"/>
                <w:spacing w:val="-5"/>
                <w:w w:val="101"/>
                <w:sz w:val="18"/>
                <w:szCs w:val="18"/>
              </w:rPr>
              <w:t>三</w:t>
            </w:r>
            <w:r>
              <w:rPr>
                <w:rFonts w:ascii="宋体" w:hAnsi="宋体" w:cs="宋体" w:eastAsia="宋体" w:hint="default"/>
                <w:w w:val="101"/>
                <w:sz w:val="18"/>
                <w:szCs w:val="18"/>
              </w:rPr>
              <w:t>方</w:t>
            </w:r>
            <w:r>
              <w:rPr>
                <w:rFonts w:ascii="宋体" w:hAnsi="宋体" w:cs="宋体" w:eastAsia="宋体" w:hint="default"/>
                <w:spacing w:val="-5"/>
                <w:w w:val="101"/>
                <w:sz w:val="18"/>
                <w:szCs w:val="18"/>
              </w:rPr>
              <w:t>进</w:t>
            </w:r>
            <w:r>
              <w:rPr>
                <w:rFonts w:ascii="宋体" w:hAnsi="宋体" w:cs="宋体" w:eastAsia="宋体" w:hint="default"/>
                <w:w w:val="101"/>
                <w:sz w:val="18"/>
                <w:szCs w:val="18"/>
              </w:rPr>
              <w:t>行</w:t>
            </w:r>
            <w:r>
              <w:rPr>
                <w:rFonts w:ascii="宋体" w:hAnsi="宋体" w:cs="宋体" w:eastAsia="宋体" w:hint="default"/>
                <w:spacing w:val="-77"/>
                <w:w w:val="101"/>
                <w:sz w:val="18"/>
                <w:szCs w:val="18"/>
              </w:rPr>
              <w:t>。</w:t>
            </w:r>
            <w:r>
              <w:rPr>
                <w:rFonts w:ascii="宋体" w:hAnsi="宋体" w:cs="宋体" w:eastAsia="宋体" w:hint="default"/>
                <w:spacing w:val="-5"/>
                <w:w w:val="101"/>
                <w:sz w:val="18"/>
                <w:szCs w:val="18"/>
              </w:rPr>
              <w:t>本</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控</w:t>
            </w:r>
            <w:r>
              <w:rPr>
                <w:rFonts w:ascii="宋体" w:hAnsi="宋体" w:cs="宋体" w:eastAsia="宋体" w:hint="default"/>
                <w:spacing w:val="-5"/>
                <w:w w:val="101"/>
                <w:sz w:val="18"/>
                <w:szCs w:val="18"/>
              </w:rPr>
              <w:t>制</w:t>
            </w:r>
            <w:r>
              <w:rPr>
                <w:rFonts w:ascii="宋体" w:hAnsi="宋体" w:cs="宋体" w:eastAsia="宋体" w:hint="default"/>
                <w:w w:val="101"/>
                <w:sz w:val="18"/>
                <w:szCs w:val="18"/>
              </w:rPr>
              <w:t>或影</w:t>
            </w:r>
            <w:r>
              <w:rPr>
                <w:rFonts w:ascii="宋体" w:hAnsi="宋体" w:cs="宋体" w:eastAsia="宋体" w:hint="default"/>
                <w:sz w:val="18"/>
                <w:szCs w:val="18"/>
              </w:rPr>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1561"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95" w:right="156"/>
              <w:jc w:val="both"/>
              <w:rPr>
                <w:rFonts w:ascii="宋体" w:hAnsi="宋体" w:cs="宋体" w:eastAsia="宋体" w:hint="default"/>
                <w:sz w:val="18"/>
                <w:szCs w:val="18"/>
              </w:rPr>
            </w:pPr>
            <w:r>
              <w:rPr>
                <w:rFonts w:ascii="宋体" w:hAnsi="宋体" w:cs="宋体" w:eastAsia="宋体" w:hint="default"/>
                <w:sz w:val="18"/>
                <w:szCs w:val="18"/>
              </w:rPr>
              <w:t>陕西医药控</w:t>
            </w:r>
            <w:r>
              <w:rPr>
                <w:rFonts w:ascii="宋体" w:hAnsi="宋体" w:cs="宋体" w:eastAsia="宋体" w:hint="default"/>
                <w:w w:val="101"/>
                <w:sz w:val="18"/>
                <w:szCs w:val="18"/>
              </w:rPr>
              <w:t> </w:t>
            </w:r>
            <w:r>
              <w:rPr>
                <w:rFonts w:ascii="宋体" w:hAnsi="宋体" w:cs="宋体" w:eastAsia="宋体" w:hint="default"/>
                <w:sz w:val="18"/>
                <w:szCs w:val="18"/>
              </w:rPr>
              <w:t>股集团有限</w:t>
            </w:r>
            <w:r>
              <w:rPr>
                <w:rFonts w:ascii="宋体" w:hAnsi="宋体" w:cs="宋体" w:eastAsia="宋体" w:hint="default"/>
                <w:w w:val="101"/>
                <w:sz w:val="18"/>
                <w:szCs w:val="18"/>
              </w:rPr>
              <w:t> </w:t>
            </w:r>
            <w:r>
              <w:rPr>
                <w:rFonts w:ascii="宋体" w:hAnsi="宋体" w:cs="宋体" w:eastAsia="宋体" w:hint="default"/>
                <w:sz w:val="18"/>
                <w:szCs w:val="18"/>
              </w:rPr>
              <w:t>责任公司</w:t>
            </w:r>
          </w:p>
        </w:tc>
        <w:tc>
          <w:tcPr>
            <w:tcW w:w="874" w:type="dxa"/>
            <w:tcBorders>
              <w:top w:val="nil" w:sz="6" w:space="0" w:color="auto"/>
              <w:left w:val="single" w:sz="8" w:space="0" w:color="000000"/>
              <w:bottom w:val="nil" w:sz="6" w:space="0" w:color="auto"/>
              <w:right w:val="single" w:sz="8" w:space="0" w:color="000000"/>
            </w:tcBorders>
          </w:tcPr>
          <w:p>
            <w:pPr>
              <w:pStyle w:val="TableParagraph"/>
              <w:spacing w:line="319" w:lineRule="auto" w:before="11"/>
              <w:ind w:left="100" w:right="26"/>
              <w:jc w:val="left"/>
              <w:rPr>
                <w:rFonts w:ascii="宋体" w:hAnsi="宋体" w:cs="宋体" w:eastAsia="宋体" w:hint="default"/>
                <w:sz w:val="18"/>
                <w:szCs w:val="18"/>
              </w:rPr>
            </w:pPr>
            <w:r>
              <w:rPr>
                <w:rFonts w:ascii="宋体" w:hAnsi="宋体" w:cs="宋体" w:eastAsia="宋体" w:hint="default"/>
                <w:sz w:val="18"/>
                <w:szCs w:val="18"/>
              </w:rPr>
              <w:t>业竞争、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易、资金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占用方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面的承</w:t>
            </w: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314" w:lineRule="auto" w:before="11"/>
              <w:ind w:left="101" w:right="90"/>
              <w:jc w:val="left"/>
              <w:rPr>
                <w:rFonts w:ascii="宋体" w:hAnsi="宋体" w:cs="宋体" w:eastAsia="宋体" w:hint="default"/>
                <w:sz w:val="18"/>
                <w:szCs w:val="18"/>
              </w:rPr>
            </w:pPr>
            <w:r>
              <w:rPr>
                <w:rFonts w:ascii="宋体" w:hAnsi="宋体" w:cs="宋体" w:eastAsia="宋体" w:hint="default"/>
                <w:spacing w:val="-3"/>
                <w:sz w:val="18"/>
                <w:szCs w:val="18"/>
              </w:rPr>
              <w:t>响的其他企业将严格避免向环球印务及其下属</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w w:val="101"/>
                <w:sz w:val="18"/>
                <w:szCs w:val="18"/>
              </w:rPr>
              <w:t>子公司拆借、占用环球印务及其下属子公司资金</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6"/>
                <w:w w:val="101"/>
                <w:sz w:val="18"/>
                <w:szCs w:val="18"/>
              </w:rPr>
              <w:t>或采取由环球印务及其下属子公司代垫款、代偿</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债务等方式侵占环球印务资金。</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、对于本公司</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及本公司控制或影响的企业与环球印务及其下</w:t>
            </w:r>
          </w:p>
        </w:tc>
        <w:tc>
          <w:tcPr>
            <w:tcW w:w="941" w:type="dxa"/>
            <w:tcBorders>
              <w:top w:val="nil" w:sz="6" w:space="0" w:color="auto"/>
              <w:left w:val="single" w:sz="8" w:space="0" w:color="000000"/>
              <w:bottom w:val="nil" w:sz="6" w:space="0" w:color="auto"/>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9" w:type="dxa"/>
            <w:tcBorders>
              <w:top w:val="nil" w:sz="6" w:space="0" w:color="auto"/>
              <w:left w:val="single" w:sz="8" w:space="0" w:color="000000"/>
              <w:bottom w:val="nil" w:sz="6" w:space="0" w:color="auto"/>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长期</w:t>
            </w:r>
          </w:p>
        </w:tc>
        <w:tc>
          <w:tcPr>
            <w:tcW w:w="1023" w:type="dxa"/>
            <w:tcBorders>
              <w:top w:val="nil" w:sz="6" w:space="0" w:color="auto"/>
              <w:left w:val="single" w:sz="8" w:space="0" w:color="000000"/>
              <w:bottom w:val="nil" w:sz="6" w:space="0" w:color="auto"/>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9" w:lineRule="auto"/>
              <w:ind w:left="100" w:right="176"/>
              <w:jc w:val="left"/>
              <w:rPr>
                <w:rFonts w:ascii="宋体" w:hAnsi="宋体" w:cs="宋体" w:eastAsia="宋体" w:hint="default"/>
                <w:sz w:val="18"/>
                <w:szCs w:val="18"/>
              </w:rPr>
            </w:pPr>
            <w:r>
              <w:rPr>
                <w:rFonts w:ascii="宋体" w:hAnsi="宋体" w:cs="宋体" w:eastAsia="宋体" w:hint="default"/>
                <w:sz w:val="18"/>
                <w:szCs w:val="18"/>
              </w:rPr>
              <w:t>尚在承诺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履行期，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严格履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w:t>
            </w: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w w:val="101"/>
                <w:sz w:val="18"/>
                <w:szCs w:val="18"/>
              </w:rPr>
              <w:t>诺</w:t>
            </w:r>
            <w:r>
              <w:rPr>
                <w:rFonts w:ascii="宋体" w:hAnsi="宋体" w:cs="宋体" w:eastAsia="宋体" w:hint="default"/>
                <w:sz w:val="18"/>
                <w:szCs w:val="18"/>
              </w:rPr>
            </w: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w w:val="101"/>
                <w:sz w:val="18"/>
                <w:szCs w:val="18"/>
              </w:rPr>
              <w:t>属</w:t>
            </w:r>
            <w:r>
              <w:rPr>
                <w:rFonts w:ascii="宋体" w:hAnsi="宋体" w:cs="宋体" w:eastAsia="宋体" w:hint="default"/>
                <w:spacing w:val="-5"/>
                <w:w w:val="101"/>
                <w:sz w:val="18"/>
                <w:szCs w:val="18"/>
              </w:rPr>
              <w:t>子</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之</w:t>
            </w:r>
            <w:r>
              <w:rPr>
                <w:rFonts w:ascii="宋体" w:hAnsi="宋体" w:cs="宋体" w:eastAsia="宋体" w:hint="default"/>
                <w:spacing w:val="-5"/>
                <w:w w:val="101"/>
                <w:sz w:val="18"/>
                <w:szCs w:val="18"/>
              </w:rPr>
              <w:t>间</w:t>
            </w:r>
            <w:r>
              <w:rPr>
                <w:rFonts w:ascii="宋体" w:hAnsi="宋体" w:cs="宋体" w:eastAsia="宋体" w:hint="default"/>
                <w:w w:val="101"/>
                <w:sz w:val="18"/>
                <w:szCs w:val="18"/>
              </w:rPr>
              <w:t>必</w:t>
            </w:r>
            <w:r>
              <w:rPr>
                <w:rFonts w:ascii="宋体" w:hAnsi="宋体" w:cs="宋体" w:eastAsia="宋体" w:hint="default"/>
                <w:spacing w:val="-5"/>
                <w:w w:val="101"/>
                <w:sz w:val="18"/>
                <w:szCs w:val="18"/>
              </w:rPr>
              <w:t>需</w:t>
            </w:r>
            <w:r>
              <w:rPr>
                <w:rFonts w:ascii="宋体" w:hAnsi="宋体" w:cs="宋体" w:eastAsia="宋体" w:hint="default"/>
                <w:w w:val="101"/>
                <w:sz w:val="18"/>
                <w:szCs w:val="18"/>
              </w:rPr>
              <w:t>的</w:t>
            </w:r>
            <w:r>
              <w:rPr>
                <w:rFonts w:ascii="宋体" w:hAnsi="宋体" w:cs="宋体" w:eastAsia="宋体" w:hint="default"/>
                <w:spacing w:val="-5"/>
                <w:w w:val="101"/>
                <w:sz w:val="18"/>
                <w:szCs w:val="18"/>
              </w:rPr>
              <w:t>一</w:t>
            </w:r>
            <w:r>
              <w:rPr>
                <w:rFonts w:ascii="宋体" w:hAnsi="宋体" w:cs="宋体" w:eastAsia="宋体" w:hint="default"/>
                <w:w w:val="101"/>
                <w:sz w:val="18"/>
                <w:szCs w:val="18"/>
              </w:rPr>
              <w:t>切</w:t>
            </w:r>
            <w:r>
              <w:rPr>
                <w:rFonts w:ascii="宋体" w:hAnsi="宋体" w:cs="宋体" w:eastAsia="宋体" w:hint="default"/>
                <w:spacing w:val="-5"/>
                <w:w w:val="101"/>
                <w:sz w:val="18"/>
                <w:szCs w:val="18"/>
              </w:rPr>
              <w:t>交</w:t>
            </w:r>
            <w:r>
              <w:rPr>
                <w:rFonts w:ascii="宋体" w:hAnsi="宋体" w:cs="宋体" w:eastAsia="宋体" w:hint="default"/>
                <w:w w:val="101"/>
                <w:sz w:val="18"/>
                <w:szCs w:val="18"/>
              </w:rPr>
              <w:t>易</w:t>
            </w:r>
            <w:r>
              <w:rPr>
                <w:rFonts w:ascii="宋体" w:hAnsi="宋体" w:cs="宋体" w:eastAsia="宋体" w:hint="default"/>
                <w:spacing w:val="-5"/>
                <w:w w:val="101"/>
                <w:sz w:val="18"/>
                <w:szCs w:val="18"/>
              </w:rPr>
              <w:t>行为</w:t>
            </w:r>
            <w:r>
              <w:rPr>
                <w:rFonts w:ascii="宋体" w:hAnsi="宋体" w:cs="宋体" w:eastAsia="宋体" w:hint="default"/>
                <w:spacing w:val="-73"/>
                <w:w w:val="101"/>
                <w:sz w:val="18"/>
                <w:szCs w:val="18"/>
              </w:rPr>
              <w:t>，</w:t>
            </w:r>
            <w:r>
              <w:rPr>
                <w:rFonts w:ascii="宋体" w:hAnsi="宋体" w:cs="宋体" w:eastAsia="宋体" w:hint="default"/>
                <w:spacing w:val="-5"/>
                <w:w w:val="101"/>
                <w:sz w:val="18"/>
                <w:szCs w:val="18"/>
              </w:rPr>
              <w:t>均</w:t>
            </w:r>
            <w:r>
              <w:rPr>
                <w:rFonts w:ascii="宋体" w:hAnsi="宋体" w:cs="宋体" w:eastAsia="宋体" w:hint="default"/>
                <w:w w:val="101"/>
                <w:sz w:val="18"/>
                <w:szCs w:val="18"/>
              </w:rPr>
              <w:t>将</w:t>
            </w:r>
            <w:r>
              <w:rPr>
                <w:rFonts w:ascii="宋体" w:hAnsi="宋体" w:cs="宋体" w:eastAsia="宋体" w:hint="default"/>
                <w:spacing w:val="-5"/>
                <w:w w:val="101"/>
                <w:sz w:val="18"/>
                <w:szCs w:val="18"/>
              </w:rPr>
              <w:t>严</w:t>
            </w:r>
            <w:r>
              <w:rPr>
                <w:rFonts w:ascii="宋体" w:hAnsi="宋体" w:cs="宋体" w:eastAsia="宋体" w:hint="default"/>
                <w:w w:val="101"/>
                <w:sz w:val="18"/>
                <w:szCs w:val="18"/>
              </w:rPr>
              <w:t>格遵</w:t>
            </w:r>
            <w:r>
              <w:rPr>
                <w:rFonts w:ascii="宋体" w:hAnsi="宋体" w:cs="宋体" w:eastAsia="宋体" w:hint="default"/>
                <w:sz w:val="18"/>
                <w:szCs w:val="18"/>
              </w:rPr>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6"/>
                <w:sz w:val="18"/>
                <w:szCs w:val="18"/>
              </w:rPr>
              <w:t>守市场原则，本着平等互利、等价有偿的一般原</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3"/>
                <w:sz w:val="18"/>
                <w:szCs w:val="18"/>
              </w:rPr>
              <w:t>则，公平合理地进行。交易定价有政府定价的，</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6"/>
                <w:sz w:val="18"/>
                <w:szCs w:val="18"/>
              </w:rPr>
              <w:t>执行政府定价；没有政府定价的，执行市场公允</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6"/>
                <w:sz w:val="18"/>
                <w:szCs w:val="18"/>
              </w:rPr>
              <w:t>价格；没有政府定价且无可参考市场价格的，按</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3"/>
                <w:sz w:val="18"/>
                <w:szCs w:val="18"/>
              </w:rPr>
              <w:t>照成本加可比较的合理利润水平确定成本价执</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7"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3"/>
                <w:sz w:val="18"/>
                <w:szCs w:val="18"/>
              </w:rPr>
              <w:t>行。</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、本公司与环球印务及其下属子公司之间</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07"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w w:val="101"/>
                <w:sz w:val="18"/>
                <w:szCs w:val="18"/>
              </w:rPr>
              <w:t>的</w:t>
            </w:r>
            <w:r>
              <w:rPr>
                <w:rFonts w:ascii="宋体" w:hAnsi="宋体" w:cs="宋体" w:eastAsia="宋体" w:hint="default"/>
                <w:spacing w:val="-5"/>
                <w:w w:val="101"/>
                <w:sz w:val="18"/>
                <w:szCs w:val="18"/>
              </w:rPr>
              <w:t>关</w:t>
            </w:r>
            <w:r>
              <w:rPr>
                <w:rFonts w:ascii="宋体" w:hAnsi="宋体" w:cs="宋体" w:eastAsia="宋体" w:hint="default"/>
                <w:w w:val="101"/>
                <w:sz w:val="18"/>
                <w:szCs w:val="18"/>
              </w:rPr>
              <w:t>联</w:t>
            </w:r>
            <w:r>
              <w:rPr>
                <w:rFonts w:ascii="宋体" w:hAnsi="宋体" w:cs="宋体" w:eastAsia="宋体" w:hint="default"/>
                <w:spacing w:val="-5"/>
                <w:w w:val="101"/>
                <w:sz w:val="18"/>
                <w:szCs w:val="18"/>
              </w:rPr>
              <w:t>交</w:t>
            </w:r>
            <w:r>
              <w:rPr>
                <w:rFonts w:ascii="宋体" w:hAnsi="宋体" w:cs="宋体" w:eastAsia="宋体" w:hint="default"/>
                <w:w w:val="101"/>
                <w:sz w:val="18"/>
                <w:szCs w:val="18"/>
              </w:rPr>
              <w:t>易</w:t>
            </w:r>
            <w:r>
              <w:rPr>
                <w:rFonts w:ascii="宋体" w:hAnsi="宋体" w:cs="宋体" w:eastAsia="宋体" w:hint="default"/>
                <w:spacing w:val="-5"/>
                <w:w w:val="101"/>
                <w:sz w:val="18"/>
                <w:szCs w:val="18"/>
              </w:rPr>
              <w:t>将</w:t>
            </w:r>
            <w:r>
              <w:rPr>
                <w:rFonts w:ascii="宋体" w:hAnsi="宋体" w:cs="宋体" w:eastAsia="宋体" w:hint="default"/>
                <w:w w:val="101"/>
                <w:sz w:val="18"/>
                <w:szCs w:val="18"/>
              </w:rPr>
              <w:t>严</w:t>
            </w:r>
            <w:r>
              <w:rPr>
                <w:rFonts w:ascii="宋体" w:hAnsi="宋体" w:cs="宋体" w:eastAsia="宋体" w:hint="default"/>
                <w:spacing w:val="-5"/>
                <w:w w:val="101"/>
                <w:sz w:val="18"/>
                <w:szCs w:val="18"/>
              </w:rPr>
              <w:t>格</w:t>
            </w:r>
            <w:r>
              <w:rPr>
                <w:rFonts w:ascii="宋体" w:hAnsi="宋体" w:cs="宋体" w:eastAsia="宋体" w:hint="default"/>
                <w:w w:val="101"/>
                <w:sz w:val="18"/>
                <w:szCs w:val="18"/>
              </w:rPr>
              <w:t>遵</w:t>
            </w:r>
            <w:r>
              <w:rPr>
                <w:rFonts w:ascii="宋体" w:hAnsi="宋体" w:cs="宋体" w:eastAsia="宋体" w:hint="default"/>
                <w:spacing w:val="-5"/>
                <w:w w:val="101"/>
                <w:sz w:val="18"/>
                <w:szCs w:val="18"/>
              </w:rPr>
              <w:t>守</w:t>
            </w:r>
            <w:r>
              <w:rPr>
                <w:rFonts w:ascii="宋体" w:hAnsi="宋体" w:cs="宋体" w:eastAsia="宋体" w:hint="default"/>
                <w:w w:val="101"/>
                <w:sz w:val="18"/>
                <w:szCs w:val="18"/>
              </w:rPr>
              <w:t>环</w:t>
            </w:r>
            <w:r>
              <w:rPr>
                <w:rFonts w:ascii="宋体" w:hAnsi="宋体" w:cs="宋体" w:eastAsia="宋体" w:hint="default"/>
                <w:spacing w:val="-5"/>
                <w:w w:val="101"/>
                <w:sz w:val="18"/>
                <w:szCs w:val="18"/>
              </w:rPr>
              <w:t>球</w:t>
            </w:r>
            <w:r>
              <w:rPr>
                <w:rFonts w:ascii="宋体" w:hAnsi="宋体" w:cs="宋体" w:eastAsia="宋体" w:hint="default"/>
                <w:w w:val="101"/>
                <w:sz w:val="18"/>
                <w:szCs w:val="18"/>
              </w:rPr>
              <w:t>印</w:t>
            </w:r>
            <w:r>
              <w:rPr>
                <w:rFonts w:ascii="宋体" w:hAnsi="宋体" w:cs="宋体" w:eastAsia="宋体" w:hint="default"/>
                <w:spacing w:val="-5"/>
                <w:w w:val="101"/>
                <w:sz w:val="18"/>
                <w:szCs w:val="18"/>
              </w:rPr>
              <w:t>务</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章</w:t>
            </w:r>
            <w:r>
              <w:rPr>
                <w:rFonts w:ascii="宋体" w:hAnsi="宋体" w:cs="宋体" w:eastAsia="宋体" w:hint="default"/>
                <w:spacing w:val="-5"/>
                <w:w w:val="101"/>
                <w:sz w:val="18"/>
                <w:szCs w:val="18"/>
              </w:rPr>
              <w:t>程</w:t>
            </w:r>
            <w:r>
              <w:rPr>
                <w:rFonts w:ascii="宋体" w:hAnsi="宋体" w:cs="宋体" w:eastAsia="宋体" w:hint="default"/>
                <w:spacing w:val="-77"/>
                <w:w w:val="101"/>
                <w:sz w:val="18"/>
                <w:szCs w:val="18"/>
              </w:rPr>
              <w:t>、</w:t>
            </w:r>
            <w:r>
              <w:rPr>
                <w:rFonts w:ascii="宋体" w:hAnsi="宋体" w:cs="宋体" w:eastAsia="宋体" w:hint="default"/>
                <w:w w:val="101"/>
                <w:sz w:val="18"/>
                <w:szCs w:val="18"/>
              </w:rPr>
              <w:t>关联</w:t>
            </w:r>
            <w:r>
              <w:rPr>
                <w:rFonts w:ascii="宋体" w:hAnsi="宋体" w:cs="宋体" w:eastAsia="宋体" w:hint="default"/>
                <w:sz w:val="18"/>
                <w:szCs w:val="18"/>
              </w:rPr>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w w:val="101"/>
                <w:sz w:val="18"/>
                <w:szCs w:val="18"/>
              </w:rPr>
              <w:t>交</w:t>
            </w:r>
            <w:r>
              <w:rPr>
                <w:rFonts w:ascii="宋体" w:hAnsi="宋体" w:cs="宋体" w:eastAsia="宋体" w:hint="default"/>
                <w:spacing w:val="-5"/>
                <w:w w:val="101"/>
                <w:sz w:val="18"/>
                <w:szCs w:val="18"/>
              </w:rPr>
              <w:t>易</w:t>
            </w:r>
            <w:r>
              <w:rPr>
                <w:rFonts w:ascii="宋体" w:hAnsi="宋体" w:cs="宋体" w:eastAsia="宋体" w:hint="default"/>
                <w:w w:val="101"/>
                <w:sz w:val="18"/>
                <w:szCs w:val="18"/>
              </w:rPr>
              <w:t>管</w:t>
            </w:r>
            <w:r>
              <w:rPr>
                <w:rFonts w:ascii="宋体" w:hAnsi="宋体" w:cs="宋体" w:eastAsia="宋体" w:hint="default"/>
                <w:spacing w:val="-5"/>
                <w:w w:val="101"/>
                <w:sz w:val="18"/>
                <w:szCs w:val="18"/>
              </w:rPr>
              <w:t>理</w:t>
            </w:r>
            <w:r>
              <w:rPr>
                <w:rFonts w:ascii="宋体" w:hAnsi="宋体" w:cs="宋体" w:eastAsia="宋体" w:hint="default"/>
                <w:w w:val="101"/>
                <w:sz w:val="18"/>
                <w:szCs w:val="18"/>
              </w:rPr>
              <w:t>制</w:t>
            </w:r>
            <w:r>
              <w:rPr>
                <w:rFonts w:ascii="宋体" w:hAnsi="宋体" w:cs="宋体" w:eastAsia="宋体" w:hint="default"/>
                <w:spacing w:val="-5"/>
                <w:w w:val="101"/>
                <w:sz w:val="18"/>
                <w:szCs w:val="18"/>
              </w:rPr>
              <w:t>度</w:t>
            </w:r>
            <w:r>
              <w:rPr>
                <w:rFonts w:ascii="宋体" w:hAnsi="宋体" w:cs="宋体" w:eastAsia="宋体" w:hint="default"/>
                <w:w w:val="101"/>
                <w:sz w:val="18"/>
                <w:szCs w:val="18"/>
              </w:rPr>
              <w:t>等</w:t>
            </w:r>
            <w:r>
              <w:rPr>
                <w:rFonts w:ascii="宋体" w:hAnsi="宋体" w:cs="宋体" w:eastAsia="宋体" w:hint="default"/>
                <w:spacing w:val="-5"/>
                <w:w w:val="101"/>
                <w:sz w:val="18"/>
                <w:szCs w:val="18"/>
              </w:rPr>
              <w:t>规</w:t>
            </w:r>
            <w:r>
              <w:rPr>
                <w:rFonts w:ascii="宋体" w:hAnsi="宋体" w:cs="宋体" w:eastAsia="宋体" w:hint="default"/>
                <w:w w:val="101"/>
                <w:sz w:val="18"/>
                <w:szCs w:val="18"/>
              </w:rPr>
              <w:t>定</w:t>
            </w:r>
            <w:r>
              <w:rPr>
                <w:rFonts w:ascii="宋体" w:hAnsi="宋体" w:cs="宋体" w:eastAsia="宋体" w:hint="default"/>
                <w:spacing w:val="-5"/>
                <w:w w:val="101"/>
                <w:sz w:val="18"/>
                <w:szCs w:val="18"/>
              </w:rPr>
              <w:t>履</w:t>
            </w:r>
            <w:r>
              <w:rPr>
                <w:rFonts w:ascii="宋体" w:hAnsi="宋体" w:cs="宋体" w:eastAsia="宋体" w:hint="default"/>
                <w:w w:val="101"/>
                <w:sz w:val="18"/>
                <w:szCs w:val="18"/>
              </w:rPr>
              <w:t>行</w:t>
            </w:r>
            <w:r>
              <w:rPr>
                <w:rFonts w:ascii="宋体" w:hAnsi="宋体" w:cs="宋体" w:eastAsia="宋体" w:hint="default"/>
                <w:spacing w:val="-5"/>
                <w:w w:val="101"/>
                <w:sz w:val="18"/>
                <w:szCs w:val="18"/>
              </w:rPr>
              <w:t>必</w:t>
            </w:r>
            <w:r>
              <w:rPr>
                <w:rFonts w:ascii="宋体" w:hAnsi="宋体" w:cs="宋体" w:eastAsia="宋体" w:hint="default"/>
                <w:w w:val="101"/>
                <w:sz w:val="18"/>
                <w:szCs w:val="18"/>
              </w:rPr>
              <w:t>要</w:t>
            </w:r>
            <w:r>
              <w:rPr>
                <w:rFonts w:ascii="宋体" w:hAnsi="宋体" w:cs="宋体" w:eastAsia="宋体" w:hint="default"/>
                <w:spacing w:val="-5"/>
                <w:w w:val="101"/>
                <w:sz w:val="18"/>
                <w:szCs w:val="18"/>
              </w:rPr>
              <w:t>的</w:t>
            </w:r>
            <w:r>
              <w:rPr>
                <w:rFonts w:ascii="宋体" w:hAnsi="宋体" w:cs="宋体" w:eastAsia="宋体" w:hint="default"/>
                <w:w w:val="101"/>
                <w:sz w:val="18"/>
                <w:szCs w:val="18"/>
              </w:rPr>
              <w:t>法</w:t>
            </w:r>
            <w:r>
              <w:rPr>
                <w:rFonts w:ascii="宋体" w:hAnsi="宋体" w:cs="宋体" w:eastAsia="宋体" w:hint="default"/>
                <w:spacing w:val="-5"/>
                <w:w w:val="101"/>
                <w:sz w:val="18"/>
                <w:szCs w:val="18"/>
              </w:rPr>
              <w:t>定</w:t>
            </w:r>
            <w:r>
              <w:rPr>
                <w:rFonts w:ascii="宋体" w:hAnsi="宋体" w:cs="宋体" w:eastAsia="宋体" w:hint="default"/>
                <w:w w:val="101"/>
                <w:sz w:val="18"/>
                <w:szCs w:val="18"/>
              </w:rPr>
              <w:t>程</w:t>
            </w:r>
            <w:r>
              <w:rPr>
                <w:rFonts w:ascii="宋体" w:hAnsi="宋体" w:cs="宋体" w:eastAsia="宋体" w:hint="default"/>
                <w:spacing w:val="-5"/>
                <w:w w:val="101"/>
                <w:sz w:val="18"/>
                <w:szCs w:val="18"/>
              </w:rPr>
              <w:t>序</w:t>
            </w:r>
            <w:r>
              <w:rPr>
                <w:rFonts w:ascii="宋体" w:hAnsi="宋体" w:cs="宋体" w:eastAsia="宋体" w:hint="default"/>
                <w:spacing w:val="-77"/>
                <w:w w:val="101"/>
                <w:sz w:val="18"/>
                <w:szCs w:val="18"/>
              </w:rPr>
              <w:t>。</w:t>
            </w:r>
            <w:r>
              <w:rPr>
                <w:rFonts w:ascii="宋体" w:hAnsi="宋体" w:cs="宋体" w:eastAsia="宋体" w:hint="default"/>
                <w:w w:val="101"/>
                <w:sz w:val="18"/>
                <w:szCs w:val="18"/>
              </w:rPr>
              <w:t>在环</w:t>
            </w:r>
            <w:r>
              <w:rPr>
                <w:rFonts w:ascii="宋体" w:hAnsi="宋体" w:cs="宋体" w:eastAsia="宋体" w:hint="default"/>
                <w:sz w:val="18"/>
                <w:szCs w:val="18"/>
              </w:rPr>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22" w:hRule="exact"/>
        </w:trPr>
        <w:tc>
          <w:tcPr>
            <w:tcW w:w="1282" w:type="dxa"/>
            <w:vMerge/>
            <w:tcBorders>
              <w:left w:val="single" w:sz="8" w:space="0" w:color="000000"/>
              <w:bottom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single" w:sz="8" w:space="0" w:color="000000"/>
              <w:right w:val="single" w:sz="8" w:space="0" w:color="000000"/>
            </w:tcBorders>
          </w:tcPr>
          <w:p>
            <w:pPr/>
          </w:p>
        </w:tc>
        <w:tc>
          <w:tcPr>
            <w:tcW w:w="874" w:type="dxa"/>
            <w:tcBorders>
              <w:top w:val="nil" w:sz="6" w:space="0" w:color="auto"/>
              <w:left w:val="single" w:sz="8" w:space="0" w:color="000000"/>
              <w:bottom w:val="single" w:sz="8" w:space="0" w:color="000000"/>
              <w:right w:val="single" w:sz="8" w:space="0" w:color="000000"/>
            </w:tcBorders>
          </w:tcPr>
          <w:p>
            <w:pPr/>
          </w:p>
        </w:tc>
        <w:tc>
          <w:tcPr>
            <w:tcW w:w="392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3"/>
                <w:sz w:val="18"/>
                <w:szCs w:val="18"/>
              </w:rPr>
              <w:t>球印务权力机构审议有关关联交易事项时主动</w:t>
            </w:r>
          </w:p>
        </w:tc>
        <w:tc>
          <w:tcPr>
            <w:tcW w:w="941" w:type="dxa"/>
            <w:tcBorders>
              <w:top w:val="nil" w:sz="6" w:space="0" w:color="auto"/>
              <w:left w:val="single" w:sz="8" w:space="0" w:color="000000"/>
              <w:bottom w:val="single" w:sz="8" w:space="0" w:color="000000"/>
              <w:right w:val="single" w:sz="8" w:space="0" w:color="000000"/>
            </w:tcBorders>
          </w:tcPr>
          <w:p>
            <w:pPr/>
          </w:p>
        </w:tc>
        <w:tc>
          <w:tcPr>
            <w:tcW w:w="639" w:type="dxa"/>
            <w:tcBorders>
              <w:top w:val="nil" w:sz="6" w:space="0" w:color="auto"/>
              <w:left w:val="single" w:sz="8" w:space="0" w:color="000000"/>
              <w:bottom w:val="single" w:sz="8" w:space="0" w:color="000000"/>
              <w:right w:val="single" w:sz="8" w:space="0" w:color="000000"/>
            </w:tcBorders>
          </w:tcPr>
          <w:p>
            <w:pPr/>
          </w:p>
        </w:tc>
        <w:tc>
          <w:tcPr>
            <w:tcW w:w="1023" w:type="dxa"/>
            <w:tcBorders>
              <w:top w:val="nil" w:sz="6" w:space="0" w:color="auto"/>
              <w:left w:val="single" w:sz="8" w:space="0" w:color="000000"/>
              <w:bottom w:val="single" w:sz="8" w:space="0" w:color="000000"/>
              <w:right w:val="single" w:sz="8" w:space="0" w:color="000000"/>
            </w:tcBorders>
          </w:tcPr>
          <w:p>
            <w:pPr/>
          </w:p>
        </w:tc>
      </w:tr>
    </w:tbl>
    <w:p>
      <w:pPr>
        <w:spacing w:after="0"/>
        <w:sectPr>
          <w:pgSz w:w="11910" w:h="16840"/>
          <w:pgMar w:header="0" w:footer="979" w:top="1100" w:bottom="1160" w:left="900" w:right="0"/>
        </w:sectPr>
      </w:pPr>
    </w:p>
    <w:p>
      <w:pPr>
        <w:spacing w:line="240" w:lineRule="auto" w:before="2"/>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1282"/>
        <w:gridCol w:w="1176"/>
        <w:gridCol w:w="874"/>
        <w:gridCol w:w="3924"/>
        <w:gridCol w:w="941"/>
        <w:gridCol w:w="639"/>
        <w:gridCol w:w="1023"/>
      </w:tblGrid>
      <w:tr>
        <w:trPr>
          <w:trHeight w:val="3817" w:hRule="exact"/>
        </w:trPr>
        <w:tc>
          <w:tcPr>
            <w:tcW w:w="1282" w:type="dxa"/>
            <w:vMerge w:val="restart"/>
            <w:tcBorders>
              <w:top w:val="nil" w:sz="6" w:space="0" w:color="auto"/>
              <w:left w:val="single" w:sz="8" w:space="0" w:color="000000"/>
              <w:right w:val="single" w:sz="8" w:space="0" w:color="000000"/>
            </w:tcBorders>
            <w:shd w:val="clear" w:color="auto" w:fill="D2D2D2"/>
          </w:tcPr>
          <w:p>
            <w:pPr>
              <w:pStyle w:val="TableParagraph"/>
              <w:spacing w:line="11341" w:lineRule="exact"/>
              <w:ind w:left="4"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6"/>
                <w:sz w:val="20"/>
                <w:szCs w:val="20"/>
              </w:rPr>
              <w:pict>
                <v:group style="width:62.95pt;height:567.050pt;mso-position-horizontal-relative:char;mso-position-vertical-relative:line" coordorigin="0,0" coordsize="1259,11341">
                  <v:group style="position:absolute;left:0;top:0;width:1259;height:3808" coordorigin="0,0" coordsize="1259,3808">
                    <v:shape style="position:absolute;left:0;top:0;width:1259;height:3808" coordorigin="0,0" coordsize="1259,3808" path="m0,3807l1258,3807,1258,0,0,0,0,3807xe" filled="true" fillcolor="#d2d2d2" stroked="false">
                      <v:path arrowok="t"/>
                      <v:fill type="solid"/>
                    </v:shape>
                  </v:group>
                  <v:group style="position:absolute;left:0;top:3807;width:1259;height:4077" coordorigin="0,3807" coordsize="1259,4077">
                    <v:shape style="position:absolute;left:0;top:3807;width:1259;height:4077" coordorigin="0,3807" coordsize="1259,4077" path="m0,7884l1258,7884,1258,3807,0,3807,0,7884xe" filled="true" fillcolor="#d2d2d2" stroked="false">
                      <v:path arrowok="t"/>
                      <v:fill type="solid"/>
                    </v:shape>
                  </v:group>
                  <v:group style="position:absolute;left:0;top:7889;width:1259;height:3453" coordorigin="0,7889" coordsize="1259,3453">
                    <v:shape style="position:absolute;left:0;top:7889;width:1259;height:3453" coordorigin="0,7889" coordsize="1259,3453" path="m0,11341l1258,11341,1258,7889,0,7889,0,11341xe" filled="true" fillcolor="#d2d2d2" stroked="false">
                      <v:path arrowok="t"/>
                      <v:fill type="solid"/>
                    </v:shape>
                  </v:group>
                </v:group>
              </w:pict>
            </w:r>
            <w:r>
              <w:rPr>
                <w:rFonts w:ascii="Times New Roman" w:hAnsi="Times New Roman" w:cs="Times New Roman" w:eastAsia="Times New Roman" w:hint="default"/>
                <w:position w:val="-226"/>
                <w:sz w:val="20"/>
                <w:szCs w:val="20"/>
              </w:rPr>
            </w:r>
          </w:p>
        </w:tc>
        <w:tc>
          <w:tcPr>
            <w:tcW w:w="1176" w:type="dxa"/>
            <w:tcBorders>
              <w:top w:val="nil" w:sz="6" w:space="0" w:color="auto"/>
              <w:left w:val="single" w:sz="8" w:space="0" w:color="000000"/>
              <w:bottom w:val="single" w:sz="8" w:space="0" w:color="000000"/>
              <w:right w:val="single" w:sz="8" w:space="0" w:color="000000"/>
            </w:tcBorders>
          </w:tcPr>
          <w:p>
            <w:pPr/>
          </w:p>
        </w:tc>
        <w:tc>
          <w:tcPr>
            <w:tcW w:w="874" w:type="dxa"/>
            <w:tcBorders>
              <w:top w:val="nil" w:sz="6" w:space="0" w:color="auto"/>
              <w:left w:val="single" w:sz="8" w:space="0" w:color="000000"/>
              <w:bottom w:val="single" w:sz="8" w:space="0" w:color="000000"/>
              <w:right w:val="single" w:sz="8" w:space="0" w:color="000000"/>
            </w:tcBorders>
          </w:tcPr>
          <w:p>
            <w:pPr/>
          </w:p>
        </w:tc>
        <w:tc>
          <w:tcPr>
            <w:tcW w:w="3924" w:type="dxa"/>
            <w:tcBorders>
              <w:top w:val="nil" w:sz="6" w:space="0" w:color="auto"/>
              <w:left w:val="single" w:sz="8" w:space="0" w:color="000000"/>
              <w:bottom w:val="single" w:sz="8" w:space="0" w:color="000000"/>
              <w:right w:val="single" w:sz="8" w:space="0" w:color="000000"/>
            </w:tcBorders>
          </w:tcPr>
          <w:p>
            <w:pPr>
              <w:pStyle w:val="TableParagraph"/>
              <w:spacing w:line="314" w:lineRule="auto" w:before="10"/>
              <w:ind w:left="101" w:right="18"/>
              <w:jc w:val="left"/>
              <w:rPr>
                <w:rFonts w:ascii="宋体" w:hAnsi="宋体" w:cs="宋体" w:eastAsia="宋体" w:hint="default"/>
                <w:sz w:val="18"/>
                <w:szCs w:val="18"/>
              </w:rPr>
            </w:pPr>
            <w:r>
              <w:rPr>
                <w:rFonts w:ascii="宋体" w:hAnsi="宋体" w:cs="宋体" w:eastAsia="宋体" w:hint="default"/>
                <w:spacing w:val="-6"/>
                <w:w w:val="101"/>
                <w:sz w:val="18"/>
                <w:szCs w:val="18"/>
              </w:rPr>
              <w:t>依法履行回避义务；对须报经有权机构审议的关</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联交易事项，在有权机构审议通过后方可执行。</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、本公司保证不通过关联交易取得任何不正当</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的利益或使环球印务及其下属子公司承担任何</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w w:val="101"/>
                <w:sz w:val="18"/>
                <w:szCs w:val="18"/>
              </w:rPr>
              <w:t>不正当的义务。如果因违反上述承诺导致环球印</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务或其下属子公司损失或利用关联交易侵占环</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w w:val="101"/>
                <w:sz w:val="18"/>
                <w:szCs w:val="18"/>
              </w:rPr>
              <w:t>球印务或其下属子公司利益的，环球印务及其下</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属子公司的损失由本公司承担。</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、上述承诺在</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本公司及本公司控制或影响的企业构成环球印</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务的关联方期间持续有效</w:t>
            </w:r>
          </w:p>
        </w:tc>
        <w:tc>
          <w:tcPr>
            <w:tcW w:w="941" w:type="dxa"/>
            <w:tcBorders>
              <w:top w:val="nil" w:sz="6" w:space="0" w:color="auto"/>
              <w:left w:val="single" w:sz="8" w:space="0" w:color="000000"/>
              <w:bottom w:val="single" w:sz="8" w:space="0" w:color="000000"/>
              <w:right w:val="single" w:sz="8" w:space="0" w:color="000000"/>
            </w:tcBorders>
          </w:tcPr>
          <w:p>
            <w:pPr/>
          </w:p>
        </w:tc>
        <w:tc>
          <w:tcPr>
            <w:tcW w:w="639" w:type="dxa"/>
            <w:tcBorders>
              <w:top w:val="nil" w:sz="6" w:space="0" w:color="auto"/>
              <w:left w:val="single" w:sz="8" w:space="0" w:color="000000"/>
              <w:bottom w:val="single" w:sz="8" w:space="0" w:color="000000"/>
              <w:right w:val="single" w:sz="8" w:space="0" w:color="000000"/>
            </w:tcBorders>
          </w:tcPr>
          <w:p>
            <w:pPr/>
          </w:p>
        </w:tc>
        <w:tc>
          <w:tcPr>
            <w:tcW w:w="1023" w:type="dxa"/>
            <w:tcBorders>
              <w:top w:val="nil" w:sz="6" w:space="0" w:color="auto"/>
              <w:left w:val="single" w:sz="8" w:space="0" w:color="000000"/>
              <w:bottom w:val="single" w:sz="8" w:space="0" w:color="000000"/>
              <w:right w:val="single" w:sz="8" w:space="0" w:color="000000"/>
            </w:tcBorders>
          </w:tcPr>
          <w:p>
            <w:pPr/>
          </w:p>
        </w:tc>
      </w:tr>
      <w:tr>
        <w:trPr>
          <w:trHeight w:val="4077" w:hRule="exact"/>
        </w:trPr>
        <w:tc>
          <w:tcPr>
            <w:tcW w:w="1282" w:type="dxa"/>
            <w:vMerge/>
            <w:tcBorders>
              <w:left w:val="single" w:sz="8" w:space="0" w:color="000000"/>
              <w:right w:val="single" w:sz="8" w:space="0" w:color="000000"/>
            </w:tcBorders>
            <w:shd w:val="clear" w:color="auto" w:fill="D2D2D2"/>
          </w:tcPr>
          <w:p>
            <w:pP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2"/>
              <w:ind w:left="95" w:right="156"/>
              <w:jc w:val="both"/>
              <w:rPr>
                <w:rFonts w:ascii="宋体" w:hAnsi="宋体" w:cs="宋体" w:eastAsia="宋体" w:hint="default"/>
                <w:sz w:val="18"/>
                <w:szCs w:val="18"/>
              </w:rPr>
            </w:pPr>
            <w:r>
              <w:rPr>
                <w:rFonts w:ascii="宋体" w:hAnsi="宋体" w:cs="宋体" w:eastAsia="宋体" w:hint="default"/>
                <w:sz w:val="18"/>
                <w:szCs w:val="18"/>
              </w:rPr>
              <w:t>陕西医药控</w:t>
            </w:r>
            <w:r>
              <w:rPr>
                <w:rFonts w:ascii="宋体" w:hAnsi="宋体" w:cs="宋体" w:eastAsia="宋体" w:hint="default"/>
                <w:w w:val="101"/>
                <w:sz w:val="18"/>
                <w:szCs w:val="18"/>
              </w:rPr>
              <w:t> </w:t>
            </w:r>
            <w:r>
              <w:rPr>
                <w:rFonts w:ascii="宋体" w:hAnsi="宋体" w:cs="宋体" w:eastAsia="宋体" w:hint="default"/>
                <w:sz w:val="18"/>
                <w:szCs w:val="18"/>
              </w:rPr>
              <w:t>股集团有限</w:t>
            </w:r>
            <w:r>
              <w:rPr>
                <w:rFonts w:ascii="宋体" w:hAnsi="宋体" w:cs="宋体" w:eastAsia="宋体" w:hint="default"/>
                <w:w w:val="101"/>
                <w:sz w:val="18"/>
                <w:szCs w:val="18"/>
              </w:rPr>
              <w:t> </w:t>
            </w:r>
            <w:r>
              <w:rPr>
                <w:rFonts w:ascii="宋体" w:hAnsi="宋体" w:cs="宋体" w:eastAsia="宋体" w:hint="default"/>
                <w:sz w:val="18"/>
                <w:szCs w:val="18"/>
              </w:rPr>
              <w:t>责任公司</w:t>
            </w:r>
          </w:p>
        </w:tc>
        <w:tc>
          <w:tcPr>
            <w:tcW w:w="8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316" w:lineRule="auto"/>
              <w:ind w:left="100" w:right="209"/>
              <w:jc w:val="left"/>
              <w:rPr>
                <w:rFonts w:ascii="宋体" w:hAnsi="宋体" w:cs="宋体" w:eastAsia="宋体" w:hint="default"/>
                <w:sz w:val="18"/>
                <w:szCs w:val="18"/>
              </w:rPr>
            </w:pPr>
            <w:r>
              <w:rPr>
                <w:rFonts w:ascii="宋体" w:hAnsi="宋体" w:cs="宋体" w:eastAsia="宋体" w:hint="default"/>
                <w:sz w:val="18"/>
                <w:szCs w:val="18"/>
              </w:rPr>
              <w:t>其他承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w:t>
            </w:r>
          </w:p>
        </w:tc>
        <w:tc>
          <w:tcPr>
            <w:tcW w:w="3924"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10"/>
              <w:ind w:left="101" w:right="91"/>
              <w:jc w:val="left"/>
              <w:rPr>
                <w:rFonts w:ascii="宋体" w:hAnsi="宋体" w:cs="宋体" w:eastAsia="宋体" w:hint="default"/>
                <w:sz w:val="18"/>
                <w:szCs w:val="18"/>
              </w:rPr>
            </w:pPr>
            <w:r>
              <w:rPr>
                <w:rFonts w:ascii="宋体" w:hAnsi="宋体" w:cs="宋体" w:eastAsia="宋体" w:hint="default"/>
                <w:spacing w:val="-6"/>
                <w:w w:val="101"/>
                <w:sz w:val="18"/>
                <w:szCs w:val="18"/>
              </w:rPr>
              <w:t>控股股东关于公积金相关事项的承诺：作为控股</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6"/>
                <w:sz w:val="18"/>
                <w:szCs w:val="18"/>
              </w:rPr>
              <w:t>股东，为支持西安环球印务股份有限公司（下简</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6"/>
                <w:sz w:val="18"/>
                <w:szCs w:val="18"/>
              </w:rPr>
              <w:t>称发行人）首次公开发行股票并上市，本公司承</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6"/>
                <w:sz w:val="18"/>
                <w:szCs w:val="18"/>
              </w:rPr>
              <w:t>诺，若发生以下情形时，本公司将无条件承担相</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6"/>
                <w:w w:val="101"/>
                <w:sz w:val="18"/>
                <w:szCs w:val="18"/>
              </w:rPr>
              <w:t>关支付义务以及因此产生的相关费用，不使发行</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人因此受到经济损失：</w:t>
            </w:r>
            <w:r>
              <w:rPr>
                <w:rFonts w:ascii="宋体" w:hAnsi="宋体" w:cs="宋体" w:eastAsia="宋体" w:hint="default"/>
                <w:spacing w:val="-17"/>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、因发行人及其控股子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公司在本承诺出具之前未执行住房公积金管理</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w w:val="101"/>
                <w:sz w:val="18"/>
                <w:szCs w:val="18"/>
              </w:rPr>
              <w:t>制度，导致相关主管机构要求发行人及其控股子</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公司补缴以前年度住房公积金或对发行人及其</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控股子公司进行处罚；</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、因发行人及其控股</w:t>
            </w:r>
            <w:r>
              <w:rPr>
                <w:rFonts w:ascii="宋体" w:hAnsi="宋体" w:cs="宋体" w:eastAsia="宋体" w:hint="default"/>
                <w:w w:val="101"/>
                <w:sz w:val="18"/>
                <w:szCs w:val="18"/>
              </w:rPr>
              <w:t> </w:t>
            </w:r>
            <w:r>
              <w:rPr>
                <w:rFonts w:ascii="宋体" w:hAnsi="宋体" w:cs="宋体" w:eastAsia="宋体" w:hint="default"/>
                <w:spacing w:val="-3"/>
                <w:sz w:val="18"/>
                <w:szCs w:val="18"/>
              </w:rPr>
              <w:t>子公司于本承诺出具之前发生的未执行住房公</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w w:val="101"/>
                <w:sz w:val="18"/>
                <w:szCs w:val="18"/>
              </w:rPr>
              <w:t>积金管理制度，导致相关利益主体以任何方式提</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出赔偿请求。</w:t>
            </w:r>
          </w:p>
        </w:tc>
        <w:tc>
          <w:tcPr>
            <w:tcW w:w="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长期</w:t>
            </w:r>
          </w:p>
        </w:tc>
        <w:tc>
          <w:tcPr>
            <w:tcW w:w="10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9" w:lineRule="auto"/>
              <w:ind w:left="100" w:right="176"/>
              <w:jc w:val="left"/>
              <w:rPr>
                <w:rFonts w:ascii="宋体" w:hAnsi="宋体" w:cs="宋体" w:eastAsia="宋体" w:hint="default"/>
                <w:sz w:val="18"/>
                <w:szCs w:val="18"/>
              </w:rPr>
            </w:pPr>
            <w:r>
              <w:rPr>
                <w:rFonts w:ascii="宋体" w:hAnsi="宋体" w:cs="宋体" w:eastAsia="宋体" w:hint="default"/>
                <w:sz w:val="18"/>
                <w:szCs w:val="18"/>
              </w:rPr>
              <w:t>尚在承诺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履行期，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严格履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w:t>
            </w:r>
          </w:p>
        </w:tc>
      </w:tr>
      <w:tr>
        <w:trPr>
          <w:trHeight w:val="3457" w:hRule="exact"/>
        </w:trPr>
        <w:tc>
          <w:tcPr>
            <w:tcW w:w="1282" w:type="dxa"/>
            <w:vMerge/>
            <w:tcBorders>
              <w:left w:val="single" w:sz="8" w:space="0" w:color="000000"/>
              <w:bottom w:val="single" w:sz="8" w:space="0" w:color="000000"/>
              <w:right w:val="single" w:sz="8" w:space="0" w:color="000000"/>
            </w:tcBorders>
            <w:shd w:val="clear" w:color="auto" w:fill="D2D2D2"/>
          </w:tcPr>
          <w:p>
            <w:pP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19" w:lineRule="auto"/>
              <w:ind w:left="95" w:right="156"/>
              <w:jc w:val="both"/>
              <w:rPr>
                <w:rFonts w:ascii="宋体" w:hAnsi="宋体" w:cs="宋体" w:eastAsia="宋体" w:hint="default"/>
                <w:sz w:val="18"/>
                <w:szCs w:val="18"/>
              </w:rPr>
            </w:pPr>
            <w:r>
              <w:rPr>
                <w:rFonts w:ascii="宋体" w:hAnsi="宋体" w:cs="宋体" w:eastAsia="宋体" w:hint="default"/>
                <w:sz w:val="18"/>
                <w:szCs w:val="18"/>
              </w:rPr>
              <w:t>陕西医药控</w:t>
            </w:r>
            <w:r>
              <w:rPr>
                <w:rFonts w:ascii="宋体" w:hAnsi="宋体" w:cs="宋体" w:eastAsia="宋体" w:hint="default"/>
                <w:w w:val="101"/>
                <w:sz w:val="18"/>
                <w:szCs w:val="18"/>
              </w:rPr>
              <w:t> </w:t>
            </w:r>
            <w:r>
              <w:rPr>
                <w:rFonts w:ascii="宋体" w:hAnsi="宋体" w:cs="宋体" w:eastAsia="宋体" w:hint="default"/>
                <w:sz w:val="18"/>
                <w:szCs w:val="18"/>
              </w:rPr>
              <w:t>股集团有限</w:t>
            </w:r>
            <w:r>
              <w:rPr>
                <w:rFonts w:ascii="宋体" w:hAnsi="宋体" w:cs="宋体" w:eastAsia="宋体" w:hint="default"/>
                <w:w w:val="101"/>
                <w:sz w:val="18"/>
                <w:szCs w:val="18"/>
              </w:rPr>
              <w:t> </w:t>
            </w:r>
            <w:r>
              <w:rPr>
                <w:rFonts w:ascii="宋体" w:hAnsi="宋体" w:cs="宋体" w:eastAsia="宋体" w:hint="default"/>
                <w:sz w:val="18"/>
                <w:szCs w:val="18"/>
              </w:rPr>
              <w:t>责任公司</w:t>
            </w:r>
          </w:p>
        </w:tc>
        <w:tc>
          <w:tcPr>
            <w:tcW w:w="8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100" w:right="209"/>
              <w:jc w:val="left"/>
              <w:rPr>
                <w:rFonts w:ascii="宋体" w:hAnsi="宋体" w:cs="宋体" w:eastAsia="宋体" w:hint="default"/>
                <w:sz w:val="18"/>
                <w:szCs w:val="18"/>
              </w:rPr>
            </w:pPr>
            <w:r>
              <w:rPr>
                <w:rFonts w:ascii="宋体" w:hAnsi="宋体" w:cs="宋体" w:eastAsia="宋体" w:hint="default"/>
                <w:sz w:val="18"/>
                <w:szCs w:val="18"/>
              </w:rPr>
              <w:t>其他承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w:t>
            </w:r>
          </w:p>
        </w:tc>
        <w:tc>
          <w:tcPr>
            <w:tcW w:w="3924"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15"/>
              <w:ind w:left="101" w:right="9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控股股东关于社会保险相关事项的承诺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若将</w:t>
            </w:r>
            <w:r>
              <w:rPr>
                <w:rFonts w:ascii="宋体" w:hAnsi="宋体" w:cs="宋体" w:eastAsia="宋体" w:hint="default"/>
                <w:spacing w:val="-28"/>
                <w:sz w:val="18"/>
                <w:szCs w:val="18"/>
              </w:rPr>
              <w:t> </w:t>
            </w:r>
            <w:r>
              <w:rPr>
                <w:rFonts w:ascii="宋体" w:hAnsi="宋体" w:cs="宋体" w:eastAsia="宋体" w:hint="default"/>
                <w:spacing w:val="-3"/>
                <w:sz w:val="18"/>
                <w:szCs w:val="18"/>
              </w:rPr>
              <w:t>来因相关主管部门要求发行人及其控股子公司</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补缴社会保险或对发行人处以任何罚款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或因相</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关利益主体向发行人及其控股子公司提出关于</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w w:val="101"/>
                <w:sz w:val="18"/>
                <w:szCs w:val="18"/>
              </w:rPr>
              <w:t>缴纳社会保险的任何赔偿请求，导致发行人及其</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6"/>
                <w:w w:val="101"/>
                <w:sz w:val="18"/>
                <w:szCs w:val="18"/>
              </w:rPr>
              <w:t>控股子公司需要因此承担任何补偿责任、罚款或</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6"/>
                <w:w w:val="101"/>
                <w:sz w:val="18"/>
                <w:szCs w:val="18"/>
              </w:rPr>
              <w:t>赔偿责任的，导致发行人及其控股子公司需要因</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6"/>
                <w:sz w:val="18"/>
                <w:szCs w:val="18"/>
              </w:rPr>
              <w:t>此承担任何补偿责任、罚款或赔偿责任的，本公</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司将无条件全额承担发行人及其控股子公司因</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sz w:val="18"/>
                <w:szCs w:val="18"/>
              </w:rPr>
              <w:t>此而发生的全部费用、支出，确保发行人及其控</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股子公司不会因此遭受任何损失。</w:t>
            </w:r>
            <w:r>
              <w:rPr>
                <w:rFonts w:ascii="Times New Roman" w:hAnsi="Times New Roman" w:cs="Times New Roman" w:eastAsia="Times New Roman" w:hint="default"/>
                <w:spacing w:val="-3"/>
                <w:sz w:val="18"/>
                <w:szCs w:val="18"/>
              </w:rPr>
              <w:t>”</w:t>
            </w:r>
          </w:p>
        </w:tc>
        <w:tc>
          <w:tcPr>
            <w:tcW w:w="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60"/>
              <w:jc w:val="center"/>
              <w:rPr>
                <w:rFonts w:ascii="宋体" w:hAnsi="宋体" w:cs="宋体" w:eastAsia="宋体" w:hint="default"/>
                <w:sz w:val="18"/>
                <w:szCs w:val="18"/>
              </w:rPr>
            </w:pPr>
            <w:r>
              <w:rPr>
                <w:rFonts w:ascii="宋体" w:hAnsi="宋体" w:cs="宋体" w:eastAsia="宋体" w:hint="default"/>
                <w:sz w:val="18"/>
                <w:szCs w:val="18"/>
              </w:rPr>
              <w:t>长期</w:t>
            </w:r>
          </w:p>
        </w:tc>
        <w:tc>
          <w:tcPr>
            <w:tcW w:w="10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9" w:lineRule="auto"/>
              <w:ind w:left="100" w:right="176"/>
              <w:jc w:val="left"/>
              <w:rPr>
                <w:rFonts w:ascii="宋体" w:hAnsi="宋体" w:cs="宋体" w:eastAsia="宋体" w:hint="default"/>
                <w:sz w:val="18"/>
                <w:szCs w:val="18"/>
              </w:rPr>
            </w:pPr>
            <w:r>
              <w:rPr>
                <w:rFonts w:ascii="宋体" w:hAnsi="宋体" w:cs="宋体" w:eastAsia="宋体" w:hint="default"/>
                <w:sz w:val="18"/>
                <w:szCs w:val="18"/>
              </w:rPr>
              <w:t>尚在承诺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履行期，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严格履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w:t>
            </w:r>
          </w:p>
        </w:tc>
      </w:tr>
    </w:tbl>
    <w:p>
      <w:pPr>
        <w:spacing w:after="0" w:line="319" w:lineRule="auto"/>
        <w:jc w:val="left"/>
        <w:rPr>
          <w:rFonts w:ascii="宋体" w:hAnsi="宋体" w:cs="宋体" w:eastAsia="宋体" w:hint="default"/>
          <w:sz w:val="18"/>
          <w:szCs w:val="18"/>
        </w:rPr>
        <w:sectPr>
          <w:pgSz w:w="11910" w:h="16840"/>
          <w:pgMar w:header="0" w:footer="979" w:top="1100" w:bottom="1160" w:left="900" w:right="0"/>
        </w:sectPr>
      </w:pPr>
    </w:p>
    <w:p>
      <w:pPr>
        <w:spacing w:line="240" w:lineRule="auto" w:before="2"/>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1282"/>
        <w:gridCol w:w="1176"/>
        <w:gridCol w:w="874"/>
        <w:gridCol w:w="3924"/>
        <w:gridCol w:w="941"/>
        <w:gridCol w:w="639"/>
        <w:gridCol w:w="1023"/>
      </w:tblGrid>
      <w:tr>
        <w:trPr>
          <w:trHeight w:val="316" w:hRule="exact"/>
        </w:trPr>
        <w:tc>
          <w:tcPr>
            <w:tcW w:w="1282" w:type="dxa"/>
            <w:vMerge w:val="restart"/>
            <w:tcBorders>
              <w:top w:val="nil" w:sz="6" w:space="0" w:color="auto"/>
              <w:left w:val="single" w:sz="8" w:space="0" w:color="000000"/>
              <w:right w:val="single" w:sz="8" w:space="0" w:color="000000"/>
            </w:tcBorders>
            <w:shd w:val="clear" w:color="auto" w:fill="D2D2D2"/>
          </w:tcPr>
          <w:p>
            <w:pPr>
              <w:pStyle w:val="TableParagraph"/>
              <w:spacing w:line="10630" w:lineRule="exact"/>
              <w:ind w:left="4"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2"/>
                <w:sz w:val="20"/>
                <w:szCs w:val="20"/>
              </w:rPr>
              <w:pict>
                <v:group style="width:62.95pt;height:531.550pt;mso-position-horizontal-relative:char;mso-position-vertical-relative:line" coordorigin="0,0" coordsize="1259,10631">
                  <v:group style="position:absolute;left:0;top:0;width:1259;height:4369" coordorigin="0,0" coordsize="1259,4369">
                    <v:shape style="position:absolute;left:0;top:0;width:1259;height:4369" coordorigin="0,0" coordsize="1259,4369" path="m0,4369l1258,4369,1258,0,0,0,0,4369xe" filled="true" fillcolor="#d2d2d2" stroked="false">
                      <v:path arrowok="t"/>
                      <v:fill type="solid"/>
                    </v:shape>
                  </v:group>
                  <v:group style="position:absolute;left:0;top:4369;width:1259;height:6262" coordorigin="0,4369" coordsize="1259,6262">
                    <v:shape style="position:absolute;left:0;top:4369;width:1259;height:6262" coordorigin="0,4369" coordsize="1259,6262" path="m0,10630l1258,10630,1258,4369,0,4369,0,10630xe" filled="true" fillcolor="#d2d2d2" stroked="false">
                      <v:path arrowok="t"/>
                      <v:fill type="solid"/>
                    </v:shape>
                  </v:group>
                </v:group>
              </w:pict>
            </w:r>
            <w:r>
              <w:rPr>
                <w:rFonts w:ascii="Times New Roman" w:hAnsi="Times New Roman" w:cs="Times New Roman" w:eastAsia="Times New Roman" w:hint="default"/>
                <w:position w:val="-212"/>
                <w:sz w:val="20"/>
                <w:szCs w:val="20"/>
              </w:rPr>
            </w: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3"/>
                <w:sz w:val="18"/>
                <w:szCs w:val="18"/>
              </w:rPr>
              <w:t>减持的承诺：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、锁定期限（包括延长的锁定期</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pacing w:val="-9"/>
                <w:sz w:val="18"/>
                <w:szCs w:val="18"/>
              </w:rPr>
              <w:t>限）届满后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2"/>
                <w:sz w:val="18"/>
                <w:szCs w:val="18"/>
              </w:rPr>
              <w:t> </w:t>
            </w:r>
            <w:r>
              <w:rPr>
                <w:rFonts w:ascii="宋体" w:hAnsi="宋体" w:cs="宋体" w:eastAsia="宋体" w:hint="default"/>
                <w:spacing w:val="-5"/>
                <w:sz w:val="18"/>
                <w:szCs w:val="18"/>
              </w:rPr>
              <w:t>个月内，本公司若减持上述股份，</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101"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减持价格将不低于发行价。在锁定期满后的</w:t>
            </w:r>
            <w:r>
              <w:rPr>
                <w:rFonts w:ascii="宋体" w:hAnsi="宋体" w:cs="宋体" w:eastAsia="宋体" w:hint="default"/>
                <w:spacing w:val="18"/>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07"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pacing w:val="-6"/>
                <w:sz w:val="18"/>
                <w:szCs w:val="18"/>
              </w:rPr>
              <w:t>个月内，如果减持，减持股份数量不超过发行人</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7"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股份总数的</w:t>
            </w:r>
            <w:r>
              <w:rPr>
                <w:rFonts w:ascii="宋体" w:hAnsi="宋体" w:cs="宋体" w:eastAsia="宋体" w:hint="default"/>
                <w:spacing w:val="-31"/>
                <w:sz w:val="18"/>
                <w:szCs w:val="18"/>
              </w:rPr>
              <w:t> </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；在锁定期满后的</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pacing w:val="-11"/>
                <w:sz w:val="18"/>
                <w:szCs w:val="18"/>
              </w:rPr>
              <w:t>个月内，如</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1243"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Style w:val="TableParagraph"/>
              <w:spacing w:line="316" w:lineRule="auto" w:before="160"/>
              <w:ind w:left="95" w:right="156"/>
              <w:jc w:val="both"/>
              <w:rPr>
                <w:rFonts w:ascii="宋体" w:hAnsi="宋体" w:cs="宋体" w:eastAsia="宋体" w:hint="default"/>
                <w:sz w:val="18"/>
                <w:szCs w:val="18"/>
              </w:rPr>
            </w:pPr>
            <w:r>
              <w:rPr>
                <w:rFonts w:ascii="宋体" w:hAnsi="宋体" w:cs="宋体" w:eastAsia="宋体" w:hint="default"/>
                <w:sz w:val="18"/>
                <w:szCs w:val="18"/>
              </w:rPr>
              <w:t>陕西医药控</w:t>
            </w:r>
            <w:r>
              <w:rPr>
                <w:rFonts w:ascii="宋体" w:hAnsi="宋体" w:cs="宋体" w:eastAsia="宋体" w:hint="default"/>
                <w:w w:val="101"/>
                <w:sz w:val="18"/>
                <w:szCs w:val="18"/>
              </w:rPr>
              <w:t> </w:t>
            </w:r>
            <w:r>
              <w:rPr>
                <w:rFonts w:ascii="宋体" w:hAnsi="宋体" w:cs="宋体" w:eastAsia="宋体" w:hint="default"/>
                <w:sz w:val="18"/>
                <w:szCs w:val="18"/>
              </w:rPr>
              <w:t>股集团有限</w:t>
            </w:r>
            <w:r>
              <w:rPr>
                <w:rFonts w:ascii="宋体" w:hAnsi="宋体" w:cs="宋体" w:eastAsia="宋体" w:hint="default"/>
                <w:w w:val="101"/>
                <w:sz w:val="18"/>
                <w:szCs w:val="18"/>
              </w:rPr>
              <w:t> </w:t>
            </w:r>
            <w:r>
              <w:rPr>
                <w:rFonts w:ascii="宋体" w:hAnsi="宋体" w:cs="宋体" w:eastAsia="宋体" w:hint="default"/>
                <w:sz w:val="18"/>
                <w:szCs w:val="18"/>
              </w:rPr>
              <w:t>责任公司</w:t>
            </w:r>
          </w:p>
        </w:tc>
        <w:tc>
          <w:tcPr>
            <w:tcW w:w="874" w:type="dxa"/>
            <w:tcBorders>
              <w:top w:val="nil" w:sz="6" w:space="0" w:color="auto"/>
              <w:left w:val="single" w:sz="8" w:space="0" w:color="000000"/>
              <w:bottom w:val="nil" w:sz="6" w:space="0" w:color="auto"/>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100" w:right="209"/>
              <w:jc w:val="left"/>
              <w:rPr>
                <w:rFonts w:ascii="宋体" w:hAnsi="宋体" w:cs="宋体" w:eastAsia="宋体" w:hint="default"/>
                <w:sz w:val="18"/>
                <w:szCs w:val="18"/>
              </w:rPr>
            </w:pPr>
            <w:r>
              <w:rPr>
                <w:rFonts w:ascii="宋体" w:hAnsi="宋体" w:cs="宋体" w:eastAsia="宋体" w:hint="default"/>
                <w:sz w:val="18"/>
                <w:szCs w:val="18"/>
              </w:rPr>
              <w:t>股份减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持承诺</w:t>
            </w: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312" w:lineRule="auto" w:before="6"/>
              <w:ind w:left="101" w:right="90"/>
              <w:jc w:val="left"/>
              <w:rPr>
                <w:rFonts w:ascii="宋体" w:hAnsi="宋体" w:cs="宋体" w:eastAsia="宋体" w:hint="default"/>
                <w:sz w:val="18"/>
                <w:szCs w:val="18"/>
              </w:rPr>
            </w:pPr>
            <w:r>
              <w:rPr>
                <w:rFonts w:ascii="宋体" w:hAnsi="宋体" w:cs="宋体" w:eastAsia="宋体" w:hint="default"/>
                <w:spacing w:val="-6"/>
                <w:w w:val="101"/>
                <w:sz w:val="18"/>
                <w:szCs w:val="18"/>
              </w:rPr>
              <w:t>果减持，减持股份数量累计不超过发行人股份总</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数的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。本公司减持发行人股份时，应提前将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减持意向和拟减持数量等信息以书面方式通知</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6"/>
                <w:sz w:val="18"/>
                <w:szCs w:val="18"/>
              </w:rPr>
              <w:t>发行人，并由发行人及时予以公告，自发行人公</w:t>
            </w:r>
          </w:p>
        </w:tc>
        <w:tc>
          <w:tcPr>
            <w:tcW w:w="941" w:type="dxa"/>
            <w:tcBorders>
              <w:top w:val="nil" w:sz="6" w:space="0" w:color="auto"/>
              <w:left w:val="single" w:sz="8" w:space="0" w:color="000000"/>
              <w:bottom w:val="nil" w:sz="6" w:space="0" w:color="auto"/>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9" w:type="dxa"/>
            <w:tcBorders>
              <w:top w:val="nil" w:sz="6" w:space="0" w:color="auto"/>
              <w:left w:val="single" w:sz="8" w:space="0" w:color="000000"/>
              <w:bottom w:val="nil" w:sz="6" w:space="0" w:color="auto"/>
              <w:right w:val="single" w:sz="8" w:space="0" w:color="000000"/>
            </w:tcBorders>
          </w:tcPr>
          <w:p>
            <w:pPr>
              <w:pStyle w:val="TableParagraph"/>
              <w:spacing w:line="316" w:lineRule="auto" w:before="160"/>
              <w:ind w:left="96" w:right="156"/>
              <w:jc w:val="both"/>
              <w:rPr>
                <w:rFonts w:ascii="宋体" w:hAnsi="宋体" w:cs="宋体" w:eastAsia="宋体" w:hint="default"/>
                <w:sz w:val="18"/>
                <w:szCs w:val="18"/>
              </w:rPr>
            </w:pPr>
            <w:r>
              <w:rPr>
                <w:rFonts w:ascii="宋体" w:hAnsi="宋体" w:cs="宋体" w:eastAsia="宋体" w:hint="default"/>
                <w:sz w:val="18"/>
                <w:szCs w:val="18"/>
              </w:rPr>
              <w:t>二十</w:t>
            </w:r>
            <w:r>
              <w:rPr>
                <w:rFonts w:ascii="宋体" w:hAnsi="宋体" w:cs="宋体" w:eastAsia="宋体" w:hint="default"/>
                <w:spacing w:val="-86"/>
                <w:sz w:val="18"/>
                <w:szCs w:val="18"/>
              </w:rPr>
              <w:t> </w:t>
            </w:r>
            <w:r>
              <w:rPr>
                <w:rFonts w:ascii="宋体" w:hAnsi="宋体" w:cs="宋体" w:eastAsia="宋体" w:hint="default"/>
                <w:sz w:val="18"/>
                <w:szCs w:val="18"/>
              </w:rPr>
              <w:t>四个</w:t>
            </w:r>
            <w:r>
              <w:rPr>
                <w:rFonts w:ascii="宋体" w:hAnsi="宋体" w:cs="宋体" w:eastAsia="宋体" w:hint="default"/>
                <w:spacing w:val="-86"/>
                <w:sz w:val="18"/>
                <w:szCs w:val="18"/>
              </w:rPr>
              <w:t> </w:t>
            </w:r>
            <w:r>
              <w:rPr>
                <w:rFonts w:ascii="宋体" w:hAnsi="宋体" w:cs="宋体" w:eastAsia="宋体" w:hint="default"/>
                <w:sz w:val="18"/>
                <w:szCs w:val="18"/>
              </w:rPr>
              <w:t>月</w:t>
            </w:r>
          </w:p>
        </w:tc>
        <w:tc>
          <w:tcPr>
            <w:tcW w:w="1023" w:type="dxa"/>
            <w:tcBorders>
              <w:top w:val="nil" w:sz="6" w:space="0" w:color="auto"/>
              <w:left w:val="single" w:sz="8" w:space="0" w:color="000000"/>
              <w:bottom w:val="nil" w:sz="6" w:space="0" w:color="auto"/>
              <w:right w:val="single" w:sz="8" w:space="0" w:color="000000"/>
            </w:tcBorders>
          </w:tcPr>
          <w:p>
            <w:pPr>
              <w:pStyle w:val="TableParagraph"/>
              <w:spacing w:line="316" w:lineRule="auto" w:before="6"/>
              <w:ind w:left="100" w:right="176"/>
              <w:jc w:val="left"/>
              <w:rPr>
                <w:rFonts w:ascii="宋体" w:hAnsi="宋体" w:cs="宋体" w:eastAsia="宋体" w:hint="default"/>
                <w:sz w:val="18"/>
                <w:szCs w:val="18"/>
              </w:rPr>
            </w:pPr>
            <w:r>
              <w:rPr>
                <w:rFonts w:ascii="宋体" w:hAnsi="宋体" w:cs="宋体" w:eastAsia="宋体" w:hint="default"/>
                <w:sz w:val="18"/>
                <w:szCs w:val="18"/>
              </w:rPr>
              <w:t>尚在承诺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履行期，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严格履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w:t>
            </w:r>
          </w:p>
        </w:tc>
      </w:tr>
      <w:tr>
        <w:trPr>
          <w:trHeight w:val="317"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w w:val="101"/>
                <w:sz w:val="18"/>
                <w:szCs w:val="18"/>
              </w:rPr>
              <w:t>告</w:t>
            </w:r>
            <w:r>
              <w:rPr>
                <w:rFonts w:ascii="宋体" w:hAnsi="宋体" w:cs="宋体" w:eastAsia="宋体" w:hint="default"/>
                <w:spacing w:val="-5"/>
                <w:w w:val="101"/>
                <w:sz w:val="18"/>
                <w:szCs w:val="18"/>
              </w:rPr>
              <w:t>之</w:t>
            </w:r>
            <w:r>
              <w:rPr>
                <w:rFonts w:ascii="宋体" w:hAnsi="宋体" w:cs="宋体" w:eastAsia="宋体" w:hint="default"/>
                <w:w w:val="101"/>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个</w:t>
            </w:r>
            <w:r>
              <w:rPr>
                <w:rFonts w:ascii="宋体" w:hAnsi="宋体" w:cs="宋体" w:eastAsia="宋体" w:hint="default"/>
                <w:w w:val="101"/>
                <w:sz w:val="18"/>
                <w:szCs w:val="18"/>
              </w:rPr>
              <w:t>交</w:t>
            </w:r>
            <w:r>
              <w:rPr>
                <w:rFonts w:ascii="宋体" w:hAnsi="宋体" w:cs="宋体" w:eastAsia="宋体" w:hint="default"/>
                <w:spacing w:val="-5"/>
                <w:w w:val="101"/>
                <w:sz w:val="18"/>
                <w:szCs w:val="18"/>
              </w:rPr>
              <w:t>易</w:t>
            </w:r>
            <w:r>
              <w:rPr>
                <w:rFonts w:ascii="宋体" w:hAnsi="宋体" w:cs="宋体" w:eastAsia="宋体" w:hint="default"/>
                <w:w w:val="101"/>
                <w:sz w:val="18"/>
                <w:szCs w:val="18"/>
              </w:rPr>
              <w:t>日</w:t>
            </w:r>
            <w:r>
              <w:rPr>
                <w:rFonts w:ascii="宋体" w:hAnsi="宋体" w:cs="宋体" w:eastAsia="宋体" w:hint="default"/>
                <w:spacing w:val="-5"/>
                <w:w w:val="101"/>
                <w:sz w:val="18"/>
                <w:szCs w:val="18"/>
              </w:rPr>
              <w:t>后</w:t>
            </w:r>
            <w:r>
              <w:rPr>
                <w:rFonts w:ascii="宋体" w:hAnsi="宋体" w:cs="宋体" w:eastAsia="宋体" w:hint="default"/>
                <w:spacing w:val="-73"/>
                <w:w w:val="101"/>
                <w:sz w:val="18"/>
                <w:szCs w:val="18"/>
              </w:rPr>
              <w:t>，</w:t>
            </w:r>
            <w:r>
              <w:rPr>
                <w:rFonts w:ascii="宋体" w:hAnsi="宋体" w:cs="宋体" w:eastAsia="宋体" w:hint="default"/>
                <w:spacing w:val="-5"/>
                <w:w w:val="101"/>
                <w:sz w:val="18"/>
                <w:szCs w:val="18"/>
              </w:rPr>
              <w:t>本</w:t>
            </w:r>
            <w:r>
              <w:rPr>
                <w:rFonts w:ascii="宋体" w:hAnsi="宋体" w:cs="宋体" w:eastAsia="宋体" w:hint="default"/>
                <w:w w:val="101"/>
                <w:sz w:val="18"/>
                <w:szCs w:val="18"/>
              </w:rPr>
              <w:t>公</w:t>
            </w:r>
            <w:r>
              <w:rPr>
                <w:rFonts w:ascii="宋体" w:hAnsi="宋体" w:cs="宋体" w:eastAsia="宋体" w:hint="default"/>
                <w:spacing w:val="-5"/>
                <w:w w:val="101"/>
                <w:sz w:val="18"/>
                <w:szCs w:val="18"/>
              </w:rPr>
              <w:t>司可</w:t>
            </w:r>
            <w:r>
              <w:rPr>
                <w:rFonts w:ascii="宋体" w:hAnsi="宋体" w:cs="宋体" w:eastAsia="宋体" w:hint="default"/>
                <w:w w:val="101"/>
                <w:sz w:val="18"/>
                <w:szCs w:val="18"/>
              </w:rPr>
              <w:t>以</w:t>
            </w:r>
            <w:r>
              <w:rPr>
                <w:rFonts w:ascii="宋体" w:hAnsi="宋体" w:cs="宋体" w:eastAsia="宋体" w:hint="default"/>
                <w:spacing w:val="-5"/>
                <w:w w:val="101"/>
                <w:sz w:val="18"/>
                <w:szCs w:val="18"/>
              </w:rPr>
              <w:t>减</w:t>
            </w:r>
            <w:r>
              <w:rPr>
                <w:rFonts w:ascii="宋体" w:hAnsi="宋体" w:cs="宋体" w:eastAsia="宋体" w:hint="default"/>
                <w:w w:val="101"/>
                <w:sz w:val="18"/>
                <w:szCs w:val="18"/>
              </w:rPr>
              <w:t>持</w:t>
            </w:r>
            <w:r>
              <w:rPr>
                <w:rFonts w:ascii="宋体" w:hAnsi="宋体" w:cs="宋体" w:eastAsia="宋体" w:hint="default"/>
                <w:spacing w:val="-5"/>
                <w:w w:val="101"/>
                <w:sz w:val="18"/>
                <w:szCs w:val="18"/>
              </w:rPr>
              <w:t>发</w:t>
            </w:r>
            <w:r>
              <w:rPr>
                <w:rFonts w:ascii="宋体" w:hAnsi="宋体" w:cs="宋体" w:eastAsia="宋体" w:hint="default"/>
                <w:w w:val="101"/>
                <w:sz w:val="18"/>
                <w:szCs w:val="18"/>
              </w:rPr>
              <w:t>行人</w:t>
            </w:r>
            <w:r>
              <w:rPr>
                <w:rFonts w:ascii="宋体" w:hAnsi="宋体" w:cs="宋体" w:eastAsia="宋体" w:hint="default"/>
                <w:sz w:val="18"/>
                <w:szCs w:val="18"/>
              </w:rPr>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pacing w:val="-3"/>
                <w:sz w:val="18"/>
                <w:szCs w:val="18"/>
              </w:rPr>
              <w:t>股份。</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、本公司减持发行人股份应符合相关法</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07"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pacing w:val="-6"/>
                <w:sz w:val="18"/>
                <w:szCs w:val="18"/>
              </w:rPr>
              <w:t>律、法规、规章的规定，本公司减持将通过深圳</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6"/>
                <w:sz w:val="18"/>
                <w:szCs w:val="18"/>
              </w:rPr>
              <w:t>证券交易所以协议转让、大宗交易、竞价交易或</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2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single" w:sz="8" w:space="0" w:color="000000"/>
              <w:right w:val="single" w:sz="8" w:space="0" w:color="000000"/>
            </w:tcBorders>
          </w:tcPr>
          <w:p>
            <w:pPr/>
          </w:p>
        </w:tc>
        <w:tc>
          <w:tcPr>
            <w:tcW w:w="874" w:type="dxa"/>
            <w:tcBorders>
              <w:top w:val="nil" w:sz="6" w:space="0" w:color="auto"/>
              <w:left w:val="single" w:sz="8" w:space="0" w:color="000000"/>
              <w:bottom w:val="single" w:sz="8" w:space="0" w:color="000000"/>
              <w:right w:val="single" w:sz="8" w:space="0" w:color="000000"/>
            </w:tcBorders>
          </w:tcPr>
          <w:p>
            <w:pPr/>
          </w:p>
        </w:tc>
        <w:tc>
          <w:tcPr>
            <w:tcW w:w="392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3"/>
                <w:sz w:val="18"/>
                <w:szCs w:val="18"/>
              </w:rPr>
              <w:t>其他方法依法进行。</w:t>
            </w:r>
          </w:p>
        </w:tc>
        <w:tc>
          <w:tcPr>
            <w:tcW w:w="941" w:type="dxa"/>
            <w:tcBorders>
              <w:top w:val="nil" w:sz="6" w:space="0" w:color="auto"/>
              <w:left w:val="single" w:sz="8" w:space="0" w:color="000000"/>
              <w:bottom w:val="single" w:sz="8" w:space="0" w:color="000000"/>
              <w:right w:val="single" w:sz="8" w:space="0" w:color="000000"/>
            </w:tcBorders>
          </w:tcPr>
          <w:p>
            <w:pPr/>
          </w:p>
        </w:tc>
        <w:tc>
          <w:tcPr>
            <w:tcW w:w="639" w:type="dxa"/>
            <w:tcBorders>
              <w:top w:val="nil" w:sz="6" w:space="0" w:color="auto"/>
              <w:left w:val="single" w:sz="8" w:space="0" w:color="000000"/>
              <w:bottom w:val="single" w:sz="8" w:space="0" w:color="000000"/>
              <w:right w:val="single" w:sz="8" w:space="0" w:color="000000"/>
            </w:tcBorders>
          </w:tcPr>
          <w:p>
            <w:pPr/>
          </w:p>
        </w:tc>
        <w:tc>
          <w:tcPr>
            <w:tcW w:w="1023" w:type="dxa"/>
            <w:tcBorders>
              <w:top w:val="nil" w:sz="6" w:space="0" w:color="auto"/>
              <w:left w:val="single" w:sz="8" w:space="0" w:color="000000"/>
              <w:bottom w:val="single" w:sz="8" w:space="0" w:color="000000"/>
              <w:right w:val="single" w:sz="8" w:space="0" w:color="000000"/>
            </w:tcBorders>
          </w:tcPr>
          <w:p>
            <w:pPr/>
          </w:p>
        </w:tc>
      </w:tr>
      <w:tr>
        <w:trPr>
          <w:trHeight w:val="326" w:hRule="exact"/>
        </w:trPr>
        <w:tc>
          <w:tcPr>
            <w:tcW w:w="1282" w:type="dxa"/>
            <w:vMerge/>
            <w:tcBorders>
              <w:left w:val="single" w:sz="8" w:space="0" w:color="000000"/>
              <w:right w:val="single" w:sz="8" w:space="0" w:color="000000"/>
            </w:tcBorders>
            <w:shd w:val="clear" w:color="auto" w:fill="D2D2D2"/>
          </w:tcPr>
          <w:p>
            <w:pPr/>
          </w:p>
        </w:tc>
        <w:tc>
          <w:tcPr>
            <w:tcW w:w="1176" w:type="dxa"/>
            <w:tcBorders>
              <w:top w:val="single" w:sz="8" w:space="0" w:color="000000"/>
              <w:left w:val="single" w:sz="8" w:space="0" w:color="000000"/>
              <w:bottom w:val="nil" w:sz="6" w:space="0" w:color="auto"/>
              <w:right w:val="single" w:sz="8" w:space="0" w:color="000000"/>
            </w:tcBorders>
          </w:tcPr>
          <w:p>
            <w:pPr/>
          </w:p>
        </w:tc>
        <w:tc>
          <w:tcPr>
            <w:tcW w:w="874" w:type="dxa"/>
            <w:tcBorders>
              <w:top w:val="single" w:sz="8" w:space="0" w:color="000000"/>
              <w:left w:val="single" w:sz="8" w:space="0" w:color="000000"/>
              <w:bottom w:val="nil" w:sz="6" w:space="0" w:color="auto"/>
              <w:right w:val="single" w:sz="8" w:space="0" w:color="000000"/>
            </w:tcBorders>
          </w:tcPr>
          <w:p>
            <w:pPr/>
          </w:p>
        </w:tc>
        <w:tc>
          <w:tcPr>
            <w:tcW w:w="392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锁定期满后的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个月内，本公司将根据相关法</w:t>
            </w:r>
          </w:p>
        </w:tc>
        <w:tc>
          <w:tcPr>
            <w:tcW w:w="941" w:type="dxa"/>
            <w:tcBorders>
              <w:top w:val="single" w:sz="8" w:space="0" w:color="000000"/>
              <w:left w:val="single" w:sz="8" w:space="0" w:color="000000"/>
              <w:bottom w:val="nil" w:sz="6" w:space="0" w:color="auto"/>
              <w:right w:val="single" w:sz="8" w:space="0" w:color="000000"/>
            </w:tcBorders>
          </w:tcPr>
          <w:p>
            <w:pPr/>
          </w:p>
        </w:tc>
        <w:tc>
          <w:tcPr>
            <w:tcW w:w="639" w:type="dxa"/>
            <w:tcBorders>
              <w:top w:val="single" w:sz="8" w:space="0" w:color="000000"/>
              <w:left w:val="single" w:sz="8" w:space="0" w:color="000000"/>
              <w:bottom w:val="nil" w:sz="6" w:space="0" w:color="auto"/>
              <w:right w:val="single" w:sz="8" w:space="0" w:color="000000"/>
            </w:tcBorders>
          </w:tcPr>
          <w:p>
            <w:pPr/>
          </w:p>
        </w:tc>
        <w:tc>
          <w:tcPr>
            <w:tcW w:w="1023" w:type="dxa"/>
            <w:tcBorders>
              <w:top w:val="single" w:sz="8" w:space="0" w:color="000000"/>
              <w:left w:val="single" w:sz="8" w:space="0" w:color="000000"/>
              <w:bottom w:val="nil" w:sz="6" w:space="0" w:color="auto"/>
              <w:right w:val="single" w:sz="8" w:space="0" w:color="000000"/>
            </w:tcBorders>
          </w:tcPr>
          <w:p>
            <w:pPr/>
          </w:p>
        </w:tc>
      </w:tr>
      <w:tr>
        <w:trPr>
          <w:trHeight w:val="307"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w w:val="101"/>
                <w:sz w:val="18"/>
                <w:szCs w:val="18"/>
              </w:rPr>
              <w:t>律</w:t>
            </w:r>
            <w:r>
              <w:rPr>
                <w:rFonts w:ascii="宋体" w:hAnsi="宋体" w:cs="宋体" w:eastAsia="宋体" w:hint="default"/>
                <w:spacing w:val="-5"/>
                <w:w w:val="101"/>
                <w:sz w:val="18"/>
                <w:szCs w:val="18"/>
              </w:rPr>
              <w:t>法</w:t>
            </w:r>
            <w:r>
              <w:rPr>
                <w:rFonts w:ascii="宋体" w:hAnsi="宋体" w:cs="宋体" w:eastAsia="宋体" w:hint="default"/>
                <w:w w:val="101"/>
                <w:sz w:val="18"/>
                <w:szCs w:val="18"/>
              </w:rPr>
              <w:t>规</w:t>
            </w:r>
            <w:r>
              <w:rPr>
                <w:rFonts w:ascii="宋体" w:hAnsi="宋体" w:cs="宋体" w:eastAsia="宋体" w:hint="default"/>
                <w:spacing w:val="-5"/>
                <w:w w:val="101"/>
                <w:sz w:val="18"/>
                <w:szCs w:val="18"/>
              </w:rPr>
              <w:t>及</w:t>
            </w:r>
            <w:r>
              <w:rPr>
                <w:rFonts w:ascii="宋体" w:hAnsi="宋体" w:cs="宋体" w:eastAsia="宋体" w:hint="default"/>
                <w:w w:val="101"/>
                <w:sz w:val="18"/>
                <w:szCs w:val="18"/>
              </w:rPr>
              <w:t>深</w:t>
            </w:r>
            <w:r>
              <w:rPr>
                <w:rFonts w:ascii="宋体" w:hAnsi="宋体" w:cs="宋体" w:eastAsia="宋体" w:hint="default"/>
                <w:spacing w:val="-5"/>
                <w:w w:val="101"/>
                <w:sz w:val="18"/>
                <w:szCs w:val="18"/>
              </w:rPr>
              <w:t>圳</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交</w:t>
            </w:r>
            <w:r>
              <w:rPr>
                <w:rFonts w:ascii="宋体" w:hAnsi="宋体" w:cs="宋体" w:eastAsia="宋体" w:hint="default"/>
                <w:spacing w:val="-5"/>
                <w:w w:val="101"/>
                <w:sz w:val="18"/>
                <w:szCs w:val="18"/>
              </w:rPr>
              <w:t>易</w:t>
            </w:r>
            <w:r>
              <w:rPr>
                <w:rFonts w:ascii="宋体" w:hAnsi="宋体" w:cs="宋体" w:eastAsia="宋体" w:hint="default"/>
                <w:w w:val="101"/>
                <w:sz w:val="18"/>
                <w:szCs w:val="18"/>
              </w:rPr>
              <w:t>所</w:t>
            </w:r>
            <w:r>
              <w:rPr>
                <w:rFonts w:ascii="宋体" w:hAnsi="宋体" w:cs="宋体" w:eastAsia="宋体" w:hint="default"/>
                <w:spacing w:val="-5"/>
                <w:w w:val="101"/>
                <w:sz w:val="18"/>
                <w:szCs w:val="18"/>
              </w:rPr>
              <w:t>规</w:t>
            </w:r>
            <w:r>
              <w:rPr>
                <w:rFonts w:ascii="宋体" w:hAnsi="宋体" w:cs="宋体" w:eastAsia="宋体" w:hint="default"/>
                <w:w w:val="101"/>
                <w:sz w:val="18"/>
                <w:szCs w:val="18"/>
              </w:rPr>
              <w:t>则</w:t>
            </w:r>
            <w:r>
              <w:rPr>
                <w:rFonts w:ascii="宋体" w:hAnsi="宋体" w:cs="宋体" w:eastAsia="宋体" w:hint="default"/>
                <w:spacing w:val="-77"/>
                <w:w w:val="101"/>
                <w:sz w:val="18"/>
                <w:szCs w:val="18"/>
              </w:rPr>
              <w:t>，</w:t>
            </w:r>
            <w:r>
              <w:rPr>
                <w:rFonts w:ascii="宋体" w:hAnsi="宋体" w:cs="宋体" w:eastAsia="宋体" w:hint="default"/>
                <w:spacing w:val="-5"/>
                <w:w w:val="101"/>
                <w:sz w:val="18"/>
                <w:szCs w:val="18"/>
              </w:rPr>
              <w:t>结</w:t>
            </w:r>
            <w:r>
              <w:rPr>
                <w:rFonts w:ascii="宋体" w:hAnsi="宋体" w:cs="宋体" w:eastAsia="宋体" w:hint="default"/>
                <w:w w:val="101"/>
                <w:sz w:val="18"/>
                <w:szCs w:val="18"/>
              </w:rPr>
              <w:t>合</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市</w:t>
            </w:r>
            <w:r>
              <w:rPr>
                <w:rFonts w:ascii="宋体" w:hAnsi="宋体" w:cs="宋体" w:eastAsia="宋体" w:hint="default"/>
                <w:w w:val="101"/>
                <w:sz w:val="18"/>
                <w:szCs w:val="18"/>
              </w:rPr>
              <w:t>场情</w:t>
            </w:r>
            <w:r>
              <w:rPr>
                <w:rFonts w:ascii="宋体" w:hAnsi="宋体" w:cs="宋体" w:eastAsia="宋体" w:hint="default"/>
                <w:sz w:val="18"/>
                <w:szCs w:val="18"/>
              </w:rPr>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6"/>
                <w:sz w:val="18"/>
                <w:szCs w:val="18"/>
              </w:rPr>
              <w:t>况、发行人股票走势及公开信息、实际资金需要</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6"/>
                <w:sz w:val="18"/>
                <w:szCs w:val="18"/>
              </w:rPr>
              <w:t>等情况，自主决策、择机进行减持，减持价格不</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w w:val="101"/>
                <w:sz w:val="18"/>
                <w:szCs w:val="18"/>
              </w:rPr>
              <w:t>低</w:t>
            </w:r>
            <w:r>
              <w:rPr>
                <w:rFonts w:ascii="宋体" w:hAnsi="宋体" w:cs="宋体" w:eastAsia="宋体" w:hint="default"/>
                <w:spacing w:val="-5"/>
                <w:w w:val="101"/>
                <w:sz w:val="18"/>
                <w:szCs w:val="18"/>
              </w:rPr>
              <w:t>于</w:t>
            </w:r>
            <w:r>
              <w:rPr>
                <w:rFonts w:ascii="宋体" w:hAnsi="宋体" w:cs="宋体" w:eastAsia="宋体" w:hint="default"/>
                <w:w w:val="101"/>
                <w:sz w:val="18"/>
                <w:szCs w:val="18"/>
              </w:rPr>
              <w:t>发</w:t>
            </w:r>
            <w:r>
              <w:rPr>
                <w:rFonts w:ascii="宋体" w:hAnsi="宋体" w:cs="宋体" w:eastAsia="宋体" w:hint="default"/>
                <w:spacing w:val="-5"/>
                <w:w w:val="101"/>
                <w:sz w:val="18"/>
                <w:szCs w:val="18"/>
              </w:rPr>
              <w:t>行</w:t>
            </w:r>
            <w:r>
              <w:rPr>
                <w:rFonts w:ascii="宋体" w:hAnsi="宋体" w:cs="宋体" w:eastAsia="宋体" w:hint="default"/>
                <w:w w:val="101"/>
                <w:sz w:val="18"/>
                <w:szCs w:val="18"/>
              </w:rPr>
              <w:t>价</w:t>
            </w:r>
            <w:r>
              <w:rPr>
                <w:rFonts w:ascii="宋体" w:hAnsi="宋体" w:cs="宋体" w:eastAsia="宋体" w:hint="default"/>
                <w:spacing w:val="-77"/>
                <w:w w:val="101"/>
                <w:sz w:val="18"/>
                <w:szCs w:val="18"/>
              </w:rPr>
              <w:t>，</w:t>
            </w:r>
            <w:r>
              <w:rPr>
                <w:rFonts w:ascii="宋体" w:hAnsi="宋体" w:cs="宋体" w:eastAsia="宋体" w:hint="default"/>
                <w:w w:val="101"/>
                <w:sz w:val="18"/>
                <w:szCs w:val="18"/>
              </w:rPr>
              <w:t>减</w:t>
            </w:r>
            <w:r>
              <w:rPr>
                <w:rFonts w:ascii="宋体" w:hAnsi="宋体" w:cs="宋体" w:eastAsia="宋体" w:hint="default"/>
                <w:spacing w:val="-5"/>
                <w:w w:val="101"/>
                <w:sz w:val="18"/>
                <w:szCs w:val="18"/>
              </w:rPr>
              <w:t>持</w:t>
            </w:r>
            <w:r>
              <w:rPr>
                <w:rFonts w:ascii="宋体" w:hAnsi="宋体" w:cs="宋体" w:eastAsia="宋体" w:hint="default"/>
                <w:w w:val="101"/>
                <w:sz w:val="18"/>
                <w:szCs w:val="18"/>
              </w:rPr>
              <w:t>比</w:t>
            </w:r>
            <w:r>
              <w:rPr>
                <w:rFonts w:ascii="宋体" w:hAnsi="宋体" w:cs="宋体" w:eastAsia="宋体" w:hint="default"/>
                <w:spacing w:val="-5"/>
                <w:w w:val="101"/>
                <w:sz w:val="18"/>
                <w:szCs w:val="18"/>
              </w:rPr>
              <w:t>例</w:t>
            </w:r>
            <w:r>
              <w:rPr>
                <w:rFonts w:ascii="宋体" w:hAnsi="宋体" w:cs="宋体" w:eastAsia="宋体" w:hint="default"/>
                <w:w w:val="101"/>
                <w:sz w:val="18"/>
                <w:szCs w:val="18"/>
              </w:rPr>
              <w:t>不</w:t>
            </w:r>
            <w:r>
              <w:rPr>
                <w:rFonts w:ascii="宋体" w:hAnsi="宋体" w:cs="宋体" w:eastAsia="宋体" w:hint="default"/>
                <w:spacing w:val="-5"/>
                <w:w w:val="101"/>
                <w:sz w:val="18"/>
                <w:szCs w:val="18"/>
              </w:rPr>
              <w:t>超</w:t>
            </w:r>
            <w:r>
              <w:rPr>
                <w:rFonts w:ascii="宋体" w:hAnsi="宋体" w:cs="宋体" w:eastAsia="宋体" w:hint="default"/>
                <w:w w:val="101"/>
                <w:sz w:val="18"/>
                <w:szCs w:val="18"/>
              </w:rPr>
              <w:t>过</w:t>
            </w:r>
            <w:r>
              <w:rPr>
                <w:rFonts w:ascii="宋体" w:hAnsi="宋体" w:cs="宋体" w:eastAsia="宋体" w:hint="default"/>
                <w:spacing w:val="-5"/>
                <w:w w:val="101"/>
                <w:sz w:val="18"/>
                <w:szCs w:val="18"/>
              </w:rPr>
              <w:t>本公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持</w:t>
            </w:r>
            <w:r>
              <w:rPr>
                <w:rFonts w:ascii="宋体" w:hAnsi="宋体" w:cs="宋体" w:eastAsia="宋体" w:hint="default"/>
                <w:w w:val="101"/>
                <w:sz w:val="18"/>
                <w:szCs w:val="18"/>
              </w:rPr>
              <w:t>有</w:t>
            </w:r>
            <w:r>
              <w:rPr>
                <w:rFonts w:ascii="宋体" w:hAnsi="宋体" w:cs="宋体" w:eastAsia="宋体" w:hint="default"/>
                <w:spacing w:val="-5"/>
                <w:w w:val="101"/>
                <w:sz w:val="18"/>
                <w:szCs w:val="18"/>
              </w:rPr>
              <w:t>发</w:t>
            </w:r>
            <w:r>
              <w:rPr>
                <w:rFonts w:ascii="宋体" w:hAnsi="宋体" w:cs="宋体" w:eastAsia="宋体" w:hint="default"/>
                <w:w w:val="101"/>
                <w:sz w:val="18"/>
                <w:szCs w:val="18"/>
              </w:rPr>
              <w:t>行人</w:t>
            </w:r>
            <w:r>
              <w:rPr>
                <w:rFonts w:ascii="宋体" w:hAnsi="宋体" w:cs="宋体" w:eastAsia="宋体" w:hint="default"/>
                <w:sz w:val="18"/>
                <w:szCs w:val="18"/>
              </w:rPr>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7"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股份的</w:t>
            </w:r>
            <w:r>
              <w:rPr>
                <w:rFonts w:ascii="宋体" w:hAnsi="宋体" w:cs="宋体" w:eastAsia="宋体" w:hint="default"/>
                <w:spacing w:val="14"/>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。若本公司拟减持发行人股份，应</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07"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pacing w:val="-3"/>
                <w:sz w:val="18"/>
                <w:szCs w:val="18"/>
              </w:rPr>
              <w:t>提前将减持意向和拟减持数量等信息以书面方</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187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4" w:lineRule="auto"/>
              <w:ind w:left="95" w:right="0"/>
              <w:jc w:val="left"/>
              <w:rPr>
                <w:rFonts w:ascii="宋体" w:hAnsi="宋体" w:cs="宋体" w:eastAsia="宋体" w:hint="default"/>
                <w:sz w:val="18"/>
                <w:szCs w:val="18"/>
              </w:rPr>
            </w:pPr>
            <w:r>
              <w:rPr>
                <w:rFonts w:ascii="宋体" w:hAnsi="宋体" w:cs="宋体" w:eastAsia="宋体" w:hint="default"/>
                <w:spacing w:val="-6"/>
                <w:sz w:val="18"/>
                <w:szCs w:val="18"/>
              </w:rPr>
              <w:t>比特（香港）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投资有限公</w:t>
            </w:r>
            <w:r>
              <w:rPr>
                <w:rFonts w:ascii="宋体" w:hAnsi="宋体" w:cs="宋体" w:eastAsia="宋体" w:hint="default"/>
                <w:w w:val="101"/>
                <w:sz w:val="18"/>
                <w:szCs w:val="18"/>
              </w:rPr>
              <w:t> </w:t>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香港原石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国际有限公</w:t>
            </w:r>
            <w:r>
              <w:rPr>
                <w:rFonts w:ascii="宋体" w:hAnsi="宋体" w:cs="宋体" w:eastAsia="宋体" w:hint="default"/>
                <w:w w:val="101"/>
                <w:sz w:val="18"/>
                <w:szCs w:val="18"/>
              </w:rPr>
              <w:t> </w:t>
            </w:r>
            <w:r>
              <w:rPr>
                <w:rFonts w:ascii="宋体" w:hAnsi="宋体" w:cs="宋体" w:eastAsia="宋体" w:hint="default"/>
                <w:sz w:val="18"/>
                <w:szCs w:val="18"/>
              </w:rPr>
              <w:t>司</w:t>
            </w:r>
          </w:p>
        </w:tc>
        <w:tc>
          <w:tcPr>
            <w:tcW w:w="874" w:type="dxa"/>
            <w:tcBorders>
              <w:top w:val="nil" w:sz="6" w:space="0" w:color="auto"/>
              <w:left w:val="single" w:sz="8" w:space="0" w:color="000000"/>
              <w:bottom w:val="nil" w:sz="6" w:space="0" w:color="auto"/>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100" w:right="209"/>
              <w:jc w:val="left"/>
              <w:rPr>
                <w:rFonts w:ascii="宋体" w:hAnsi="宋体" w:cs="宋体" w:eastAsia="宋体" w:hint="default"/>
                <w:sz w:val="18"/>
                <w:szCs w:val="18"/>
              </w:rPr>
            </w:pPr>
            <w:r>
              <w:rPr>
                <w:rFonts w:ascii="宋体" w:hAnsi="宋体" w:cs="宋体" w:eastAsia="宋体" w:hint="default"/>
                <w:sz w:val="18"/>
                <w:szCs w:val="18"/>
              </w:rPr>
              <w:t>股份减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持承诺</w:t>
            </w: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314" w:lineRule="auto" w:before="11"/>
              <w:ind w:left="101" w:right="89"/>
              <w:jc w:val="left"/>
              <w:rPr>
                <w:rFonts w:ascii="宋体" w:hAnsi="宋体" w:cs="宋体" w:eastAsia="宋体" w:hint="default"/>
                <w:sz w:val="18"/>
                <w:szCs w:val="18"/>
              </w:rPr>
            </w:pPr>
            <w:r>
              <w:rPr>
                <w:rFonts w:ascii="宋体" w:hAnsi="宋体" w:cs="宋体" w:eastAsia="宋体" w:hint="default"/>
                <w:spacing w:val="-6"/>
                <w:sz w:val="18"/>
                <w:szCs w:val="18"/>
              </w:rPr>
              <w:t>式通知发行人，并由发行人及时予以公告，自发</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2"/>
                <w:w w:val="101"/>
                <w:sz w:val="18"/>
                <w:szCs w:val="18"/>
              </w:rPr>
              <w:t>行人公告之日起</w:t>
            </w:r>
            <w:r>
              <w:rPr>
                <w:rFonts w:ascii="宋体" w:hAnsi="宋体" w:cs="宋体" w:eastAsia="宋体" w:hint="default"/>
                <w:spacing w:val="-46"/>
                <w:w w:val="101"/>
                <w:sz w:val="18"/>
                <w:szCs w:val="18"/>
              </w:rPr>
              <w:t> </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6"/>
                <w:w w:val="101"/>
                <w:sz w:val="18"/>
                <w:szCs w:val="18"/>
              </w:rPr>
              <w:t> </w:t>
            </w:r>
            <w:r>
              <w:rPr>
                <w:rFonts w:ascii="宋体" w:hAnsi="宋体" w:cs="宋体" w:eastAsia="宋体" w:hint="default"/>
                <w:spacing w:val="-8"/>
                <w:w w:val="101"/>
                <w:sz w:val="18"/>
                <w:szCs w:val="18"/>
              </w:rPr>
              <w:t>个交易日后，本公司可以减持</w:t>
            </w:r>
            <w:r>
              <w:rPr>
                <w:rFonts w:ascii="宋体" w:hAnsi="宋体" w:cs="宋体" w:eastAsia="宋体" w:hint="default"/>
                <w:w w:val="101"/>
                <w:sz w:val="18"/>
                <w:szCs w:val="18"/>
              </w:rPr>
              <w:t> </w:t>
            </w:r>
            <w:r>
              <w:rPr>
                <w:rFonts w:ascii="宋体" w:hAnsi="宋体" w:cs="宋体" w:eastAsia="宋体" w:hint="default"/>
                <w:spacing w:val="-6"/>
                <w:w w:val="101"/>
                <w:sz w:val="18"/>
                <w:szCs w:val="18"/>
              </w:rPr>
              <w:t>发行人股份。本公司按照深圳证券交易所的规则</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6"/>
                <w:sz w:val="18"/>
                <w:szCs w:val="18"/>
              </w:rPr>
              <w:t>及时、准确地履行信息披露义务。本公司将积极</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采取合法措施履行就本次发行并上市所做的所</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sz w:val="18"/>
                <w:szCs w:val="18"/>
              </w:rPr>
              <w:t>有承诺，自愿接受监管机关、社会公众及投资者</w:t>
            </w:r>
          </w:p>
        </w:tc>
        <w:tc>
          <w:tcPr>
            <w:tcW w:w="941" w:type="dxa"/>
            <w:tcBorders>
              <w:top w:val="nil" w:sz="6" w:space="0" w:color="auto"/>
              <w:left w:val="single" w:sz="8" w:space="0" w:color="000000"/>
              <w:bottom w:val="nil" w:sz="6" w:space="0" w:color="auto"/>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9" w:type="dxa"/>
            <w:tcBorders>
              <w:top w:val="nil" w:sz="6" w:space="0" w:color="auto"/>
              <w:left w:val="single" w:sz="8" w:space="0" w:color="000000"/>
              <w:bottom w:val="nil" w:sz="6" w:space="0" w:color="auto"/>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9" w:lineRule="auto"/>
              <w:ind w:left="96" w:right="156"/>
              <w:jc w:val="both"/>
              <w:rPr>
                <w:rFonts w:ascii="宋体" w:hAnsi="宋体" w:cs="宋体" w:eastAsia="宋体" w:hint="default"/>
                <w:sz w:val="18"/>
                <w:szCs w:val="18"/>
              </w:rPr>
            </w:pPr>
            <w:r>
              <w:rPr>
                <w:rFonts w:ascii="宋体" w:hAnsi="宋体" w:cs="宋体" w:eastAsia="宋体" w:hint="default"/>
                <w:sz w:val="18"/>
                <w:szCs w:val="18"/>
              </w:rPr>
              <w:t>二十</w:t>
            </w:r>
            <w:r>
              <w:rPr>
                <w:rFonts w:ascii="宋体" w:hAnsi="宋体" w:cs="宋体" w:eastAsia="宋体" w:hint="default"/>
                <w:spacing w:val="-86"/>
                <w:sz w:val="18"/>
                <w:szCs w:val="18"/>
              </w:rPr>
              <w:t> </w:t>
            </w:r>
            <w:r>
              <w:rPr>
                <w:rFonts w:ascii="宋体" w:hAnsi="宋体" w:cs="宋体" w:eastAsia="宋体" w:hint="default"/>
                <w:sz w:val="18"/>
                <w:szCs w:val="18"/>
              </w:rPr>
              <w:t>四个</w:t>
            </w:r>
            <w:r>
              <w:rPr>
                <w:rFonts w:ascii="宋体" w:hAnsi="宋体" w:cs="宋体" w:eastAsia="宋体" w:hint="default"/>
                <w:spacing w:val="-86"/>
                <w:sz w:val="18"/>
                <w:szCs w:val="18"/>
              </w:rPr>
              <w:t> </w:t>
            </w:r>
            <w:r>
              <w:rPr>
                <w:rFonts w:ascii="宋体" w:hAnsi="宋体" w:cs="宋体" w:eastAsia="宋体" w:hint="default"/>
                <w:sz w:val="18"/>
                <w:szCs w:val="18"/>
              </w:rPr>
              <w:t>月</w:t>
            </w:r>
          </w:p>
        </w:tc>
        <w:tc>
          <w:tcPr>
            <w:tcW w:w="1023" w:type="dxa"/>
            <w:tcBorders>
              <w:top w:val="nil" w:sz="6" w:space="0" w:color="auto"/>
              <w:left w:val="single" w:sz="8" w:space="0" w:color="000000"/>
              <w:bottom w:val="nil" w:sz="6" w:space="0" w:color="auto"/>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100" w:right="176"/>
              <w:jc w:val="left"/>
              <w:rPr>
                <w:rFonts w:ascii="宋体" w:hAnsi="宋体" w:cs="宋体" w:eastAsia="宋体" w:hint="default"/>
                <w:sz w:val="18"/>
                <w:szCs w:val="18"/>
              </w:rPr>
            </w:pPr>
            <w:r>
              <w:rPr>
                <w:rFonts w:ascii="宋体" w:hAnsi="宋体" w:cs="宋体" w:eastAsia="宋体" w:hint="default"/>
                <w:sz w:val="18"/>
                <w:szCs w:val="18"/>
              </w:rPr>
              <w:t>已履行完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毕</w:t>
            </w: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6"/>
                <w:sz w:val="18"/>
                <w:szCs w:val="18"/>
              </w:rPr>
              <w:t>的监督，并依法承担相应责任。本公司如未履行</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w w:val="101"/>
                <w:sz w:val="18"/>
                <w:szCs w:val="18"/>
              </w:rPr>
              <w:t>上</w:t>
            </w:r>
            <w:r>
              <w:rPr>
                <w:rFonts w:ascii="宋体" w:hAnsi="宋体" w:cs="宋体" w:eastAsia="宋体" w:hint="default"/>
                <w:spacing w:val="-5"/>
                <w:w w:val="101"/>
                <w:sz w:val="18"/>
                <w:szCs w:val="18"/>
              </w:rPr>
              <w:t>述</w:t>
            </w:r>
            <w:r>
              <w:rPr>
                <w:rFonts w:ascii="宋体" w:hAnsi="宋体" w:cs="宋体" w:eastAsia="宋体" w:hint="default"/>
                <w:w w:val="101"/>
                <w:sz w:val="18"/>
                <w:szCs w:val="18"/>
              </w:rPr>
              <w:t>股</w:t>
            </w:r>
            <w:r>
              <w:rPr>
                <w:rFonts w:ascii="宋体" w:hAnsi="宋体" w:cs="宋体" w:eastAsia="宋体" w:hint="default"/>
                <w:spacing w:val="-5"/>
                <w:w w:val="101"/>
                <w:sz w:val="18"/>
                <w:szCs w:val="18"/>
              </w:rPr>
              <w:t>份</w:t>
            </w:r>
            <w:r>
              <w:rPr>
                <w:rFonts w:ascii="宋体" w:hAnsi="宋体" w:cs="宋体" w:eastAsia="宋体" w:hint="default"/>
                <w:w w:val="101"/>
                <w:sz w:val="18"/>
                <w:szCs w:val="18"/>
              </w:rPr>
              <w:t>持</w:t>
            </w:r>
            <w:r>
              <w:rPr>
                <w:rFonts w:ascii="宋体" w:hAnsi="宋体" w:cs="宋体" w:eastAsia="宋体" w:hint="default"/>
                <w:spacing w:val="-5"/>
                <w:w w:val="101"/>
                <w:sz w:val="18"/>
                <w:szCs w:val="18"/>
              </w:rPr>
              <w:t>有</w:t>
            </w:r>
            <w:r>
              <w:rPr>
                <w:rFonts w:ascii="宋体" w:hAnsi="宋体" w:cs="宋体" w:eastAsia="宋体" w:hint="default"/>
                <w:w w:val="101"/>
                <w:sz w:val="18"/>
                <w:szCs w:val="18"/>
              </w:rPr>
              <w:t>及</w:t>
            </w:r>
            <w:r>
              <w:rPr>
                <w:rFonts w:ascii="宋体" w:hAnsi="宋体" w:cs="宋体" w:eastAsia="宋体" w:hint="default"/>
                <w:spacing w:val="-5"/>
                <w:w w:val="101"/>
                <w:sz w:val="18"/>
                <w:szCs w:val="18"/>
              </w:rPr>
              <w:t>减</w:t>
            </w:r>
            <w:r>
              <w:rPr>
                <w:rFonts w:ascii="宋体" w:hAnsi="宋体" w:cs="宋体" w:eastAsia="宋体" w:hint="default"/>
                <w:w w:val="101"/>
                <w:sz w:val="18"/>
                <w:szCs w:val="18"/>
              </w:rPr>
              <w:t>持</w:t>
            </w:r>
            <w:r>
              <w:rPr>
                <w:rFonts w:ascii="宋体" w:hAnsi="宋体" w:cs="宋体" w:eastAsia="宋体" w:hint="default"/>
                <w:spacing w:val="-5"/>
                <w:w w:val="101"/>
                <w:sz w:val="18"/>
                <w:szCs w:val="18"/>
              </w:rPr>
              <w:t>承</w:t>
            </w:r>
            <w:r>
              <w:rPr>
                <w:rFonts w:ascii="宋体" w:hAnsi="宋体" w:cs="宋体" w:eastAsia="宋体" w:hint="default"/>
                <w:w w:val="101"/>
                <w:sz w:val="18"/>
                <w:szCs w:val="18"/>
              </w:rPr>
              <w:t>诺</w:t>
            </w:r>
            <w:r>
              <w:rPr>
                <w:rFonts w:ascii="宋体" w:hAnsi="宋体" w:cs="宋体" w:eastAsia="宋体" w:hint="default"/>
                <w:spacing w:val="-77"/>
                <w:w w:val="101"/>
                <w:sz w:val="18"/>
                <w:szCs w:val="18"/>
              </w:rPr>
              <w:t>，</w:t>
            </w:r>
            <w:r>
              <w:rPr>
                <w:rFonts w:ascii="宋体" w:hAnsi="宋体" w:cs="宋体" w:eastAsia="宋体" w:hint="default"/>
                <w:w w:val="101"/>
                <w:sz w:val="18"/>
                <w:szCs w:val="18"/>
              </w:rPr>
              <w:t>则</w:t>
            </w:r>
            <w:r>
              <w:rPr>
                <w:rFonts w:ascii="宋体" w:hAnsi="宋体" w:cs="宋体" w:eastAsia="宋体" w:hint="default"/>
                <w:spacing w:val="-5"/>
                <w:w w:val="101"/>
                <w:sz w:val="18"/>
                <w:szCs w:val="18"/>
              </w:rPr>
              <w:t>违反</w:t>
            </w:r>
            <w:r>
              <w:rPr>
                <w:rFonts w:ascii="宋体" w:hAnsi="宋体" w:cs="宋体" w:eastAsia="宋体" w:hint="default"/>
                <w:w w:val="101"/>
                <w:sz w:val="18"/>
                <w:szCs w:val="18"/>
              </w:rPr>
              <w:t>承</w:t>
            </w:r>
            <w:r>
              <w:rPr>
                <w:rFonts w:ascii="宋体" w:hAnsi="宋体" w:cs="宋体" w:eastAsia="宋体" w:hint="default"/>
                <w:spacing w:val="-5"/>
                <w:w w:val="101"/>
                <w:sz w:val="18"/>
                <w:szCs w:val="18"/>
              </w:rPr>
              <w:t>诺</w:t>
            </w:r>
            <w:r>
              <w:rPr>
                <w:rFonts w:ascii="宋体" w:hAnsi="宋体" w:cs="宋体" w:eastAsia="宋体" w:hint="default"/>
                <w:w w:val="101"/>
                <w:sz w:val="18"/>
                <w:szCs w:val="18"/>
              </w:rPr>
              <w:t>减</w:t>
            </w:r>
            <w:r>
              <w:rPr>
                <w:rFonts w:ascii="宋体" w:hAnsi="宋体" w:cs="宋体" w:eastAsia="宋体" w:hint="default"/>
                <w:spacing w:val="-5"/>
                <w:w w:val="101"/>
                <w:sz w:val="18"/>
                <w:szCs w:val="18"/>
              </w:rPr>
              <w:t>持</w:t>
            </w:r>
            <w:r>
              <w:rPr>
                <w:rFonts w:ascii="宋体" w:hAnsi="宋体" w:cs="宋体" w:eastAsia="宋体" w:hint="default"/>
                <w:w w:val="101"/>
                <w:sz w:val="18"/>
                <w:szCs w:val="18"/>
              </w:rPr>
              <w:t>所得</w:t>
            </w:r>
            <w:r>
              <w:rPr>
                <w:rFonts w:ascii="宋体" w:hAnsi="宋体" w:cs="宋体" w:eastAsia="宋体" w:hint="default"/>
                <w:sz w:val="18"/>
                <w:szCs w:val="18"/>
              </w:rPr>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w w:val="101"/>
                <w:sz w:val="18"/>
                <w:szCs w:val="18"/>
              </w:rPr>
              <w:t>收</w:t>
            </w:r>
            <w:r>
              <w:rPr>
                <w:rFonts w:ascii="宋体" w:hAnsi="宋体" w:cs="宋体" w:eastAsia="宋体" w:hint="default"/>
                <w:spacing w:val="-5"/>
                <w:w w:val="101"/>
                <w:sz w:val="18"/>
                <w:szCs w:val="18"/>
              </w:rPr>
              <w:t>益</w:t>
            </w:r>
            <w:r>
              <w:rPr>
                <w:rFonts w:ascii="宋体" w:hAnsi="宋体" w:cs="宋体" w:eastAsia="宋体" w:hint="default"/>
                <w:w w:val="101"/>
                <w:sz w:val="18"/>
                <w:szCs w:val="18"/>
              </w:rPr>
              <w:t>归</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人</w:t>
            </w:r>
            <w:r>
              <w:rPr>
                <w:rFonts w:ascii="宋体" w:hAnsi="宋体" w:cs="宋体" w:eastAsia="宋体" w:hint="default"/>
                <w:w w:val="101"/>
                <w:sz w:val="18"/>
                <w:szCs w:val="18"/>
              </w:rPr>
              <w:t>所</w:t>
            </w:r>
            <w:r>
              <w:rPr>
                <w:rFonts w:ascii="宋体" w:hAnsi="宋体" w:cs="宋体" w:eastAsia="宋体" w:hint="default"/>
                <w:spacing w:val="-5"/>
                <w:w w:val="101"/>
                <w:sz w:val="18"/>
                <w:szCs w:val="18"/>
              </w:rPr>
              <w:t>有</w:t>
            </w:r>
            <w:r>
              <w:rPr>
                <w:rFonts w:ascii="宋体" w:hAnsi="宋体" w:cs="宋体" w:eastAsia="宋体" w:hint="default"/>
                <w:spacing w:val="-73"/>
                <w:w w:val="101"/>
                <w:sz w:val="18"/>
                <w:szCs w:val="18"/>
              </w:rPr>
              <w:t>，</w:t>
            </w:r>
            <w:r>
              <w:rPr>
                <w:rFonts w:ascii="宋体" w:hAnsi="宋体" w:cs="宋体" w:eastAsia="宋体" w:hint="default"/>
                <w:spacing w:val="-5"/>
                <w:w w:val="101"/>
                <w:sz w:val="18"/>
                <w:szCs w:val="18"/>
              </w:rPr>
              <w:t>本</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将</w:t>
            </w:r>
            <w:r>
              <w:rPr>
                <w:rFonts w:ascii="宋体" w:hAnsi="宋体" w:cs="宋体" w:eastAsia="宋体" w:hint="default"/>
                <w:spacing w:val="-5"/>
                <w:w w:val="101"/>
                <w:sz w:val="18"/>
                <w:szCs w:val="18"/>
              </w:rPr>
              <w:t>在股</w:t>
            </w:r>
            <w:r>
              <w:rPr>
                <w:rFonts w:ascii="宋体" w:hAnsi="宋体" w:cs="宋体" w:eastAsia="宋体" w:hint="default"/>
                <w:w w:val="101"/>
                <w:sz w:val="18"/>
                <w:szCs w:val="18"/>
              </w:rPr>
              <w:t>东</w:t>
            </w:r>
            <w:r>
              <w:rPr>
                <w:rFonts w:ascii="宋体" w:hAnsi="宋体" w:cs="宋体" w:eastAsia="宋体" w:hint="default"/>
                <w:spacing w:val="-5"/>
                <w:w w:val="101"/>
                <w:sz w:val="18"/>
                <w:szCs w:val="18"/>
              </w:rPr>
              <w:t>大</w:t>
            </w:r>
            <w:r>
              <w:rPr>
                <w:rFonts w:ascii="宋体" w:hAnsi="宋体" w:cs="宋体" w:eastAsia="宋体" w:hint="default"/>
                <w:w w:val="101"/>
                <w:sz w:val="18"/>
                <w:szCs w:val="18"/>
              </w:rPr>
              <w:t>会</w:t>
            </w:r>
            <w:r>
              <w:rPr>
                <w:rFonts w:ascii="宋体" w:hAnsi="宋体" w:cs="宋体" w:eastAsia="宋体" w:hint="default"/>
                <w:spacing w:val="-5"/>
                <w:w w:val="101"/>
                <w:sz w:val="18"/>
                <w:szCs w:val="18"/>
              </w:rPr>
              <w:t>及</w:t>
            </w:r>
            <w:r>
              <w:rPr>
                <w:rFonts w:ascii="宋体" w:hAnsi="宋体" w:cs="宋体" w:eastAsia="宋体" w:hint="default"/>
                <w:w w:val="101"/>
                <w:sz w:val="18"/>
                <w:szCs w:val="18"/>
              </w:rPr>
              <w:t>中国</w:t>
            </w:r>
            <w:r>
              <w:rPr>
                <w:rFonts w:ascii="宋体" w:hAnsi="宋体" w:cs="宋体" w:eastAsia="宋体" w:hint="default"/>
                <w:sz w:val="18"/>
                <w:szCs w:val="18"/>
              </w:rPr>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3"/>
                <w:sz w:val="18"/>
                <w:szCs w:val="18"/>
              </w:rPr>
              <w:t>证监会指定的披露媒体上公开说明未履行承诺</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3"/>
                <w:sz w:val="18"/>
                <w:szCs w:val="18"/>
              </w:rPr>
              <w:t>的具体原因并向公司股东和社会公众投资者道</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7" w:hRule="exact"/>
        </w:trPr>
        <w:tc>
          <w:tcPr>
            <w:tcW w:w="1282" w:type="dxa"/>
            <w:vMerge/>
            <w:tcBorders>
              <w:left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nil" w:sz="6" w:space="0" w:color="auto"/>
              <w:right w:val="single" w:sz="8" w:space="0" w:color="000000"/>
            </w:tcBorders>
          </w:tcPr>
          <w:p>
            <w:pPr/>
          </w:p>
        </w:tc>
        <w:tc>
          <w:tcPr>
            <w:tcW w:w="874" w:type="dxa"/>
            <w:tcBorders>
              <w:top w:val="nil" w:sz="6" w:space="0" w:color="auto"/>
              <w:left w:val="single" w:sz="8" w:space="0" w:color="000000"/>
              <w:bottom w:val="nil" w:sz="6" w:space="0" w:color="auto"/>
              <w:right w:val="single" w:sz="8" w:space="0" w:color="000000"/>
            </w:tcBorders>
          </w:tcPr>
          <w:p>
            <w:pPr/>
          </w:p>
        </w:tc>
        <w:tc>
          <w:tcPr>
            <w:tcW w:w="3924" w:type="dxa"/>
            <w:tcBorders>
              <w:top w:val="nil" w:sz="6" w:space="0" w:color="auto"/>
              <w:left w:val="single" w:sz="8" w:space="0" w:color="000000"/>
              <w:bottom w:val="nil" w:sz="6" w:space="0" w:color="auto"/>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3"/>
                <w:sz w:val="18"/>
                <w:szCs w:val="18"/>
              </w:rPr>
              <w:t>歉，并将自动延长持有全部股份的锁定期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个</w:t>
            </w:r>
          </w:p>
        </w:tc>
        <w:tc>
          <w:tcPr>
            <w:tcW w:w="941" w:type="dxa"/>
            <w:tcBorders>
              <w:top w:val="nil" w:sz="6" w:space="0" w:color="auto"/>
              <w:left w:val="single" w:sz="8" w:space="0" w:color="000000"/>
              <w:bottom w:val="nil" w:sz="6" w:space="0" w:color="auto"/>
              <w:right w:val="single" w:sz="8" w:space="0" w:color="000000"/>
            </w:tcBorders>
          </w:tcPr>
          <w:p>
            <w:pPr/>
          </w:p>
        </w:tc>
        <w:tc>
          <w:tcPr>
            <w:tcW w:w="639" w:type="dxa"/>
            <w:tcBorders>
              <w:top w:val="nil" w:sz="6" w:space="0" w:color="auto"/>
              <w:left w:val="single" w:sz="8" w:space="0" w:color="000000"/>
              <w:bottom w:val="nil" w:sz="6" w:space="0" w:color="auto"/>
              <w:right w:val="single" w:sz="8" w:space="0" w:color="000000"/>
            </w:tcBorders>
          </w:tcPr>
          <w:p>
            <w:pPr/>
          </w:p>
        </w:tc>
        <w:tc>
          <w:tcPr>
            <w:tcW w:w="1023" w:type="dxa"/>
            <w:tcBorders>
              <w:top w:val="nil" w:sz="6" w:space="0" w:color="auto"/>
              <w:left w:val="single" w:sz="8" w:space="0" w:color="000000"/>
              <w:bottom w:val="nil" w:sz="6" w:space="0" w:color="auto"/>
              <w:right w:val="single" w:sz="8" w:space="0" w:color="000000"/>
            </w:tcBorders>
          </w:tcPr>
          <w:p>
            <w:pPr/>
          </w:p>
        </w:tc>
      </w:tr>
      <w:tr>
        <w:trPr>
          <w:trHeight w:val="317" w:hRule="exact"/>
        </w:trPr>
        <w:tc>
          <w:tcPr>
            <w:tcW w:w="1282" w:type="dxa"/>
            <w:vMerge/>
            <w:tcBorders>
              <w:left w:val="single" w:sz="8" w:space="0" w:color="000000"/>
              <w:bottom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single" w:sz="8" w:space="0" w:color="000000"/>
              <w:right w:val="single" w:sz="8" w:space="0" w:color="000000"/>
            </w:tcBorders>
          </w:tcPr>
          <w:p>
            <w:pPr/>
          </w:p>
        </w:tc>
        <w:tc>
          <w:tcPr>
            <w:tcW w:w="874" w:type="dxa"/>
            <w:tcBorders>
              <w:top w:val="nil" w:sz="6" w:space="0" w:color="auto"/>
              <w:left w:val="single" w:sz="8" w:space="0" w:color="000000"/>
              <w:bottom w:val="single" w:sz="8" w:space="0" w:color="000000"/>
              <w:right w:val="single" w:sz="8" w:space="0" w:color="000000"/>
            </w:tcBorders>
          </w:tcPr>
          <w:p>
            <w:pPr/>
          </w:p>
        </w:tc>
        <w:tc>
          <w:tcPr>
            <w:tcW w:w="392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月。</w:t>
            </w:r>
          </w:p>
        </w:tc>
        <w:tc>
          <w:tcPr>
            <w:tcW w:w="941" w:type="dxa"/>
            <w:tcBorders>
              <w:top w:val="nil" w:sz="6" w:space="0" w:color="auto"/>
              <w:left w:val="single" w:sz="8" w:space="0" w:color="000000"/>
              <w:bottom w:val="single" w:sz="8" w:space="0" w:color="000000"/>
              <w:right w:val="single" w:sz="8" w:space="0" w:color="000000"/>
            </w:tcBorders>
          </w:tcPr>
          <w:p>
            <w:pPr/>
          </w:p>
        </w:tc>
        <w:tc>
          <w:tcPr>
            <w:tcW w:w="639" w:type="dxa"/>
            <w:tcBorders>
              <w:top w:val="nil" w:sz="6" w:space="0" w:color="auto"/>
              <w:left w:val="single" w:sz="8" w:space="0" w:color="000000"/>
              <w:bottom w:val="single" w:sz="8" w:space="0" w:color="000000"/>
              <w:right w:val="single" w:sz="8" w:space="0" w:color="000000"/>
            </w:tcBorders>
          </w:tcPr>
          <w:p>
            <w:pPr/>
          </w:p>
        </w:tc>
        <w:tc>
          <w:tcPr>
            <w:tcW w:w="1023" w:type="dxa"/>
            <w:tcBorders>
              <w:top w:val="nil" w:sz="6" w:space="0" w:color="auto"/>
              <w:left w:val="single" w:sz="8" w:space="0" w:color="000000"/>
              <w:bottom w:val="single" w:sz="8" w:space="0" w:color="000000"/>
              <w:right w:val="single" w:sz="8" w:space="0" w:color="000000"/>
            </w:tcBorders>
          </w:tcPr>
          <w:p>
            <w:pPr/>
          </w:p>
        </w:tc>
      </w:tr>
    </w:tbl>
    <w:p>
      <w:pPr>
        <w:spacing w:after="0"/>
        <w:sectPr>
          <w:pgSz w:w="11910" w:h="16840"/>
          <w:pgMar w:header="0" w:footer="979" w:top="1100" w:bottom="1160" w:left="900" w:right="0"/>
        </w:sectPr>
      </w:pPr>
    </w:p>
    <w:p>
      <w:pPr>
        <w:spacing w:line="240" w:lineRule="auto" w:before="2"/>
        <w:rPr>
          <w:rFonts w:ascii="Times New Roman" w:hAnsi="Times New Roman" w:cs="Times New Roman" w:eastAsia="Times New Roman" w:hint="default"/>
          <w:sz w:val="27"/>
          <w:szCs w:val="27"/>
        </w:rPr>
      </w:pPr>
      <w:r>
        <w:rPr/>
        <w:pict>
          <v:group style="position:absolute;margin-left:51.863998pt;margin-top:72.029984pt;width:62.95pt;height:657.35pt;mso-position-horizontal-relative:page;mso-position-vertical-relative:page;z-index:-957424" coordorigin="1037,1441" coordsize="1259,13147">
            <v:group style="position:absolute;left:1037;top:1441;width:1259;height:9987" coordorigin="1037,1441" coordsize="1259,9987">
              <v:shape style="position:absolute;left:1037;top:1441;width:1259;height:9987" coordorigin="1037,1441" coordsize="1259,9987" path="m1037,11427l2295,11427,2295,1441,1037,1441,1037,11427xe" filled="true" fillcolor="#d2d2d2" stroked="false">
                <v:path arrowok="t"/>
                <v:fill type="solid"/>
              </v:shape>
            </v:group>
            <v:group style="position:absolute;left:1037;top:11447;width:96;height:624" coordorigin="1037,11447" coordsize="96,624">
              <v:shape style="position:absolute;left:1037;top:11447;width:96;height:624" coordorigin="1037,11447" coordsize="96,624" path="m1037,12071l1133,12071,1133,11447,1037,11447,1037,12071xe" filled="true" fillcolor="#d2d2d2" stroked="false">
                <v:path arrowok="t"/>
                <v:fill type="solid"/>
              </v:shape>
            </v:group>
            <v:group style="position:absolute;left:2199;top:11447;width:96;height:624" coordorigin="2199,11447" coordsize="96,624">
              <v:shape style="position:absolute;left:2199;top:11447;width:96;height:624" coordorigin="2199,11447" coordsize="96,624" path="m2199,12071l2295,12071,2295,11447,2199,11447,2199,12071xe" filled="true" fillcolor="#d2d2d2" stroked="false">
                <v:path arrowok="t"/>
                <v:fill type="solid"/>
              </v:shape>
            </v:group>
            <v:group style="position:absolute;left:1133;top:11447;width:1067;height:312" coordorigin="1133,11447" coordsize="1067,312">
              <v:shape style="position:absolute;left:1133;top:11447;width:1067;height:312" coordorigin="1133,11447" coordsize="1067,312" path="m1133,11759l2199,11759,2199,11447,1133,11447,1133,11759xe" filled="true" fillcolor="#d2d2d2" stroked="false">
                <v:path arrowok="t"/>
                <v:fill type="solid"/>
              </v:shape>
            </v:group>
            <v:group style="position:absolute;left:1133;top:11759;width:1067;height:312" coordorigin="1133,11759" coordsize="1067,312">
              <v:shape style="position:absolute;left:1133;top:11759;width:1067;height:312" coordorigin="1133,11759" coordsize="1067,312" path="m1133,12071l2199,12071,2199,11759,1133,11759,1133,12071xe" filled="true" fillcolor="#d2d2d2" stroked="false">
                <v:path arrowok="t"/>
                <v:fill type="solid"/>
              </v:shape>
            </v:group>
            <v:group style="position:absolute;left:1037;top:12090;width:96;height:2497" coordorigin="1037,12090" coordsize="96,2497">
              <v:shape style="position:absolute;left:1037;top:12090;width:96;height:2497" coordorigin="1037,12090" coordsize="96,2497" path="m1037,14587l1133,14587,1133,12090,1037,12090,1037,14587xe" filled="true" fillcolor="#d2d2d2" stroked="false">
                <v:path arrowok="t"/>
                <v:fill type="solid"/>
              </v:shape>
            </v:group>
            <v:group style="position:absolute;left:2199;top:12090;width:96;height:2497" coordorigin="2199,12090" coordsize="96,2497">
              <v:shape style="position:absolute;left:2199;top:12090;width:96;height:2497" coordorigin="2199,12090" coordsize="96,2497" path="m2199,14587l2295,14587,2295,12090,2199,12090,2199,14587xe" filled="true" fillcolor="#d2d2d2" stroked="false">
                <v:path arrowok="t"/>
                <v:fill type="solid"/>
              </v:shape>
            </v:group>
            <v:group style="position:absolute;left:1133;top:12090;width:1067;height:312" coordorigin="1133,12090" coordsize="1067,312">
              <v:shape style="position:absolute;left:1133;top:12090;width:1067;height:312" coordorigin="1133,12090" coordsize="1067,312" path="m1133,12402l2199,12402,2199,12090,1133,12090,1133,12402xe" filled="true" fillcolor="#d2d2d2" stroked="false">
                <v:path arrowok="t"/>
                <v:fill type="solid"/>
              </v:shape>
            </v:group>
            <v:group style="position:absolute;left:1133;top:12402;width:1067;height:313" coordorigin="1133,12402" coordsize="1067,313">
              <v:shape style="position:absolute;left:1133;top:12402;width:1067;height:313" coordorigin="1133,12402" coordsize="1067,313" path="m1133,12714l2199,12714,2199,12402,1133,12402,1133,12714xe" filled="true" fillcolor="#d2d2d2" stroked="false">
                <v:path arrowok="t"/>
                <v:fill type="solid"/>
              </v:shape>
            </v:group>
            <v:group style="position:absolute;left:1133;top:12714;width:1067;height:312" coordorigin="1133,12714" coordsize="1067,312">
              <v:shape style="position:absolute;left:1133;top:12714;width:1067;height:312" coordorigin="1133,12714" coordsize="1067,312" path="m1133,13026l2199,13026,2199,12714,1133,12714,1133,13026xe" filled="true" fillcolor="#d2d2d2" stroked="false">
                <v:path arrowok="t"/>
                <v:fill type="solid"/>
              </v:shape>
            </v:group>
            <v:group style="position:absolute;left:1133;top:13026;width:1067;height:312" coordorigin="1133,13026" coordsize="1067,312">
              <v:shape style="position:absolute;left:1133;top:13026;width:1067;height:312" coordorigin="1133,13026" coordsize="1067,312" path="m1133,13338l2199,13338,2199,13026,1133,13026,1133,13338xe" filled="true" fillcolor="#d2d2d2" stroked="false">
                <v:path arrowok="t"/>
                <v:fill type="solid"/>
              </v:shape>
            </v:group>
            <v:group style="position:absolute;left:1133;top:13338;width:1067;height:312" coordorigin="1133,13338" coordsize="1067,312">
              <v:shape style="position:absolute;left:1133;top:13338;width:1067;height:312" coordorigin="1133,13338" coordsize="1067,312" path="m1133,13650l2199,13650,2199,13338,1133,13338,1133,13650xe" filled="true" fillcolor="#d2d2d2" stroked="false">
                <v:path arrowok="t"/>
                <v:fill type="solid"/>
              </v:shape>
            </v:group>
            <v:group style="position:absolute;left:1133;top:13650;width:1067;height:312" coordorigin="1133,13650" coordsize="1067,312">
              <v:shape style="position:absolute;left:1133;top:13650;width:1067;height:312" coordorigin="1133,13650" coordsize="1067,312" path="m1133,13962l2199,13962,2199,13650,1133,13650,1133,13962xe" filled="true" fillcolor="#d2d2d2" stroked="false">
                <v:path arrowok="t"/>
                <v:fill type="solid"/>
              </v:shape>
            </v:group>
            <v:group style="position:absolute;left:1133;top:13962;width:1067;height:312" coordorigin="1133,13962" coordsize="1067,312">
              <v:shape style="position:absolute;left:1133;top:13962;width:1067;height:312" coordorigin="1133,13962" coordsize="1067,312" path="m1133,14274l2199,14274,2199,13962,1133,13962,1133,14274xe" filled="true" fillcolor="#d2d2d2" stroked="false">
                <v:path arrowok="t"/>
                <v:fill type="solid"/>
              </v:shape>
            </v:group>
            <v:group style="position:absolute;left:1133;top:14274;width:1067;height:313" coordorigin="1133,14274" coordsize="1067,313">
              <v:shape style="position:absolute;left:1133;top:14274;width:1067;height:313" coordorigin="1133,14274" coordsize="1067,313" path="m1133,14587l2199,14587,2199,14274,1133,14274,1133,14587xe" filled="true" fillcolor="#d2d2d2" stroked="false">
                <v:path arrowok="t"/>
                <v:fill type="solid"/>
              </v:shape>
            </v:group>
            <w10:wrap type="none"/>
          </v:group>
        </w:pict>
      </w:r>
    </w:p>
    <w:tbl>
      <w:tblPr>
        <w:tblW w:w="0" w:type="auto"/>
        <w:jc w:val="left"/>
        <w:tblInd w:w="113" w:type="dxa"/>
        <w:tblLayout w:type="fixed"/>
        <w:tblCellMar>
          <w:top w:w="0" w:type="dxa"/>
          <w:left w:w="0" w:type="dxa"/>
          <w:bottom w:w="0" w:type="dxa"/>
          <w:right w:w="0" w:type="dxa"/>
        </w:tblCellMar>
        <w:tblLook w:val="01E0"/>
      </w:tblPr>
      <w:tblGrid>
        <w:gridCol w:w="1282"/>
        <w:gridCol w:w="1176"/>
        <w:gridCol w:w="874"/>
        <w:gridCol w:w="3924"/>
        <w:gridCol w:w="941"/>
        <w:gridCol w:w="639"/>
        <w:gridCol w:w="1023"/>
      </w:tblGrid>
      <w:tr>
        <w:trPr>
          <w:trHeight w:val="9996" w:hRule="exact"/>
        </w:trPr>
        <w:tc>
          <w:tcPr>
            <w:tcW w:w="1282" w:type="dxa"/>
            <w:tcBorders>
              <w:top w:val="nil" w:sz="6" w:space="0" w:color="auto"/>
              <w:left w:val="single" w:sz="8" w:space="0" w:color="000000"/>
              <w:bottom w:val="single" w:sz="8" w:space="0" w:color="000000"/>
              <w:right w:val="single" w:sz="8" w:space="0" w:color="000000"/>
            </w:tcBorders>
            <w:shd w:val="clear" w:color="auto" w:fill="D2D2D2"/>
          </w:tcPr>
          <w:p>
            <w:pPr/>
          </w:p>
        </w:tc>
        <w:tc>
          <w:tcPr>
            <w:tcW w:w="1176"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00" w:lineRule="auto"/>
              <w:ind w:left="95" w:right="105"/>
              <w:jc w:val="left"/>
              <w:rPr>
                <w:rFonts w:ascii="Times New Roman" w:hAnsi="Times New Roman" w:cs="Times New Roman" w:eastAsia="Times New Roman" w:hint="default"/>
                <w:sz w:val="18"/>
                <w:szCs w:val="18"/>
              </w:rPr>
            </w:pPr>
            <w:r>
              <w:rPr>
                <w:rFonts w:ascii="宋体" w:hAnsi="宋体" w:cs="宋体" w:eastAsia="宋体" w:hint="default"/>
                <w:sz w:val="18"/>
                <w:szCs w:val="18"/>
              </w:rPr>
              <w:t>李移岭</w:t>
            </w:r>
            <w:r>
              <w:rPr>
                <w:rFonts w:ascii="Times New Roman" w:hAnsi="Times New Roman" w:cs="Times New Roman" w:eastAsia="Times New Roman" w:hint="default"/>
                <w:sz w:val="18"/>
                <w:szCs w:val="18"/>
              </w:rPr>
              <w:t>;</w:t>
            </w:r>
            <w:r>
              <w:rPr>
                <w:rFonts w:ascii="宋体" w:hAnsi="宋体" w:cs="宋体" w:eastAsia="宋体" w:hint="default"/>
                <w:sz w:val="18"/>
                <w:szCs w:val="18"/>
              </w:rPr>
              <w:t>孙学</w:t>
            </w:r>
            <w:r>
              <w:rPr>
                <w:rFonts w:ascii="宋体" w:hAnsi="宋体" w:cs="宋体" w:eastAsia="宋体" w:hint="default"/>
                <w:spacing w:val="-87"/>
                <w:sz w:val="18"/>
                <w:szCs w:val="18"/>
              </w:rPr>
              <w:t> </w:t>
            </w:r>
            <w:r>
              <w:rPr>
                <w:rFonts w:ascii="宋体" w:hAnsi="宋体" w:cs="宋体" w:eastAsia="宋体" w:hint="default"/>
                <w:sz w:val="18"/>
                <w:szCs w:val="18"/>
              </w:rPr>
              <w:t>军</w:t>
            </w:r>
            <w:r>
              <w:rPr>
                <w:rFonts w:ascii="Times New Roman" w:hAnsi="Times New Roman" w:cs="Times New Roman" w:eastAsia="Times New Roman" w:hint="default"/>
                <w:sz w:val="18"/>
                <w:szCs w:val="18"/>
              </w:rPr>
              <w:t>;</w:t>
            </w:r>
            <w:r>
              <w:rPr>
                <w:rFonts w:ascii="宋体" w:hAnsi="宋体" w:cs="宋体" w:eastAsia="宋体" w:hint="default"/>
                <w:sz w:val="18"/>
                <w:szCs w:val="18"/>
              </w:rPr>
              <w:t>蔡红军</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张明禹</w:t>
            </w:r>
            <w:r>
              <w:rPr>
                <w:rFonts w:ascii="Times New Roman" w:hAnsi="Times New Roman" w:cs="Times New Roman" w:eastAsia="Times New Roman" w:hint="default"/>
                <w:sz w:val="18"/>
                <w:szCs w:val="18"/>
              </w:rPr>
              <w:t>;</w:t>
            </w:r>
            <w:r>
              <w:rPr>
                <w:rFonts w:ascii="宋体" w:hAnsi="宋体" w:cs="宋体" w:eastAsia="宋体" w:hint="default"/>
                <w:sz w:val="18"/>
                <w:szCs w:val="18"/>
              </w:rPr>
              <w:t>冯均</w:t>
            </w:r>
            <w:r>
              <w:rPr>
                <w:rFonts w:ascii="宋体" w:hAnsi="宋体" w:cs="宋体" w:eastAsia="宋体" w:hint="default"/>
                <w:spacing w:val="-87"/>
                <w:sz w:val="18"/>
                <w:szCs w:val="18"/>
              </w:rPr>
              <w:t> </w:t>
            </w:r>
            <w:r>
              <w:rPr>
                <w:rFonts w:ascii="宋体" w:hAnsi="宋体" w:cs="宋体" w:eastAsia="宋体" w:hint="default"/>
                <w:sz w:val="18"/>
                <w:szCs w:val="18"/>
              </w:rPr>
              <w:t>科</w:t>
            </w:r>
            <w:r>
              <w:rPr>
                <w:rFonts w:ascii="Times New Roman" w:hAnsi="Times New Roman" w:cs="Times New Roman" w:eastAsia="Times New Roman" w:hint="default"/>
                <w:sz w:val="18"/>
                <w:szCs w:val="18"/>
              </w:rPr>
              <w:t>;</w:t>
            </w:r>
            <w:r>
              <w:rPr>
                <w:rFonts w:ascii="宋体" w:hAnsi="宋体" w:cs="宋体" w:eastAsia="宋体" w:hint="default"/>
                <w:sz w:val="18"/>
                <w:szCs w:val="18"/>
              </w:rPr>
              <w:t>林蔚</w:t>
            </w:r>
            <w:r>
              <w:rPr>
                <w:rFonts w:ascii="Times New Roman" w:hAnsi="Times New Roman" w:cs="Times New Roman" w:eastAsia="Times New Roman" w:hint="default"/>
                <w:sz w:val="18"/>
                <w:szCs w:val="18"/>
              </w:rPr>
              <w:t>;</w:t>
            </w:r>
            <w:r>
              <w:rPr>
                <w:rFonts w:ascii="宋体" w:hAnsi="宋体" w:cs="宋体" w:eastAsia="宋体" w:hint="default"/>
                <w:sz w:val="18"/>
                <w:szCs w:val="18"/>
              </w:rPr>
              <w:t>赵</w:t>
            </w:r>
            <w:r>
              <w:rPr>
                <w:rFonts w:ascii="宋体" w:hAnsi="宋体" w:cs="宋体" w:eastAsia="宋体" w:hint="default"/>
                <w:spacing w:val="-86"/>
                <w:sz w:val="18"/>
                <w:szCs w:val="18"/>
              </w:rPr>
              <w:t> </w:t>
            </w:r>
            <w:r>
              <w:rPr>
                <w:rFonts w:ascii="宋体" w:hAnsi="宋体" w:cs="宋体" w:eastAsia="宋体" w:hint="default"/>
                <w:sz w:val="18"/>
                <w:szCs w:val="18"/>
              </w:rPr>
              <w:t>建平</w:t>
            </w:r>
            <w:r>
              <w:rPr>
                <w:rFonts w:ascii="Times New Roman" w:hAnsi="Times New Roman" w:cs="Times New Roman" w:eastAsia="Times New Roman" w:hint="default"/>
                <w:sz w:val="18"/>
                <w:szCs w:val="18"/>
              </w:rPr>
              <w:t>;</w:t>
            </w:r>
          </w:p>
        </w:tc>
        <w:tc>
          <w:tcPr>
            <w:tcW w:w="874"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100" w:right="209"/>
              <w:jc w:val="left"/>
              <w:rPr>
                <w:rFonts w:ascii="宋体" w:hAnsi="宋体" w:cs="宋体" w:eastAsia="宋体" w:hint="default"/>
                <w:sz w:val="18"/>
                <w:szCs w:val="18"/>
              </w:rPr>
            </w:pPr>
            <w:r>
              <w:rPr>
                <w:rFonts w:ascii="宋体" w:hAnsi="宋体" w:cs="宋体" w:eastAsia="宋体" w:hint="default"/>
                <w:sz w:val="18"/>
                <w:szCs w:val="18"/>
              </w:rPr>
              <w:t>其他承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w:t>
            </w:r>
          </w:p>
        </w:tc>
        <w:tc>
          <w:tcPr>
            <w:tcW w:w="3924" w:type="dxa"/>
            <w:tcBorders>
              <w:top w:val="nil" w:sz="6" w:space="0" w:color="auto"/>
              <w:left w:val="single" w:sz="8" w:space="0" w:color="000000"/>
              <w:bottom w:val="single" w:sz="8" w:space="0" w:color="000000"/>
              <w:right w:val="single" w:sz="8" w:space="0" w:color="000000"/>
            </w:tcBorders>
          </w:tcPr>
          <w:p>
            <w:pPr>
              <w:pStyle w:val="TableParagraph"/>
              <w:spacing w:line="309" w:lineRule="auto" w:before="10"/>
              <w:ind w:left="101" w:right="18"/>
              <w:jc w:val="left"/>
              <w:rPr>
                <w:rFonts w:ascii="宋体" w:hAnsi="宋体" w:cs="宋体" w:eastAsia="宋体" w:hint="default"/>
                <w:sz w:val="18"/>
                <w:szCs w:val="18"/>
              </w:rPr>
            </w:pPr>
            <w:r>
              <w:rPr>
                <w:rFonts w:ascii="宋体" w:hAnsi="宋体" w:cs="宋体" w:eastAsia="宋体" w:hint="default"/>
                <w:spacing w:val="-3"/>
                <w:sz w:val="18"/>
                <w:szCs w:val="18"/>
              </w:rPr>
              <w:t>关于切实履行填补每股收益具体措施的承诺函：</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为保证公司填补每股收益的具体措施能够得到</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6"/>
                <w:w w:val="101"/>
                <w:sz w:val="18"/>
                <w:szCs w:val="18"/>
              </w:rPr>
              <w:t>切实履行，本人作为西安环球印务股份有限公司</w:t>
            </w:r>
            <w:r>
              <w:rPr>
                <w:rFonts w:ascii="宋体" w:hAnsi="宋体" w:cs="宋体" w:eastAsia="宋体" w:hint="default"/>
                <w:spacing w:val="-6"/>
                <w:sz w:val="18"/>
                <w:szCs w:val="18"/>
              </w:rPr>
            </w:r>
          </w:p>
          <w:p>
            <w:pPr>
              <w:pStyle w:val="TableParagraph"/>
              <w:spacing w:line="316" w:lineRule="auto" w:before="25"/>
              <w:ind w:left="101" w:right="18"/>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）的董事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高级管理人员，特</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6"/>
                <w:sz w:val="18"/>
                <w:szCs w:val="18"/>
              </w:rPr>
              <w:t>承诺如下：（一）承诺不无偿或以不公平条件向</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6"/>
                <w:w w:val="101"/>
                <w:sz w:val="18"/>
                <w:szCs w:val="18"/>
              </w:rPr>
              <w:t>其他单位或者个人输送利益，也不采用其他方式</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6"/>
                <w:sz w:val="18"/>
                <w:szCs w:val="18"/>
              </w:rPr>
              <w:t>损害公司利益；（二）承诺对本人以及职权范围</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6"/>
                <w:w w:val="101"/>
                <w:sz w:val="18"/>
                <w:szCs w:val="18"/>
              </w:rPr>
              <w:t>内其他董事和高管的职务消费行为进行约束，必</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6"/>
                <w:sz w:val="18"/>
                <w:szCs w:val="18"/>
              </w:rPr>
              <w:t>要的职务消费行为应低于平均水平；（三）承诺</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不动用公司资产从事与其履行职责无关的投资、</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sz w:val="18"/>
                <w:szCs w:val="18"/>
              </w:rPr>
              <w:t>消费活动；（四）承诺积极推动公司薪酬制度的</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完善使之符合摊薄即期收益填补回报措施的要</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w w:val="101"/>
                <w:sz w:val="18"/>
                <w:szCs w:val="18"/>
              </w:rPr>
              <w:t>求，承诺支持公司董事会或薪酬委员会制定的薪</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酬制度与公司填补回报措施的执行情况相挂钩，</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若本人为董事则承诺在董事会上对相关议案投</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sz w:val="18"/>
                <w:szCs w:val="18"/>
              </w:rPr>
              <w:t>赞成票；（五）承诺当参与公司制订及推出股权</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6"/>
                <w:w w:val="101"/>
                <w:sz w:val="18"/>
                <w:szCs w:val="18"/>
              </w:rPr>
              <w:t>激励计划的相关决策时，应该使股权激励的行权</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6"/>
                <w:w w:val="101"/>
                <w:sz w:val="18"/>
                <w:szCs w:val="18"/>
              </w:rPr>
              <w:t>条件与公司填补回报措施的执行情况相挂钩，若</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本人为董事则承诺在董事会上对相关议案投赞</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sz w:val="18"/>
                <w:szCs w:val="18"/>
              </w:rPr>
              <w:t>成票。（六）在中国证券监督管理委员会、深圳</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证券交易所另行发布摊薄即期收益填补回报措</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w w:val="101"/>
                <w:sz w:val="18"/>
                <w:szCs w:val="18"/>
              </w:rPr>
              <w:t>施及其承诺的相关意见及实施细则后，如果公司</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6"/>
                <w:w w:val="101"/>
                <w:sz w:val="18"/>
                <w:szCs w:val="18"/>
              </w:rPr>
              <w:t>相关措施及本人的承诺与相关规定不符的，本人</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6"/>
                <w:w w:val="101"/>
                <w:sz w:val="18"/>
                <w:szCs w:val="18"/>
              </w:rPr>
              <w:t>承诺将立即按照相关规定作出补充承诺，并积极</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推进公司制定新的措施。如本人未履行上述承</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w w:val="101"/>
                <w:sz w:val="18"/>
                <w:szCs w:val="18"/>
              </w:rPr>
              <w:t>诺，则本人将在股东大会及中国证券监督管理委</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员会指定的披露媒体上公开说明未履行承诺的</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具体原因并向公司股东和社会公众投资者道歉；</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sz w:val="18"/>
                <w:szCs w:val="18"/>
              </w:rPr>
              <w:t>公司有权将应付本人的工资、薪酬、补贴等暂时</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6"/>
                <w:sz w:val="18"/>
                <w:szCs w:val="18"/>
              </w:rPr>
              <w:t>予以扣留，直至本人完成上述承诺的履行。如因</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未履行承诺导致公司或投资者遭受经济损失的，</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本人将依法予以赔偿。</w:t>
            </w:r>
            <w:r>
              <w:rPr>
                <w:rFonts w:ascii="Times New Roman" w:hAnsi="Times New Roman" w:cs="Times New Roman" w:eastAsia="Times New Roman" w:hint="default"/>
                <w:sz w:val="18"/>
                <w:szCs w:val="18"/>
              </w:rPr>
              <w:t>”</w:t>
            </w:r>
          </w:p>
        </w:tc>
        <w:tc>
          <w:tcPr>
            <w:tcW w:w="941"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9"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3"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100" w:right="176"/>
              <w:jc w:val="left"/>
              <w:rPr>
                <w:rFonts w:ascii="宋体" w:hAnsi="宋体" w:cs="宋体" w:eastAsia="宋体" w:hint="default"/>
                <w:sz w:val="18"/>
                <w:szCs w:val="18"/>
              </w:rPr>
            </w:pPr>
            <w:r>
              <w:rPr>
                <w:rFonts w:ascii="宋体" w:hAnsi="宋体" w:cs="宋体" w:eastAsia="宋体" w:hint="default"/>
                <w:sz w:val="18"/>
                <w:szCs w:val="18"/>
              </w:rPr>
              <w:t>尚在承诺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履行期，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严格履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w:t>
            </w:r>
          </w:p>
        </w:tc>
      </w:tr>
      <w:tr>
        <w:trPr>
          <w:trHeight w:val="643" w:hRule="exact"/>
        </w:trPr>
        <w:tc>
          <w:tcPr>
            <w:tcW w:w="128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10"/>
              <w:ind w:left="100" w:right="257"/>
              <w:jc w:val="left"/>
              <w:rPr>
                <w:rFonts w:ascii="宋体" w:hAnsi="宋体" w:cs="宋体" w:eastAsia="宋体" w:hint="default"/>
                <w:sz w:val="18"/>
                <w:szCs w:val="18"/>
              </w:rPr>
            </w:pPr>
            <w:r>
              <w:rPr>
                <w:rFonts w:ascii="宋体" w:hAnsi="宋体" w:cs="宋体" w:eastAsia="宋体" w:hint="default"/>
                <w:sz w:val="18"/>
                <w:szCs w:val="18"/>
              </w:rPr>
              <w:t>承诺是否按</w:t>
            </w:r>
            <w:r>
              <w:rPr>
                <w:rFonts w:ascii="宋体" w:hAnsi="宋体" w:cs="宋体" w:eastAsia="宋体" w:hint="default"/>
                <w:w w:val="101"/>
                <w:sz w:val="18"/>
                <w:szCs w:val="18"/>
              </w:rPr>
              <w:t> </w:t>
            </w:r>
            <w:r>
              <w:rPr>
                <w:rFonts w:ascii="宋体" w:hAnsi="宋体" w:cs="宋体" w:eastAsia="宋体" w:hint="default"/>
                <w:sz w:val="18"/>
                <w:szCs w:val="18"/>
              </w:rPr>
              <w:t>时履行</w:t>
            </w:r>
          </w:p>
        </w:tc>
        <w:tc>
          <w:tcPr>
            <w:tcW w:w="8576" w:type="dxa"/>
            <w:gridSpan w:val="6"/>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2516" w:hRule="exact"/>
        </w:trPr>
        <w:tc>
          <w:tcPr>
            <w:tcW w:w="128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9" w:lineRule="auto" w:before="10"/>
              <w:ind w:left="100" w:right="94"/>
              <w:jc w:val="left"/>
              <w:rPr>
                <w:rFonts w:ascii="宋体" w:hAnsi="宋体" w:cs="宋体" w:eastAsia="宋体" w:hint="default"/>
                <w:sz w:val="18"/>
                <w:szCs w:val="18"/>
              </w:rPr>
            </w:pPr>
            <w:r>
              <w:rPr>
                <w:rFonts w:ascii="宋体" w:hAnsi="宋体" w:cs="宋体" w:eastAsia="宋体" w:hint="default"/>
                <w:sz w:val="18"/>
                <w:szCs w:val="18"/>
              </w:rPr>
              <w:t>如承诺超期</w:t>
            </w:r>
            <w:r>
              <w:rPr>
                <w:rFonts w:ascii="宋体" w:hAnsi="宋体" w:cs="宋体" w:eastAsia="宋体" w:hint="default"/>
                <w:w w:val="101"/>
                <w:sz w:val="18"/>
                <w:szCs w:val="18"/>
              </w:rPr>
              <w:t> </w:t>
            </w:r>
            <w:r>
              <w:rPr>
                <w:rFonts w:ascii="宋体" w:hAnsi="宋体" w:cs="宋体" w:eastAsia="宋体" w:hint="default"/>
                <w:sz w:val="18"/>
                <w:szCs w:val="18"/>
              </w:rPr>
              <w:t>未履行完毕</w:t>
            </w:r>
            <w:r>
              <w:rPr>
                <w:rFonts w:ascii="宋体" w:hAnsi="宋体" w:cs="宋体" w:eastAsia="宋体" w:hint="default"/>
                <w:w w:val="101"/>
                <w:sz w:val="18"/>
                <w:szCs w:val="18"/>
              </w:rPr>
              <w:t> </w:t>
            </w:r>
            <w:r>
              <w:rPr>
                <w:rFonts w:ascii="宋体" w:hAnsi="宋体" w:cs="宋体" w:eastAsia="宋体" w:hint="default"/>
                <w:spacing w:val="-5"/>
                <w:sz w:val="18"/>
                <w:szCs w:val="18"/>
              </w:rPr>
              <w:t>的，应当详细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说明未完成</w:t>
            </w:r>
            <w:r>
              <w:rPr>
                <w:rFonts w:ascii="宋体" w:hAnsi="宋体" w:cs="宋体" w:eastAsia="宋体" w:hint="default"/>
                <w:w w:val="101"/>
                <w:sz w:val="18"/>
                <w:szCs w:val="18"/>
              </w:rPr>
              <w:t> </w:t>
            </w:r>
            <w:r>
              <w:rPr>
                <w:rFonts w:ascii="宋体" w:hAnsi="宋体" w:cs="宋体" w:eastAsia="宋体" w:hint="default"/>
                <w:sz w:val="18"/>
                <w:szCs w:val="18"/>
              </w:rPr>
              <w:t>履行的具体</w:t>
            </w:r>
            <w:r>
              <w:rPr>
                <w:rFonts w:ascii="宋体" w:hAnsi="宋体" w:cs="宋体" w:eastAsia="宋体" w:hint="default"/>
                <w:w w:val="101"/>
                <w:sz w:val="18"/>
                <w:szCs w:val="18"/>
              </w:rPr>
              <w:t> </w:t>
            </w:r>
            <w:r>
              <w:rPr>
                <w:rFonts w:ascii="宋体" w:hAnsi="宋体" w:cs="宋体" w:eastAsia="宋体" w:hint="default"/>
                <w:sz w:val="18"/>
                <w:szCs w:val="18"/>
              </w:rPr>
              <w:t>原因及下一</w:t>
            </w:r>
            <w:r>
              <w:rPr>
                <w:rFonts w:ascii="宋体" w:hAnsi="宋体" w:cs="宋体" w:eastAsia="宋体" w:hint="default"/>
                <w:w w:val="101"/>
                <w:sz w:val="18"/>
                <w:szCs w:val="18"/>
              </w:rPr>
              <w:t> </w:t>
            </w:r>
            <w:r>
              <w:rPr>
                <w:rFonts w:ascii="宋体" w:hAnsi="宋体" w:cs="宋体" w:eastAsia="宋体" w:hint="default"/>
                <w:sz w:val="18"/>
                <w:szCs w:val="18"/>
              </w:rPr>
              <w:t>步的工作计</w:t>
            </w:r>
            <w:r>
              <w:rPr>
                <w:rFonts w:ascii="宋体" w:hAnsi="宋体" w:cs="宋体" w:eastAsia="宋体" w:hint="default"/>
                <w:w w:val="101"/>
                <w:sz w:val="18"/>
                <w:szCs w:val="18"/>
              </w:rPr>
              <w:t> </w:t>
            </w:r>
            <w:r>
              <w:rPr>
                <w:rFonts w:ascii="宋体" w:hAnsi="宋体" w:cs="宋体" w:eastAsia="宋体" w:hint="default"/>
                <w:sz w:val="18"/>
                <w:szCs w:val="18"/>
              </w:rPr>
              <w:t>划</w:t>
            </w:r>
          </w:p>
        </w:tc>
        <w:tc>
          <w:tcPr>
            <w:tcW w:w="8576" w:type="dxa"/>
            <w:gridSpan w:val="6"/>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center"/>
        <w:rPr>
          <w:rFonts w:ascii="宋体" w:hAnsi="宋体" w:cs="宋体" w:eastAsia="宋体" w:hint="default"/>
          <w:sz w:val="18"/>
          <w:szCs w:val="18"/>
        </w:rPr>
        <w:sectPr>
          <w:pgSz w:w="11910" w:h="16840"/>
          <w:pgMar w:header="0" w:footer="979" w:top="1100" w:bottom="1160" w:left="900" w:right="0"/>
        </w:sectPr>
      </w:pPr>
    </w:p>
    <w:p>
      <w:pPr>
        <w:spacing w:line="240" w:lineRule="auto" w:before="11"/>
        <w:rPr>
          <w:rFonts w:ascii="Times New Roman" w:hAnsi="Times New Roman" w:cs="Times New Roman" w:eastAsia="Times New Roman" w:hint="default"/>
          <w:sz w:val="23"/>
          <w:szCs w:val="23"/>
        </w:rPr>
      </w:pPr>
    </w:p>
    <w:p>
      <w:pPr>
        <w:pStyle w:val="Heading3"/>
        <w:spacing w:line="254" w:lineRule="auto" w:before="36"/>
        <w:ind w:right="0"/>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5"/>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06"/>
        <w:gridCol w:w="1181"/>
        <w:gridCol w:w="1181"/>
        <w:gridCol w:w="980"/>
        <w:gridCol w:w="1133"/>
        <w:gridCol w:w="1277"/>
        <w:gridCol w:w="1133"/>
        <w:gridCol w:w="1561"/>
      </w:tblGrid>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96" w:right="104" w:hanging="92"/>
              <w:jc w:val="left"/>
              <w:rPr>
                <w:rFonts w:ascii="宋体" w:hAnsi="宋体" w:cs="宋体" w:eastAsia="宋体" w:hint="default"/>
                <w:sz w:val="18"/>
                <w:szCs w:val="18"/>
              </w:rPr>
            </w:pPr>
            <w:r>
              <w:rPr>
                <w:rFonts w:ascii="宋体" w:hAnsi="宋体" w:cs="宋体" w:eastAsia="宋体" w:hint="default"/>
                <w:spacing w:val="-2"/>
                <w:sz w:val="18"/>
                <w:szCs w:val="18"/>
              </w:rPr>
              <w:t>盈利预测资产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或项目名称</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3" w:right="31"/>
              <w:jc w:val="left"/>
              <w:rPr>
                <w:rFonts w:ascii="宋体" w:hAnsi="宋体" w:cs="宋体" w:eastAsia="宋体" w:hint="default"/>
                <w:sz w:val="18"/>
                <w:szCs w:val="18"/>
              </w:rPr>
            </w:pPr>
            <w:r>
              <w:rPr>
                <w:rFonts w:ascii="宋体" w:hAnsi="宋体" w:cs="宋体" w:eastAsia="宋体" w:hint="default"/>
                <w:spacing w:val="-2"/>
                <w:sz w:val="18"/>
                <w:szCs w:val="18"/>
              </w:rPr>
              <w:t>当期预测业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绩（万元）</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5" w:right="103"/>
              <w:jc w:val="left"/>
              <w:rPr>
                <w:rFonts w:ascii="宋体" w:hAnsi="宋体" w:cs="宋体" w:eastAsia="宋体" w:hint="default"/>
                <w:sz w:val="18"/>
                <w:szCs w:val="18"/>
              </w:rPr>
            </w:pPr>
            <w:r>
              <w:rPr>
                <w:rFonts w:ascii="宋体" w:hAnsi="宋体" w:cs="宋体" w:eastAsia="宋体" w:hint="default"/>
                <w:spacing w:val="-2"/>
                <w:sz w:val="18"/>
                <w:szCs w:val="18"/>
              </w:rPr>
              <w:t>当期实际业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绩（万元）</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91" w:right="89"/>
              <w:jc w:val="left"/>
              <w:rPr>
                <w:rFonts w:ascii="宋体" w:hAnsi="宋体" w:cs="宋体" w:eastAsia="宋体" w:hint="default"/>
                <w:sz w:val="18"/>
                <w:szCs w:val="18"/>
              </w:rPr>
            </w:pPr>
            <w:r>
              <w:rPr>
                <w:rFonts w:ascii="宋体" w:hAnsi="宋体" w:cs="宋体" w:eastAsia="宋体" w:hint="default"/>
                <w:spacing w:val="-2"/>
                <w:sz w:val="18"/>
                <w:szCs w:val="18"/>
              </w:rPr>
              <w:t>未达预测的原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因（如适用）</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84" w:right="103" w:hanging="269"/>
              <w:jc w:val="left"/>
              <w:rPr>
                <w:rFonts w:ascii="宋体" w:hAnsi="宋体" w:cs="宋体" w:eastAsia="宋体" w:hint="default"/>
                <w:sz w:val="18"/>
                <w:szCs w:val="18"/>
              </w:rPr>
            </w:pPr>
            <w:r>
              <w:rPr>
                <w:rFonts w:ascii="宋体" w:hAnsi="宋体" w:cs="宋体" w:eastAsia="宋体" w:hint="default"/>
                <w:spacing w:val="-2"/>
                <w:sz w:val="18"/>
                <w:szCs w:val="18"/>
              </w:rPr>
              <w:t>原预测披露</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pacing w:val="-3"/>
                <w:sz w:val="18"/>
                <w:szCs w:val="18"/>
              </w:rPr>
              <w:t>原预测披露索引</w:t>
            </w:r>
          </w:p>
        </w:tc>
      </w:tr>
      <w:tr>
        <w:trPr>
          <w:trHeight w:val="290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5" w:right="104"/>
              <w:jc w:val="center"/>
              <w:rPr>
                <w:rFonts w:ascii="宋体" w:hAnsi="宋体" w:cs="宋体" w:eastAsia="宋体" w:hint="default"/>
                <w:sz w:val="18"/>
                <w:szCs w:val="18"/>
              </w:rPr>
            </w:pPr>
            <w:r>
              <w:rPr>
                <w:rFonts w:ascii="宋体" w:hAnsi="宋体" w:cs="宋体" w:eastAsia="宋体" w:hint="default"/>
                <w:spacing w:val="-2"/>
                <w:sz w:val="18"/>
                <w:szCs w:val="18"/>
              </w:rPr>
              <w:t>霍尔果斯领凯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网络科技有限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pacing w:val="-1"/>
                <w:sz w:val="18"/>
              </w:rPr>
              <w:t>4,500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4,545.39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357"/>
              <w:jc w:val="right"/>
              <w:rPr>
                <w:rFonts w:ascii="宋体" w:hAnsi="宋体" w:cs="宋体" w:eastAsia="宋体" w:hint="default"/>
                <w:sz w:val="18"/>
                <w:szCs w:val="18"/>
              </w:rPr>
            </w:pPr>
            <w:r>
              <w:rPr>
                <w:rFonts w:ascii="宋体" w:hAnsi="宋体" w:cs="宋体" w:eastAsia="宋体" w:hint="default"/>
                <w:spacing w:val="-2"/>
                <w:sz w:val="18"/>
                <w:szCs w:val="18"/>
              </w:rPr>
              <w:t>不适用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http://www.cninfo</w:t>
            </w:r>
          </w:p>
          <w:p>
            <w:pPr>
              <w:pStyle w:val="TableParagraph"/>
              <w:spacing w:line="312" w:lineRule="auto" w:before="63"/>
              <w:ind w:left="23" w:right="-9" w:hanging="34"/>
              <w:jc w:val="center"/>
              <w:rPr>
                <w:rFonts w:ascii="宋体" w:hAnsi="宋体" w:cs="宋体" w:eastAsia="宋体" w:hint="default"/>
                <w:sz w:val="18"/>
                <w:szCs w:val="18"/>
              </w:rPr>
            </w:pPr>
            <w:r>
              <w:rPr>
                <w:rFonts w:ascii="Times New Roman" w:hAnsi="Times New Roman" w:cs="Times New Roman" w:eastAsia="Times New Roman" w:hint="default"/>
                <w:spacing w:val="-9"/>
                <w:w w:val="101"/>
                <w:sz w:val="18"/>
                <w:szCs w:val="18"/>
              </w:rPr>
              <w:t>.com.cn/</w:t>
            </w:r>
            <w:r>
              <w:rPr>
                <w:rFonts w:ascii="宋体" w:hAnsi="宋体" w:cs="宋体" w:eastAsia="宋体" w:hint="default"/>
                <w:spacing w:val="-9"/>
                <w:w w:val="101"/>
                <w:sz w:val="18"/>
                <w:szCs w:val="18"/>
              </w:rPr>
              <w:t>）《西安环</w:t>
            </w:r>
            <w:r>
              <w:rPr>
                <w:rFonts w:ascii="宋体" w:hAnsi="宋体" w:cs="宋体" w:eastAsia="宋体" w:hint="default"/>
                <w:w w:val="101"/>
                <w:sz w:val="18"/>
                <w:szCs w:val="18"/>
              </w:rPr>
              <w:t> </w:t>
            </w:r>
            <w:r>
              <w:rPr>
                <w:rFonts w:ascii="宋体" w:hAnsi="宋体" w:cs="宋体" w:eastAsia="宋体" w:hint="default"/>
                <w:sz w:val="18"/>
                <w:szCs w:val="18"/>
              </w:rPr>
              <w:t>球印务股份有限公</w:t>
            </w:r>
            <w:r>
              <w:rPr>
                <w:rFonts w:ascii="宋体" w:hAnsi="宋体" w:cs="宋体" w:eastAsia="宋体" w:hint="default"/>
                <w:w w:val="101"/>
                <w:sz w:val="18"/>
                <w:szCs w:val="18"/>
              </w:rPr>
              <w:t> </w:t>
            </w:r>
            <w:r>
              <w:rPr>
                <w:rFonts w:ascii="宋体" w:hAnsi="宋体" w:cs="宋体" w:eastAsia="宋体" w:hint="default"/>
                <w:sz w:val="18"/>
                <w:szCs w:val="18"/>
              </w:rPr>
              <w:t>司关于收购霍尔果</w:t>
            </w:r>
            <w:r>
              <w:rPr>
                <w:rFonts w:ascii="宋体" w:hAnsi="宋体" w:cs="宋体" w:eastAsia="宋体" w:hint="default"/>
                <w:w w:val="101"/>
                <w:sz w:val="18"/>
                <w:szCs w:val="18"/>
              </w:rPr>
              <w:t> </w:t>
            </w:r>
            <w:r>
              <w:rPr>
                <w:rFonts w:ascii="宋体" w:hAnsi="宋体" w:cs="宋体" w:eastAsia="宋体" w:hint="default"/>
                <w:sz w:val="18"/>
                <w:szCs w:val="18"/>
              </w:rPr>
              <w:t>斯领凯网络科技有</w:t>
            </w:r>
            <w:r>
              <w:rPr>
                <w:rFonts w:ascii="宋体" w:hAnsi="宋体" w:cs="宋体" w:eastAsia="宋体" w:hint="default"/>
                <w:w w:val="101"/>
                <w:sz w:val="18"/>
                <w:szCs w:val="18"/>
              </w:rPr>
              <w:t> </w:t>
            </w:r>
            <w:r>
              <w:rPr>
                <w:rFonts w:ascii="宋体" w:hAnsi="宋体" w:cs="宋体" w:eastAsia="宋体" w:hint="default"/>
                <w:sz w:val="18"/>
                <w:szCs w:val="18"/>
              </w:rPr>
              <w:t>限公司</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股权的</w:t>
            </w:r>
            <w:r>
              <w:rPr>
                <w:rFonts w:ascii="宋体" w:hAnsi="宋体" w:cs="宋体" w:eastAsia="宋体" w:hint="default"/>
                <w:w w:val="101"/>
                <w:sz w:val="18"/>
                <w:szCs w:val="18"/>
              </w:rPr>
              <w:t> </w:t>
            </w:r>
            <w:r>
              <w:rPr>
                <w:rFonts w:ascii="宋体" w:hAnsi="宋体" w:cs="宋体" w:eastAsia="宋体" w:hint="default"/>
                <w:spacing w:val="-12"/>
                <w:w w:val="101"/>
                <w:sz w:val="18"/>
                <w:szCs w:val="18"/>
              </w:rPr>
              <w:t>公告》（公告编号：</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2018-051</w:t>
            </w:r>
            <w:r>
              <w:rPr>
                <w:rFonts w:ascii="宋体" w:hAnsi="宋体" w:cs="宋体" w:eastAsia="宋体" w:hint="default"/>
                <w:sz w:val="18"/>
                <w:szCs w:val="18"/>
              </w:rPr>
              <w:t>）</w:t>
            </w:r>
          </w:p>
        </w:tc>
      </w:tr>
      <w:tr>
        <w:trPr>
          <w:trHeight w:val="290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9" w:lineRule="auto"/>
              <w:ind w:left="105" w:right="104"/>
              <w:jc w:val="center"/>
              <w:rPr>
                <w:rFonts w:ascii="宋体" w:hAnsi="宋体" w:cs="宋体" w:eastAsia="宋体" w:hint="default"/>
                <w:sz w:val="18"/>
                <w:szCs w:val="18"/>
              </w:rPr>
            </w:pPr>
            <w:r>
              <w:rPr>
                <w:rFonts w:ascii="宋体" w:hAnsi="宋体" w:cs="宋体" w:eastAsia="宋体" w:hint="default"/>
                <w:spacing w:val="-2"/>
                <w:sz w:val="18"/>
                <w:szCs w:val="18"/>
              </w:rPr>
              <w:t>北京金印联国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际供应链管理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pacing w:val="-1"/>
                <w:sz w:val="18"/>
              </w:rPr>
              <w:t>2,000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2,138.71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357"/>
              <w:jc w:val="right"/>
              <w:rPr>
                <w:rFonts w:ascii="宋体" w:hAnsi="宋体" w:cs="宋体" w:eastAsia="宋体" w:hint="default"/>
                <w:sz w:val="18"/>
                <w:szCs w:val="18"/>
              </w:rPr>
            </w:pPr>
            <w:r>
              <w:rPr>
                <w:rFonts w:ascii="宋体" w:hAnsi="宋体" w:cs="宋体" w:eastAsia="宋体" w:hint="default"/>
                <w:spacing w:val="-2"/>
                <w:sz w:val="18"/>
                <w:szCs w:val="18"/>
              </w:rPr>
              <w:t>不适用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1"/>
              <w:ind w:left="3" w:right="0"/>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http://www.cninfo</w:t>
            </w:r>
          </w:p>
          <w:p>
            <w:pPr>
              <w:pStyle w:val="TableParagraph"/>
              <w:spacing w:line="312" w:lineRule="auto" w:before="63"/>
              <w:ind w:left="23" w:right="18" w:hanging="5"/>
              <w:jc w:val="center"/>
              <w:rPr>
                <w:rFonts w:ascii="宋体" w:hAnsi="宋体" w:cs="宋体" w:eastAsia="宋体" w:hint="default"/>
                <w:sz w:val="18"/>
                <w:szCs w:val="18"/>
              </w:rPr>
            </w:pPr>
            <w:r>
              <w:rPr>
                <w:rFonts w:ascii="Times New Roman" w:hAnsi="Times New Roman" w:cs="Times New Roman" w:eastAsia="Times New Roman" w:hint="default"/>
                <w:spacing w:val="-9"/>
                <w:w w:val="101"/>
                <w:sz w:val="18"/>
                <w:szCs w:val="18"/>
              </w:rPr>
              <w:t>.com.cn/</w:t>
            </w:r>
            <w:r>
              <w:rPr>
                <w:rFonts w:ascii="宋体" w:hAnsi="宋体" w:cs="宋体" w:eastAsia="宋体" w:hint="default"/>
                <w:spacing w:val="-9"/>
                <w:w w:val="101"/>
                <w:sz w:val="18"/>
                <w:szCs w:val="18"/>
              </w:rPr>
              <w:t>）《西安环</w:t>
            </w:r>
            <w:r>
              <w:rPr>
                <w:rFonts w:ascii="宋体" w:hAnsi="宋体" w:cs="宋体" w:eastAsia="宋体" w:hint="default"/>
                <w:w w:val="101"/>
                <w:sz w:val="18"/>
                <w:szCs w:val="18"/>
              </w:rPr>
              <w:t> </w:t>
            </w:r>
            <w:r>
              <w:rPr>
                <w:rFonts w:ascii="宋体" w:hAnsi="宋体" w:cs="宋体" w:eastAsia="宋体" w:hint="default"/>
                <w:sz w:val="18"/>
                <w:szCs w:val="18"/>
              </w:rPr>
              <w:t>球印务股份有限公</w:t>
            </w:r>
            <w:r>
              <w:rPr>
                <w:rFonts w:ascii="宋体" w:hAnsi="宋体" w:cs="宋体" w:eastAsia="宋体" w:hint="default"/>
                <w:w w:val="101"/>
                <w:sz w:val="18"/>
                <w:szCs w:val="18"/>
              </w:rPr>
              <w:t> </w:t>
            </w:r>
            <w:r>
              <w:rPr>
                <w:rFonts w:ascii="宋体" w:hAnsi="宋体" w:cs="宋体" w:eastAsia="宋体" w:hint="default"/>
                <w:sz w:val="18"/>
                <w:szCs w:val="18"/>
              </w:rPr>
              <w:t>司关于收购北京金</w:t>
            </w:r>
            <w:r>
              <w:rPr>
                <w:rFonts w:ascii="宋体" w:hAnsi="宋体" w:cs="宋体" w:eastAsia="宋体" w:hint="default"/>
                <w:w w:val="101"/>
                <w:sz w:val="18"/>
                <w:szCs w:val="18"/>
              </w:rPr>
              <w:t> </w:t>
            </w:r>
            <w:r>
              <w:rPr>
                <w:rFonts w:ascii="宋体" w:hAnsi="宋体" w:cs="宋体" w:eastAsia="宋体" w:hint="default"/>
                <w:sz w:val="18"/>
                <w:szCs w:val="18"/>
              </w:rPr>
              <w:t>印联国际供应链管</w:t>
            </w:r>
            <w:r>
              <w:rPr>
                <w:rFonts w:ascii="宋体" w:hAnsi="宋体" w:cs="宋体" w:eastAsia="宋体" w:hint="default"/>
                <w:w w:val="101"/>
                <w:sz w:val="18"/>
                <w:szCs w:val="18"/>
              </w:rPr>
              <w:t> </w:t>
            </w:r>
            <w:r>
              <w:rPr>
                <w:rFonts w:ascii="宋体" w:hAnsi="宋体" w:cs="宋体" w:eastAsia="宋体" w:hint="default"/>
                <w:sz w:val="18"/>
                <w:szCs w:val="18"/>
              </w:rPr>
              <w:t>理有限公司</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股</w:t>
            </w:r>
            <w:r>
              <w:rPr>
                <w:rFonts w:ascii="宋体" w:hAnsi="宋体" w:cs="宋体" w:eastAsia="宋体" w:hint="default"/>
                <w:w w:val="101"/>
                <w:sz w:val="18"/>
                <w:szCs w:val="18"/>
              </w:rPr>
              <w:t> </w:t>
            </w:r>
            <w:r>
              <w:rPr>
                <w:rFonts w:ascii="宋体" w:hAnsi="宋体" w:cs="宋体" w:eastAsia="宋体" w:hint="default"/>
                <w:spacing w:val="-15"/>
                <w:w w:val="101"/>
                <w:sz w:val="18"/>
                <w:szCs w:val="18"/>
              </w:rPr>
              <w:t>权的公告》（公告编</w:t>
            </w:r>
            <w:r>
              <w:rPr>
                <w:rFonts w:ascii="宋体" w:hAnsi="宋体" w:cs="宋体" w:eastAsia="宋体" w:hint="default"/>
                <w:w w:val="10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2019-028</w:t>
            </w:r>
            <w:r>
              <w:rPr>
                <w:rFonts w:ascii="宋体" w:hAnsi="宋体" w:cs="宋体" w:eastAsia="宋体" w:hint="default"/>
                <w:sz w:val="18"/>
                <w:szCs w:val="18"/>
              </w:rPr>
              <w:t>）</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b/>
          <w:bCs/>
          <w:sz w:val="18"/>
          <w:szCs w:val="18"/>
        </w:rPr>
        <w:t>公司股东、交易对手方在报告年度经营业绩做出的承诺情况</w:t>
      </w:r>
      <w:r>
        <w:rPr>
          <w:rFonts w:ascii="宋体" w:hAnsi="宋体" w:cs="宋体" w:eastAsia="宋体" w:hint="default"/>
          <w:sz w:val="18"/>
          <w:szCs w:val="18"/>
        </w:rPr>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300" w:lineRule="auto" w:before="101"/>
        <w:ind w:left="153" w:right="1004"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、收购霍尔果斯领凯网络科技有限公司</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股权时交易对手方在报告年度经营业绩做出的承诺情况</w:t>
      </w:r>
      <w:r>
        <w:rPr>
          <w:rFonts w:ascii="宋体" w:hAnsi="宋体" w:cs="宋体" w:eastAsia="宋体" w:hint="default"/>
          <w:w w:val="101"/>
          <w:sz w:val="18"/>
          <w:szCs w:val="18"/>
        </w:rPr>
        <w:t> </w:t>
      </w:r>
      <w:r>
        <w:rPr>
          <w:rFonts w:ascii="宋体" w:hAnsi="宋体" w:cs="宋体" w:eastAsia="宋体" w:hint="default"/>
          <w:spacing w:val="-3"/>
          <w:sz w:val="18"/>
          <w:szCs w:val="18"/>
        </w:rPr>
        <w:t>公司于</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日与连学旺、李仁东、金湖县行千里网络传媒服务中心（有限合伙）签订《股权转让协议》，协议约定， 领凯科技</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年度净利润不低于人民币</w:t>
      </w:r>
      <w:r>
        <w:rPr>
          <w:rFonts w:ascii="Times New Roman" w:hAnsi="Times New Roman" w:cs="Times New Roman" w:eastAsia="Times New Roman" w:hint="default"/>
          <w:spacing w:val="-3"/>
          <w:sz w:val="18"/>
          <w:szCs w:val="18"/>
        </w:rPr>
        <w:t>4,500</w:t>
      </w:r>
      <w:r>
        <w:rPr>
          <w:rFonts w:ascii="宋体" w:hAnsi="宋体" w:cs="宋体" w:eastAsia="宋体" w:hint="default"/>
          <w:spacing w:val="-3"/>
          <w:sz w:val="18"/>
          <w:szCs w:val="18"/>
        </w:rPr>
        <w:t>万元，且</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年至</w:t>
      </w:r>
      <w:r>
        <w:rPr>
          <w:rFonts w:ascii="Times New Roman" w:hAnsi="Times New Roman" w:cs="Times New Roman" w:eastAsia="Times New Roman" w:hint="default"/>
          <w:spacing w:val="-3"/>
          <w:sz w:val="18"/>
          <w:szCs w:val="18"/>
        </w:rPr>
        <w:t>2020</w:t>
      </w:r>
      <w:r>
        <w:rPr>
          <w:rFonts w:ascii="宋体" w:hAnsi="宋体" w:cs="宋体" w:eastAsia="宋体" w:hint="default"/>
          <w:spacing w:val="-3"/>
          <w:sz w:val="18"/>
          <w:szCs w:val="18"/>
        </w:rPr>
        <w:t>年底，应累计实现净利润不低于人民币</w:t>
      </w:r>
      <w:r>
        <w:rPr>
          <w:rFonts w:ascii="Times New Roman" w:hAnsi="Times New Roman" w:cs="Times New Roman" w:eastAsia="Times New Roman" w:hint="default"/>
          <w:spacing w:val="-3"/>
          <w:sz w:val="18"/>
          <w:szCs w:val="18"/>
        </w:rPr>
        <w:t>1.4</w:t>
      </w:r>
      <w:r>
        <w:rPr>
          <w:rFonts w:ascii="宋体" w:hAnsi="宋体" w:cs="宋体" w:eastAsia="宋体" w:hint="default"/>
          <w:spacing w:val="-3"/>
          <w:sz w:val="18"/>
          <w:szCs w:val="18"/>
        </w:rPr>
        <w:t>亿元，并保持</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z w:val="18"/>
          <w:szCs w:val="18"/>
        </w:rPr>
        <w:t>增长态势。</w:t>
      </w:r>
    </w:p>
    <w:p>
      <w:pPr>
        <w:spacing w:line="300" w:lineRule="auto" w:before="31"/>
        <w:ind w:left="153" w:right="0"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、收购北京金印联国际供应链管理有限公司</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股权时交易对手方在报告年度经营业绩做出的承诺情况</w:t>
      </w:r>
      <w:r>
        <w:rPr>
          <w:rFonts w:ascii="宋体" w:hAnsi="宋体" w:cs="宋体" w:eastAsia="宋体" w:hint="default"/>
          <w:w w:val="101"/>
          <w:sz w:val="18"/>
          <w:szCs w:val="18"/>
        </w:rPr>
        <w:t> </w:t>
      </w:r>
      <w:r>
        <w:rPr>
          <w:rFonts w:ascii="宋体" w:hAnsi="宋体" w:cs="宋体" w:eastAsia="宋体" w:hint="default"/>
          <w:spacing w:val="-3"/>
          <w:sz w:val="18"/>
          <w:szCs w:val="18"/>
        </w:rPr>
        <w:t>公司于</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17</w:t>
      </w:r>
      <w:r>
        <w:rPr>
          <w:rFonts w:ascii="宋体" w:hAnsi="宋体" w:cs="宋体" w:eastAsia="宋体" w:hint="default"/>
          <w:spacing w:val="-3"/>
          <w:sz w:val="18"/>
          <w:szCs w:val="18"/>
        </w:rPr>
        <w:t>日与徐天平、王雪艺、邓志坚、曾庆赞签订《股权转让协议》，协议约定，北京金印联</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2020</w:t>
      </w:r>
      <w:r>
        <w:rPr>
          <w:rFonts w:ascii="宋体" w:hAnsi="宋体" w:cs="宋体" w:eastAsia="宋体" w:hint="default"/>
          <w:spacing w:val="-3"/>
          <w:sz w:val="18"/>
          <w:szCs w:val="18"/>
        </w:rPr>
        <w:t>年</w:t>
      </w:r>
      <w:r>
        <w:rPr>
          <w:rFonts w:ascii="宋体" w:hAnsi="宋体" w:cs="宋体" w:eastAsia="宋体" w:hint="default"/>
          <w:spacing w:val="4"/>
          <w:sz w:val="18"/>
          <w:szCs w:val="18"/>
        </w:rPr>
        <w:t> </w:t>
      </w:r>
      <w:r>
        <w:rPr>
          <w:rFonts w:ascii="宋体" w:hAnsi="宋体" w:cs="宋体" w:eastAsia="宋体" w:hint="default"/>
          <w:spacing w:val="-3"/>
          <w:sz w:val="18"/>
          <w:szCs w:val="18"/>
        </w:rPr>
        <w:t>及</w:t>
      </w:r>
      <w:r>
        <w:rPr>
          <w:rFonts w:ascii="Times New Roman" w:hAnsi="Times New Roman" w:cs="Times New Roman" w:eastAsia="Times New Roman" w:hint="default"/>
          <w:spacing w:val="-3"/>
          <w:sz w:val="18"/>
          <w:szCs w:val="18"/>
        </w:rPr>
        <w:t>2021</w:t>
      </w:r>
      <w:r>
        <w:rPr>
          <w:rFonts w:ascii="宋体" w:hAnsi="宋体" w:cs="宋体" w:eastAsia="宋体" w:hint="default"/>
          <w:spacing w:val="-3"/>
          <w:sz w:val="18"/>
          <w:szCs w:val="18"/>
        </w:rPr>
        <w:t>年承诺净利润数分别不低于</w:t>
      </w:r>
      <w:r>
        <w:rPr>
          <w:rFonts w:ascii="Times New Roman" w:hAnsi="Times New Roman" w:cs="Times New Roman" w:eastAsia="Times New Roman" w:hint="default"/>
          <w:spacing w:val="-3"/>
          <w:sz w:val="18"/>
          <w:szCs w:val="18"/>
        </w:rPr>
        <w:t>2000</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2200</w:t>
      </w:r>
      <w:r>
        <w:rPr>
          <w:rFonts w:ascii="宋体" w:hAnsi="宋体" w:cs="宋体" w:eastAsia="宋体" w:hint="default"/>
          <w:spacing w:val="-3"/>
          <w:sz w:val="18"/>
          <w:szCs w:val="18"/>
        </w:rPr>
        <w:t>万元及</w:t>
      </w:r>
      <w:r>
        <w:rPr>
          <w:rFonts w:ascii="Times New Roman" w:hAnsi="Times New Roman" w:cs="Times New Roman" w:eastAsia="Times New Roman" w:hint="default"/>
          <w:spacing w:val="-3"/>
          <w:sz w:val="18"/>
          <w:szCs w:val="18"/>
        </w:rPr>
        <w:t>2400</w:t>
      </w:r>
      <w:r>
        <w:rPr>
          <w:rFonts w:ascii="宋体" w:hAnsi="宋体" w:cs="宋体" w:eastAsia="宋体" w:hint="default"/>
          <w:spacing w:val="-3"/>
          <w:sz w:val="18"/>
          <w:szCs w:val="18"/>
        </w:rPr>
        <w:t>万元，并保持增长态势。</w:t>
      </w:r>
    </w:p>
    <w:p>
      <w:pPr>
        <w:spacing w:line="240" w:lineRule="auto" w:before="0"/>
        <w:rPr>
          <w:rFonts w:ascii="宋体" w:hAnsi="宋体" w:cs="宋体" w:eastAsia="宋体" w:hint="default"/>
          <w:sz w:val="18"/>
          <w:szCs w:val="18"/>
        </w:rPr>
      </w:pPr>
    </w:p>
    <w:p>
      <w:pPr>
        <w:spacing w:before="133"/>
        <w:ind w:left="153" w:right="0" w:firstLine="0"/>
        <w:jc w:val="left"/>
        <w:rPr>
          <w:rFonts w:ascii="宋体" w:hAnsi="宋体" w:cs="宋体" w:eastAsia="宋体" w:hint="default"/>
          <w:sz w:val="18"/>
          <w:szCs w:val="18"/>
        </w:rPr>
      </w:pPr>
      <w:r>
        <w:rPr>
          <w:rFonts w:ascii="宋体" w:hAnsi="宋体" w:cs="宋体" w:eastAsia="宋体" w:hint="default"/>
          <w:b/>
          <w:bCs/>
          <w:sz w:val="18"/>
          <w:szCs w:val="18"/>
        </w:rPr>
        <w:t>业绩承诺的完成情况及其对商誉减值测试的影响</w:t>
      </w:r>
      <w:r>
        <w:rPr>
          <w:rFonts w:ascii="宋体" w:hAnsi="宋体" w:cs="宋体" w:eastAsia="宋体" w:hint="default"/>
          <w:sz w:val="18"/>
          <w:szCs w:val="18"/>
        </w:rPr>
      </w:r>
    </w:p>
    <w:p>
      <w:pPr>
        <w:spacing w:line="309" w:lineRule="auto" w:before="110"/>
        <w:ind w:left="153" w:right="1124" w:firstLine="36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、经希格玛会计师事务所（特殊普通合伙）审计，</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年领凯科技实现的净利润为</w:t>
      </w:r>
      <w:r>
        <w:rPr>
          <w:rFonts w:ascii="Times New Roman" w:hAnsi="Times New Roman" w:cs="Times New Roman" w:eastAsia="Times New Roman" w:hint="default"/>
          <w:spacing w:val="-3"/>
          <w:sz w:val="18"/>
          <w:szCs w:val="18"/>
        </w:rPr>
        <w:t>4545.39</w:t>
      </w:r>
      <w:r>
        <w:rPr>
          <w:rFonts w:ascii="宋体" w:hAnsi="宋体" w:cs="宋体" w:eastAsia="宋体" w:hint="default"/>
          <w:spacing w:val="-3"/>
          <w:sz w:val="18"/>
          <w:szCs w:val="18"/>
        </w:rPr>
        <w:t>万元，完成了约定的业绩承</w:t>
      </w:r>
      <w:r>
        <w:rPr>
          <w:rFonts w:ascii="宋体" w:hAnsi="宋体" w:cs="宋体" w:eastAsia="宋体" w:hint="default"/>
          <w:w w:val="101"/>
          <w:sz w:val="18"/>
          <w:szCs w:val="18"/>
        </w:rPr>
        <w:t> </w:t>
      </w:r>
      <w:r>
        <w:rPr>
          <w:rFonts w:ascii="宋体" w:hAnsi="宋体" w:cs="宋体" w:eastAsia="宋体" w:hint="default"/>
          <w:spacing w:val="-4"/>
          <w:sz w:val="18"/>
          <w:szCs w:val="18"/>
        </w:rPr>
        <w:t>诺。公司已委托外部专业评估机构对上述项目在并购过程中形成的商誉在本报告期末进行了商誉减值测试，经测试，领凯科</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技经营正常，盈利符合预期，未出现减值迹象。</w:t>
      </w:r>
    </w:p>
    <w:p>
      <w:pPr>
        <w:spacing w:line="309" w:lineRule="auto" w:before="24"/>
        <w:ind w:left="153" w:right="1124" w:firstLine="36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、经希格玛会计师事务所（特殊普通合伙）审计，</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年北京金印联实现的净利润为</w:t>
      </w:r>
      <w:r>
        <w:rPr>
          <w:rFonts w:ascii="Times New Roman" w:hAnsi="Times New Roman" w:cs="Times New Roman" w:eastAsia="Times New Roman" w:hint="default"/>
          <w:spacing w:val="-3"/>
          <w:sz w:val="18"/>
          <w:szCs w:val="18"/>
        </w:rPr>
        <w:t>2138.71</w:t>
      </w:r>
      <w:r>
        <w:rPr>
          <w:rFonts w:ascii="宋体" w:hAnsi="宋体" w:cs="宋体" w:eastAsia="宋体" w:hint="default"/>
          <w:spacing w:val="-3"/>
          <w:sz w:val="18"/>
          <w:szCs w:val="18"/>
        </w:rPr>
        <w:t>万元，完成了约定的业绩</w:t>
      </w:r>
      <w:r>
        <w:rPr>
          <w:rFonts w:ascii="宋体" w:hAnsi="宋体" w:cs="宋体" w:eastAsia="宋体" w:hint="default"/>
          <w:w w:val="101"/>
          <w:sz w:val="18"/>
          <w:szCs w:val="18"/>
        </w:rPr>
        <w:t> </w:t>
      </w:r>
      <w:r>
        <w:rPr>
          <w:rFonts w:ascii="宋体" w:hAnsi="宋体" w:cs="宋体" w:eastAsia="宋体" w:hint="default"/>
          <w:spacing w:val="-4"/>
          <w:sz w:val="18"/>
          <w:szCs w:val="18"/>
        </w:rPr>
        <w:t>承诺。公司已委托外部专业评估机构对上述项目在并购过程中形成的商誉在本报告期末进行了商誉减值测试，经测试，北京</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金印联经营正常，盈利符合预期，未出现减值迹象。</w:t>
      </w:r>
    </w:p>
    <w:p>
      <w:pPr>
        <w:spacing w:after="0" w:line="309" w:lineRule="auto"/>
        <w:jc w:val="both"/>
        <w:rPr>
          <w:rFonts w:ascii="宋体" w:hAnsi="宋体" w:cs="宋体" w:eastAsia="宋体" w:hint="default"/>
          <w:sz w:val="18"/>
          <w:szCs w:val="18"/>
        </w:rPr>
        <w:sectPr>
          <w:pgSz w:w="11910" w:h="16840"/>
          <w:pgMar w:header="0" w:footer="979" w:top="1100" w:bottom="1160" w:left="980" w:right="0"/>
        </w:sectPr>
      </w:pPr>
    </w:p>
    <w:p>
      <w:pPr>
        <w:spacing w:line="240" w:lineRule="auto" w:before="7"/>
        <w:rPr>
          <w:rFonts w:ascii="宋体" w:hAnsi="宋体" w:cs="宋体" w:eastAsia="宋体" w:hint="default"/>
          <w:sz w:val="19"/>
          <w:szCs w:val="19"/>
        </w:rPr>
      </w:pPr>
    </w:p>
    <w:p>
      <w:pPr>
        <w:pStyle w:val="Heading2"/>
        <w:spacing w:line="240" w:lineRule="auto" w:before="26"/>
        <w:ind w:left="233" w:right="0"/>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3"/>
        <w:rPr>
          <w:rFonts w:ascii="宋体" w:hAnsi="宋体" w:cs="宋体" w:eastAsia="宋体" w:hint="default"/>
          <w:b/>
          <w:bCs/>
          <w:sz w:val="27"/>
          <w:szCs w:val="27"/>
        </w:rPr>
      </w:pPr>
    </w:p>
    <w:p>
      <w:pPr>
        <w:spacing w:line="338" w:lineRule="auto" w:before="0"/>
        <w:ind w:left="233" w:right="38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公司报告期不存在控股股东及其关联方对上市公司的非经营性占用资金。</w:t>
      </w:r>
    </w:p>
    <w:p>
      <w:pPr>
        <w:spacing w:line="240" w:lineRule="auto" w:before="4"/>
        <w:rPr>
          <w:rFonts w:ascii="宋体" w:hAnsi="宋体" w:cs="宋体" w:eastAsia="宋体" w:hint="default"/>
          <w:sz w:val="18"/>
          <w:szCs w:val="18"/>
        </w:rPr>
      </w:pPr>
    </w:p>
    <w:p>
      <w:pPr>
        <w:pStyle w:val="Heading2"/>
        <w:spacing w:line="240" w:lineRule="auto"/>
        <w:ind w:left="233" w:right="0"/>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6"/>
          <w:szCs w:val="26"/>
        </w:rPr>
      </w:pPr>
    </w:p>
    <w:p>
      <w:pPr>
        <w:spacing w:before="0"/>
        <w:ind w:left="2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left="233" w:right="0"/>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7"/>
          <w:szCs w:val="27"/>
        </w:rPr>
      </w:pPr>
    </w:p>
    <w:p>
      <w:pPr>
        <w:spacing w:before="0"/>
        <w:ind w:left="2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20"/>
        <w:ind w:left="233"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51"/>
          <w:sz w:val="18"/>
          <w:szCs w:val="18"/>
        </w:rPr>
        <w:t> </w:t>
      </w:r>
      <w:r>
        <w:rPr>
          <w:rFonts w:ascii="宋体" w:hAnsi="宋体" w:cs="宋体" w:eastAsia="宋体" w:hint="default"/>
          <w:spacing w:val="-3"/>
          <w:sz w:val="18"/>
          <w:szCs w:val="18"/>
        </w:rPr>
        <w:t>企业会计准则变化引起的会计政策变更</w:t>
      </w:r>
    </w:p>
    <w:p>
      <w:pPr>
        <w:spacing w:line="362" w:lineRule="auto" w:before="124"/>
        <w:ind w:left="233" w:right="0" w:firstLine="42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51"/>
          <w:sz w:val="18"/>
          <w:szCs w:val="18"/>
        </w:rPr>
        <w:t> </w:t>
      </w:r>
      <w:r>
        <w:rPr>
          <w:rFonts w:ascii="宋体" w:hAnsi="宋体" w:cs="宋体" w:eastAsia="宋体" w:hint="default"/>
          <w:spacing w:val="-3"/>
          <w:sz w:val="18"/>
          <w:szCs w:val="18"/>
        </w:rPr>
        <w:t>本公司根据财政部《关于修订印发</w:t>
      </w:r>
      <w:r>
        <w:rPr>
          <w:rFonts w:ascii="宋体" w:hAnsi="宋体" w:cs="宋体" w:eastAsia="宋体" w:hint="default"/>
          <w:spacing w:val="-3"/>
          <w:sz w:val="18"/>
          <w:szCs w:val="18"/>
        </w:rPr>
        <w:t>2019</w:t>
      </w:r>
      <w:r>
        <w:rPr>
          <w:rFonts w:ascii="宋体" w:hAnsi="宋体" w:cs="宋体" w:eastAsia="宋体" w:hint="default"/>
          <w:spacing w:val="-3"/>
          <w:sz w:val="18"/>
          <w:szCs w:val="18"/>
        </w:rPr>
        <w:t>年度一般企业财务报表格式的通知》</w:t>
      </w:r>
      <w:r>
        <w:rPr>
          <w:rFonts w:ascii="宋体" w:hAnsi="宋体" w:cs="宋体" w:eastAsia="宋体" w:hint="default"/>
          <w:spacing w:val="-3"/>
          <w:sz w:val="18"/>
          <w:szCs w:val="18"/>
        </w:rPr>
        <w:t>(</w:t>
      </w:r>
      <w:r>
        <w:rPr>
          <w:rFonts w:ascii="宋体" w:hAnsi="宋体" w:cs="宋体" w:eastAsia="宋体" w:hint="default"/>
          <w:spacing w:val="-3"/>
          <w:sz w:val="18"/>
          <w:szCs w:val="18"/>
        </w:rPr>
        <w:t>财会〔</w:t>
      </w:r>
      <w:r>
        <w:rPr>
          <w:rFonts w:ascii="宋体" w:hAnsi="宋体" w:cs="宋体" w:eastAsia="宋体" w:hint="default"/>
          <w:spacing w:val="-3"/>
          <w:sz w:val="18"/>
          <w:szCs w:val="18"/>
        </w:rPr>
        <w:t>2019</w:t>
      </w:r>
      <w:r>
        <w:rPr>
          <w:rFonts w:ascii="宋体" w:hAnsi="宋体" w:cs="宋体" w:eastAsia="宋体" w:hint="default"/>
          <w:spacing w:val="-3"/>
          <w:sz w:val="18"/>
          <w:szCs w:val="18"/>
        </w:rPr>
        <w:t>〕</w:t>
      </w:r>
      <w:r>
        <w:rPr>
          <w:rFonts w:ascii="宋体" w:hAnsi="宋体" w:cs="宋体" w:eastAsia="宋体" w:hint="default"/>
          <w:spacing w:val="-3"/>
          <w:sz w:val="18"/>
          <w:szCs w:val="18"/>
        </w:rPr>
        <w:t>6</w:t>
      </w:r>
      <w:r>
        <w:rPr>
          <w:rFonts w:ascii="宋体" w:hAnsi="宋体" w:cs="宋体" w:eastAsia="宋体" w:hint="default"/>
          <w:spacing w:val="-3"/>
          <w:sz w:val="18"/>
          <w:szCs w:val="18"/>
        </w:rPr>
        <w:t>号</w:t>
      </w:r>
      <w:r>
        <w:rPr>
          <w:rFonts w:ascii="宋体" w:hAnsi="宋体" w:cs="宋体" w:eastAsia="宋体" w:hint="default"/>
          <w:spacing w:val="-3"/>
          <w:sz w:val="18"/>
          <w:szCs w:val="18"/>
        </w:rPr>
        <w:t>)</w:t>
      </w:r>
      <w:r>
        <w:rPr>
          <w:rFonts w:ascii="宋体" w:hAnsi="宋体" w:cs="宋体" w:eastAsia="宋体" w:hint="default"/>
          <w:spacing w:val="-3"/>
          <w:sz w:val="18"/>
          <w:szCs w:val="18"/>
        </w:rPr>
        <w:t>和企业会计准则的</w:t>
      </w:r>
      <w:r>
        <w:rPr>
          <w:rFonts w:ascii="宋体" w:hAnsi="宋体" w:cs="宋体" w:eastAsia="宋体" w:hint="default"/>
          <w:w w:val="101"/>
          <w:sz w:val="18"/>
          <w:szCs w:val="18"/>
        </w:rPr>
        <w:t> </w:t>
      </w:r>
      <w:r>
        <w:rPr>
          <w:rFonts w:ascii="宋体" w:hAnsi="宋体" w:cs="宋体" w:eastAsia="宋体" w:hint="default"/>
          <w:spacing w:val="-3"/>
          <w:sz w:val="18"/>
          <w:szCs w:val="18"/>
        </w:rPr>
        <w:t>要求编制</w:t>
      </w:r>
      <w:r>
        <w:rPr>
          <w:rFonts w:ascii="宋体" w:hAnsi="宋体" w:cs="宋体" w:eastAsia="宋体" w:hint="default"/>
          <w:spacing w:val="-3"/>
          <w:sz w:val="18"/>
          <w:szCs w:val="18"/>
        </w:rPr>
        <w:t>2019</w:t>
      </w:r>
      <w:r>
        <w:rPr>
          <w:rFonts w:ascii="宋体" w:hAnsi="宋体" w:cs="宋体" w:eastAsia="宋体" w:hint="default"/>
          <w:spacing w:val="-3"/>
          <w:sz w:val="18"/>
          <w:szCs w:val="18"/>
        </w:rPr>
        <w:t>年度财务报表，此项会计政策变更采用追溯调整法。</w:t>
      </w:r>
      <w:r>
        <w:rPr>
          <w:rFonts w:ascii="宋体" w:hAnsi="宋体" w:cs="宋体" w:eastAsia="宋体" w:hint="default"/>
          <w:spacing w:val="-3"/>
          <w:sz w:val="18"/>
          <w:szCs w:val="18"/>
        </w:rPr>
        <w:t>2018</w:t>
      </w:r>
      <w:r>
        <w:rPr>
          <w:rFonts w:ascii="宋体" w:hAnsi="宋体" w:cs="宋体" w:eastAsia="宋体" w:hint="default"/>
          <w:spacing w:val="-3"/>
          <w:sz w:val="18"/>
          <w:szCs w:val="18"/>
        </w:rPr>
        <w:t>年度财务报表受重要影响的报表项目和金额如下：</w:t>
      </w:r>
    </w:p>
    <w:p>
      <w:pPr>
        <w:spacing w:line="240" w:lineRule="auto" w:before="5"/>
        <w:rPr>
          <w:rFonts w:ascii="宋体" w:hAnsi="宋体" w:cs="宋体" w:eastAsia="宋体"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2718"/>
        <w:gridCol w:w="2612"/>
        <w:gridCol w:w="1628"/>
        <w:gridCol w:w="2901"/>
      </w:tblGrid>
      <w:tr>
        <w:trPr>
          <w:trHeight w:val="370" w:hRule="exact"/>
        </w:trPr>
        <w:tc>
          <w:tcPr>
            <w:tcW w:w="53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57" w:right="0"/>
              <w:jc w:val="left"/>
              <w:rPr>
                <w:rFonts w:ascii="宋体" w:hAnsi="宋体" w:cs="宋体" w:eastAsia="宋体" w:hint="default"/>
                <w:sz w:val="18"/>
                <w:szCs w:val="18"/>
              </w:rPr>
            </w:pPr>
            <w:r>
              <w:rPr>
                <w:rFonts w:ascii="宋体" w:hAnsi="宋体" w:cs="宋体" w:eastAsia="宋体" w:hint="default"/>
                <w:sz w:val="18"/>
                <w:szCs w:val="18"/>
              </w:rPr>
              <w:t>原列报报表项目及金额</w:t>
            </w:r>
          </w:p>
        </w:tc>
        <w:tc>
          <w:tcPr>
            <w:tcW w:w="45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363" w:right="0"/>
              <w:jc w:val="left"/>
              <w:rPr>
                <w:rFonts w:ascii="宋体" w:hAnsi="宋体" w:cs="宋体" w:eastAsia="宋体" w:hint="default"/>
                <w:sz w:val="18"/>
                <w:szCs w:val="18"/>
              </w:rPr>
            </w:pPr>
            <w:r>
              <w:rPr>
                <w:rFonts w:ascii="宋体" w:hAnsi="宋体" w:cs="宋体" w:eastAsia="宋体" w:hint="default"/>
                <w:sz w:val="18"/>
                <w:szCs w:val="18"/>
              </w:rPr>
              <w:t>新列报报表项目及金额</w:t>
            </w:r>
          </w:p>
        </w:tc>
      </w:tr>
      <w:tr>
        <w:trPr>
          <w:trHeight w:val="370" w:hRule="exact"/>
        </w:trPr>
        <w:tc>
          <w:tcPr>
            <w:tcW w:w="271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应收票据及应收账款</w:t>
            </w:r>
          </w:p>
        </w:tc>
        <w:tc>
          <w:tcPr>
            <w:tcW w:w="261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667" w:right="0"/>
              <w:jc w:val="left"/>
              <w:rPr>
                <w:rFonts w:ascii="宋体" w:hAnsi="宋体" w:cs="宋体" w:eastAsia="宋体" w:hint="default"/>
                <w:sz w:val="18"/>
                <w:szCs w:val="18"/>
              </w:rPr>
            </w:pPr>
            <w:r>
              <w:rPr>
                <w:rFonts w:ascii="宋体"/>
                <w:sz w:val="18"/>
              </w:rPr>
              <w:t>211,596,134.03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4"/>
              <w:jc w:val="right"/>
              <w:rPr>
                <w:rFonts w:ascii="宋体" w:hAnsi="宋体" w:cs="宋体" w:eastAsia="宋体" w:hint="default"/>
                <w:sz w:val="18"/>
                <w:szCs w:val="18"/>
              </w:rPr>
            </w:pPr>
            <w:r>
              <w:rPr>
                <w:rFonts w:ascii="宋体"/>
                <w:spacing w:val="-1"/>
                <w:sz w:val="18"/>
              </w:rPr>
              <w:t>54,868,744.11</w:t>
            </w:r>
          </w:p>
        </w:tc>
      </w:tr>
      <w:tr>
        <w:trPr>
          <w:trHeight w:val="365" w:hRule="exact"/>
        </w:trPr>
        <w:tc>
          <w:tcPr>
            <w:tcW w:w="2718" w:type="dxa"/>
            <w:vMerge/>
            <w:tcBorders>
              <w:left w:val="single" w:sz="4" w:space="0" w:color="000000"/>
              <w:bottom w:val="single" w:sz="4" w:space="0" w:color="000000"/>
              <w:right w:val="single" w:sz="4" w:space="0" w:color="000000"/>
            </w:tcBorders>
          </w:tcPr>
          <w:p>
            <w:pPr/>
          </w:p>
        </w:tc>
        <w:tc>
          <w:tcPr>
            <w:tcW w:w="2612" w:type="dxa"/>
            <w:vMerge/>
            <w:tcBorders>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4"/>
              <w:jc w:val="right"/>
              <w:rPr>
                <w:rFonts w:ascii="宋体" w:hAnsi="宋体" w:cs="宋体" w:eastAsia="宋体" w:hint="default"/>
                <w:sz w:val="18"/>
                <w:szCs w:val="18"/>
              </w:rPr>
            </w:pPr>
            <w:r>
              <w:rPr>
                <w:rFonts w:ascii="宋体"/>
                <w:spacing w:val="-2"/>
                <w:sz w:val="18"/>
              </w:rPr>
              <w:t>156,727,389.92</w:t>
            </w:r>
          </w:p>
        </w:tc>
      </w:tr>
      <w:tr>
        <w:trPr>
          <w:trHeight w:val="370" w:hRule="exact"/>
        </w:trPr>
        <w:tc>
          <w:tcPr>
            <w:tcW w:w="27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应付票据及应付账款</w:t>
            </w:r>
          </w:p>
        </w:tc>
        <w:tc>
          <w:tcPr>
            <w:tcW w:w="26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667" w:right="0"/>
              <w:jc w:val="left"/>
              <w:rPr>
                <w:rFonts w:ascii="宋体" w:hAnsi="宋体" w:cs="宋体" w:eastAsia="宋体" w:hint="default"/>
                <w:sz w:val="18"/>
                <w:szCs w:val="18"/>
              </w:rPr>
            </w:pPr>
            <w:r>
              <w:rPr>
                <w:rFonts w:ascii="宋体"/>
                <w:sz w:val="18"/>
              </w:rPr>
              <w:t>168,815,427.64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4"/>
              <w:jc w:val="right"/>
              <w:rPr>
                <w:rFonts w:ascii="宋体" w:hAnsi="宋体" w:cs="宋体" w:eastAsia="宋体" w:hint="default"/>
                <w:sz w:val="18"/>
                <w:szCs w:val="18"/>
              </w:rPr>
            </w:pPr>
            <w:r>
              <w:rPr>
                <w:rFonts w:ascii="宋体"/>
                <w:spacing w:val="-1"/>
                <w:sz w:val="18"/>
              </w:rPr>
              <w:t>77,730,656.60</w:t>
            </w:r>
          </w:p>
        </w:tc>
      </w:tr>
      <w:tr>
        <w:trPr>
          <w:trHeight w:val="370" w:hRule="exact"/>
        </w:trPr>
        <w:tc>
          <w:tcPr>
            <w:tcW w:w="2718" w:type="dxa"/>
            <w:vMerge/>
            <w:tcBorders>
              <w:left w:val="single" w:sz="4" w:space="0" w:color="000000"/>
              <w:bottom w:val="single" w:sz="4" w:space="0" w:color="000000"/>
              <w:right w:val="single" w:sz="4" w:space="0" w:color="000000"/>
            </w:tcBorders>
          </w:tcPr>
          <w:p>
            <w:pPr/>
          </w:p>
        </w:tc>
        <w:tc>
          <w:tcPr>
            <w:tcW w:w="2612" w:type="dxa"/>
            <w:vMerge/>
            <w:tcBorders>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4"/>
              <w:jc w:val="right"/>
              <w:rPr>
                <w:rFonts w:ascii="宋体" w:hAnsi="宋体" w:cs="宋体" w:eastAsia="宋体" w:hint="default"/>
                <w:sz w:val="18"/>
                <w:szCs w:val="18"/>
              </w:rPr>
            </w:pPr>
            <w:r>
              <w:rPr>
                <w:rFonts w:ascii="宋体"/>
                <w:spacing w:val="-1"/>
                <w:sz w:val="18"/>
              </w:rPr>
              <w:t>91,084,771.04</w:t>
            </w:r>
          </w:p>
        </w:tc>
      </w:tr>
    </w:tbl>
    <w:p>
      <w:pPr>
        <w:spacing w:line="240" w:lineRule="auto" w:before="3"/>
        <w:rPr>
          <w:rFonts w:ascii="宋体" w:hAnsi="宋体" w:cs="宋体" w:eastAsia="宋体" w:hint="default"/>
          <w:sz w:val="8"/>
          <w:szCs w:val="8"/>
        </w:rPr>
      </w:pPr>
    </w:p>
    <w:p>
      <w:pPr>
        <w:spacing w:before="46"/>
        <w:ind w:left="655" w:right="0"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pacing w:val="69"/>
          <w:sz w:val="18"/>
          <w:szCs w:val="18"/>
        </w:rPr>
        <w:t> </w:t>
      </w:r>
      <w:r>
        <w:rPr>
          <w:rFonts w:ascii="宋体" w:hAnsi="宋体" w:cs="宋体" w:eastAsia="宋体" w:hint="default"/>
          <w:spacing w:val="-4"/>
          <w:sz w:val="18"/>
          <w:szCs w:val="18"/>
        </w:rPr>
        <w:t>本公司自</w:t>
      </w:r>
      <w:r>
        <w:rPr>
          <w:rFonts w:ascii="宋体" w:hAnsi="宋体" w:cs="宋体" w:eastAsia="宋体" w:hint="default"/>
          <w:spacing w:val="-4"/>
          <w:sz w:val="18"/>
          <w:szCs w:val="18"/>
        </w:rPr>
        <w:t>2019</w:t>
      </w:r>
      <w:r>
        <w:rPr>
          <w:rFonts w:ascii="宋体" w:hAnsi="宋体" w:cs="宋体" w:eastAsia="宋体" w:hint="default"/>
          <w:spacing w:val="-4"/>
          <w:sz w:val="18"/>
          <w:szCs w:val="18"/>
        </w:rPr>
        <w:t>年</w:t>
      </w:r>
      <w:r>
        <w:rPr>
          <w:rFonts w:ascii="宋体" w:hAnsi="宋体" w:cs="宋体" w:eastAsia="宋体" w:hint="default"/>
          <w:spacing w:val="-4"/>
          <w:sz w:val="18"/>
          <w:szCs w:val="18"/>
        </w:rPr>
        <w:t>1</w:t>
      </w:r>
      <w:r>
        <w:rPr>
          <w:rFonts w:ascii="宋体" w:hAnsi="宋体" w:cs="宋体" w:eastAsia="宋体" w:hint="default"/>
          <w:spacing w:val="-4"/>
          <w:sz w:val="18"/>
          <w:szCs w:val="18"/>
        </w:rPr>
        <w:t>月</w:t>
      </w:r>
      <w:r>
        <w:rPr>
          <w:rFonts w:ascii="宋体" w:hAnsi="宋体" w:cs="宋体" w:eastAsia="宋体" w:hint="default"/>
          <w:spacing w:val="-4"/>
          <w:sz w:val="18"/>
          <w:szCs w:val="18"/>
        </w:rPr>
        <w:t>1</w:t>
      </w:r>
      <w:r>
        <w:rPr>
          <w:rFonts w:ascii="宋体" w:hAnsi="宋体" w:cs="宋体" w:eastAsia="宋体" w:hint="default"/>
          <w:spacing w:val="-4"/>
          <w:sz w:val="18"/>
          <w:szCs w:val="18"/>
        </w:rPr>
        <w:t>日起执行财政部修订后的《企业会计准则第</w:t>
      </w:r>
      <w:r>
        <w:rPr>
          <w:rFonts w:ascii="宋体" w:hAnsi="宋体" w:cs="宋体" w:eastAsia="宋体" w:hint="default"/>
          <w:spacing w:val="-4"/>
          <w:sz w:val="18"/>
          <w:szCs w:val="18"/>
        </w:rPr>
        <w:t>22</w:t>
      </w:r>
      <w:r>
        <w:rPr>
          <w:rFonts w:ascii="宋体" w:hAnsi="宋体" w:cs="宋体" w:eastAsia="宋体" w:hint="default"/>
          <w:spacing w:val="-4"/>
          <w:sz w:val="18"/>
          <w:szCs w:val="18"/>
        </w:rPr>
        <w:t>号——金融工具确认和计量》《企业会计准则第</w:t>
      </w:r>
    </w:p>
    <w:p>
      <w:pPr>
        <w:spacing w:line="364" w:lineRule="auto" w:before="124"/>
        <w:ind w:left="233" w:right="1122" w:firstLine="0"/>
        <w:jc w:val="both"/>
        <w:rPr>
          <w:rFonts w:ascii="宋体" w:hAnsi="宋体" w:cs="宋体" w:eastAsia="宋体" w:hint="default"/>
          <w:sz w:val="18"/>
          <w:szCs w:val="18"/>
        </w:rPr>
      </w:pPr>
      <w:r>
        <w:rPr>
          <w:rFonts w:ascii="宋体" w:hAnsi="宋体" w:cs="宋体" w:eastAsia="宋体" w:hint="default"/>
          <w:spacing w:val="-4"/>
          <w:sz w:val="18"/>
          <w:szCs w:val="18"/>
        </w:rPr>
        <w:t>23</w:t>
      </w:r>
      <w:r>
        <w:rPr>
          <w:rFonts w:ascii="宋体" w:hAnsi="宋体" w:cs="宋体" w:eastAsia="宋体" w:hint="default"/>
          <w:spacing w:val="-4"/>
          <w:sz w:val="18"/>
          <w:szCs w:val="18"/>
        </w:rPr>
        <w:t>号——金融资产转移》《企业会计准则第</w:t>
      </w:r>
      <w:r>
        <w:rPr>
          <w:rFonts w:ascii="宋体" w:hAnsi="宋体" w:cs="宋体" w:eastAsia="宋体" w:hint="default"/>
          <w:spacing w:val="-4"/>
          <w:sz w:val="18"/>
          <w:szCs w:val="18"/>
        </w:rPr>
        <w:t>24</w:t>
      </w:r>
      <w:r>
        <w:rPr>
          <w:rFonts w:ascii="宋体" w:hAnsi="宋体" w:cs="宋体" w:eastAsia="宋体" w:hint="default"/>
          <w:spacing w:val="-4"/>
          <w:sz w:val="18"/>
          <w:szCs w:val="18"/>
        </w:rPr>
        <w:t>号——套期保值》以及《企业会计准则第</w:t>
      </w:r>
      <w:r>
        <w:rPr>
          <w:rFonts w:ascii="宋体" w:hAnsi="宋体" w:cs="宋体" w:eastAsia="宋体" w:hint="default"/>
          <w:spacing w:val="-4"/>
          <w:sz w:val="18"/>
          <w:szCs w:val="18"/>
        </w:rPr>
        <w:t>37</w:t>
      </w:r>
      <w:r>
        <w:rPr>
          <w:rFonts w:ascii="宋体" w:hAnsi="宋体" w:cs="宋体" w:eastAsia="宋体" w:hint="default"/>
          <w:spacing w:val="-4"/>
          <w:sz w:val="18"/>
          <w:szCs w:val="18"/>
        </w:rPr>
        <w:t>号——金融工具列报》（以下简称</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4"/>
          <w:sz w:val="18"/>
          <w:szCs w:val="18"/>
        </w:rPr>
        <w:t>新金融工具准则）。根据相关新旧准则衔接规定，对可比期间信息不予调整，首次执行日执行新准则与原准则的差异追溯调</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整本报告期期初留存收益或其他综合收益。</w:t>
      </w:r>
    </w:p>
    <w:p>
      <w:pPr>
        <w:spacing w:line="364" w:lineRule="auto" w:before="31"/>
        <w:ind w:left="233" w:right="1123" w:firstLine="422"/>
        <w:jc w:val="both"/>
        <w:rPr>
          <w:rFonts w:ascii="宋体" w:hAnsi="宋体" w:cs="宋体" w:eastAsia="宋体" w:hint="default"/>
          <w:sz w:val="18"/>
          <w:szCs w:val="18"/>
        </w:rPr>
      </w:pPr>
      <w:r>
        <w:rPr>
          <w:rFonts w:ascii="宋体" w:hAnsi="宋体" w:cs="宋体" w:eastAsia="宋体" w:hint="default"/>
          <w:spacing w:val="-3"/>
          <w:sz w:val="18"/>
          <w:szCs w:val="18"/>
        </w:rPr>
        <w:t>新金融工具准则改变了金融资产的分类和计量方式，确定了三个主要的计量类别：摊余成本；以公允价值计量且其变</w:t>
      </w:r>
      <w:r>
        <w:rPr>
          <w:rFonts w:ascii="宋体" w:hAnsi="宋体" w:cs="宋体" w:eastAsia="宋体" w:hint="default"/>
          <w:w w:val="101"/>
          <w:sz w:val="18"/>
          <w:szCs w:val="18"/>
        </w:rPr>
        <w:t> </w:t>
      </w:r>
      <w:r>
        <w:rPr>
          <w:rFonts w:ascii="宋体" w:hAnsi="宋体" w:cs="宋体" w:eastAsia="宋体" w:hint="default"/>
          <w:spacing w:val="-4"/>
          <w:sz w:val="18"/>
          <w:szCs w:val="18"/>
        </w:rPr>
        <w:t>动计入其他综合收益；以公允价值计量且其变动计入当期损益。公司考虑自身业务模式，以及金融资产的合同现金流特征进</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行上述分类。权益类投资需按公允价值计量且其变动计入当期损益，但在初始确认时可选择按公允价值计量且其变动计入其</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他综合收益</w:t>
      </w:r>
      <w:r>
        <w:rPr>
          <w:rFonts w:ascii="宋体" w:hAnsi="宋体" w:cs="宋体" w:eastAsia="宋体" w:hint="default"/>
          <w:spacing w:val="-3"/>
          <w:sz w:val="18"/>
          <w:szCs w:val="18"/>
        </w:rPr>
        <w:t>(</w:t>
      </w:r>
      <w:r>
        <w:rPr>
          <w:rFonts w:ascii="宋体" w:hAnsi="宋体" w:cs="宋体" w:eastAsia="宋体" w:hint="default"/>
          <w:spacing w:val="-3"/>
          <w:sz w:val="18"/>
          <w:szCs w:val="18"/>
        </w:rPr>
        <w:t>处置时的利得或损失不能回转到损益，但股利收入计入当期损益</w:t>
      </w:r>
      <w:r>
        <w:rPr>
          <w:rFonts w:ascii="宋体" w:hAnsi="宋体" w:cs="宋体" w:eastAsia="宋体" w:hint="default"/>
          <w:spacing w:val="-3"/>
          <w:sz w:val="18"/>
          <w:szCs w:val="18"/>
        </w:rPr>
        <w:t>)</w:t>
      </w:r>
      <w:r>
        <w:rPr>
          <w:rFonts w:ascii="宋体" w:hAnsi="宋体" w:cs="宋体" w:eastAsia="宋体" w:hint="default"/>
          <w:spacing w:val="-3"/>
          <w:sz w:val="18"/>
          <w:szCs w:val="18"/>
        </w:rPr>
        <w:t>，且该选择不可撤销。</w:t>
      </w:r>
    </w:p>
    <w:p>
      <w:pPr>
        <w:spacing w:line="367" w:lineRule="auto" w:before="31"/>
        <w:ind w:left="233" w:right="1160" w:firstLine="422"/>
        <w:jc w:val="both"/>
        <w:rPr>
          <w:rFonts w:ascii="宋体" w:hAnsi="宋体" w:cs="宋体" w:eastAsia="宋体" w:hint="default"/>
          <w:sz w:val="18"/>
          <w:szCs w:val="18"/>
        </w:rPr>
      </w:pPr>
      <w:r>
        <w:rPr>
          <w:rFonts w:ascii="宋体" w:hAnsi="宋体" w:cs="宋体" w:eastAsia="宋体" w:hint="default"/>
          <w:spacing w:val="-3"/>
          <w:sz w:val="18"/>
          <w:szCs w:val="18"/>
        </w:rPr>
        <w:t>新金融工具准则要求金融资产减值计量由“已发生损失模型”改为“预期信用损失模型”，适用于以摊余成本计量的</w:t>
      </w:r>
      <w:r>
        <w:rPr>
          <w:rFonts w:ascii="宋体" w:hAnsi="宋体" w:cs="宋体" w:eastAsia="宋体" w:hint="default"/>
          <w:w w:val="101"/>
          <w:sz w:val="18"/>
          <w:szCs w:val="18"/>
        </w:rPr>
        <w:t> </w:t>
      </w:r>
      <w:r>
        <w:rPr>
          <w:rFonts w:ascii="宋体" w:hAnsi="宋体" w:cs="宋体" w:eastAsia="宋体" w:hint="default"/>
          <w:spacing w:val="-3"/>
          <w:sz w:val="18"/>
          <w:szCs w:val="18"/>
        </w:rPr>
        <w:t>金融资产、以公允价值计量且其变动计入其他综合收益的金融资产、租赁应收款。</w:t>
      </w:r>
    </w:p>
    <w:p>
      <w:pPr>
        <w:spacing w:before="29"/>
        <w:ind w:left="655" w:right="0" w:firstLine="0"/>
        <w:jc w:val="left"/>
        <w:rPr>
          <w:rFonts w:ascii="宋体" w:hAnsi="宋体" w:cs="宋体" w:eastAsia="宋体" w:hint="default"/>
          <w:sz w:val="18"/>
          <w:szCs w:val="18"/>
        </w:rPr>
      </w:pPr>
      <w:r>
        <w:rPr>
          <w:rFonts w:ascii="宋体" w:hAnsi="宋体" w:cs="宋体" w:eastAsia="宋体" w:hint="default"/>
          <w:spacing w:val="-3"/>
          <w:sz w:val="18"/>
          <w:szCs w:val="18"/>
        </w:rPr>
        <w:t>2019</w:t>
      </w:r>
      <w:r>
        <w:rPr>
          <w:rFonts w:ascii="宋体" w:hAnsi="宋体" w:cs="宋体" w:eastAsia="宋体" w:hint="default"/>
          <w:spacing w:val="-3"/>
          <w:sz w:val="18"/>
          <w:szCs w:val="18"/>
        </w:rPr>
        <w:t>年起执行新金融工具准则，执行当年年初财务报表相关项目情况：</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79" w:top="1100" w:bottom="1160" w:left="900" w:right="0"/>
        </w:sectPr>
      </w:pPr>
    </w:p>
    <w:p>
      <w:pPr>
        <w:spacing w:line="240" w:lineRule="auto" w:before="10"/>
        <w:rPr>
          <w:rFonts w:ascii="宋体" w:hAnsi="宋体" w:cs="宋体" w:eastAsia="宋体" w:hint="default"/>
          <w:sz w:val="14"/>
          <w:szCs w:val="14"/>
        </w:rPr>
      </w:pPr>
    </w:p>
    <w:p>
      <w:pPr>
        <w:pStyle w:val="Heading3"/>
        <w:spacing w:line="240" w:lineRule="auto"/>
        <w:ind w:left="0" w:right="0"/>
        <w:jc w:val="right"/>
        <w:rPr>
          <w:b w:val="0"/>
          <w:bCs w:val="0"/>
        </w:rPr>
      </w:pPr>
      <w:r>
        <w:rPr/>
        <w:t>合并资产负债表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3"/>
        <w:rPr>
          <w:rFonts w:ascii="宋体" w:hAnsi="宋体" w:cs="宋体" w:eastAsia="宋体" w:hint="default"/>
          <w:b/>
          <w:bCs/>
          <w:sz w:val="26"/>
          <w:szCs w:val="26"/>
        </w:rPr>
      </w:pPr>
    </w:p>
    <w:p>
      <w:pPr>
        <w:spacing w:before="0"/>
        <w:ind w:left="210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pacing w:val="2"/>
          <w:sz w:val="18"/>
          <w:szCs w:val="18"/>
        </w:rPr>
        <w:t> </w:t>
      </w:r>
      <w:r>
        <w:rPr>
          <w:rFonts w:ascii="宋体" w:hAnsi="宋体" w:cs="宋体" w:eastAsia="宋体" w:hint="default"/>
          <w:sz w:val="18"/>
          <w:szCs w:val="18"/>
        </w:rPr>
        <w:t>币种</w:t>
      </w:r>
      <w:r>
        <w:rPr>
          <w:rFonts w:ascii="宋体" w:hAnsi="宋体" w:cs="宋体" w:eastAsia="宋体" w:hint="default"/>
          <w:sz w:val="18"/>
          <w:szCs w:val="18"/>
        </w:rPr>
        <w:t>:</w:t>
      </w:r>
      <w:r>
        <w:rPr>
          <w:rFonts w:ascii="宋体" w:hAnsi="宋体" w:cs="宋体" w:eastAsia="宋体" w:hint="default"/>
          <w:sz w:val="18"/>
          <w:szCs w:val="18"/>
        </w:rPr>
        <w:t>人民币</w:t>
      </w:r>
    </w:p>
    <w:p>
      <w:pPr>
        <w:spacing w:after="0"/>
        <w:jc w:val="left"/>
        <w:rPr>
          <w:rFonts w:ascii="宋体" w:hAnsi="宋体" w:cs="宋体" w:eastAsia="宋体" w:hint="default"/>
          <w:sz w:val="18"/>
          <w:szCs w:val="18"/>
        </w:rPr>
        <w:sectPr>
          <w:type w:val="continuous"/>
          <w:pgSz w:w="11910" w:h="16840"/>
          <w:pgMar w:top="1580" w:bottom="700" w:left="900" w:right="0"/>
          <w:cols w:num="2" w:equalWidth="0">
            <w:col w:w="6024" w:space="40"/>
            <w:col w:w="4946"/>
          </w:cols>
        </w:sectPr>
      </w:pPr>
    </w:p>
    <w:p>
      <w:pPr>
        <w:spacing w:line="240" w:lineRule="auto" w:before="11"/>
        <w:rPr>
          <w:rFonts w:ascii="宋体" w:hAnsi="宋体" w:cs="宋体" w:eastAsia="宋体" w:hint="default"/>
          <w:sz w:val="6"/>
          <w:szCs w:val="6"/>
        </w:rPr>
      </w:pPr>
    </w:p>
    <w:tbl>
      <w:tblPr>
        <w:tblW w:w="0" w:type="auto"/>
        <w:jc w:val="left"/>
        <w:tblInd w:w="218" w:type="dxa"/>
        <w:tblLayout w:type="fixed"/>
        <w:tblCellMar>
          <w:top w:w="0" w:type="dxa"/>
          <w:left w:w="0" w:type="dxa"/>
          <w:bottom w:w="0" w:type="dxa"/>
          <w:right w:w="0" w:type="dxa"/>
        </w:tblCellMar>
        <w:tblLook w:val="01E0"/>
      </w:tblPr>
      <w:tblGrid>
        <w:gridCol w:w="3222"/>
        <w:gridCol w:w="2372"/>
        <w:gridCol w:w="2123"/>
        <w:gridCol w:w="1945"/>
      </w:tblGrid>
      <w:tr>
        <w:trPr>
          <w:trHeight w:val="389" w:hRule="exact"/>
        </w:trPr>
        <w:tc>
          <w:tcPr>
            <w:tcW w:w="32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724" w:val="left" w:leader="none"/>
              </w:tabs>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3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730" w:right="0"/>
              <w:jc w:val="left"/>
              <w:rPr>
                <w:rFonts w:ascii="宋体" w:hAnsi="宋体" w:cs="宋体" w:eastAsia="宋体" w:hint="default"/>
                <w:sz w:val="18"/>
                <w:szCs w:val="18"/>
              </w:rPr>
            </w:pPr>
            <w:r>
              <w:rPr>
                <w:rFonts w:ascii="宋体"/>
                <w:sz w:val="18"/>
              </w:rPr>
              <w:t>2018-12-31</w:t>
            </w:r>
          </w:p>
        </w:tc>
        <w:tc>
          <w:tcPr>
            <w:tcW w:w="2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696" w:right="0"/>
              <w:jc w:val="left"/>
              <w:rPr>
                <w:rFonts w:ascii="宋体" w:hAnsi="宋体" w:cs="宋体" w:eastAsia="宋体" w:hint="default"/>
                <w:sz w:val="18"/>
                <w:szCs w:val="18"/>
              </w:rPr>
            </w:pPr>
            <w:r>
              <w:rPr>
                <w:rFonts w:ascii="宋体"/>
                <w:sz w:val="18"/>
              </w:rPr>
              <w:t>2019-1-1</w:t>
            </w:r>
          </w:p>
        </w:tc>
        <w:tc>
          <w:tcPr>
            <w:tcW w:w="19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货币资金</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99" w:right="0"/>
              <w:jc w:val="left"/>
              <w:rPr>
                <w:rFonts w:ascii="宋体" w:hAnsi="宋体" w:cs="宋体" w:eastAsia="宋体" w:hint="default"/>
                <w:sz w:val="18"/>
                <w:szCs w:val="18"/>
              </w:rPr>
            </w:pPr>
            <w:r>
              <w:rPr>
                <w:rFonts w:ascii="宋体"/>
                <w:spacing w:val="-2"/>
                <w:sz w:val="18"/>
              </w:rPr>
              <w:t>154,833,478.74</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45" w:right="0"/>
              <w:jc w:val="left"/>
              <w:rPr>
                <w:rFonts w:ascii="宋体" w:hAnsi="宋体" w:cs="宋体" w:eastAsia="宋体" w:hint="default"/>
                <w:sz w:val="18"/>
                <w:szCs w:val="18"/>
              </w:rPr>
            </w:pPr>
            <w:r>
              <w:rPr>
                <w:rFonts w:ascii="宋体"/>
                <w:spacing w:val="-2"/>
                <w:sz w:val="18"/>
              </w:rPr>
              <w:t>154,833,478.74</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700" w:left="90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3222"/>
        <w:gridCol w:w="2372"/>
        <w:gridCol w:w="2123"/>
        <w:gridCol w:w="1945"/>
      </w:tblGrid>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衍生金融资产</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应收票据</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54,868,744.11</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54,868,744.11</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应收账款</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宋体" w:hAnsi="宋体" w:cs="宋体" w:eastAsia="宋体" w:hint="default"/>
                <w:sz w:val="18"/>
                <w:szCs w:val="18"/>
              </w:rPr>
            </w:pPr>
            <w:r>
              <w:rPr>
                <w:rFonts w:ascii="宋体"/>
                <w:spacing w:val="-2"/>
                <w:sz w:val="18"/>
              </w:rPr>
              <w:t>156,727,389.92</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156,727,389.92</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应收款项融资</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预付款项</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27,833,550.02</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27,833,550.02</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1,645,343.25</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1,645,343.25</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5"/>
                <w:sz w:val="18"/>
                <w:szCs w:val="18"/>
              </w:rPr>
              <w:t>存货</w:t>
            </w:r>
            <w:r>
              <w:rPr>
                <w:rFonts w:ascii="宋体" w:hAnsi="宋体" w:cs="宋体" w:eastAsia="宋体" w:hint="default"/>
                <w:sz w:val="18"/>
                <w:szCs w:val="18"/>
              </w:rPr>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74,774,130.50</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74,774,130.50</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合同资产</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持有待售资产</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其他流动资产</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1,936,688.21</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1,936,688.21</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宋体" w:hAnsi="宋体" w:cs="宋体" w:eastAsia="宋体" w:hint="default"/>
                <w:sz w:val="18"/>
                <w:szCs w:val="18"/>
              </w:rPr>
            </w:pPr>
            <w:r>
              <w:rPr>
                <w:rFonts w:ascii="宋体"/>
                <w:spacing w:val="-2"/>
                <w:sz w:val="18"/>
              </w:rPr>
              <w:t>472,619,324.75</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472,619,324.75</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债权投资</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其他债权投资</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长期股权投资</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71,907,638.55</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71,907,638.55</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其他权益工具投资</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投资性房地产</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固定资产</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宋体" w:hAnsi="宋体" w:cs="宋体" w:eastAsia="宋体" w:hint="default"/>
                <w:sz w:val="18"/>
                <w:szCs w:val="18"/>
              </w:rPr>
            </w:pPr>
            <w:r>
              <w:rPr>
                <w:rFonts w:ascii="宋体"/>
                <w:spacing w:val="-2"/>
                <w:sz w:val="18"/>
              </w:rPr>
              <w:t>274,538,573.54</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274,538,573.54</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在建工程</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16,807,534.38</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16,807,534.38</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油气资产</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无形资产</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29,594,974.30</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29,594,974.30</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开发支出</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6,141,509.20</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6,141,509.20</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5"/>
                <w:sz w:val="18"/>
                <w:szCs w:val="18"/>
              </w:rPr>
              <w:t>商誉</w:t>
            </w:r>
            <w:r>
              <w:rPr>
                <w:rFonts w:ascii="宋体" w:hAnsi="宋体" w:cs="宋体" w:eastAsia="宋体" w:hint="default"/>
                <w:sz w:val="18"/>
                <w:szCs w:val="18"/>
              </w:rPr>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宋体" w:hAnsi="宋体" w:cs="宋体" w:eastAsia="宋体" w:hint="default"/>
                <w:sz w:val="18"/>
                <w:szCs w:val="18"/>
              </w:rPr>
            </w:pPr>
            <w:r>
              <w:rPr>
                <w:rFonts w:ascii="宋体"/>
                <w:spacing w:val="-2"/>
                <w:sz w:val="18"/>
              </w:rPr>
              <w:t>108,279,350.96</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108,279,350.96</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长期待摊费用</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5,631,556.49</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5,631,556.49</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2,995,735.42</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2,995,735.42</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宋体" w:hAnsi="宋体" w:cs="宋体" w:eastAsia="宋体" w:hint="default"/>
                <w:sz w:val="18"/>
                <w:szCs w:val="18"/>
              </w:rPr>
            </w:pPr>
            <w:r>
              <w:rPr>
                <w:rFonts w:ascii="宋体"/>
                <w:spacing w:val="-2"/>
                <w:sz w:val="18"/>
              </w:rPr>
              <w:t>515,896,872.84</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515,896,872.84</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宋体" w:hAnsi="宋体" w:cs="宋体" w:eastAsia="宋体" w:hint="default"/>
                <w:sz w:val="18"/>
                <w:szCs w:val="18"/>
              </w:rPr>
            </w:pPr>
            <w:r>
              <w:rPr>
                <w:rFonts w:ascii="宋体"/>
                <w:spacing w:val="-2"/>
                <w:sz w:val="18"/>
              </w:rPr>
              <w:t>988,516,197.59</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宋体" w:hAnsi="宋体" w:cs="宋体" w:eastAsia="宋体" w:hint="default"/>
                <w:sz w:val="18"/>
                <w:szCs w:val="18"/>
              </w:rPr>
            </w:pPr>
            <w:r>
              <w:rPr>
                <w:rFonts w:ascii="宋体"/>
                <w:spacing w:val="-2"/>
                <w:sz w:val="18"/>
              </w:rPr>
              <w:t>988,516,197.59</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短期借款</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宋体" w:hAnsi="宋体" w:cs="宋体" w:eastAsia="宋体" w:hint="default"/>
                <w:sz w:val="18"/>
                <w:szCs w:val="18"/>
              </w:rPr>
            </w:pPr>
            <w:r>
              <w:rPr>
                <w:rFonts w:ascii="宋体"/>
                <w:spacing w:val="-2"/>
                <w:sz w:val="18"/>
              </w:rPr>
              <w:t>110,258,679.54</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110,258,679.54</w:t>
            </w:r>
          </w:p>
        </w:tc>
        <w:tc>
          <w:tcPr>
            <w:tcW w:w="194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3222"/>
        <w:gridCol w:w="2372"/>
        <w:gridCol w:w="2123"/>
        <w:gridCol w:w="1945"/>
      </w:tblGrid>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衍生金融负债</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应付票据</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77,730,656.60</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77,730,656.60</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应付账款</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91,084,771.04</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91,084,771.04</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预收款项</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3,132,964.25</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3,132,964.25</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合同负债</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应付职工薪酬</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10,532,309.94</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10,532,309.94</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应交税费</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6,795,575.72</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6,795,575.72</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宋体" w:hAnsi="宋体" w:cs="宋体" w:eastAsia="宋体" w:hint="default"/>
                <w:sz w:val="18"/>
                <w:szCs w:val="18"/>
              </w:rPr>
            </w:pPr>
            <w:r>
              <w:rPr>
                <w:rFonts w:ascii="宋体"/>
                <w:spacing w:val="-2"/>
                <w:sz w:val="18"/>
              </w:rPr>
              <w:t>121,504,332.99</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121,504,332.99</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持有待售负债</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其他流动负债</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宋体" w:hAnsi="宋体" w:cs="宋体" w:eastAsia="宋体" w:hint="default"/>
                <w:sz w:val="18"/>
                <w:szCs w:val="18"/>
              </w:rPr>
            </w:pPr>
            <w:r>
              <w:rPr>
                <w:rFonts w:ascii="宋体"/>
                <w:spacing w:val="-2"/>
                <w:sz w:val="18"/>
              </w:rPr>
              <w:t>421,039,290.08</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421,039,290.08</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长期借款</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应付债券</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64" w:right="0"/>
              <w:jc w:val="left"/>
              <w:rPr>
                <w:rFonts w:ascii="宋体" w:hAnsi="宋体" w:cs="宋体" w:eastAsia="宋体" w:hint="default"/>
                <w:sz w:val="18"/>
                <w:szCs w:val="18"/>
              </w:rPr>
            </w:pPr>
            <w:r>
              <w:rPr>
                <w:rFonts w:ascii="宋体" w:hAnsi="宋体" w:cs="宋体" w:eastAsia="宋体" w:hint="default"/>
                <w:sz w:val="18"/>
                <w:szCs w:val="18"/>
              </w:rPr>
              <w:t>其中永续债</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租赁负债</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预计负债</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递延收益</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宋体" w:hAnsi="宋体" w:cs="宋体" w:eastAsia="宋体" w:hint="default"/>
                <w:sz w:val="18"/>
                <w:szCs w:val="18"/>
              </w:rPr>
            </w:pPr>
            <w:r>
              <w:rPr>
                <w:rFonts w:ascii="宋体"/>
                <w:spacing w:val="-2"/>
                <w:sz w:val="18"/>
              </w:rPr>
              <w:t>116,000.00</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1"/>
                <w:sz w:val="18"/>
              </w:rPr>
              <w:t>116,000.00</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宋体" w:hAnsi="宋体" w:cs="宋体" w:eastAsia="宋体" w:hint="default"/>
                <w:sz w:val="18"/>
                <w:szCs w:val="18"/>
              </w:rPr>
            </w:pPr>
            <w:r>
              <w:rPr>
                <w:rFonts w:ascii="宋体"/>
                <w:spacing w:val="-2"/>
                <w:sz w:val="18"/>
              </w:rPr>
              <w:t>7,112.40</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7,112.40</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宋体" w:hAnsi="宋体" w:cs="宋体" w:eastAsia="宋体" w:hint="default"/>
                <w:sz w:val="18"/>
                <w:szCs w:val="18"/>
              </w:rPr>
            </w:pPr>
            <w:r>
              <w:rPr>
                <w:rFonts w:ascii="宋体"/>
                <w:spacing w:val="-2"/>
                <w:sz w:val="18"/>
              </w:rPr>
              <w:t>123,112.40</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1"/>
                <w:sz w:val="18"/>
              </w:rPr>
              <w:t>123,112.40</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负 债 合</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宋体" w:hAnsi="宋体" w:cs="宋体" w:eastAsia="宋体" w:hint="default"/>
                <w:sz w:val="18"/>
                <w:szCs w:val="18"/>
              </w:rPr>
            </w:pPr>
            <w:r>
              <w:rPr>
                <w:rFonts w:ascii="宋体"/>
                <w:spacing w:val="-2"/>
                <w:sz w:val="18"/>
              </w:rPr>
              <w:t>421,162,402.48</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421,162,402.48</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5"/>
                <w:sz w:val="18"/>
                <w:szCs w:val="18"/>
              </w:rPr>
              <w:t>股本</w:t>
            </w:r>
            <w:r>
              <w:rPr>
                <w:rFonts w:ascii="宋体" w:hAnsi="宋体" w:cs="宋体" w:eastAsia="宋体" w:hint="default"/>
                <w:sz w:val="18"/>
                <w:szCs w:val="18"/>
              </w:rPr>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宋体" w:hAnsi="宋体" w:cs="宋体" w:eastAsia="宋体" w:hint="default"/>
                <w:sz w:val="18"/>
                <w:szCs w:val="18"/>
              </w:rPr>
            </w:pPr>
            <w:r>
              <w:rPr>
                <w:rFonts w:ascii="宋体"/>
                <w:spacing w:val="-2"/>
                <w:sz w:val="18"/>
              </w:rPr>
              <w:t>150,000,000.00</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150,000,000.00</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其他权益工具</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64" w:right="0"/>
              <w:jc w:val="left"/>
              <w:rPr>
                <w:rFonts w:ascii="宋体" w:hAnsi="宋体" w:cs="宋体" w:eastAsia="宋体" w:hint="default"/>
                <w:sz w:val="18"/>
                <w:szCs w:val="18"/>
              </w:rPr>
            </w:pPr>
            <w:r>
              <w:rPr>
                <w:rFonts w:ascii="宋体" w:hAnsi="宋体" w:cs="宋体" w:eastAsia="宋体" w:hint="default"/>
                <w:sz w:val="18"/>
                <w:szCs w:val="18"/>
              </w:rPr>
              <w:t>其中永续债</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资本公积</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宋体" w:hAnsi="宋体" w:cs="宋体" w:eastAsia="宋体" w:hint="default"/>
                <w:sz w:val="18"/>
                <w:szCs w:val="18"/>
              </w:rPr>
            </w:pPr>
            <w:r>
              <w:rPr>
                <w:rFonts w:ascii="宋体"/>
                <w:spacing w:val="-2"/>
                <w:sz w:val="18"/>
              </w:rPr>
              <w:t>148,360,803.28</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148,360,803.28</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其他综合收益</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专项储备</w:t>
            </w:r>
          </w:p>
        </w:tc>
        <w:tc>
          <w:tcPr>
            <w:tcW w:w="2372"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3222"/>
        <w:gridCol w:w="2372"/>
        <w:gridCol w:w="2123"/>
        <w:gridCol w:w="1945"/>
      </w:tblGrid>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盈余公积</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33,252,946.03</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33,252,946.03</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宋体" w:hAnsi="宋体" w:cs="宋体" w:eastAsia="宋体" w:hint="default"/>
                <w:sz w:val="18"/>
                <w:szCs w:val="18"/>
              </w:rPr>
            </w:pPr>
            <w:r>
              <w:rPr>
                <w:rFonts w:ascii="宋体"/>
                <w:spacing w:val="-2"/>
                <w:sz w:val="18"/>
              </w:rPr>
              <w:t>212,084,749.89</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212,084,749.89</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56" w:right="0"/>
              <w:jc w:val="left"/>
              <w:rPr>
                <w:rFonts w:ascii="宋体" w:hAnsi="宋体" w:cs="宋体" w:eastAsia="宋体" w:hint="default"/>
                <w:sz w:val="18"/>
                <w:szCs w:val="18"/>
              </w:rPr>
            </w:pPr>
            <w:r>
              <w:rPr>
                <w:rFonts w:ascii="宋体" w:hAnsi="宋体" w:cs="宋体" w:eastAsia="宋体" w:hint="default"/>
                <w:spacing w:val="-3"/>
                <w:sz w:val="18"/>
                <w:szCs w:val="18"/>
              </w:rPr>
              <w:t>归属于母公司股东权益合计</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宋体" w:hAnsi="宋体" w:cs="宋体" w:eastAsia="宋体" w:hint="default"/>
                <w:sz w:val="18"/>
                <w:szCs w:val="18"/>
              </w:rPr>
            </w:pPr>
            <w:r>
              <w:rPr>
                <w:rFonts w:ascii="宋体"/>
                <w:spacing w:val="-2"/>
                <w:sz w:val="18"/>
              </w:rPr>
              <w:t>543,698,499.20</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543,698,499.20</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少数股东权益</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23,655,295.91</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23,655,295.91</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宋体" w:hAnsi="宋体" w:cs="宋体" w:eastAsia="宋体" w:hint="default"/>
                <w:sz w:val="18"/>
                <w:szCs w:val="18"/>
              </w:rPr>
            </w:pPr>
            <w:r>
              <w:rPr>
                <w:rFonts w:ascii="宋体"/>
                <w:spacing w:val="-2"/>
                <w:sz w:val="18"/>
              </w:rPr>
              <w:t>567,353,795.11</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567,353,795.11</w:t>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pacing w:val="-3"/>
                <w:sz w:val="18"/>
                <w:szCs w:val="18"/>
              </w:rPr>
              <w:t>负债和股东权益总计</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宋体" w:hAnsi="宋体" w:cs="宋体" w:eastAsia="宋体" w:hint="default"/>
                <w:sz w:val="18"/>
                <w:szCs w:val="18"/>
              </w:rPr>
            </w:pPr>
            <w:r>
              <w:rPr>
                <w:rFonts w:ascii="宋体"/>
                <w:spacing w:val="-2"/>
                <w:sz w:val="18"/>
              </w:rPr>
              <w:t>988,516,197.59</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988,516,197.59</w:t>
            </w:r>
          </w:p>
        </w:tc>
        <w:tc>
          <w:tcPr>
            <w:tcW w:w="19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Times New Roman" w:hAnsi="Times New Roman" w:cs="Times New Roman" w:eastAsia="Times New Roman" w:hint="default"/>
          <w:sz w:val="8"/>
          <w:szCs w:val="8"/>
        </w:rPr>
      </w:pPr>
    </w:p>
    <w:p>
      <w:pPr>
        <w:spacing w:after="0" w:line="240" w:lineRule="auto"/>
        <w:rPr>
          <w:rFonts w:ascii="Times New Roman" w:hAnsi="Times New Roman" w:cs="Times New Roman" w:eastAsia="Times New Roman" w:hint="default"/>
          <w:sz w:val="8"/>
          <w:szCs w:val="8"/>
        </w:rPr>
        <w:sectPr>
          <w:pgSz w:w="11910" w:h="16840"/>
          <w:pgMar w:header="0" w:footer="979" w:top="1100" w:bottom="1160" w:left="980" w:right="0"/>
        </w:sectPr>
      </w:pPr>
    </w:p>
    <w:p>
      <w:pPr>
        <w:pStyle w:val="Heading3"/>
        <w:spacing w:line="240" w:lineRule="auto" w:before="36"/>
        <w:ind w:left="0" w:right="0"/>
        <w:jc w:val="right"/>
        <w:rPr>
          <w:b w:val="0"/>
          <w:bCs w:val="0"/>
        </w:rPr>
      </w:pPr>
      <w:r>
        <w:rPr/>
        <w:t>母公司资产负债表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3"/>
        <w:rPr>
          <w:rFonts w:ascii="宋体" w:hAnsi="宋体" w:cs="宋体" w:eastAsia="宋体" w:hint="default"/>
          <w:b/>
          <w:bCs/>
          <w:sz w:val="14"/>
          <w:szCs w:val="14"/>
        </w:rPr>
      </w:pPr>
    </w:p>
    <w:p>
      <w:pPr>
        <w:spacing w:before="0"/>
        <w:ind w:left="2226"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pacing w:val="2"/>
          <w:sz w:val="18"/>
          <w:szCs w:val="18"/>
        </w:rPr>
        <w:t> </w:t>
      </w:r>
      <w:r>
        <w:rPr>
          <w:rFonts w:ascii="宋体" w:hAnsi="宋体" w:cs="宋体" w:eastAsia="宋体" w:hint="default"/>
          <w:sz w:val="18"/>
          <w:szCs w:val="18"/>
        </w:rPr>
        <w:t>币种</w:t>
      </w:r>
      <w:r>
        <w:rPr>
          <w:rFonts w:ascii="宋体" w:hAnsi="宋体" w:cs="宋体" w:eastAsia="宋体" w:hint="default"/>
          <w:sz w:val="18"/>
          <w:szCs w:val="18"/>
        </w:rPr>
        <w:t>:</w:t>
      </w:r>
      <w:r>
        <w:rPr>
          <w:rFonts w:ascii="宋体" w:hAnsi="宋体" w:cs="宋体" w:eastAsia="宋体" w:hint="default"/>
          <w:sz w:val="18"/>
          <w:szCs w:val="18"/>
        </w:rPr>
        <w:t>人民币</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5819" w:space="40"/>
            <w:col w:w="5071"/>
          </w:cols>
        </w:sectPr>
      </w:pPr>
    </w:p>
    <w:p>
      <w:pPr>
        <w:spacing w:line="240" w:lineRule="auto" w:before="11"/>
        <w:rPr>
          <w:rFonts w:ascii="宋体" w:hAnsi="宋体" w:cs="宋体" w:eastAsia="宋体" w:hint="default"/>
          <w:sz w:val="6"/>
          <w:szCs w:val="6"/>
        </w:rPr>
      </w:pPr>
    </w:p>
    <w:tbl>
      <w:tblPr>
        <w:tblW w:w="0" w:type="auto"/>
        <w:jc w:val="left"/>
        <w:tblInd w:w="134" w:type="dxa"/>
        <w:tblLayout w:type="fixed"/>
        <w:tblCellMar>
          <w:top w:w="0" w:type="dxa"/>
          <w:left w:w="0" w:type="dxa"/>
          <w:bottom w:w="0" w:type="dxa"/>
          <w:right w:w="0" w:type="dxa"/>
        </w:tblCellMar>
        <w:tblLook w:val="01E0"/>
      </w:tblPr>
      <w:tblGrid>
        <w:gridCol w:w="3263"/>
        <w:gridCol w:w="2358"/>
        <w:gridCol w:w="2199"/>
        <w:gridCol w:w="1844"/>
      </w:tblGrid>
      <w:tr>
        <w:trPr>
          <w:trHeight w:val="396" w:hRule="exact"/>
        </w:trPr>
        <w:tc>
          <w:tcPr>
            <w:tcW w:w="3263" w:type="dxa"/>
            <w:tcBorders>
              <w:top w:val="single" w:sz="6" w:space="0" w:color="000000"/>
              <w:left w:val="single" w:sz="6" w:space="0" w:color="000000"/>
              <w:bottom w:val="single" w:sz="8" w:space="0" w:color="000000"/>
              <w:right w:val="single" w:sz="8" w:space="0" w:color="000000"/>
            </w:tcBorders>
            <w:shd w:val="clear" w:color="auto" w:fill="D9D9D9"/>
          </w:tcPr>
          <w:p>
            <w:pPr>
              <w:pStyle w:val="TableParagraph"/>
              <w:tabs>
                <w:tab w:pos="643" w:val="left" w:leader="none"/>
              </w:tabs>
              <w:spacing w:line="240" w:lineRule="auto" w:before="44"/>
              <w:ind w:left="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358" w:type="dxa"/>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4"/>
              <w:ind w:left="720" w:right="0"/>
              <w:jc w:val="left"/>
              <w:rPr>
                <w:rFonts w:ascii="宋体" w:hAnsi="宋体" w:cs="宋体" w:eastAsia="宋体" w:hint="default"/>
                <w:sz w:val="18"/>
                <w:szCs w:val="18"/>
              </w:rPr>
            </w:pPr>
            <w:r>
              <w:rPr>
                <w:rFonts w:ascii="宋体"/>
                <w:sz w:val="18"/>
              </w:rPr>
              <w:t>2018-12-31</w:t>
            </w:r>
          </w:p>
        </w:tc>
        <w:tc>
          <w:tcPr>
            <w:tcW w:w="2199" w:type="dxa"/>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4"/>
              <w:ind w:left="725" w:right="0"/>
              <w:jc w:val="left"/>
              <w:rPr>
                <w:rFonts w:ascii="宋体" w:hAnsi="宋体" w:cs="宋体" w:eastAsia="宋体" w:hint="default"/>
                <w:sz w:val="18"/>
                <w:szCs w:val="18"/>
              </w:rPr>
            </w:pPr>
            <w:r>
              <w:rPr>
                <w:rFonts w:ascii="宋体"/>
                <w:sz w:val="18"/>
              </w:rPr>
              <w:t>2019-1-1</w:t>
            </w:r>
          </w:p>
        </w:tc>
        <w:tc>
          <w:tcPr>
            <w:tcW w:w="1844" w:type="dxa"/>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货币资金</w:t>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0"/>
              <w:jc w:val="right"/>
              <w:rPr>
                <w:rFonts w:ascii="宋体" w:hAnsi="宋体" w:cs="宋体" w:eastAsia="宋体" w:hint="default"/>
                <w:sz w:val="18"/>
                <w:szCs w:val="18"/>
              </w:rPr>
            </w:pPr>
            <w:r>
              <w:rPr>
                <w:rFonts w:ascii="宋体"/>
                <w:spacing w:val="-2"/>
                <w:sz w:val="18"/>
              </w:rPr>
              <w:t>99,711,569.66</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3"/>
              <w:jc w:val="right"/>
              <w:rPr>
                <w:rFonts w:ascii="宋体" w:hAnsi="宋体" w:cs="宋体" w:eastAsia="宋体" w:hint="default"/>
                <w:sz w:val="18"/>
                <w:szCs w:val="18"/>
              </w:rPr>
            </w:pPr>
            <w:r>
              <w:rPr>
                <w:rFonts w:ascii="宋体"/>
                <w:spacing w:val="-2"/>
                <w:sz w:val="18"/>
              </w:rPr>
              <w:t>99,711,569.66</w:t>
            </w: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0"/>
              <w:ind w:left="187"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衍生金融资产</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应收票据</w:t>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0"/>
              <w:jc w:val="right"/>
              <w:rPr>
                <w:rFonts w:ascii="宋体" w:hAnsi="宋体" w:cs="宋体" w:eastAsia="宋体" w:hint="default"/>
                <w:sz w:val="18"/>
                <w:szCs w:val="18"/>
              </w:rPr>
            </w:pPr>
            <w:r>
              <w:rPr>
                <w:rFonts w:ascii="宋体"/>
                <w:spacing w:val="-2"/>
                <w:sz w:val="18"/>
              </w:rPr>
              <w:t>50,470,224.02</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3"/>
              <w:jc w:val="right"/>
              <w:rPr>
                <w:rFonts w:ascii="宋体" w:hAnsi="宋体" w:cs="宋体" w:eastAsia="宋体" w:hint="default"/>
                <w:sz w:val="18"/>
                <w:szCs w:val="18"/>
              </w:rPr>
            </w:pPr>
            <w:r>
              <w:rPr>
                <w:rFonts w:ascii="宋体"/>
                <w:spacing w:val="-2"/>
                <w:sz w:val="18"/>
              </w:rPr>
              <w:t>50,470,224.02</w:t>
            </w: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应收账款</w:t>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0"/>
              <w:jc w:val="right"/>
              <w:rPr>
                <w:rFonts w:ascii="宋体" w:hAnsi="宋体" w:cs="宋体" w:eastAsia="宋体" w:hint="default"/>
                <w:sz w:val="18"/>
                <w:szCs w:val="18"/>
              </w:rPr>
            </w:pPr>
            <w:r>
              <w:rPr>
                <w:rFonts w:ascii="宋体"/>
                <w:spacing w:val="-2"/>
                <w:sz w:val="18"/>
              </w:rPr>
              <w:t>113,911,410.03</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3"/>
              <w:jc w:val="right"/>
              <w:rPr>
                <w:rFonts w:ascii="宋体" w:hAnsi="宋体" w:cs="宋体" w:eastAsia="宋体" w:hint="default"/>
                <w:sz w:val="18"/>
                <w:szCs w:val="18"/>
              </w:rPr>
            </w:pPr>
            <w:r>
              <w:rPr>
                <w:rFonts w:ascii="宋体"/>
                <w:spacing w:val="-2"/>
                <w:sz w:val="18"/>
              </w:rPr>
              <w:t>113,911,410.03</w:t>
            </w: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应收款项融资</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预付款项</w:t>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0"/>
              <w:jc w:val="right"/>
              <w:rPr>
                <w:rFonts w:ascii="宋体" w:hAnsi="宋体" w:cs="宋体" w:eastAsia="宋体" w:hint="default"/>
                <w:sz w:val="18"/>
                <w:szCs w:val="18"/>
              </w:rPr>
            </w:pPr>
            <w:r>
              <w:rPr>
                <w:rFonts w:ascii="宋体"/>
                <w:spacing w:val="-2"/>
                <w:sz w:val="18"/>
              </w:rPr>
              <w:t>10,979,221.03</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3"/>
              <w:jc w:val="right"/>
              <w:rPr>
                <w:rFonts w:ascii="宋体" w:hAnsi="宋体" w:cs="宋体" w:eastAsia="宋体" w:hint="default"/>
                <w:sz w:val="18"/>
                <w:szCs w:val="18"/>
              </w:rPr>
            </w:pPr>
            <w:r>
              <w:rPr>
                <w:rFonts w:ascii="宋体"/>
                <w:spacing w:val="-2"/>
                <w:sz w:val="18"/>
              </w:rPr>
              <w:t>10,979,221.03</w:t>
            </w: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0"/>
              <w:jc w:val="right"/>
              <w:rPr>
                <w:rFonts w:ascii="宋体" w:hAnsi="宋体" w:cs="宋体" w:eastAsia="宋体" w:hint="default"/>
                <w:sz w:val="18"/>
                <w:szCs w:val="18"/>
              </w:rPr>
            </w:pPr>
            <w:r>
              <w:rPr>
                <w:rFonts w:ascii="宋体"/>
                <w:spacing w:val="-2"/>
                <w:sz w:val="18"/>
              </w:rPr>
              <w:t>7,878,303.13</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3"/>
              <w:jc w:val="right"/>
              <w:rPr>
                <w:rFonts w:ascii="宋体" w:hAnsi="宋体" w:cs="宋体" w:eastAsia="宋体" w:hint="default"/>
                <w:sz w:val="18"/>
                <w:szCs w:val="18"/>
              </w:rPr>
            </w:pPr>
            <w:r>
              <w:rPr>
                <w:rFonts w:ascii="宋体"/>
                <w:spacing w:val="-2"/>
                <w:sz w:val="18"/>
              </w:rPr>
              <w:t>7,878,303.13</w:t>
            </w: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5"/>
                <w:sz w:val="18"/>
                <w:szCs w:val="18"/>
              </w:rPr>
              <w:t>存货</w:t>
            </w:r>
            <w:r>
              <w:rPr>
                <w:rFonts w:ascii="宋体" w:hAnsi="宋体" w:cs="宋体" w:eastAsia="宋体" w:hint="default"/>
                <w:sz w:val="18"/>
                <w:szCs w:val="18"/>
              </w:rPr>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0"/>
              <w:jc w:val="right"/>
              <w:rPr>
                <w:rFonts w:ascii="宋体" w:hAnsi="宋体" w:cs="宋体" w:eastAsia="宋体" w:hint="default"/>
                <w:sz w:val="18"/>
                <w:szCs w:val="18"/>
              </w:rPr>
            </w:pPr>
            <w:r>
              <w:rPr>
                <w:rFonts w:ascii="宋体"/>
                <w:spacing w:val="-2"/>
                <w:sz w:val="18"/>
              </w:rPr>
              <w:t>39,382,739.96</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3"/>
              <w:jc w:val="right"/>
              <w:rPr>
                <w:rFonts w:ascii="宋体" w:hAnsi="宋体" w:cs="宋体" w:eastAsia="宋体" w:hint="default"/>
                <w:sz w:val="18"/>
                <w:szCs w:val="18"/>
              </w:rPr>
            </w:pPr>
            <w:r>
              <w:rPr>
                <w:rFonts w:ascii="宋体"/>
                <w:spacing w:val="-2"/>
                <w:sz w:val="18"/>
              </w:rPr>
              <w:t>39,382,739.96</w:t>
            </w: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合同资产</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持有待售资产</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其他流动资产</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0"/>
              <w:jc w:val="right"/>
              <w:rPr>
                <w:rFonts w:ascii="宋体" w:hAnsi="宋体" w:cs="宋体" w:eastAsia="宋体" w:hint="default"/>
                <w:sz w:val="18"/>
                <w:szCs w:val="18"/>
              </w:rPr>
            </w:pPr>
            <w:r>
              <w:rPr>
                <w:rFonts w:ascii="宋体"/>
                <w:spacing w:val="-2"/>
                <w:sz w:val="18"/>
              </w:rPr>
              <w:t>322,333,467.83</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3"/>
              <w:jc w:val="right"/>
              <w:rPr>
                <w:rFonts w:ascii="宋体" w:hAnsi="宋体" w:cs="宋体" w:eastAsia="宋体" w:hint="default"/>
                <w:sz w:val="18"/>
                <w:szCs w:val="18"/>
              </w:rPr>
            </w:pPr>
            <w:r>
              <w:rPr>
                <w:rFonts w:ascii="宋体"/>
                <w:spacing w:val="-2"/>
                <w:sz w:val="18"/>
              </w:rPr>
              <w:t>322,333,467.83</w:t>
            </w: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0"/>
              <w:ind w:left="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债权投资</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其他债权投资</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长期股权投资</w:t>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right"/>
              <w:rPr>
                <w:rFonts w:ascii="宋体" w:hAnsi="宋体" w:cs="宋体" w:eastAsia="宋体" w:hint="default"/>
                <w:sz w:val="18"/>
                <w:szCs w:val="18"/>
              </w:rPr>
            </w:pPr>
            <w:r>
              <w:rPr>
                <w:rFonts w:ascii="宋体"/>
                <w:spacing w:val="-2"/>
                <w:sz w:val="18"/>
              </w:rPr>
              <w:t>402,736,464.93</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402,736,464.93</w:t>
            </w: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其他权益工具投资</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8"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投资性房地产</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0"/>
              <w:ind w:left="187" w:right="0"/>
              <w:jc w:val="left"/>
              <w:rPr>
                <w:rFonts w:ascii="宋体" w:hAnsi="宋体" w:cs="宋体" w:eastAsia="宋体" w:hint="default"/>
                <w:sz w:val="18"/>
                <w:szCs w:val="18"/>
              </w:rPr>
            </w:pPr>
            <w:r>
              <w:rPr>
                <w:rFonts w:ascii="宋体" w:hAnsi="宋体" w:cs="宋体" w:eastAsia="宋体" w:hint="default"/>
                <w:spacing w:val="-3"/>
                <w:sz w:val="18"/>
                <w:szCs w:val="18"/>
              </w:rPr>
              <w:t>固定资产</w:t>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pacing w:val="-2"/>
                <w:sz w:val="18"/>
              </w:rPr>
              <w:t>110,029,782.92</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3"/>
              <w:jc w:val="right"/>
              <w:rPr>
                <w:rFonts w:ascii="宋体" w:hAnsi="宋体" w:cs="宋体" w:eastAsia="宋体" w:hint="default"/>
                <w:sz w:val="18"/>
                <w:szCs w:val="18"/>
              </w:rPr>
            </w:pPr>
            <w:r>
              <w:rPr>
                <w:rFonts w:ascii="宋体"/>
                <w:spacing w:val="-2"/>
                <w:sz w:val="18"/>
              </w:rPr>
              <w:t>110,029,782.92</w:t>
            </w: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在建工程</w:t>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0"/>
              <w:jc w:val="right"/>
              <w:rPr>
                <w:rFonts w:ascii="宋体" w:hAnsi="宋体" w:cs="宋体" w:eastAsia="宋体" w:hint="default"/>
                <w:sz w:val="18"/>
                <w:szCs w:val="18"/>
              </w:rPr>
            </w:pPr>
            <w:r>
              <w:rPr>
                <w:rFonts w:ascii="宋体"/>
                <w:spacing w:val="-2"/>
                <w:sz w:val="18"/>
              </w:rPr>
              <w:t>8,962,084.66</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3"/>
              <w:jc w:val="right"/>
              <w:rPr>
                <w:rFonts w:ascii="宋体" w:hAnsi="宋体" w:cs="宋体" w:eastAsia="宋体" w:hint="default"/>
                <w:sz w:val="18"/>
                <w:szCs w:val="18"/>
              </w:rPr>
            </w:pPr>
            <w:r>
              <w:rPr>
                <w:rFonts w:ascii="宋体"/>
                <w:spacing w:val="-2"/>
                <w:sz w:val="18"/>
              </w:rPr>
              <w:t>8,962,084.66</w:t>
            </w: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bl>
    <w:p>
      <w:pPr>
        <w:spacing w:after="0"/>
        <w:sectPr>
          <w:type w:val="continuous"/>
          <w:pgSz w:w="11910" w:h="16840"/>
          <w:pgMar w:top="1580" w:bottom="70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4" w:type="dxa"/>
        <w:tblLayout w:type="fixed"/>
        <w:tblCellMar>
          <w:top w:w="0" w:type="dxa"/>
          <w:left w:w="0" w:type="dxa"/>
          <w:bottom w:w="0" w:type="dxa"/>
          <w:right w:w="0" w:type="dxa"/>
        </w:tblCellMar>
        <w:tblLook w:val="01E0"/>
      </w:tblPr>
      <w:tblGrid>
        <w:gridCol w:w="3263"/>
        <w:gridCol w:w="2358"/>
        <w:gridCol w:w="2199"/>
        <w:gridCol w:w="1844"/>
      </w:tblGrid>
      <w:tr>
        <w:trPr>
          <w:trHeight w:val="396" w:hRule="exact"/>
        </w:trPr>
        <w:tc>
          <w:tcPr>
            <w:tcW w:w="3263"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油气资产</w:t>
            </w:r>
          </w:p>
        </w:tc>
        <w:tc>
          <w:tcPr>
            <w:tcW w:w="2358" w:type="dxa"/>
            <w:tcBorders>
              <w:top w:val="single" w:sz="6" w:space="0" w:color="000000"/>
              <w:left w:val="single" w:sz="8" w:space="0" w:color="000000"/>
              <w:bottom w:val="single" w:sz="8" w:space="0" w:color="000000"/>
              <w:right w:val="single" w:sz="8" w:space="0" w:color="000000"/>
            </w:tcBorders>
          </w:tcPr>
          <w:p>
            <w:pPr/>
          </w:p>
        </w:tc>
        <w:tc>
          <w:tcPr>
            <w:tcW w:w="2199" w:type="dxa"/>
            <w:tcBorders>
              <w:top w:val="single" w:sz="6" w:space="0" w:color="000000"/>
              <w:left w:val="single" w:sz="8" w:space="0" w:color="000000"/>
              <w:bottom w:val="single" w:sz="8" w:space="0" w:color="000000"/>
              <w:right w:val="single" w:sz="8" w:space="0" w:color="000000"/>
            </w:tcBorders>
          </w:tcPr>
          <w:p>
            <w:pPr/>
          </w:p>
        </w:tc>
        <w:tc>
          <w:tcPr>
            <w:tcW w:w="1844" w:type="dxa"/>
            <w:tcBorders>
              <w:top w:val="single" w:sz="6"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无形资产</w:t>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0"/>
              <w:jc w:val="right"/>
              <w:rPr>
                <w:rFonts w:ascii="宋体" w:hAnsi="宋体" w:cs="宋体" w:eastAsia="宋体" w:hint="default"/>
                <w:sz w:val="18"/>
                <w:szCs w:val="18"/>
              </w:rPr>
            </w:pPr>
            <w:r>
              <w:rPr>
                <w:rFonts w:ascii="宋体"/>
                <w:spacing w:val="-2"/>
                <w:sz w:val="18"/>
              </w:rPr>
              <w:t>12,024,656.97</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3"/>
              <w:jc w:val="right"/>
              <w:rPr>
                <w:rFonts w:ascii="宋体" w:hAnsi="宋体" w:cs="宋体" w:eastAsia="宋体" w:hint="default"/>
                <w:sz w:val="18"/>
                <w:szCs w:val="18"/>
              </w:rPr>
            </w:pPr>
            <w:r>
              <w:rPr>
                <w:rFonts w:ascii="宋体"/>
                <w:spacing w:val="-2"/>
                <w:sz w:val="18"/>
              </w:rPr>
              <w:t>12,024,656.97</w:t>
            </w: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开发支出</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5"/>
                <w:sz w:val="18"/>
                <w:szCs w:val="18"/>
              </w:rPr>
              <w:t>商誉</w:t>
            </w:r>
            <w:r>
              <w:rPr>
                <w:rFonts w:ascii="宋体" w:hAnsi="宋体" w:cs="宋体" w:eastAsia="宋体" w:hint="default"/>
                <w:sz w:val="18"/>
                <w:szCs w:val="18"/>
              </w:rPr>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长期待摊费用</w:t>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0"/>
              <w:jc w:val="right"/>
              <w:rPr>
                <w:rFonts w:ascii="宋体" w:hAnsi="宋体" w:cs="宋体" w:eastAsia="宋体" w:hint="default"/>
                <w:sz w:val="18"/>
                <w:szCs w:val="18"/>
              </w:rPr>
            </w:pPr>
            <w:r>
              <w:rPr>
                <w:rFonts w:ascii="宋体"/>
                <w:spacing w:val="-2"/>
                <w:sz w:val="18"/>
              </w:rPr>
              <w:t>4,115,438.19</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3"/>
              <w:jc w:val="right"/>
              <w:rPr>
                <w:rFonts w:ascii="宋体" w:hAnsi="宋体" w:cs="宋体" w:eastAsia="宋体" w:hint="default"/>
                <w:sz w:val="18"/>
                <w:szCs w:val="18"/>
              </w:rPr>
            </w:pPr>
            <w:r>
              <w:rPr>
                <w:rFonts w:ascii="宋体"/>
                <w:spacing w:val="-2"/>
                <w:sz w:val="18"/>
              </w:rPr>
              <w:t>4,115,438.19</w:t>
            </w: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
              <w:jc w:val="right"/>
              <w:rPr>
                <w:rFonts w:ascii="宋体" w:hAnsi="宋体" w:cs="宋体" w:eastAsia="宋体" w:hint="default"/>
                <w:sz w:val="18"/>
                <w:szCs w:val="18"/>
              </w:rPr>
            </w:pPr>
            <w:r>
              <w:rPr>
                <w:rFonts w:ascii="宋体"/>
                <w:spacing w:val="-2"/>
                <w:sz w:val="18"/>
              </w:rPr>
              <w:t>977,192.64</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3"/>
              <w:jc w:val="right"/>
              <w:rPr>
                <w:rFonts w:ascii="宋体" w:hAnsi="宋体" w:cs="宋体" w:eastAsia="宋体" w:hint="default"/>
                <w:sz w:val="18"/>
                <w:szCs w:val="18"/>
              </w:rPr>
            </w:pPr>
            <w:r>
              <w:rPr>
                <w:rFonts w:ascii="宋体"/>
                <w:spacing w:val="-1"/>
                <w:sz w:val="18"/>
              </w:rPr>
              <w:t>977,192.64</w:t>
            </w: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4"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0"/>
              <w:jc w:val="right"/>
              <w:rPr>
                <w:rFonts w:ascii="宋体" w:hAnsi="宋体" w:cs="宋体" w:eastAsia="宋体" w:hint="default"/>
                <w:sz w:val="18"/>
                <w:szCs w:val="18"/>
              </w:rPr>
            </w:pPr>
            <w:r>
              <w:rPr>
                <w:rFonts w:ascii="宋体"/>
                <w:spacing w:val="-2"/>
                <w:sz w:val="18"/>
              </w:rPr>
              <w:t>538,845,620.31</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3"/>
              <w:jc w:val="right"/>
              <w:rPr>
                <w:rFonts w:ascii="宋体" w:hAnsi="宋体" w:cs="宋体" w:eastAsia="宋体" w:hint="default"/>
                <w:sz w:val="18"/>
                <w:szCs w:val="18"/>
              </w:rPr>
            </w:pPr>
            <w:r>
              <w:rPr>
                <w:rFonts w:ascii="宋体"/>
                <w:spacing w:val="-2"/>
                <w:sz w:val="18"/>
              </w:rPr>
              <w:t>538,845,620.31</w:t>
            </w: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5"/>
              <w:jc w:val="right"/>
              <w:rPr>
                <w:rFonts w:ascii="宋体" w:hAnsi="宋体" w:cs="宋体" w:eastAsia="宋体" w:hint="default"/>
                <w:sz w:val="18"/>
                <w:szCs w:val="18"/>
              </w:rPr>
            </w:pPr>
            <w:r>
              <w:rPr>
                <w:rFonts w:ascii="宋体"/>
                <w:spacing w:val="-2"/>
                <w:sz w:val="18"/>
              </w:rPr>
              <w:t>861,179,088.14</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right"/>
              <w:rPr>
                <w:rFonts w:ascii="宋体" w:hAnsi="宋体" w:cs="宋体" w:eastAsia="宋体" w:hint="default"/>
                <w:sz w:val="18"/>
                <w:szCs w:val="18"/>
              </w:rPr>
            </w:pPr>
            <w:r>
              <w:rPr>
                <w:rFonts w:ascii="宋体"/>
                <w:spacing w:val="-2"/>
                <w:sz w:val="18"/>
              </w:rPr>
              <w:t>861,179,088.14</w:t>
            </w: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短期借款</w:t>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right"/>
              <w:rPr>
                <w:rFonts w:ascii="宋体" w:hAnsi="宋体" w:cs="宋体" w:eastAsia="宋体" w:hint="default"/>
                <w:sz w:val="18"/>
                <w:szCs w:val="18"/>
              </w:rPr>
            </w:pPr>
            <w:r>
              <w:rPr>
                <w:rFonts w:ascii="宋体"/>
                <w:spacing w:val="-2"/>
                <w:sz w:val="18"/>
              </w:rPr>
              <w:t>93,826,679.54</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93,826,679.54</w:t>
            </w: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8"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衍生金融负债</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应付票据</w:t>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0"/>
              <w:jc w:val="right"/>
              <w:rPr>
                <w:rFonts w:ascii="宋体" w:hAnsi="宋体" w:cs="宋体" w:eastAsia="宋体" w:hint="default"/>
                <w:sz w:val="18"/>
                <w:szCs w:val="18"/>
              </w:rPr>
            </w:pPr>
            <w:r>
              <w:rPr>
                <w:rFonts w:ascii="宋体"/>
                <w:spacing w:val="-2"/>
                <w:sz w:val="18"/>
              </w:rPr>
              <w:t>72,000,000.00</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3"/>
              <w:jc w:val="right"/>
              <w:rPr>
                <w:rFonts w:ascii="宋体" w:hAnsi="宋体" w:cs="宋体" w:eastAsia="宋体" w:hint="default"/>
                <w:sz w:val="18"/>
                <w:szCs w:val="18"/>
              </w:rPr>
            </w:pPr>
            <w:r>
              <w:rPr>
                <w:rFonts w:ascii="宋体"/>
                <w:spacing w:val="-2"/>
                <w:sz w:val="18"/>
              </w:rPr>
              <w:t>72,000,000.00</w:t>
            </w: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应付账款</w:t>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0"/>
              <w:jc w:val="right"/>
              <w:rPr>
                <w:rFonts w:ascii="宋体" w:hAnsi="宋体" w:cs="宋体" w:eastAsia="宋体" w:hint="default"/>
                <w:sz w:val="18"/>
                <w:szCs w:val="18"/>
              </w:rPr>
            </w:pPr>
            <w:r>
              <w:rPr>
                <w:rFonts w:ascii="宋体"/>
                <w:spacing w:val="-2"/>
                <w:sz w:val="18"/>
              </w:rPr>
              <w:t>56,149,392.11</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3"/>
              <w:jc w:val="right"/>
              <w:rPr>
                <w:rFonts w:ascii="宋体" w:hAnsi="宋体" w:cs="宋体" w:eastAsia="宋体" w:hint="default"/>
                <w:sz w:val="18"/>
                <w:szCs w:val="18"/>
              </w:rPr>
            </w:pPr>
            <w:r>
              <w:rPr>
                <w:rFonts w:ascii="宋体"/>
                <w:spacing w:val="-2"/>
                <w:sz w:val="18"/>
              </w:rPr>
              <w:t>56,149,392.11</w:t>
            </w: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预收款项</w:t>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0"/>
              <w:jc w:val="right"/>
              <w:rPr>
                <w:rFonts w:ascii="宋体" w:hAnsi="宋体" w:cs="宋体" w:eastAsia="宋体" w:hint="default"/>
                <w:sz w:val="18"/>
                <w:szCs w:val="18"/>
              </w:rPr>
            </w:pPr>
            <w:r>
              <w:rPr>
                <w:rFonts w:ascii="宋体"/>
                <w:spacing w:val="-2"/>
                <w:sz w:val="18"/>
              </w:rPr>
              <w:t>1,407,061.15</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3"/>
              <w:jc w:val="right"/>
              <w:rPr>
                <w:rFonts w:ascii="宋体" w:hAnsi="宋体" w:cs="宋体" w:eastAsia="宋体" w:hint="default"/>
                <w:sz w:val="18"/>
                <w:szCs w:val="18"/>
              </w:rPr>
            </w:pPr>
            <w:r>
              <w:rPr>
                <w:rFonts w:ascii="宋体"/>
                <w:spacing w:val="-2"/>
                <w:sz w:val="18"/>
              </w:rPr>
              <w:t>1,407,061.15</w:t>
            </w: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合同负债</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应付职工薪酬</w:t>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0"/>
              <w:jc w:val="right"/>
              <w:rPr>
                <w:rFonts w:ascii="宋体" w:hAnsi="宋体" w:cs="宋体" w:eastAsia="宋体" w:hint="default"/>
                <w:sz w:val="18"/>
                <w:szCs w:val="18"/>
              </w:rPr>
            </w:pPr>
            <w:r>
              <w:rPr>
                <w:rFonts w:ascii="宋体"/>
                <w:spacing w:val="-2"/>
                <w:sz w:val="18"/>
              </w:rPr>
              <w:t>5,736,706.87</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3"/>
              <w:jc w:val="right"/>
              <w:rPr>
                <w:rFonts w:ascii="宋体" w:hAnsi="宋体" w:cs="宋体" w:eastAsia="宋体" w:hint="default"/>
                <w:sz w:val="18"/>
                <w:szCs w:val="18"/>
              </w:rPr>
            </w:pPr>
            <w:r>
              <w:rPr>
                <w:rFonts w:ascii="宋体"/>
                <w:spacing w:val="-2"/>
                <w:sz w:val="18"/>
              </w:rPr>
              <w:t>5,736,706.87</w:t>
            </w: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应交税费</w:t>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0"/>
              <w:jc w:val="right"/>
              <w:rPr>
                <w:rFonts w:ascii="宋体" w:hAnsi="宋体" w:cs="宋体" w:eastAsia="宋体" w:hint="default"/>
                <w:sz w:val="18"/>
                <w:szCs w:val="18"/>
              </w:rPr>
            </w:pPr>
            <w:r>
              <w:rPr>
                <w:rFonts w:ascii="宋体"/>
                <w:spacing w:val="-2"/>
                <w:sz w:val="18"/>
              </w:rPr>
              <w:t>2,295,133.57</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3"/>
              <w:jc w:val="right"/>
              <w:rPr>
                <w:rFonts w:ascii="宋体" w:hAnsi="宋体" w:cs="宋体" w:eastAsia="宋体" w:hint="default"/>
                <w:sz w:val="18"/>
                <w:szCs w:val="18"/>
              </w:rPr>
            </w:pPr>
            <w:r>
              <w:rPr>
                <w:rFonts w:ascii="宋体"/>
                <w:spacing w:val="-2"/>
                <w:sz w:val="18"/>
              </w:rPr>
              <w:t>2,295,133.57</w:t>
            </w: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0"/>
              <w:jc w:val="right"/>
              <w:rPr>
                <w:rFonts w:ascii="宋体" w:hAnsi="宋体" w:cs="宋体" w:eastAsia="宋体" w:hint="default"/>
                <w:sz w:val="18"/>
                <w:szCs w:val="18"/>
              </w:rPr>
            </w:pPr>
            <w:r>
              <w:rPr>
                <w:rFonts w:ascii="宋体"/>
                <w:spacing w:val="-2"/>
                <w:sz w:val="18"/>
              </w:rPr>
              <w:t>105,884,139.75</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3"/>
              <w:jc w:val="right"/>
              <w:rPr>
                <w:rFonts w:ascii="宋体" w:hAnsi="宋体" w:cs="宋体" w:eastAsia="宋体" w:hint="default"/>
                <w:sz w:val="18"/>
                <w:szCs w:val="18"/>
              </w:rPr>
            </w:pPr>
            <w:r>
              <w:rPr>
                <w:rFonts w:ascii="宋体"/>
                <w:spacing w:val="-2"/>
                <w:sz w:val="18"/>
              </w:rPr>
              <w:t>105,884,139.75</w:t>
            </w: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持有待售负债</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其他流动负债</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0"/>
              <w:jc w:val="right"/>
              <w:rPr>
                <w:rFonts w:ascii="宋体" w:hAnsi="宋体" w:cs="宋体" w:eastAsia="宋体" w:hint="default"/>
                <w:sz w:val="18"/>
                <w:szCs w:val="18"/>
              </w:rPr>
            </w:pPr>
            <w:r>
              <w:rPr>
                <w:rFonts w:ascii="宋体"/>
                <w:spacing w:val="-2"/>
                <w:sz w:val="18"/>
              </w:rPr>
              <w:t>337,299,112.99</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3"/>
              <w:jc w:val="right"/>
              <w:rPr>
                <w:rFonts w:ascii="宋体" w:hAnsi="宋体" w:cs="宋体" w:eastAsia="宋体" w:hint="default"/>
                <w:sz w:val="18"/>
                <w:szCs w:val="18"/>
              </w:rPr>
            </w:pPr>
            <w:r>
              <w:rPr>
                <w:rFonts w:ascii="宋体"/>
                <w:spacing w:val="-2"/>
                <w:sz w:val="18"/>
              </w:rPr>
              <w:t>337,299,112.99</w:t>
            </w: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长期借款</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应付债券</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364" w:right="0"/>
              <w:jc w:val="left"/>
              <w:rPr>
                <w:rFonts w:ascii="宋体" w:hAnsi="宋体" w:cs="宋体" w:eastAsia="宋体" w:hint="default"/>
                <w:sz w:val="18"/>
                <w:szCs w:val="18"/>
              </w:rPr>
            </w:pPr>
            <w:r>
              <w:rPr>
                <w:rFonts w:ascii="宋体" w:hAnsi="宋体" w:cs="宋体" w:eastAsia="宋体" w:hint="default"/>
                <w:sz w:val="18"/>
                <w:szCs w:val="18"/>
              </w:rPr>
              <w:t>其中永续债</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预计负债</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递延收益</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8"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bl>
    <w:p>
      <w:pPr>
        <w:spacing w:after="0"/>
        <w:sectPr>
          <w:pgSz w:w="11910" w:h="16840"/>
          <w:pgMar w:header="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4" w:type="dxa"/>
        <w:tblLayout w:type="fixed"/>
        <w:tblCellMar>
          <w:top w:w="0" w:type="dxa"/>
          <w:left w:w="0" w:type="dxa"/>
          <w:bottom w:w="0" w:type="dxa"/>
          <w:right w:w="0" w:type="dxa"/>
        </w:tblCellMar>
        <w:tblLook w:val="01E0"/>
      </w:tblPr>
      <w:tblGrid>
        <w:gridCol w:w="3263"/>
        <w:gridCol w:w="2358"/>
        <w:gridCol w:w="2199"/>
        <w:gridCol w:w="1844"/>
      </w:tblGrid>
      <w:tr>
        <w:trPr>
          <w:trHeight w:val="396" w:hRule="exact"/>
        </w:trPr>
        <w:tc>
          <w:tcPr>
            <w:tcW w:w="3263"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358" w:type="dxa"/>
            <w:tcBorders>
              <w:top w:val="single" w:sz="6" w:space="0" w:color="000000"/>
              <w:left w:val="single" w:sz="8" w:space="0" w:color="000000"/>
              <w:bottom w:val="single" w:sz="8" w:space="0" w:color="000000"/>
              <w:right w:val="single" w:sz="8" w:space="0" w:color="000000"/>
            </w:tcBorders>
          </w:tcPr>
          <w:p>
            <w:pPr/>
          </w:p>
        </w:tc>
        <w:tc>
          <w:tcPr>
            <w:tcW w:w="2199" w:type="dxa"/>
            <w:tcBorders>
              <w:top w:val="single" w:sz="6" w:space="0" w:color="000000"/>
              <w:left w:val="single" w:sz="8" w:space="0" w:color="000000"/>
              <w:bottom w:val="single" w:sz="8" w:space="0" w:color="000000"/>
              <w:right w:val="single" w:sz="8" w:space="0" w:color="000000"/>
            </w:tcBorders>
          </w:tcPr>
          <w:p>
            <w:pPr/>
          </w:p>
        </w:tc>
        <w:tc>
          <w:tcPr>
            <w:tcW w:w="1844" w:type="dxa"/>
            <w:tcBorders>
              <w:top w:val="single" w:sz="6"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4"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4" w:right="0"/>
              <w:jc w:val="left"/>
              <w:rPr>
                <w:rFonts w:ascii="宋体" w:hAnsi="宋体" w:cs="宋体" w:eastAsia="宋体" w:hint="default"/>
                <w:sz w:val="18"/>
                <w:szCs w:val="18"/>
              </w:rPr>
            </w:pPr>
            <w:r>
              <w:rPr>
                <w:rFonts w:ascii="宋体" w:hAnsi="宋体" w:cs="宋体" w:eastAsia="宋体" w:hint="default"/>
                <w:sz w:val="18"/>
                <w:szCs w:val="18"/>
              </w:rPr>
              <w:t>负 债 合</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0"/>
              <w:jc w:val="right"/>
              <w:rPr>
                <w:rFonts w:ascii="宋体" w:hAnsi="宋体" w:cs="宋体" w:eastAsia="宋体" w:hint="default"/>
                <w:sz w:val="18"/>
                <w:szCs w:val="18"/>
              </w:rPr>
            </w:pPr>
            <w:r>
              <w:rPr>
                <w:rFonts w:ascii="宋体"/>
                <w:spacing w:val="-2"/>
                <w:sz w:val="18"/>
              </w:rPr>
              <w:t>337,299,112.99</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3"/>
              <w:jc w:val="right"/>
              <w:rPr>
                <w:rFonts w:ascii="宋体" w:hAnsi="宋体" w:cs="宋体" w:eastAsia="宋体" w:hint="default"/>
                <w:sz w:val="18"/>
                <w:szCs w:val="18"/>
              </w:rPr>
            </w:pPr>
            <w:r>
              <w:rPr>
                <w:rFonts w:ascii="宋体"/>
                <w:spacing w:val="-2"/>
                <w:sz w:val="18"/>
              </w:rPr>
              <w:t>337,299,112.99</w:t>
            </w: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4"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5"/>
                <w:sz w:val="18"/>
                <w:szCs w:val="18"/>
              </w:rPr>
              <w:t>股本</w:t>
            </w:r>
            <w:r>
              <w:rPr>
                <w:rFonts w:ascii="宋体" w:hAnsi="宋体" w:cs="宋体" w:eastAsia="宋体" w:hint="default"/>
                <w:sz w:val="18"/>
                <w:szCs w:val="18"/>
              </w:rPr>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0"/>
              <w:jc w:val="right"/>
              <w:rPr>
                <w:rFonts w:ascii="宋体" w:hAnsi="宋体" w:cs="宋体" w:eastAsia="宋体" w:hint="default"/>
                <w:sz w:val="18"/>
                <w:szCs w:val="18"/>
              </w:rPr>
            </w:pPr>
            <w:r>
              <w:rPr>
                <w:rFonts w:ascii="宋体"/>
                <w:spacing w:val="-2"/>
                <w:sz w:val="18"/>
              </w:rPr>
              <w:t>150,000,000.00</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3"/>
              <w:jc w:val="right"/>
              <w:rPr>
                <w:rFonts w:ascii="宋体" w:hAnsi="宋体" w:cs="宋体" w:eastAsia="宋体" w:hint="default"/>
                <w:sz w:val="18"/>
                <w:szCs w:val="18"/>
              </w:rPr>
            </w:pPr>
            <w:r>
              <w:rPr>
                <w:rFonts w:ascii="宋体"/>
                <w:spacing w:val="-2"/>
                <w:sz w:val="18"/>
              </w:rPr>
              <w:t>150,000,000.00</w:t>
            </w: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其他权益工具</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364" w:right="0"/>
              <w:jc w:val="left"/>
              <w:rPr>
                <w:rFonts w:ascii="宋体" w:hAnsi="宋体" w:cs="宋体" w:eastAsia="宋体" w:hint="default"/>
                <w:sz w:val="18"/>
                <w:szCs w:val="18"/>
              </w:rPr>
            </w:pPr>
            <w:r>
              <w:rPr>
                <w:rFonts w:ascii="宋体" w:hAnsi="宋体" w:cs="宋体" w:eastAsia="宋体" w:hint="default"/>
                <w:sz w:val="18"/>
                <w:szCs w:val="18"/>
              </w:rPr>
              <w:t>其中永续债</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资本公积</w:t>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right"/>
              <w:rPr>
                <w:rFonts w:ascii="宋体" w:hAnsi="宋体" w:cs="宋体" w:eastAsia="宋体" w:hint="default"/>
                <w:sz w:val="18"/>
                <w:szCs w:val="18"/>
              </w:rPr>
            </w:pPr>
            <w:r>
              <w:rPr>
                <w:rFonts w:ascii="宋体"/>
                <w:spacing w:val="-2"/>
                <w:sz w:val="18"/>
              </w:rPr>
              <w:t>147,940,922.48</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147,940,922.48</w:t>
            </w: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其他综合收益</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专项储备</w:t>
            </w:r>
          </w:p>
        </w:tc>
        <w:tc>
          <w:tcPr>
            <w:tcW w:w="2358"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8"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pacing w:val="-3"/>
                <w:sz w:val="18"/>
                <w:szCs w:val="18"/>
              </w:rPr>
              <w:t>盈余公积</w:t>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right"/>
              <w:rPr>
                <w:rFonts w:ascii="宋体" w:hAnsi="宋体" w:cs="宋体" w:eastAsia="宋体" w:hint="default"/>
                <w:sz w:val="18"/>
                <w:szCs w:val="18"/>
              </w:rPr>
            </w:pPr>
            <w:r>
              <w:rPr>
                <w:rFonts w:ascii="宋体"/>
                <w:spacing w:val="-2"/>
                <w:sz w:val="18"/>
              </w:rPr>
              <w:t>33,252,946.03</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3"/>
              <w:jc w:val="right"/>
              <w:rPr>
                <w:rFonts w:ascii="宋体" w:hAnsi="宋体" w:cs="宋体" w:eastAsia="宋体" w:hint="default"/>
                <w:sz w:val="18"/>
                <w:szCs w:val="18"/>
              </w:rPr>
            </w:pPr>
            <w:r>
              <w:rPr>
                <w:rFonts w:ascii="宋体"/>
                <w:spacing w:val="-2"/>
                <w:sz w:val="18"/>
              </w:rPr>
              <w:t>33,252,946.03</w:t>
            </w: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0"/>
              <w:jc w:val="right"/>
              <w:rPr>
                <w:rFonts w:ascii="宋体" w:hAnsi="宋体" w:cs="宋体" w:eastAsia="宋体" w:hint="default"/>
                <w:sz w:val="18"/>
                <w:szCs w:val="18"/>
              </w:rPr>
            </w:pPr>
            <w:r>
              <w:rPr>
                <w:rFonts w:ascii="宋体"/>
                <w:spacing w:val="-2"/>
                <w:sz w:val="18"/>
              </w:rPr>
              <w:t>192,686,106.64</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3"/>
              <w:jc w:val="right"/>
              <w:rPr>
                <w:rFonts w:ascii="宋体" w:hAnsi="宋体" w:cs="宋体" w:eastAsia="宋体" w:hint="default"/>
                <w:sz w:val="18"/>
                <w:szCs w:val="18"/>
              </w:rPr>
            </w:pPr>
            <w:r>
              <w:rPr>
                <w:rFonts w:ascii="宋体"/>
                <w:spacing w:val="-2"/>
                <w:sz w:val="18"/>
              </w:rPr>
              <w:t>192,686,106.64</w:t>
            </w: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4"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0"/>
              <w:jc w:val="right"/>
              <w:rPr>
                <w:rFonts w:ascii="宋体" w:hAnsi="宋体" w:cs="宋体" w:eastAsia="宋体" w:hint="default"/>
                <w:sz w:val="18"/>
                <w:szCs w:val="18"/>
              </w:rPr>
            </w:pPr>
            <w:r>
              <w:rPr>
                <w:rFonts w:ascii="宋体"/>
                <w:spacing w:val="-2"/>
                <w:sz w:val="18"/>
              </w:rPr>
              <w:t>523,879,975.15</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3"/>
              <w:jc w:val="right"/>
              <w:rPr>
                <w:rFonts w:ascii="宋体" w:hAnsi="宋体" w:cs="宋体" w:eastAsia="宋体" w:hint="default"/>
                <w:sz w:val="18"/>
                <w:szCs w:val="18"/>
              </w:rPr>
            </w:pPr>
            <w:r>
              <w:rPr>
                <w:rFonts w:ascii="宋体"/>
                <w:spacing w:val="-2"/>
                <w:sz w:val="18"/>
              </w:rPr>
              <w:t>523,879,975.15</w:t>
            </w:r>
          </w:p>
        </w:tc>
        <w:tc>
          <w:tcPr>
            <w:tcW w:w="1844"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263"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9"/>
              <w:ind w:left="4" w:right="0"/>
              <w:jc w:val="left"/>
              <w:rPr>
                <w:rFonts w:ascii="宋体" w:hAnsi="宋体" w:cs="宋体" w:eastAsia="宋体" w:hint="default"/>
                <w:sz w:val="18"/>
                <w:szCs w:val="18"/>
              </w:rPr>
            </w:pPr>
            <w:r>
              <w:rPr>
                <w:rFonts w:ascii="宋体" w:hAnsi="宋体" w:cs="宋体" w:eastAsia="宋体" w:hint="default"/>
                <w:spacing w:val="-3"/>
                <w:sz w:val="18"/>
                <w:szCs w:val="18"/>
              </w:rPr>
              <w:t>负债和股东权益总计</w:t>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0"/>
              <w:jc w:val="right"/>
              <w:rPr>
                <w:rFonts w:ascii="宋体" w:hAnsi="宋体" w:cs="宋体" w:eastAsia="宋体" w:hint="default"/>
                <w:sz w:val="18"/>
                <w:szCs w:val="18"/>
              </w:rPr>
            </w:pPr>
            <w:r>
              <w:rPr>
                <w:rFonts w:ascii="宋体"/>
                <w:spacing w:val="-2"/>
                <w:sz w:val="18"/>
              </w:rPr>
              <w:t>861,179,088.14</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3"/>
              <w:jc w:val="right"/>
              <w:rPr>
                <w:rFonts w:ascii="宋体" w:hAnsi="宋体" w:cs="宋体" w:eastAsia="宋体" w:hint="default"/>
                <w:sz w:val="18"/>
                <w:szCs w:val="18"/>
              </w:rPr>
            </w:pPr>
            <w:r>
              <w:rPr>
                <w:rFonts w:ascii="宋体"/>
                <w:spacing w:val="-2"/>
                <w:sz w:val="18"/>
              </w:rPr>
              <w:t>861,179,088.14</w:t>
            </w:r>
          </w:p>
        </w:tc>
        <w:tc>
          <w:tcPr>
            <w:tcW w:w="1844"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5"/>
        <w:rPr>
          <w:rFonts w:ascii="Times New Roman" w:hAnsi="Times New Roman" w:cs="Times New Roman" w:eastAsia="Times New Roman" w:hint="default"/>
          <w:sz w:val="9"/>
          <w:szCs w:val="9"/>
        </w:rPr>
      </w:pPr>
    </w:p>
    <w:p>
      <w:pPr>
        <w:spacing w:before="46"/>
        <w:ind w:left="575" w:right="0" w:firstLine="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本公司本会计期间无会计估计的变更。</w:t>
      </w:r>
    </w:p>
    <w:p>
      <w:pPr>
        <w:spacing w:before="124"/>
        <w:ind w:left="575" w:right="0" w:firstLine="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本公司本会计期间无会计核算方法的变更。</w:t>
      </w:r>
    </w:p>
    <w:p>
      <w:pPr>
        <w:spacing w:line="240" w:lineRule="auto" w:before="2"/>
        <w:rPr>
          <w:rFonts w:ascii="宋体" w:hAnsi="宋体" w:cs="宋体" w:eastAsia="宋体" w:hint="default"/>
          <w:sz w:val="26"/>
          <w:szCs w:val="26"/>
        </w:rPr>
      </w:pPr>
    </w:p>
    <w:p>
      <w:pPr>
        <w:pStyle w:val="Heading2"/>
        <w:spacing w:line="240" w:lineRule="auto"/>
        <w:ind w:right="0"/>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8"/>
        <w:rPr>
          <w:rFonts w:ascii="宋体" w:hAnsi="宋体" w:cs="宋体" w:eastAsia="宋体" w:hint="default"/>
          <w:b/>
          <w:bCs/>
          <w:sz w:val="27"/>
          <w:szCs w:val="27"/>
        </w:rPr>
      </w:pPr>
    </w:p>
    <w:p>
      <w:pPr>
        <w:spacing w:line="338" w:lineRule="auto" w:before="0"/>
        <w:ind w:left="153" w:right="6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公司报告期无重大会计差错更正需追溯重述的情况。</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8"/>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292" w:lineRule="auto" w:before="99"/>
        <w:ind w:right="1122" w:firstLine="422"/>
        <w:jc w:val="left"/>
      </w:pPr>
      <w:r>
        <w:rPr>
          <w:spacing w:val="-3"/>
          <w:w w:val="100"/>
        </w:rPr>
        <w:t>报告期收购了北京金印联</w:t>
      </w:r>
      <w:r>
        <w:rPr>
          <w:rFonts w:ascii="Times New Roman" w:hAnsi="Times New Roman" w:cs="Times New Roman" w:eastAsia="Times New Roman" w:hint="default"/>
          <w:spacing w:val="-3"/>
          <w:w w:val="100"/>
        </w:rPr>
        <w:t>70%</w:t>
      </w:r>
      <w:r>
        <w:rPr>
          <w:spacing w:val="-3"/>
          <w:w w:val="100"/>
        </w:rPr>
        <w:t>股权并完成了股权交割手续，北京金印联于</w:t>
      </w:r>
      <w:r>
        <w:rPr>
          <w:rFonts w:ascii="Times New Roman" w:hAnsi="Times New Roman" w:cs="Times New Roman" w:eastAsia="Times New Roman" w:hint="default"/>
          <w:spacing w:val="-3"/>
          <w:w w:val="100"/>
        </w:rPr>
        <w:t>2019</w:t>
      </w:r>
      <w:r>
        <w:rPr>
          <w:spacing w:val="-3"/>
          <w:w w:val="100"/>
        </w:rPr>
        <w:t>年</w:t>
      </w:r>
      <w:r>
        <w:rPr>
          <w:rFonts w:ascii="Times New Roman" w:hAnsi="Times New Roman" w:cs="Times New Roman" w:eastAsia="Times New Roman" w:hint="default"/>
          <w:spacing w:val="-3"/>
          <w:w w:val="100"/>
        </w:rPr>
        <w:t>7</w:t>
      </w:r>
      <w:r>
        <w:rPr>
          <w:spacing w:val="-3"/>
          <w:w w:val="100"/>
        </w:rPr>
        <w:t>月纳入公司合并报表</w:t>
      </w:r>
      <w:r>
        <w:rPr>
          <w:w w:val="100"/>
        </w:rPr>
        <w:t> </w:t>
      </w:r>
      <w:r>
        <w:rPr/>
        <w:t>范围。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7-12</w:t>
      </w:r>
      <w:r>
        <w:rPr/>
        <w:t>月，北京金印联实现净利润</w:t>
      </w:r>
      <w:r>
        <w:rPr>
          <w:rFonts w:ascii="Times New Roman" w:hAnsi="Times New Roman" w:cs="Times New Roman" w:eastAsia="Times New Roman" w:hint="default"/>
        </w:rPr>
        <w:t>1,250.92</w:t>
      </w:r>
      <w:r>
        <w:rPr/>
        <w:t>万元，实现归属于母公司的净利润</w:t>
      </w:r>
      <w:r>
        <w:rPr>
          <w:rFonts w:ascii="Times New Roman" w:hAnsi="Times New Roman" w:cs="Times New Roman" w:eastAsia="Times New Roman" w:hint="default"/>
        </w:rPr>
        <w:t>842.85</w:t>
      </w:r>
      <w:r>
        <w:rPr/>
        <w:t>万元。</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92"/>
        <w:gridCol w:w="4777"/>
      </w:tblGrid>
      <w:tr>
        <w:trPr>
          <w:trHeight w:val="39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pacing w:val="-3"/>
                <w:sz w:val="18"/>
                <w:szCs w:val="18"/>
              </w:rPr>
              <w:t>希格玛会计师事务所（特殊普通合伙）</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60</w:t>
            </w:r>
          </w:p>
        </w:tc>
      </w:tr>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杨树杰、卞薄海</w:t>
            </w:r>
          </w:p>
        </w:tc>
      </w:tr>
    </w:tbl>
    <w:p>
      <w:pPr>
        <w:spacing w:after="0" w:line="240" w:lineRule="auto"/>
        <w:jc w:val="center"/>
        <w:rPr>
          <w:rFonts w:ascii="宋体" w:hAnsi="宋体" w:cs="宋体" w:eastAsia="宋体" w:hint="default"/>
          <w:sz w:val="18"/>
          <w:szCs w:val="18"/>
        </w:rPr>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792"/>
        <w:gridCol w:w="4777"/>
      </w:tblGrid>
      <w:tr>
        <w:trPr>
          <w:trHeight w:val="715"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含本报告期，杨树杰连续服务年限</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年，卞薄海连续服务年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限</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1"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w w:val="101"/>
                <w:sz w:val="18"/>
                <w:szCs w:val="18"/>
              </w:rPr>
              <w:t>境</w:t>
            </w:r>
            <w:r>
              <w:rPr>
                <w:rFonts w:ascii="宋体" w:hAnsi="宋体" w:cs="宋体" w:eastAsia="宋体" w:hint="default"/>
                <w:spacing w:val="-5"/>
                <w:w w:val="101"/>
                <w:sz w:val="18"/>
                <w:szCs w:val="18"/>
              </w:rPr>
              <w:t>外</w:t>
            </w:r>
            <w:r>
              <w:rPr>
                <w:rFonts w:ascii="宋体" w:hAnsi="宋体" w:cs="宋体" w:eastAsia="宋体" w:hint="default"/>
                <w:w w:val="101"/>
                <w:sz w:val="18"/>
                <w:szCs w:val="18"/>
              </w:rPr>
              <w:t>会</w:t>
            </w:r>
            <w:r>
              <w:rPr>
                <w:rFonts w:ascii="宋体" w:hAnsi="宋体" w:cs="宋体" w:eastAsia="宋体" w:hint="default"/>
                <w:spacing w:val="-5"/>
                <w:w w:val="101"/>
                <w:sz w:val="18"/>
                <w:szCs w:val="18"/>
              </w:rPr>
              <w:t>计</w:t>
            </w:r>
            <w:r>
              <w:rPr>
                <w:rFonts w:ascii="宋体" w:hAnsi="宋体" w:cs="宋体" w:eastAsia="宋体" w:hint="default"/>
                <w:w w:val="101"/>
                <w:sz w:val="18"/>
                <w:szCs w:val="18"/>
              </w:rPr>
              <w:t>师</w:t>
            </w:r>
            <w:r>
              <w:rPr>
                <w:rFonts w:ascii="宋体" w:hAnsi="宋体" w:cs="宋体" w:eastAsia="宋体" w:hint="default"/>
                <w:spacing w:val="-5"/>
                <w:w w:val="101"/>
                <w:sz w:val="18"/>
                <w:szCs w:val="18"/>
              </w:rPr>
              <w:t>事</w:t>
            </w:r>
            <w:r>
              <w:rPr>
                <w:rFonts w:ascii="宋体" w:hAnsi="宋体" w:cs="宋体" w:eastAsia="宋体" w:hint="default"/>
                <w:w w:val="101"/>
                <w:sz w:val="18"/>
                <w:szCs w:val="18"/>
              </w:rPr>
              <w:t>务</w:t>
            </w:r>
            <w:r>
              <w:rPr>
                <w:rFonts w:ascii="宋体" w:hAnsi="宋体" w:cs="宋体" w:eastAsia="宋体" w:hint="default"/>
                <w:spacing w:val="-5"/>
                <w:w w:val="101"/>
                <w:sz w:val="18"/>
                <w:szCs w:val="18"/>
              </w:rPr>
              <w:t>所</w:t>
            </w:r>
            <w:r>
              <w:rPr>
                <w:rFonts w:ascii="宋体" w:hAnsi="宋体" w:cs="宋体" w:eastAsia="宋体" w:hint="default"/>
                <w:w w:val="101"/>
                <w:sz w:val="18"/>
                <w:szCs w:val="18"/>
              </w:rPr>
              <w:t>报</w:t>
            </w:r>
            <w:r>
              <w:rPr>
                <w:rFonts w:ascii="宋体" w:hAnsi="宋体" w:cs="宋体" w:eastAsia="宋体" w:hint="default"/>
                <w:spacing w:val="-5"/>
                <w:w w:val="101"/>
                <w:sz w:val="18"/>
                <w:szCs w:val="18"/>
              </w:rPr>
              <w:t>酬</w:t>
            </w:r>
            <w:r>
              <w:rPr>
                <w:rFonts w:ascii="宋体" w:hAnsi="宋体" w:cs="宋体" w:eastAsia="宋体" w:hint="default"/>
                <w:w w:val="101"/>
                <w:sz w:val="18"/>
                <w:szCs w:val="18"/>
              </w:rPr>
              <w:t>（</w:t>
            </w:r>
            <w:r>
              <w:rPr>
                <w:rFonts w:ascii="宋体" w:hAnsi="宋体" w:cs="宋体" w:eastAsia="宋体" w:hint="default"/>
                <w:spacing w:val="-5"/>
                <w:w w:val="101"/>
                <w:sz w:val="18"/>
                <w:szCs w:val="18"/>
              </w:rPr>
              <w:t>万</w:t>
            </w:r>
            <w:r>
              <w:rPr>
                <w:rFonts w:ascii="宋体" w:hAnsi="宋体" w:cs="宋体" w:eastAsia="宋体" w:hint="default"/>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如</w:t>
            </w:r>
            <w:r>
              <w:rPr>
                <w:rFonts w:ascii="宋体" w:hAnsi="宋体" w:cs="宋体" w:eastAsia="宋体" w:hint="default"/>
                <w:spacing w:val="-5"/>
                <w:w w:val="101"/>
                <w:sz w:val="18"/>
                <w:szCs w:val="18"/>
              </w:rPr>
              <w:t>有</w:t>
            </w:r>
            <w:r>
              <w:rPr>
                <w:rFonts w:ascii="宋体" w:hAnsi="宋体" w:cs="宋体" w:eastAsia="宋体" w:hint="default"/>
                <w:w w:val="101"/>
                <w:sz w:val="18"/>
                <w:szCs w:val="18"/>
              </w:rPr>
              <w:t>）</w:t>
            </w:r>
            <w:r>
              <w:rPr>
                <w:rFonts w:ascii="宋体" w:hAnsi="宋体" w:cs="宋体" w:eastAsia="宋体" w:hint="default"/>
                <w:sz w:val="18"/>
                <w:szCs w:val="18"/>
              </w:rPr>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当期是否改聘会计师事务所</w:t>
      </w:r>
    </w:p>
    <w:p>
      <w:pPr>
        <w:spacing w:line="343" w:lineRule="auto" w:before="115"/>
        <w:ind w:left="153" w:right="6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聘请内部控制审计会计师事务所、财务顾问或保荐人情况</w:t>
      </w:r>
    </w:p>
    <w:p>
      <w:pPr>
        <w:spacing w:before="3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3"/>
        <w:rPr>
          <w:rFonts w:ascii="宋体" w:hAnsi="宋体" w:cs="宋体" w:eastAsia="宋体" w:hint="default"/>
          <w:b/>
          <w:bCs/>
          <w:sz w:val="27"/>
          <w:szCs w:val="27"/>
        </w:rPr>
      </w:pPr>
    </w:p>
    <w:p>
      <w:pPr>
        <w:spacing w:line="343" w:lineRule="auto" w:before="0"/>
        <w:ind w:left="153" w:right="763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公司报告期未发生破产重整相关事项。</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8"/>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561"/>
        <w:gridCol w:w="1071"/>
        <w:gridCol w:w="1249"/>
        <w:gridCol w:w="941"/>
        <w:gridCol w:w="1373"/>
        <w:gridCol w:w="1249"/>
        <w:gridCol w:w="1066"/>
        <w:gridCol w:w="1061"/>
      </w:tblGrid>
      <w:tr>
        <w:trPr>
          <w:trHeight w:val="715"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686" w:right="79" w:hanging="600"/>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仲裁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基本情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况</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50" w:right="17" w:hanging="327"/>
              <w:jc w:val="left"/>
              <w:rPr>
                <w:rFonts w:ascii="宋体" w:hAnsi="宋体" w:cs="宋体" w:eastAsia="宋体" w:hint="default"/>
                <w:sz w:val="18"/>
                <w:szCs w:val="18"/>
              </w:rPr>
            </w:pPr>
            <w:r>
              <w:rPr>
                <w:rFonts w:ascii="宋体" w:hAnsi="宋体" w:cs="宋体" w:eastAsia="宋体" w:hint="default"/>
                <w:spacing w:val="-13"/>
                <w:sz w:val="18"/>
                <w:szCs w:val="18"/>
              </w:rPr>
              <w:t>涉案金额（万</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元）</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36" w:right="75" w:hanging="360"/>
              <w:jc w:val="left"/>
              <w:rPr>
                <w:rFonts w:ascii="宋体" w:hAnsi="宋体" w:cs="宋体" w:eastAsia="宋体" w:hint="default"/>
                <w:sz w:val="18"/>
                <w:szCs w:val="18"/>
              </w:rPr>
            </w:pPr>
            <w:r>
              <w:rPr>
                <w:rFonts w:ascii="宋体" w:hAnsi="宋体" w:cs="宋体" w:eastAsia="宋体" w:hint="default"/>
                <w:spacing w:val="-2"/>
                <w:sz w:val="18"/>
                <w:szCs w:val="18"/>
              </w:rPr>
              <w:t>是否形成预计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负债</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83" w:right="42"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进展</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35" w:right="75" w:hanging="154"/>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仲裁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审理</w:t>
            </w:r>
            <w:r>
              <w:rPr>
                <w:rFonts w:ascii="宋体" w:hAnsi="宋体" w:cs="宋体" w:eastAsia="宋体" w:hint="default"/>
                <w:spacing w:val="-71"/>
                <w:sz w:val="18"/>
                <w:szCs w:val="18"/>
              </w:rPr>
              <w:t> </w:t>
            </w:r>
            <w:r>
              <w:rPr>
                <w:rFonts w:ascii="宋体" w:hAnsi="宋体" w:cs="宋体" w:eastAsia="宋体" w:hint="default"/>
                <w:sz w:val="18"/>
                <w:szCs w:val="18"/>
              </w:rPr>
              <w:t>结果及影响</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68" w:right="103" w:hanging="58"/>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仲裁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判</w:t>
            </w:r>
            <w:r>
              <w:rPr>
                <w:rFonts w:ascii="宋体" w:hAnsi="宋体" w:cs="宋体" w:eastAsia="宋体" w:hint="default"/>
                <w:spacing w:val="-76"/>
                <w:sz w:val="18"/>
                <w:szCs w:val="18"/>
              </w:rPr>
              <w:t> </w:t>
            </w:r>
            <w:r>
              <w:rPr>
                <w:rFonts w:ascii="宋体" w:hAnsi="宋体" w:cs="宋体" w:eastAsia="宋体" w:hint="default"/>
                <w:sz w:val="18"/>
                <w:szCs w:val="18"/>
              </w:rPr>
              <w:t>决执行情况</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6"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9"/>
              <w:jc w:val="left"/>
              <w:rPr>
                <w:rFonts w:ascii="宋体" w:hAnsi="宋体" w:cs="宋体" w:eastAsia="宋体" w:hint="default"/>
                <w:sz w:val="18"/>
                <w:szCs w:val="18"/>
              </w:rPr>
            </w:pPr>
            <w:r>
              <w:rPr>
                <w:rFonts w:ascii="宋体" w:hAnsi="宋体" w:cs="宋体" w:eastAsia="宋体" w:hint="default"/>
                <w:spacing w:val="-2"/>
                <w:sz w:val="18"/>
                <w:szCs w:val="18"/>
              </w:rPr>
              <w:t>公司未达到披露标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准的其他诉讼合计</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109.21</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3"/>
        <w:rPr>
          <w:rFonts w:ascii="宋体" w:hAnsi="宋体" w:cs="宋体" w:eastAsia="宋体" w:hint="default"/>
          <w:b/>
          <w:bCs/>
          <w:sz w:val="27"/>
          <w:szCs w:val="27"/>
        </w:rPr>
      </w:pPr>
    </w:p>
    <w:p>
      <w:pPr>
        <w:spacing w:line="343" w:lineRule="auto" w:before="0"/>
        <w:ind w:left="153" w:right="763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公司报告期不存在处罚及整改情况。</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100" w:bottom="1160" w:left="980" w:right="0"/>
        </w:sectPr>
      </w:pPr>
    </w:p>
    <w:p>
      <w:pPr>
        <w:spacing w:line="240" w:lineRule="auto" w:before="7"/>
        <w:rPr>
          <w:rFonts w:ascii="宋体" w:hAnsi="宋体" w:cs="宋体" w:eastAsia="宋体" w:hint="default"/>
          <w:sz w:val="22"/>
          <w:szCs w:val="22"/>
        </w:rPr>
      </w:pPr>
    </w:p>
    <w:p>
      <w:pPr>
        <w:pStyle w:val="BodyText"/>
        <w:spacing w:line="312" w:lineRule="auto" w:before="36"/>
        <w:ind w:right="0" w:firstLine="422"/>
        <w:jc w:val="left"/>
      </w:pPr>
      <w:r>
        <w:rPr/>
        <w:t>公司于</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1</w:t>
      </w:r>
      <w:r>
        <w:rPr/>
        <w:t>日召开的第四届董事会第十次会议及</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24</w:t>
      </w:r>
      <w:r>
        <w:rPr/>
        <w:t>日召开的</w:t>
      </w:r>
      <w:r>
        <w:rPr>
          <w:rFonts w:ascii="宋体" w:hAnsi="宋体" w:cs="宋体" w:eastAsia="宋体" w:hint="default"/>
        </w:rPr>
        <w:t>2018</w:t>
      </w:r>
      <w:r>
        <w:rPr/>
        <w:t>年第一次临时股东</w:t>
      </w:r>
      <w:r>
        <w:rPr>
          <w:w w:val="100"/>
        </w:rPr>
        <w:t> </w:t>
      </w:r>
      <w:r>
        <w:rPr>
          <w:spacing w:val="-2"/>
        </w:rPr>
        <w:t>大会审议通过了《西安环球印务股份有限公司第一期员工持股计划（草案）》及摘要、《关于提请股东大</w:t>
      </w:r>
      <w:r>
        <w:rPr>
          <w:spacing w:val="-38"/>
        </w:rPr>
        <w:t> </w:t>
      </w:r>
      <w:r>
        <w:rPr>
          <w:spacing w:val="-38"/>
        </w:rPr>
      </w:r>
      <w:r>
        <w:rPr>
          <w:spacing w:val="-2"/>
        </w:rPr>
        <w:t>会授权董事会办理公司员工持股计划相关事宜的议案》和《西安环球印务股份有限公司第一期员工持股计</w:t>
      </w:r>
      <w:r>
        <w:rPr>
          <w:spacing w:val="-33"/>
        </w:rPr>
        <w:t> </w:t>
      </w:r>
      <w:r>
        <w:rPr>
          <w:spacing w:val="-33"/>
        </w:rPr>
      </w:r>
      <w:r>
        <w:rPr/>
        <w:t>划管理办法》，具体内容详见公司于</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3</w:t>
      </w:r>
      <w:r>
        <w:rPr/>
        <w:t>日和</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27</w:t>
      </w:r>
      <w:r>
        <w:rPr/>
        <w:t>日披露于指定信息披露媒体上的相关公</w:t>
      </w:r>
      <w:r>
        <w:rPr>
          <w:w w:val="100"/>
        </w:rPr>
        <w:t> </w:t>
      </w:r>
      <w:r>
        <w:rPr/>
        <w:t>告。参与本次员工持股计划的员工总人数为</w:t>
      </w:r>
      <w:r>
        <w:rPr>
          <w:rFonts w:ascii="宋体" w:hAnsi="宋体" w:cs="宋体" w:eastAsia="宋体" w:hint="default"/>
        </w:rPr>
        <w:t>91</w:t>
      </w:r>
      <w:r>
        <w:rPr/>
        <w:t>人，员工实际缴款金额为</w:t>
      </w:r>
      <w:r>
        <w:rPr>
          <w:rFonts w:ascii="宋体" w:hAnsi="宋体" w:cs="宋体" w:eastAsia="宋体" w:hint="default"/>
        </w:rPr>
        <w:t>1,750.00</w:t>
      </w:r>
      <w:r>
        <w:rPr/>
        <w:t>万元，截至</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31</w:t>
      </w:r>
      <w:r>
        <w:rPr>
          <w:rFonts w:ascii="宋体" w:hAnsi="宋体" w:cs="宋体" w:eastAsia="宋体" w:hint="default"/>
          <w:w w:val="100"/>
        </w:rPr>
        <w:t> </w:t>
      </w:r>
      <w:r>
        <w:rPr>
          <w:spacing w:val="-2"/>
        </w:rPr>
        <w:t>日公司第一期员工持股计划通过二级市场累计买入公司股票</w:t>
      </w:r>
      <w:r>
        <w:rPr>
          <w:rFonts w:ascii="宋体" w:hAnsi="宋体" w:cs="宋体" w:eastAsia="宋体" w:hint="default"/>
          <w:spacing w:val="-2"/>
        </w:rPr>
        <w:t>1,431,350</w:t>
      </w:r>
      <w:r>
        <w:rPr>
          <w:spacing w:val="-2"/>
        </w:rPr>
        <w:t>股，占公司总股本的</w:t>
      </w:r>
      <w:r>
        <w:rPr>
          <w:rFonts w:ascii="宋体" w:hAnsi="宋体" w:cs="宋体" w:eastAsia="宋体" w:hint="default"/>
          <w:spacing w:val="-2"/>
        </w:rPr>
        <w:t>0.95%</w:t>
      </w:r>
      <w:r>
        <w:rPr>
          <w:spacing w:val="-2"/>
        </w:rPr>
        <w:t>，至此公</w:t>
      </w:r>
      <w:r>
        <w:rPr>
          <w:spacing w:val="-17"/>
        </w:rPr>
        <w:t> </w:t>
      </w:r>
      <w:r>
        <w:rPr>
          <w:spacing w:val="-17"/>
        </w:rPr>
      </w:r>
      <w:r>
        <w:rPr/>
        <w:t>司本次员工持股计划已经完成股票购买。</w:t>
      </w:r>
    </w:p>
    <w:p>
      <w:pPr>
        <w:pStyle w:val="BodyText"/>
        <w:spacing w:line="312" w:lineRule="auto" w:before="22"/>
        <w:ind w:right="1122" w:firstLine="422"/>
        <w:jc w:val="left"/>
      </w:pPr>
      <w:r>
        <w:rPr/>
        <w:t>公司分别于</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27</w:t>
      </w:r>
      <w:r>
        <w:rPr/>
        <w:t>日、</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24</w:t>
      </w:r>
      <w:r>
        <w:rPr/>
        <w:t>日、</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27</w:t>
      </w:r>
      <w:r>
        <w:rPr/>
        <w:t>日、</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26</w:t>
      </w:r>
      <w:r>
        <w:rPr/>
        <w:t>日在指定信息披露媒</w:t>
      </w:r>
      <w:r>
        <w:rPr>
          <w:w w:val="100"/>
        </w:rPr>
        <w:t> </w:t>
      </w:r>
      <w:r>
        <w:rPr>
          <w:spacing w:val="-11"/>
          <w:w w:val="100"/>
        </w:rPr>
        <w:t>体上披露了《关于第一期员工持股计划的进展公告》（公告编号：</w:t>
      </w:r>
      <w:r>
        <w:rPr>
          <w:rFonts w:ascii="宋体" w:hAnsi="宋体" w:cs="宋体" w:eastAsia="宋体" w:hint="default"/>
          <w:spacing w:val="-11"/>
          <w:w w:val="100"/>
        </w:rPr>
        <w:t>2018-064</w:t>
      </w:r>
      <w:r>
        <w:rPr>
          <w:spacing w:val="-11"/>
          <w:w w:val="100"/>
        </w:rPr>
        <w:t>、</w:t>
      </w:r>
      <w:r>
        <w:rPr>
          <w:rFonts w:ascii="宋体" w:hAnsi="宋体" w:cs="宋体" w:eastAsia="宋体" w:hint="default"/>
          <w:spacing w:val="-11"/>
          <w:w w:val="100"/>
        </w:rPr>
        <w:t>2018-071</w:t>
      </w:r>
      <w:r>
        <w:rPr>
          <w:spacing w:val="-11"/>
          <w:w w:val="100"/>
        </w:rPr>
        <w:t>、</w:t>
      </w:r>
      <w:r>
        <w:rPr>
          <w:rFonts w:ascii="宋体" w:hAnsi="宋体" w:cs="宋体" w:eastAsia="宋体" w:hint="default"/>
          <w:spacing w:val="-11"/>
          <w:w w:val="100"/>
        </w:rPr>
        <w:t>2018-073</w:t>
      </w:r>
      <w:r>
        <w:rPr>
          <w:spacing w:val="-11"/>
          <w:w w:val="100"/>
        </w:rPr>
        <w:t>、</w:t>
      </w:r>
      <w:r>
        <w:rPr>
          <w:rFonts w:ascii="宋体" w:hAnsi="宋体" w:cs="宋体" w:eastAsia="宋体" w:hint="default"/>
          <w:spacing w:val="-11"/>
          <w:w w:val="100"/>
        </w:rPr>
        <w:t>2018-074</w:t>
      </w:r>
      <w:r>
        <w:rPr>
          <w:spacing w:val="-11"/>
          <w:w w:val="100"/>
        </w:rPr>
        <w:t>；</w:t>
      </w:r>
      <w:r>
        <w:rPr>
          <w:spacing w:val="-100"/>
          <w:w w:val="100"/>
        </w:rPr>
        <w:t> </w:t>
      </w:r>
      <w:r>
        <w:rPr>
          <w:spacing w:val="-2"/>
        </w:rPr>
        <w:t>公司于</w:t>
      </w:r>
      <w:r>
        <w:rPr>
          <w:rFonts w:ascii="宋体" w:hAnsi="宋体" w:cs="宋体" w:eastAsia="宋体" w:hint="default"/>
          <w:spacing w:val="-2"/>
        </w:rPr>
        <w:t>2019</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w:t>
      </w:r>
      <w:r>
        <w:rPr>
          <w:spacing w:val="-2"/>
        </w:rPr>
        <w:t>日在指定信息披露媒体上披露了《关于第一期员工持股计划完成股票购买的公告》（公</w:t>
      </w:r>
      <w:r>
        <w:rPr>
          <w:spacing w:val="-27"/>
        </w:rPr>
        <w:t> </w:t>
      </w:r>
      <w:r>
        <w:rPr>
          <w:spacing w:val="-27"/>
        </w:rPr>
      </w:r>
      <w:r>
        <w:rPr/>
        <w:t>告编号：</w:t>
      </w:r>
      <w:r>
        <w:rPr>
          <w:rFonts w:ascii="宋体" w:hAnsi="宋体" w:cs="宋体" w:eastAsia="宋体" w:hint="default"/>
        </w:rPr>
        <w:t>2019-007</w:t>
      </w:r>
      <w:r>
        <w:rPr/>
        <w:t>）。</w:t>
      </w:r>
    </w:p>
    <w:p>
      <w:pPr>
        <w:pStyle w:val="BodyText"/>
        <w:spacing w:line="314" w:lineRule="auto" w:before="22"/>
        <w:ind w:right="1125" w:firstLine="422"/>
        <w:jc w:val="left"/>
      </w:pPr>
      <w:r>
        <w:rPr/>
        <w:t>公司第一期员工持股计划所购买的股票锁定期为</w:t>
      </w:r>
      <w:r>
        <w:rPr>
          <w:rFonts w:ascii="宋体" w:hAnsi="宋体" w:cs="宋体" w:eastAsia="宋体" w:hint="default"/>
        </w:rPr>
        <w:t>12</w:t>
      </w:r>
      <w:r>
        <w:rPr/>
        <w:t>个月，于</w:t>
      </w:r>
      <w:r>
        <w:rPr>
          <w:rFonts w:ascii="宋体" w:hAnsi="宋体" w:cs="宋体" w:eastAsia="宋体" w:hint="default"/>
        </w:rPr>
        <w:t>2020</w:t>
      </w:r>
      <w:r>
        <w:rPr/>
        <w:t>年</w:t>
      </w:r>
      <w:r>
        <w:rPr>
          <w:rFonts w:ascii="宋体" w:hAnsi="宋体" w:cs="宋体" w:eastAsia="宋体" w:hint="default"/>
        </w:rPr>
        <w:t>1</w:t>
      </w:r>
      <w:r>
        <w:rPr/>
        <w:t>月</w:t>
      </w:r>
      <w:r>
        <w:rPr>
          <w:rFonts w:ascii="宋体" w:hAnsi="宋体" w:cs="宋体" w:eastAsia="宋体" w:hint="default"/>
        </w:rPr>
        <w:t>30</w:t>
      </w:r>
      <w:r>
        <w:rPr/>
        <w:t>日锁定期届满，锁定期届满</w:t>
      </w:r>
      <w:r>
        <w:rPr>
          <w:w w:val="100"/>
        </w:rPr>
        <w:t> </w:t>
      </w:r>
      <w:r>
        <w:rPr>
          <w:spacing w:val="-2"/>
        </w:rPr>
        <w:t>的提示性公告详见</w:t>
      </w:r>
      <w:r>
        <w:rPr>
          <w:rFonts w:ascii="宋体" w:hAnsi="宋体" w:cs="宋体" w:eastAsia="宋体" w:hint="default"/>
          <w:spacing w:val="-2"/>
        </w:rPr>
        <w:t>2020</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4</w:t>
      </w:r>
      <w:r>
        <w:rPr>
          <w:spacing w:val="-2"/>
        </w:rPr>
        <w:t>日在指定信息披露媒体披露的《关于公司第一期员工持股计划锁定期届满的</w:t>
      </w:r>
      <w:r>
        <w:rPr>
          <w:spacing w:val="-27"/>
        </w:rPr>
        <w:t> </w:t>
      </w:r>
      <w:r>
        <w:rPr>
          <w:spacing w:val="-27"/>
        </w:rPr>
      </w:r>
      <w:r>
        <w:rPr/>
        <w:t>公告》（公告编号：</w:t>
      </w:r>
      <w:r>
        <w:rPr>
          <w:rFonts w:ascii="宋体" w:hAnsi="宋体" w:cs="宋体" w:eastAsia="宋体" w:hint="default"/>
        </w:rPr>
        <w:t>2020-001</w:t>
      </w:r>
      <w:r>
        <w:rPr/>
        <w:t>）。</w:t>
      </w:r>
    </w:p>
    <w:p>
      <w:pPr>
        <w:pStyle w:val="BodyText"/>
        <w:spacing w:line="314" w:lineRule="auto" w:before="15"/>
        <w:ind w:right="1027" w:firstLine="422"/>
        <w:jc w:val="left"/>
      </w:pPr>
      <w:r>
        <w:rPr/>
        <w:t>公司于员工持股计划存续期届满前六个月发布了存续期即将届满的提示性公告，详见</w:t>
      </w:r>
      <w:r>
        <w:rPr>
          <w:rFonts w:ascii="宋体" w:hAnsi="宋体" w:cs="宋体" w:eastAsia="宋体" w:hint="default"/>
        </w:rPr>
        <w:t>2020</w:t>
      </w:r>
      <w:r>
        <w:rPr/>
        <w:t>年</w:t>
      </w:r>
      <w:r>
        <w:rPr>
          <w:rFonts w:ascii="宋体" w:hAnsi="宋体" w:cs="宋体" w:eastAsia="宋体" w:hint="default"/>
        </w:rPr>
        <w:t>2</w:t>
      </w:r>
      <w:r>
        <w:rPr/>
        <w:t>月</w:t>
      </w:r>
      <w:r>
        <w:rPr>
          <w:rFonts w:ascii="宋体" w:hAnsi="宋体" w:cs="宋体" w:eastAsia="宋体" w:hint="default"/>
        </w:rPr>
        <w:t>25</w:t>
      </w:r>
      <w:r>
        <w:rPr/>
        <w:t>日</w:t>
      </w:r>
      <w:r>
        <w:rPr>
          <w:w w:val="100"/>
        </w:rPr>
        <w:t> </w:t>
      </w:r>
      <w:r>
        <w:rPr/>
        <w:t>在指定信息披露媒体披露的《关于公司第一期员工持股计划存续期即将届满的提示性公告》（公告编号：</w:t>
      </w:r>
      <w:r>
        <w:rPr>
          <w:spacing w:val="-33"/>
        </w:rPr>
        <w:t> </w:t>
      </w:r>
      <w:r>
        <w:rPr>
          <w:spacing w:val="-33"/>
        </w:rPr>
      </w:r>
      <w:r>
        <w:rPr>
          <w:rFonts w:ascii="宋体" w:hAnsi="宋体" w:cs="宋体" w:eastAsia="宋体" w:hint="default"/>
        </w:rPr>
        <w:t>2020-002</w:t>
      </w:r>
      <w:r>
        <w:rPr/>
        <w:t>）。</w:t>
      </w:r>
    </w:p>
    <w:p>
      <w:pPr>
        <w:pStyle w:val="BodyText"/>
        <w:spacing w:line="240" w:lineRule="auto"/>
        <w:ind w:left="575" w:right="0"/>
        <w:jc w:val="left"/>
      </w:pPr>
      <w:r>
        <w:rPr/>
        <w:t>公司将按照相关法律法规的规定及时履行后续信息披露义务。</w:t>
      </w:r>
    </w:p>
    <w:p>
      <w:pPr>
        <w:spacing w:after="0" w:line="240" w:lineRule="auto"/>
        <w:jc w:val="left"/>
        <w:sectPr>
          <w:pgSz w:w="11910" w:h="16840"/>
          <w:pgMar w:header="0" w:footer="979" w:top="1100" w:bottom="1160" w:left="980" w:right="0"/>
        </w:sectPr>
      </w:pPr>
    </w:p>
    <w:p>
      <w:pPr>
        <w:pStyle w:val="Heading2"/>
        <w:spacing w:line="240" w:lineRule="auto" w:before="13"/>
        <w:ind w:left="460" w:right="0"/>
        <w:jc w:val="left"/>
        <w:rPr>
          <w:b w:val="0"/>
          <w:bCs w:val="0"/>
        </w:rPr>
      </w:pPr>
      <w:r>
        <w:rPr/>
        <w:pict>
          <v:group style="position:absolute;margin-left:70.584pt;margin-top:1.825654pt;width:701pt;height:.1pt;mso-position-horizontal-relative:page;mso-position-vertical-relative:paragraph;z-index:-957400" coordorigin="1412,37" coordsize="14020,2">
            <v:shape style="position:absolute;left:1412;top:37;width:14020;height:2" coordorigin="1412,37" coordsize="14020,0" path="m1412,37l15431,37e" filled="false" stroked="true" strokeweight=".72pt" strokecolor="#000000">
              <v:path arrowok="t"/>
            </v:shape>
            <w10:wrap type="none"/>
          </v:group>
        </w:pict>
      </w:r>
      <w:bookmarkStart w:name="十六、重大关联交易" w:id="81"/>
      <w:bookmarkEnd w:id="81"/>
      <w:r>
        <w:rPr>
          <w:b w:val="0"/>
          <w:bCs w:val="0"/>
        </w:rPr>
      </w:r>
      <w:r>
        <w:rPr/>
        <w:t>十六、重大关联交易</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left="460" w:right="0"/>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
        <w:rPr>
          <w:rFonts w:ascii="宋体" w:hAnsi="宋体" w:cs="宋体" w:eastAsia="宋体" w:hint="default"/>
          <w:b/>
          <w:bCs/>
          <w:sz w:val="27"/>
          <w:szCs w:val="27"/>
        </w:rPr>
      </w:pPr>
    </w:p>
    <w:p>
      <w:pPr>
        <w:spacing w:before="0"/>
        <w:ind w:left="46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0"/>
        <w:ind w:left="0" w:right="106" w:firstLine="0"/>
        <w:jc w:val="right"/>
        <w:rPr>
          <w:rFonts w:ascii="宋体" w:hAnsi="宋体" w:cs="宋体" w:eastAsia="宋体" w:hint="default"/>
          <w:sz w:val="18"/>
          <w:szCs w:val="18"/>
        </w:rPr>
      </w:pPr>
      <w:r>
        <w:rPr/>
        <w:pict>
          <v:shape style="position:absolute;margin-left:54.023998pt;margin-top:-85.538292pt;width:734.15pt;height:330.6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71"/>
                    <w:gridCol w:w="994"/>
                    <w:gridCol w:w="994"/>
                    <w:gridCol w:w="1037"/>
                    <w:gridCol w:w="994"/>
                    <w:gridCol w:w="984"/>
                    <w:gridCol w:w="984"/>
                    <w:gridCol w:w="984"/>
                    <w:gridCol w:w="989"/>
                    <w:gridCol w:w="985"/>
                    <w:gridCol w:w="984"/>
                    <w:gridCol w:w="984"/>
                    <w:gridCol w:w="979"/>
                    <w:gridCol w:w="1604"/>
                  </w:tblGrid>
                  <w:tr>
                    <w:trPr>
                      <w:trHeight w:val="716" w:hRule="exact"/>
                    </w:trPr>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403" w:right="36" w:hanging="360"/>
                          <w:jc w:val="left"/>
                          <w:rPr>
                            <w:rFonts w:ascii="宋体" w:hAnsi="宋体" w:cs="宋体" w:eastAsia="宋体" w:hint="default"/>
                            <w:sz w:val="18"/>
                            <w:szCs w:val="18"/>
                          </w:rPr>
                        </w:pPr>
                        <w:r>
                          <w:rPr>
                            <w:rFonts w:ascii="宋体" w:hAnsi="宋体" w:cs="宋体" w:eastAsia="宋体" w:hint="default"/>
                            <w:spacing w:val="-2"/>
                            <w:sz w:val="18"/>
                            <w:szCs w:val="18"/>
                          </w:rPr>
                          <w:t>关联交易类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型</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422" w:right="60" w:hanging="360"/>
                          <w:jc w:val="left"/>
                          <w:rPr>
                            <w:rFonts w:ascii="宋体" w:hAnsi="宋体" w:cs="宋体" w:eastAsia="宋体" w:hint="default"/>
                            <w:sz w:val="18"/>
                            <w:szCs w:val="18"/>
                          </w:rPr>
                        </w:pPr>
                        <w:r>
                          <w:rPr>
                            <w:rFonts w:ascii="宋体" w:hAnsi="宋体" w:cs="宋体" w:eastAsia="宋体" w:hint="default"/>
                            <w:spacing w:val="-2"/>
                            <w:sz w:val="18"/>
                            <w:szCs w:val="18"/>
                          </w:rPr>
                          <w:t>关联交易内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15" w:right="41" w:hanging="178"/>
                          <w:jc w:val="left"/>
                          <w:rPr>
                            <w:rFonts w:ascii="宋体" w:hAnsi="宋体" w:cs="宋体" w:eastAsia="宋体" w:hint="default"/>
                            <w:sz w:val="18"/>
                            <w:szCs w:val="18"/>
                          </w:rPr>
                        </w:pPr>
                        <w:r>
                          <w:rPr>
                            <w:rFonts w:ascii="宋体" w:hAnsi="宋体" w:cs="宋体" w:eastAsia="宋体" w:hint="default"/>
                            <w:spacing w:val="-2"/>
                            <w:sz w:val="18"/>
                            <w:szCs w:val="18"/>
                          </w:rPr>
                          <w:t>关联交易定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价原则</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398" w:right="31" w:hanging="360"/>
                          <w:jc w:val="left"/>
                          <w:rPr>
                            <w:rFonts w:ascii="宋体" w:hAnsi="宋体" w:cs="宋体" w:eastAsia="宋体" w:hint="default"/>
                            <w:sz w:val="18"/>
                            <w:szCs w:val="18"/>
                          </w:rPr>
                        </w:pPr>
                        <w:r>
                          <w:rPr>
                            <w:rFonts w:ascii="宋体" w:hAnsi="宋体" w:cs="宋体" w:eastAsia="宋体" w:hint="default"/>
                            <w:spacing w:val="-2"/>
                            <w:sz w:val="18"/>
                            <w:szCs w:val="18"/>
                          </w:rPr>
                          <w:t>关联交易价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格</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38" w:right="31"/>
                          <w:jc w:val="left"/>
                          <w:rPr>
                            <w:rFonts w:ascii="宋体" w:hAnsi="宋体" w:cs="宋体" w:eastAsia="宋体" w:hint="default"/>
                            <w:sz w:val="18"/>
                            <w:szCs w:val="18"/>
                          </w:rPr>
                        </w:pPr>
                        <w:r>
                          <w:rPr>
                            <w:rFonts w:ascii="宋体" w:hAnsi="宋体" w:cs="宋体" w:eastAsia="宋体" w:hint="default"/>
                            <w:spacing w:val="-2"/>
                            <w:sz w:val="18"/>
                            <w:szCs w:val="18"/>
                          </w:rPr>
                          <w:t>关联交易金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额（万元）</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38" w:right="31"/>
                          <w:jc w:val="left"/>
                          <w:rPr>
                            <w:rFonts w:ascii="宋体" w:hAnsi="宋体" w:cs="宋体" w:eastAsia="宋体" w:hint="default"/>
                            <w:sz w:val="18"/>
                            <w:szCs w:val="18"/>
                          </w:rPr>
                        </w:pPr>
                        <w:r>
                          <w:rPr>
                            <w:rFonts w:ascii="宋体" w:hAnsi="宋体" w:cs="宋体" w:eastAsia="宋体" w:hint="default"/>
                            <w:spacing w:val="-2"/>
                            <w:sz w:val="18"/>
                            <w:szCs w:val="18"/>
                          </w:rPr>
                          <w:t>占同类交易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金额的比例</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3" w:right="36" w:firstLine="14"/>
                          <w:jc w:val="left"/>
                          <w:rPr>
                            <w:rFonts w:ascii="宋体" w:hAnsi="宋体" w:cs="宋体" w:eastAsia="宋体" w:hint="default"/>
                            <w:sz w:val="18"/>
                            <w:szCs w:val="18"/>
                          </w:rPr>
                        </w:pPr>
                        <w:r>
                          <w:rPr>
                            <w:rFonts w:ascii="宋体" w:hAnsi="宋体" w:cs="宋体" w:eastAsia="宋体" w:hint="default"/>
                            <w:spacing w:val="-2"/>
                            <w:sz w:val="18"/>
                            <w:szCs w:val="18"/>
                          </w:rPr>
                          <w:t>获批的交易</w:t>
                        </w:r>
                        <w:r>
                          <w:rPr>
                            <w:rFonts w:ascii="宋体" w:hAnsi="宋体" w:cs="宋体" w:eastAsia="宋体" w:hint="default"/>
                            <w:w w:val="101"/>
                            <w:sz w:val="18"/>
                            <w:szCs w:val="18"/>
                          </w:rPr>
                          <w:t> </w:t>
                        </w:r>
                        <w:r>
                          <w:rPr>
                            <w:rFonts w:ascii="宋体" w:hAnsi="宋体" w:cs="宋体" w:eastAsia="宋体" w:hint="default"/>
                            <w:spacing w:val="-14"/>
                            <w:sz w:val="18"/>
                            <w:szCs w:val="18"/>
                          </w:rPr>
                          <w:t>额度（万元</w:t>
                        </w:r>
                      </w:p>
                    </w:tc>
                    <w:tc>
                      <w:tcPr>
                        <w:tcW w:w="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 w:right="0"/>
                          <w:jc w:val="left"/>
                          <w:rPr>
                            <w:rFonts w:ascii="宋体" w:hAnsi="宋体" w:cs="宋体" w:eastAsia="宋体" w:hint="default"/>
                            <w:sz w:val="18"/>
                            <w:szCs w:val="18"/>
                          </w:rPr>
                        </w:pPr>
                        <w:r>
                          <w:rPr>
                            <w:rFonts w:ascii="宋体" w:hAnsi="宋体" w:cs="宋体" w:eastAsia="宋体" w:hint="default"/>
                            <w:sz w:val="18"/>
                            <w:szCs w:val="18"/>
                          </w:rPr>
                          <w:t>是否超过获</w:t>
                        </w:r>
                      </w:p>
                      <w:p>
                        <w:pPr>
                          <w:pStyle w:val="TableParagraph"/>
                          <w:spacing w:line="240" w:lineRule="auto" w:before="81"/>
                          <w:ind w:left="-12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7"/>
                            <w:sz w:val="18"/>
                            <w:szCs w:val="18"/>
                          </w:rPr>
                          <w:t> </w:t>
                        </w:r>
                        <w:r>
                          <w:rPr>
                            <w:rFonts w:ascii="宋体" w:hAnsi="宋体" w:cs="宋体" w:eastAsia="宋体" w:hint="default"/>
                            <w:sz w:val="18"/>
                            <w:szCs w:val="18"/>
                          </w:rPr>
                          <w:t>批额度</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20" w:right="31" w:hanging="183"/>
                          <w:jc w:val="left"/>
                          <w:rPr>
                            <w:rFonts w:ascii="宋体" w:hAnsi="宋体" w:cs="宋体" w:eastAsia="宋体" w:hint="default"/>
                            <w:sz w:val="18"/>
                            <w:szCs w:val="18"/>
                          </w:rPr>
                        </w:pPr>
                        <w:r>
                          <w:rPr>
                            <w:rFonts w:ascii="宋体" w:hAnsi="宋体" w:cs="宋体" w:eastAsia="宋体" w:hint="default"/>
                            <w:spacing w:val="-2"/>
                            <w:sz w:val="18"/>
                            <w:szCs w:val="18"/>
                          </w:rPr>
                          <w:t>关联交易结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算方式</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38" w:right="31"/>
                          <w:jc w:val="left"/>
                          <w:rPr>
                            <w:rFonts w:ascii="宋体" w:hAnsi="宋体" w:cs="宋体" w:eastAsia="宋体" w:hint="default"/>
                            <w:sz w:val="18"/>
                            <w:szCs w:val="18"/>
                          </w:rPr>
                        </w:pPr>
                        <w:r>
                          <w:rPr>
                            <w:rFonts w:ascii="宋体" w:hAnsi="宋体" w:cs="宋体" w:eastAsia="宋体" w:hint="default"/>
                            <w:spacing w:val="-2"/>
                            <w:sz w:val="18"/>
                            <w:szCs w:val="18"/>
                          </w:rPr>
                          <w:t>可获得的同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类交易市价</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4"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20" w:right="36" w:hanging="183"/>
                          <w:jc w:val="left"/>
                          <w:rPr>
                            <w:rFonts w:ascii="宋体" w:hAnsi="宋体" w:cs="宋体" w:eastAsia="宋体" w:hint="default"/>
                            <w:sz w:val="18"/>
                            <w:szCs w:val="18"/>
                          </w:rPr>
                        </w:pPr>
                        <w:r>
                          <w:rPr>
                            <w:rFonts w:ascii="宋体" w:hAnsi="宋体" w:cs="宋体" w:eastAsia="宋体" w:hint="default"/>
                            <w:spacing w:val="-2"/>
                            <w:sz w:val="18"/>
                            <w:szCs w:val="18"/>
                          </w:rPr>
                          <w:t>西安杨森制药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129" w:right="36" w:hanging="87"/>
                          <w:jc w:val="left"/>
                          <w:rPr>
                            <w:rFonts w:ascii="宋体" w:hAnsi="宋体" w:cs="宋体" w:eastAsia="宋体" w:hint="default"/>
                            <w:sz w:val="18"/>
                            <w:szCs w:val="18"/>
                          </w:rPr>
                        </w:pPr>
                        <w:r>
                          <w:rPr>
                            <w:rFonts w:ascii="宋体" w:hAnsi="宋体" w:cs="宋体" w:eastAsia="宋体" w:hint="default"/>
                            <w:spacing w:val="-2"/>
                            <w:sz w:val="18"/>
                            <w:szCs w:val="18"/>
                          </w:rPr>
                          <w:t>受控股股东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重大影响</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9" w:right="0"/>
                          <w:jc w:val="left"/>
                          <w:rPr>
                            <w:rFonts w:ascii="宋体" w:hAnsi="宋体" w:cs="宋体" w:eastAsia="宋体" w:hint="default"/>
                            <w:sz w:val="18"/>
                            <w:szCs w:val="18"/>
                          </w:rPr>
                        </w:pPr>
                        <w:r>
                          <w:rPr>
                            <w:rFonts w:ascii="宋体" w:hAnsi="宋体" w:cs="宋体" w:eastAsia="宋体" w:hint="default"/>
                            <w:sz w:val="18"/>
                            <w:szCs w:val="18"/>
                          </w:rPr>
                          <w:t>销售货物</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62" w:right="60"/>
                          <w:jc w:val="center"/>
                          <w:rPr>
                            <w:rFonts w:ascii="宋体" w:hAnsi="宋体" w:cs="宋体" w:eastAsia="宋体" w:hint="default"/>
                            <w:sz w:val="18"/>
                            <w:szCs w:val="18"/>
                          </w:rPr>
                        </w:pPr>
                        <w:r>
                          <w:rPr>
                            <w:rFonts w:ascii="宋体" w:hAnsi="宋体" w:cs="宋体" w:eastAsia="宋体" w:hint="default"/>
                            <w:spacing w:val="-2"/>
                            <w:sz w:val="18"/>
                            <w:szCs w:val="18"/>
                          </w:rPr>
                          <w:t>销售医药折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叠纸盒及瓦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楞纸箱</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15" w:right="41" w:hanging="178"/>
                          <w:jc w:val="left"/>
                          <w:rPr>
                            <w:rFonts w:ascii="宋体" w:hAnsi="宋体" w:cs="宋体" w:eastAsia="宋体" w:hint="default"/>
                            <w:sz w:val="18"/>
                            <w:szCs w:val="18"/>
                          </w:rPr>
                        </w:pPr>
                        <w:r>
                          <w:rPr>
                            <w:rFonts w:ascii="宋体" w:hAnsi="宋体" w:cs="宋体" w:eastAsia="宋体" w:hint="default"/>
                            <w:spacing w:val="-2"/>
                            <w:sz w:val="18"/>
                            <w:szCs w:val="18"/>
                          </w:rPr>
                          <w:t>参照市场水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平定价</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20" w:right="31" w:hanging="183"/>
                          <w:jc w:val="left"/>
                          <w:rPr>
                            <w:rFonts w:ascii="宋体" w:hAnsi="宋体" w:cs="宋体" w:eastAsia="宋体" w:hint="default"/>
                            <w:sz w:val="18"/>
                            <w:szCs w:val="18"/>
                          </w:rPr>
                        </w:pPr>
                        <w:r>
                          <w:rPr>
                            <w:rFonts w:ascii="宋体" w:hAnsi="宋体" w:cs="宋体" w:eastAsia="宋体" w:hint="default"/>
                            <w:spacing w:val="-2"/>
                            <w:sz w:val="18"/>
                            <w:szCs w:val="18"/>
                          </w:rPr>
                          <w:t>参照市场水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平定价</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6"/>
                          <w:jc w:val="right"/>
                          <w:rPr>
                            <w:rFonts w:ascii="Times New Roman" w:hAnsi="Times New Roman" w:cs="Times New Roman" w:eastAsia="Times New Roman" w:hint="default"/>
                            <w:sz w:val="18"/>
                            <w:szCs w:val="18"/>
                          </w:rPr>
                        </w:pPr>
                        <w:r>
                          <w:rPr>
                            <w:rFonts w:ascii="Times New Roman"/>
                            <w:spacing w:val="-1"/>
                            <w:sz w:val="18"/>
                          </w:rPr>
                          <w:t>1,300.56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2.53%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2,505.00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电汇</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6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8" w:right="26" w:firstLine="48"/>
                          <w:jc w:val="both"/>
                          <w:rPr>
                            <w:rFonts w:ascii="宋体" w:hAnsi="宋体" w:cs="宋体" w:eastAsia="宋体" w:hint="default"/>
                            <w:sz w:val="18"/>
                            <w:szCs w:val="18"/>
                          </w:rPr>
                        </w:pPr>
                        <w:r>
                          <w:rPr>
                            <w:rFonts w:ascii="宋体" w:hAnsi="宋体" w:cs="宋体" w:eastAsia="宋体" w:hint="default"/>
                            <w:sz w:val="18"/>
                            <w:szCs w:val="18"/>
                          </w:rPr>
                          <w:t>《西安环球印务股</w:t>
                        </w:r>
                        <w:r>
                          <w:rPr>
                            <w:rFonts w:ascii="宋体" w:hAnsi="宋体" w:cs="宋体" w:eastAsia="宋体" w:hint="default"/>
                            <w:w w:val="101"/>
                            <w:sz w:val="18"/>
                            <w:szCs w:val="18"/>
                          </w:rPr>
                          <w:t> </w:t>
                        </w:r>
                        <w:r>
                          <w:rPr>
                            <w:rFonts w:ascii="宋体" w:hAnsi="宋体" w:cs="宋体" w:eastAsia="宋体" w:hint="default"/>
                            <w:sz w:val="18"/>
                            <w:szCs w:val="18"/>
                          </w:rPr>
                          <w:t>份有限公司关于预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年度日常关</w:t>
                        </w:r>
                        <w:r>
                          <w:rPr>
                            <w:rFonts w:ascii="宋体" w:hAnsi="宋体" w:cs="宋体" w:eastAsia="宋体" w:hint="default"/>
                            <w:w w:val="101"/>
                            <w:sz w:val="18"/>
                            <w:szCs w:val="18"/>
                          </w:rPr>
                          <w:t> </w:t>
                        </w:r>
                        <w:r>
                          <w:rPr>
                            <w:rFonts w:ascii="宋体" w:hAnsi="宋体" w:cs="宋体" w:eastAsia="宋体" w:hint="default"/>
                            <w:sz w:val="18"/>
                            <w:szCs w:val="18"/>
                          </w:rPr>
                          <w:t>联交易额度的公告</w:t>
                        </w:r>
                      </w:p>
                      <w:p>
                        <w:pPr>
                          <w:pStyle w:val="TableParagraph"/>
                          <w:spacing w:line="240" w:lineRule="auto" w:before="24"/>
                          <w:ind w:right="0"/>
                          <w:jc w:val="center"/>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8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2019-016</w:t>
                        </w:r>
                        <w:r>
                          <w:rPr>
                            <w:rFonts w:ascii="宋体" w:hAnsi="宋体" w:cs="宋体" w:eastAsia="宋体" w:hint="default"/>
                            <w:sz w:val="18"/>
                            <w:szCs w:val="18"/>
                          </w:rPr>
                          <w:t>）</w:t>
                        </w:r>
                      </w:p>
                    </w:tc>
                  </w:tr>
                  <w:tr>
                    <w:trPr>
                      <w:trHeight w:val="1959"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0" w:right="36" w:hanging="183"/>
                          <w:jc w:val="left"/>
                          <w:rPr>
                            <w:rFonts w:ascii="宋体" w:hAnsi="宋体" w:cs="宋体" w:eastAsia="宋体" w:hint="default"/>
                            <w:sz w:val="18"/>
                            <w:szCs w:val="18"/>
                          </w:rPr>
                        </w:pPr>
                        <w:r>
                          <w:rPr>
                            <w:rFonts w:ascii="宋体" w:hAnsi="宋体" w:cs="宋体" w:eastAsia="宋体" w:hint="default"/>
                            <w:spacing w:val="-2"/>
                            <w:sz w:val="18"/>
                            <w:szCs w:val="18"/>
                          </w:rPr>
                          <w:t>西安海欣制药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9" w:right="36" w:hanging="87"/>
                          <w:jc w:val="left"/>
                          <w:rPr>
                            <w:rFonts w:ascii="宋体" w:hAnsi="宋体" w:cs="宋体" w:eastAsia="宋体" w:hint="default"/>
                            <w:sz w:val="18"/>
                            <w:szCs w:val="18"/>
                          </w:rPr>
                        </w:pPr>
                        <w:r>
                          <w:rPr>
                            <w:rFonts w:ascii="宋体" w:hAnsi="宋体" w:cs="宋体" w:eastAsia="宋体" w:hint="default"/>
                            <w:spacing w:val="-2"/>
                            <w:sz w:val="18"/>
                            <w:szCs w:val="18"/>
                          </w:rPr>
                          <w:t>受控股股东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重大影响</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9" w:right="0"/>
                          <w:jc w:val="left"/>
                          <w:rPr>
                            <w:rFonts w:ascii="宋体" w:hAnsi="宋体" w:cs="宋体" w:eastAsia="宋体" w:hint="default"/>
                            <w:sz w:val="18"/>
                            <w:szCs w:val="18"/>
                          </w:rPr>
                        </w:pPr>
                        <w:r>
                          <w:rPr>
                            <w:rFonts w:ascii="宋体" w:hAnsi="宋体" w:cs="宋体" w:eastAsia="宋体" w:hint="default"/>
                            <w:sz w:val="18"/>
                            <w:szCs w:val="18"/>
                          </w:rPr>
                          <w:t>销售货物</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2" w:right="60"/>
                          <w:jc w:val="center"/>
                          <w:rPr>
                            <w:rFonts w:ascii="宋体" w:hAnsi="宋体" w:cs="宋体" w:eastAsia="宋体" w:hint="default"/>
                            <w:sz w:val="18"/>
                            <w:szCs w:val="18"/>
                          </w:rPr>
                        </w:pPr>
                        <w:r>
                          <w:rPr>
                            <w:rFonts w:ascii="宋体" w:hAnsi="宋体" w:cs="宋体" w:eastAsia="宋体" w:hint="default"/>
                            <w:spacing w:val="-2"/>
                            <w:sz w:val="18"/>
                            <w:szCs w:val="18"/>
                          </w:rPr>
                          <w:t>销售医药折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叠纸盒及瓦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楞纸箱</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5" w:right="41" w:hanging="178"/>
                          <w:jc w:val="left"/>
                          <w:rPr>
                            <w:rFonts w:ascii="宋体" w:hAnsi="宋体" w:cs="宋体" w:eastAsia="宋体" w:hint="default"/>
                            <w:sz w:val="18"/>
                            <w:szCs w:val="18"/>
                          </w:rPr>
                        </w:pPr>
                        <w:r>
                          <w:rPr>
                            <w:rFonts w:ascii="宋体" w:hAnsi="宋体" w:cs="宋体" w:eastAsia="宋体" w:hint="default"/>
                            <w:spacing w:val="-2"/>
                            <w:sz w:val="18"/>
                            <w:szCs w:val="18"/>
                          </w:rPr>
                          <w:t>参照市场水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平定价</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0" w:right="31" w:hanging="183"/>
                          <w:jc w:val="left"/>
                          <w:rPr>
                            <w:rFonts w:ascii="宋体" w:hAnsi="宋体" w:cs="宋体" w:eastAsia="宋体" w:hint="default"/>
                            <w:sz w:val="18"/>
                            <w:szCs w:val="18"/>
                          </w:rPr>
                        </w:pPr>
                        <w:r>
                          <w:rPr>
                            <w:rFonts w:ascii="宋体" w:hAnsi="宋体" w:cs="宋体" w:eastAsia="宋体" w:hint="default"/>
                            <w:spacing w:val="-2"/>
                            <w:sz w:val="18"/>
                            <w:szCs w:val="18"/>
                          </w:rPr>
                          <w:t>参照市场水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平定价</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3"/>
                          <w:jc w:val="right"/>
                          <w:rPr>
                            <w:rFonts w:ascii="Times New Roman" w:hAnsi="Times New Roman" w:cs="Times New Roman" w:eastAsia="Times New Roman" w:hint="default"/>
                            <w:sz w:val="18"/>
                            <w:szCs w:val="18"/>
                          </w:rPr>
                        </w:pPr>
                        <w:r>
                          <w:rPr>
                            <w:rFonts w:ascii="Times New Roman"/>
                            <w:spacing w:val="-1"/>
                            <w:sz w:val="18"/>
                          </w:rPr>
                          <w:t>106.89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0.21%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150.00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电汇</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6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52" w:right="27" w:firstLine="24"/>
                          <w:jc w:val="both"/>
                          <w:rPr>
                            <w:rFonts w:ascii="宋体" w:hAnsi="宋体" w:cs="宋体" w:eastAsia="宋体" w:hint="default"/>
                            <w:sz w:val="18"/>
                            <w:szCs w:val="18"/>
                          </w:rPr>
                        </w:pPr>
                        <w:r>
                          <w:rPr>
                            <w:rFonts w:ascii="宋体" w:hAnsi="宋体" w:cs="宋体" w:eastAsia="宋体" w:hint="default"/>
                            <w:sz w:val="18"/>
                            <w:szCs w:val="18"/>
                          </w:rPr>
                          <w:t>西安环球印务股份</w:t>
                        </w:r>
                        <w:r>
                          <w:rPr>
                            <w:rFonts w:ascii="宋体" w:hAnsi="宋体" w:cs="宋体" w:eastAsia="宋体" w:hint="default"/>
                            <w:w w:val="101"/>
                            <w:sz w:val="18"/>
                            <w:szCs w:val="18"/>
                          </w:rPr>
                          <w:t> </w:t>
                        </w:r>
                        <w:r>
                          <w:rPr>
                            <w:rFonts w:ascii="宋体" w:hAnsi="宋体" w:cs="宋体" w:eastAsia="宋体" w:hint="default"/>
                            <w:sz w:val="18"/>
                            <w:szCs w:val="18"/>
                          </w:rPr>
                          <w:t>有限公司关于预计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年度日常关联</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交易额度的公告》</w:t>
                        </w:r>
                      </w:p>
                      <w:p>
                        <w:pPr>
                          <w:pStyle w:val="TableParagraph"/>
                          <w:spacing w:line="240" w:lineRule="auto" w:before="24"/>
                          <w:ind w:right="0"/>
                          <w:jc w:val="center"/>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8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2019-016</w:t>
                        </w:r>
                        <w:r>
                          <w:rPr>
                            <w:rFonts w:ascii="宋体" w:hAnsi="宋体" w:cs="宋体" w:eastAsia="宋体" w:hint="default"/>
                            <w:sz w:val="18"/>
                            <w:szCs w:val="18"/>
                          </w:rPr>
                          <w:t>）</w:t>
                        </w:r>
                      </w:p>
                    </w:tc>
                  </w:tr>
                  <w:tr>
                    <w:trPr>
                      <w:trHeight w:val="1964"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38" w:right="36"/>
                          <w:jc w:val="center"/>
                          <w:rPr>
                            <w:rFonts w:ascii="宋体" w:hAnsi="宋体" w:cs="宋体" w:eastAsia="宋体" w:hint="default"/>
                            <w:sz w:val="18"/>
                            <w:szCs w:val="18"/>
                          </w:rPr>
                        </w:pPr>
                        <w:r>
                          <w:rPr>
                            <w:rFonts w:ascii="宋体" w:hAnsi="宋体" w:cs="宋体" w:eastAsia="宋体" w:hint="default"/>
                            <w:spacing w:val="-2"/>
                            <w:sz w:val="18"/>
                            <w:szCs w:val="18"/>
                          </w:rPr>
                          <w:t>陕西孙思邈高</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新制药有限公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29" w:right="36" w:hanging="87"/>
                          <w:jc w:val="left"/>
                          <w:rPr>
                            <w:rFonts w:ascii="宋体" w:hAnsi="宋体" w:cs="宋体" w:eastAsia="宋体" w:hint="default"/>
                            <w:sz w:val="18"/>
                            <w:szCs w:val="18"/>
                          </w:rPr>
                        </w:pPr>
                        <w:r>
                          <w:rPr>
                            <w:rFonts w:ascii="宋体" w:hAnsi="宋体" w:cs="宋体" w:eastAsia="宋体" w:hint="default"/>
                            <w:spacing w:val="-2"/>
                            <w:sz w:val="18"/>
                            <w:szCs w:val="18"/>
                          </w:rPr>
                          <w:t>受控股股东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重大影响</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29" w:right="0"/>
                          <w:jc w:val="left"/>
                          <w:rPr>
                            <w:rFonts w:ascii="宋体" w:hAnsi="宋体" w:cs="宋体" w:eastAsia="宋体" w:hint="default"/>
                            <w:sz w:val="18"/>
                            <w:szCs w:val="18"/>
                          </w:rPr>
                        </w:pPr>
                        <w:r>
                          <w:rPr>
                            <w:rFonts w:ascii="宋体" w:hAnsi="宋体" w:cs="宋体" w:eastAsia="宋体" w:hint="default"/>
                            <w:sz w:val="18"/>
                            <w:szCs w:val="18"/>
                          </w:rPr>
                          <w:t>销售货物</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4" w:right="60" w:hanging="183"/>
                          <w:jc w:val="left"/>
                          <w:rPr>
                            <w:rFonts w:ascii="宋体" w:hAnsi="宋体" w:cs="宋体" w:eastAsia="宋体" w:hint="default"/>
                            <w:sz w:val="18"/>
                            <w:szCs w:val="18"/>
                          </w:rPr>
                        </w:pPr>
                        <w:r>
                          <w:rPr>
                            <w:rFonts w:ascii="宋体" w:hAnsi="宋体" w:cs="宋体" w:eastAsia="宋体" w:hint="default"/>
                            <w:spacing w:val="-2"/>
                            <w:sz w:val="18"/>
                            <w:szCs w:val="18"/>
                          </w:rPr>
                          <w:t>销售医药折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叠纸盒</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15" w:right="41" w:hanging="178"/>
                          <w:jc w:val="left"/>
                          <w:rPr>
                            <w:rFonts w:ascii="宋体" w:hAnsi="宋体" w:cs="宋体" w:eastAsia="宋体" w:hint="default"/>
                            <w:sz w:val="18"/>
                            <w:szCs w:val="18"/>
                          </w:rPr>
                        </w:pPr>
                        <w:r>
                          <w:rPr>
                            <w:rFonts w:ascii="宋体" w:hAnsi="宋体" w:cs="宋体" w:eastAsia="宋体" w:hint="default"/>
                            <w:spacing w:val="-2"/>
                            <w:sz w:val="18"/>
                            <w:szCs w:val="18"/>
                          </w:rPr>
                          <w:t>参照市场水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平定价</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20" w:right="31" w:hanging="183"/>
                          <w:jc w:val="left"/>
                          <w:rPr>
                            <w:rFonts w:ascii="宋体" w:hAnsi="宋体" w:cs="宋体" w:eastAsia="宋体" w:hint="default"/>
                            <w:sz w:val="18"/>
                            <w:szCs w:val="18"/>
                          </w:rPr>
                        </w:pPr>
                        <w:r>
                          <w:rPr>
                            <w:rFonts w:ascii="宋体" w:hAnsi="宋体" w:cs="宋体" w:eastAsia="宋体" w:hint="default"/>
                            <w:spacing w:val="-2"/>
                            <w:sz w:val="18"/>
                            <w:szCs w:val="18"/>
                          </w:rPr>
                          <w:t>参照市场水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平定价</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9.03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0.00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3"/>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电汇</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16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52" w:right="27" w:firstLine="24"/>
                          <w:jc w:val="both"/>
                          <w:rPr>
                            <w:rFonts w:ascii="宋体" w:hAnsi="宋体" w:cs="宋体" w:eastAsia="宋体" w:hint="default"/>
                            <w:sz w:val="18"/>
                            <w:szCs w:val="18"/>
                          </w:rPr>
                        </w:pPr>
                        <w:r>
                          <w:rPr>
                            <w:rFonts w:ascii="宋体" w:hAnsi="宋体" w:cs="宋体" w:eastAsia="宋体" w:hint="default"/>
                            <w:sz w:val="18"/>
                            <w:szCs w:val="18"/>
                          </w:rPr>
                          <w:t>西安环球印务股份</w:t>
                        </w:r>
                        <w:r>
                          <w:rPr>
                            <w:rFonts w:ascii="宋体" w:hAnsi="宋体" w:cs="宋体" w:eastAsia="宋体" w:hint="default"/>
                            <w:w w:val="101"/>
                            <w:sz w:val="18"/>
                            <w:szCs w:val="18"/>
                          </w:rPr>
                          <w:t> </w:t>
                        </w:r>
                        <w:r>
                          <w:rPr>
                            <w:rFonts w:ascii="宋体" w:hAnsi="宋体" w:cs="宋体" w:eastAsia="宋体" w:hint="default"/>
                            <w:sz w:val="18"/>
                            <w:szCs w:val="18"/>
                          </w:rPr>
                          <w:t>有限公司关于预计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年度日常关联</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交易额度的公告》</w:t>
                        </w:r>
                      </w:p>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8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2019-016</w:t>
                        </w: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headerReference w:type="default" r:id="rId17"/>
          <w:footerReference w:type="default" r:id="rId18"/>
          <w:pgSz w:w="16840" w:h="11910" w:orient="landscape"/>
          <w:pgMar w:header="460" w:footer="974" w:top="1060" w:bottom="1160" w:left="980" w:right="920"/>
          <w:pgNumType w:start="53"/>
        </w:sectPr>
      </w:pPr>
    </w:p>
    <w:p>
      <w:pPr>
        <w:spacing w:line="240" w:lineRule="auto" w:before="6"/>
        <w:rPr>
          <w:rFonts w:ascii="Times New Roman" w:hAnsi="Times New Roman" w:cs="Times New Roman" w:eastAsia="Times New Roman"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171"/>
        <w:gridCol w:w="994"/>
        <w:gridCol w:w="994"/>
        <w:gridCol w:w="1037"/>
        <w:gridCol w:w="994"/>
        <w:gridCol w:w="984"/>
        <w:gridCol w:w="984"/>
        <w:gridCol w:w="984"/>
        <w:gridCol w:w="989"/>
        <w:gridCol w:w="985"/>
        <w:gridCol w:w="984"/>
        <w:gridCol w:w="984"/>
        <w:gridCol w:w="979"/>
        <w:gridCol w:w="1604"/>
      </w:tblGrid>
      <w:tr>
        <w:trPr>
          <w:trHeight w:val="1978" w:hRule="exact"/>
        </w:trPr>
        <w:tc>
          <w:tcPr>
            <w:tcW w:w="117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38" w:right="36"/>
              <w:jc w:val="both"/>
              <w:rPr>
                <w:rFonts w:ascii="宋体" w:hAnsi="宋体" w:cs="宋体" w:eastAsia="宋体" w:hint="default"/>
                <w:sz w:val="18"/>
                <w:szCs w:val="18"/>
              </w:rPr>
            </w:pPr>
            <w:r>
              <w:rPr>
                <w:rFonts w:ascii="宋体" w:hAnsi="宋体" w:cs="宋体" w:eastAsia="宋体" w:hint="default"/>
                <w:spacing w:val="-2"/>
                <w:sz w:val="18"/>
                <w:szCs w:val="18"/>
              </w:rPr>
              <w:t>陕西医药控股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集团实业开发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有限责任公司</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20" w:right="36" w:hanging="178"/>
              <w:jc w:val="left"/>
              <w:rPr>
                <w:rFonts w:ascii="宋体" w:hAnsi="宋体" w:cs="宋体" w:eastAsia="宋体" w:hint="default"/>
                <w:sz w:val="18"/>
                <w:szCs w:val="18"/>
              </w:rPr>
            </w:pPr>
            <w:r>
              <w:rPr>
                <w:rFonts w:ascii="宋体" w:hAnsi="宋体" w:cs="宋体" w:eastAsia="宋体" w:hint="default"/>
                <w:spacing w:val="-2"/>
                <w:sz w:val="18"/>
                <w:szCs w:val="18"/>
              </w:rPr>
              <w:t>同受控股股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东控制</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0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62" w:right="60"/>
              <w:jc w:val="center"/>
              <w:rPr>
                <w:rFonts w:ascii="宋体" w:hAnsi="宋体" w:cs="宋体" w:eastAsia="宋体" w:hint="default"/>
                <w:sz w:val="18"/>
                <w:szCs w:val="18"/>
              </w:rPr>
            </w:pPr>
            <w:r>
              <w:rPr>
                <w:rFonts w:ascii="宋体" w:hAnsi="宋体" w:cs="宋体" w:eastAsia="宋体" w:hint="default"/>
                <w:spacing w:val="-2"/>
                <w:sz w:val="18"/>
                <w:szCs w:val="18"/>
              </w:rPr>
              <w:t>购买生产用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水和供暖用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蒸汽及其他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服务</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15" w:right="41" w:hanging="178"/>
              <w:jc w:val="left"/>
              <w:rPr>
                <w:rFonts w:ascii="宋体" w:hAnsi="宋体" w:cs="宋体" w:eastAsia="宋体" w:hint="default"/>
                <w:sz w:val="18"/>
                <w:szCs w:val="18"/>
              </w:rPr>
            </w:pPr>
            <w:r>
              <w:rPr>
                <w:rFonts w:ascii="宋体" w:hAnsi="宋体" w:cs="宋体" w:eastAsia="宋体" w:hint="default"/>
                <w:spacing w:val="-2"/>
                <w:sz w:val="18"/>
                <w:szCs w:val="18"/>
              </w:rPr>
              <w:t>参照市场水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平定价</w:t>
            </w:r>
          </w:p>
        </w:tc>
        <w:tc>
          <w:tcPr>
            <w:tcW w:w="9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20" w:right="31" w:hanging="183"/>
              <w:jc w:val="left"/>
              <w:rPr>
                <w:rFonts w:ascii="宋体" w:hAnsi="宋体" w:cs="宋体" w:eastAsia="宋体" w:hint="default"/>
                <w:sz w:val="18"/>
                <w:szCs w:val="18"/>
              </w:rPr>
            </w:pPr>
            <w:r>
              <w:rPr>
                <w:rFonts w:ascii="宋体" w:hAnsi="宋体" w:cs="宋体" w:eastAsia="宋体" w:hint="default"/>
                <w:spacing w:val="-2"/>
                <w:sz w:val="18"/>
                <w:szCs w:val="18"/>
              </w:rPr>
              <w:t>参照市场水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平定价</w:t>
            </w:r>
          </w:p>
        </w:tc>
        <w:tc>
          <w:tcPr>
            <w:tcW w:w="9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127.8</w:t>
            </w:r>
          </w:p>
        </w:tc>
        <w:tc>
          <w:tcPr>
            <w:tcW w:w="984" w:type="dxa"/>
            <w:tcBorders>
              <w:top w:val="single" w:sz="15" w:space="0" w:color="000000"/>
              <w:left w:val="single" w:sz="4" w:space="0" w:color="000000"/>
              <w:bottom w:val="single" w:sz="4" w:space="0" w:color="000000"/>
              <w:right w:val="single" w:sz="4" w:space="0" w:color="000000"/>
            </w:tcBorders>
          </w:tcPr>
          <w:p>
            <w:pPr/>
          </w:p>
        </w:tc>
        <w:tc>
          <w:tcPr>
            <w:tcW w:w="98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160.00</w:t>
            </w:r>
          </w:p>
        </w:tc>
        <w:tc>
          <w:tcPr>
            <w:tcW w:w="98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电汇</w:t>
            </w:r>
          </w:p>
        </w:tc>
        <w:tc>
          <w:tcPr>
            <w:tcW w:w="9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7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16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04" w:type="dxa"/>
            <w:tcBorders>
              <w:top w:val="single" w:sz="15" w:space="0" w:color="000000"/>
              <w:left w:val="single" w:sz="4" w:space="0" w:color="000000"/>
              <w:bottom w:val="single" w:sz="4" w:space="0" w:color="000000"/>
              <w:right w:val="single" w:sz="4" w:space="0" w:color="000000"/>
            </w:tcBorders>
          </w:tcPr>
          <w:p>
            <w:pPr>
              <w:pStyle w:val="TableParagraph"/>
              <w:spacing w:line="312" w:lineRule="auto" w:before="53"/>
              <w:ind w:left="52" w:right="27" w:firstLine="24"/>
              <w:jc w:val="both"/>
              <w:rPr>
                <w:rFonts w:ascii="宋体" w:hAnsi="宋体" w:cs="宋体" w:eastAsia="宋体" w:hint="default"/>
                <w:sz w:val="18"/>
                <w:szCs w:val="18"/>
              </w:rPr>
            </w:pPr>
            <w:r>
              <w:rPr>
                <w:rFonts w:ascii="宋体" w:hAnsi="宋体" w:cs="宋体" w:eastAsia="宋体" w:hint="default"/>
                <w:sz w:val="18"/>
                <w:szCs w:val="18"/>
              </w:rPr>
              <w:t>西安环球印务股份</w:t>
            </w:r>
            <w:r>
              <w:rPr>
                <w:rFonts w:ascii="宋体" w:hAnsi="宋体" w:cs="宋体" w:eastAsia="宋体" w:hint="default"/>
                <w:w w:val="101"/>
                <w:sz w:val="18"/>
                <w:szCs w:val="18"/>
              </w:rPr>
              <w:t> </w:t>
            </w:r>
            <w:r>
              <w:rPr>
                <w:rFonts w:ascii="宋体" w:hAnsi="宋体" w:cs="宋体" w:eastAsia="宋体" w:hint="default"/>
                <w:sz w:val="18"/>
                <w:szCs w:val="18"/>
              </w:rPr>
              <w:t>有限公司关于预计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年度日常关联</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交易额度的公告》</w:t>
            </w:r>
          </w:p>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8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2019-016</w:t>
            </w:r>
            <w:r>
              <w:rPr>
                <w:rFonts w:ascii="宋体" w:hAnsi="宋体" w:cs="宋体" w:eastAsia="宋体" w:hint="default"/>
                <w:sz w:val="18"/>
                <w:szCs w:val="18"/>
              </w:rPr>
              <w:t>）</w:t>
            </w:r>
          </w:p>
        </w:tc>
      </w:tr>
      <w:tr>
        <w:trPr>
          <w:trHeight w:val="1964"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0" w:right="36" w:hanging="183"/>
              <w:jc w:val="left"/>
              <w:rPr>
                <w:rFonts w:ascii="宋体" w:hAnsi="宋体" w:cs="宋体" w:eastAsia="宋体" w:hint="default"/>
                <w:sz w:val="18"/>
                <w:szCs w:val="18"/>
              </w:rPr>
            </w:pPr>
            <w:r>
              <w:rPr>
                <w:rFonts w:ascii="宋体" w:hAnsi="宋体" w:cs="宋体" w:eastAsia="宋体" w:hint="default"/>
                <w:spacing w:val="-2"/>
                <w:sz w:val="18"/>
                <w:szCs w:val="18"/>
              </w:rPr>
              <w:t>西安海欣制药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129" w:right="36" w:hanging="87"/>
              <w:jc w:val="left"/>
              <w:rPr>
                <w:rFonts w:ascii="宋体" w:hAnsi="宋体" w:cs="宋体" w:eastAsia="宋体" w:hint="default"/>
                <w:sz w:val="18"/>
                <w:szCs w:val="18"/>
              </w:rPr>
            </w:pPr>
            <w:r>
              <w:rPr>
                <w:rFonts w:ascii="宋体" w:hAnsi="宋体" w:cs="宋体" w:eastAsia="宋体" w:hint="default"/>
                <w:spacing w:val="-2"/>
                <w:sz w:val="18"/>
                <w:szCs w:val="18"/>
              </w:rPr>
              <w:t>受控股股东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重大影响</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62" w:right="60"/>
              <w:jc w:val="center"/>
              <w:rPr>
                <w:rFonts w:ascii="宋体" w:hAnsi="宋体" w:cs="宋体" w:eastAsia="宋体" w:hint="default"/>
                <w:sz w:val="18"/>
                <w:szCs w:val="18"/>
              </w:rPr>
            </w:pPr>
            <w:r>
              <w:rPr>
                <w:rFonts w:ascii="宋体" w:hAnsi="宋体" w:cs="宋体" w:eastAsia="宋体" w:hint="default"/>
                <w:spacing w:val="-2"/>
                <w:sz w:val="18"/>
                <w:szCs w:val="18"/>
              </w:rPr>
              <w:t>接受关联人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提供仓储管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15" w:right="41" w:hanging="178"/>
              <w:jc w:val="left"/>
              <w:rPr>
                <w:rFonts w:ascii="宋体" w:hAnsi="宋体" w:cs="宋体" w:eastAsia="宋体" w:hint="default"/>
                <w:sz w:val="18"/>
                <w:szCs w:val="18"/>
              </w:rPr>
            </w:pPr>
            <w:r>
              <w:rPr>
                <w:rFonts w:ascii="宋体" w:hAnsi="宋体" w:cs="宋体" w:eastAsia="宋体" w:hint="default"/>
                <w:spacing w:val="-2"/>
                <w:sz w:val="18"/>
                <w:szCs w:val="18"/>
              </w:rPr>
              <w:t>参照市场水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平定价</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0" w:right="31" w:hanging="183"/>
              <w:jc w:val="left"/>
              <w:rPr>
                <w:rFonts w:ascii="宋体" w:hAnsi="宋体" w:cs="宋体" w:eastAsia="宋体" w:hint="default"/>
                <w:sz w:val="18"/>
                <w:szCs w:val="18"/>
              </w:rPr>
            </w:pPr>
            <w:r>
              <w:rPr>
                <w:rFonts w:ascii="宋体" w:hAnsi="宋体" w:cs="宋体" w:eastAsia="宋体" w:hint="default"/>
                <w:spacing w:val="-2"/>
                <w:sz w:val="18"/>
                <w:szCs w:val="18"/>
              </w:rPr>
              <w:t>参照市场水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平定价</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29.66</w:t>
            </w:r>
          </w:p>
        </w:tc>
        <w:tc>
          <w:tcPr>
            <w:tcW w:w="98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35.00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电汇</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6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4"/>
              <w:ind w:left="52" w:right="27" w:firstLine="24"/>
              <w:jc w:val="both"/>
              <w:rPr>
                <w:rFonts w:ascii="宋体" w:hAnsi="宋体" w:cs="宋体" w:eastAsia="宋体" w:hint="default"/>
                <w:sz w:val="18"/>
                <w:szCs w:val="18"/>
              </w:rPr>
            </w:pPr>
            <w:r>
              <w:rPr>
                <w:rFonts w:ascii="宋体" w:hAnsi="宋体" w:cs="宋体" w:eastAsia="宋体" w:hint="default"/>
                <w:sz w:val="18"/>
                <w:szCs w:val="18"/>
              </w:rPr>
              <w:t>西安环球印务股份</w:t>
            </w:r>
            <w:r>
              <w:rPr>
                <w:rFonts w:ascii="宋体" w:hAnsi="宋体" w:cs="宋体" w:eastAsia="宋体" w:hint="default"/>
                <w:w w:val="101"/>
                <w:sz w:val="18"/>
                <w:szCs w:val="18"/>
              </w:rPr>
              <w:t> </w:t>
            </w:r>
            <w:r>
              <w:rPr>
                <w:rFonts w:ascii="宋体" w:hAnsi="宋体" w:cs="宋体" w:eastAsia="宋体" w:hint="default"/>
                <w:sz w:val="18"/>
                <w:szCs w:val="18"/>
              </w:rPr>
              <w:t>有限公司关于预计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年度日常关联</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交易额度的公告》</w:t>
            </w:r>
          </w:p>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8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2019-016</w:t>
            </w:r>
            <w:r>
              <w:rPr>
                <w:rFonts w:ascii="宋体" w:hAnsi="宋体" w:cs="宋体" w:eastAsia="宋体" w:hint="default"/>
                <w:sz w:val="18"/>
                <w:szCs w:val="18"/>
              </w:rPr>
              <w:t>）</w:t>
            </w:r>
          </w:p>
        </w:tc>
      </w:tr>
      <w:tr>
        <w:trPr>
          <w:trHeight w:val="398" w:hRule="exact"/>
        </w:trPr>
        <w:tc>
          <w:tcPr>
            <w:tcW w:w="41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1,573.94</w:t>
            </w:r>
          </w:p>
        </w:tc>
        <w:tc>
          <w:tcPr>
            <w:tcW w:w="98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2,850.00</w:t>
            </w:r>
          </w:p>
        </w:tc>
        <w:tc>
          <w:tcPr>
            <w:tcW w:w="985"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19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99" w:right="0"/>
              <w:jc w:val="left"/>
              <w:rPr>
                <w:rFonts w:ascii="宋体" w:hAnsi="宋体" w:cs="宋体" w:eastAsia="宋体" w:hint="default"/>
                <w:sz w:val="18"/>
                <w:szCs w:val="18"/>
              </w:rPr>
            </w:pPr>
            <w:r>
              <w:rPr>
                <w:rFonts w:ascii="宋体" w:hAnsi="宋体" w:cs="宋体" w:eastAsia="宋体" w:hint="default"/>
                <w:spacing w:val="-3"/>
                <w:sz w:val="18"/>
                <w:szCs w:val="18"/>
              </w:rPr>
              <w:t>大额销货退回的详细情况</w:t>
            </w:r>
          </w:p>
        </w:tc>
        <w:tc>
          <w:tcPr>
            <w:tcW w:w="1047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
              <w:jc w:val="center"/>
              <w:rPr>
                <w:rFonts w:ascii="宋体" w:hAnsi="宋体" w:cs="宋体" w:eastAsia="宋体" w:hint="default"/>
                <w:sz w:val="18"/>
                <w:szCs w:val="18"/>
              </w:rPr>
            </w:pPr>
            <w:r>
              <w:rPr>
                <w:rFonts w:ascii="宋体" w:hAnsi="宋体" w:cs="宋体" w:eastAsia="宋体" w:hint="default"/>
                <w:spacing w:val="-3"/>
                <w:sz w:val="18"/>
                <w:szCs w:val="18"/>
              </w:rPr>
              <w:t>报告期内关联方无大额销货退回的情况</w:t>
            </w:r>
          </w:p>
        </w:tc>
      </w:tr>
      <w:tr>
        <w:trPr>
          <w:trHeight w:val="715" w:hRule="exact"/>
        </w:trPr>
        <w:tc>
          <w:tcPr>
            <w:tcW w:w="419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79" w:right="108" w:hanging="269"/>
              <w:jc w:val="left"/>
              <w:rPr>
                <w:rFonts w:ascii="宋体" w:hAnsi="宋体" w:cs="宋体" w:eastAsia="宋体" w:hint="default"/>
                <w:sz w:val="18"/>
                <w:szCs w:val="18"/>
              </w:rPr>
            </w:pPr>
            <w:r>
              <w:rPr>
                <w:rFonts w:ascii="宋体" w:hAnsi="宋体" w:cs="宋体" w:eastAsia="宋体" w:hint="default"/>
                <w:spacing w:val="-3"/>
                <w:sz w:val="18"/>
                <w:szCs w:val="18"/>
              </w:rPr>
              <w:t>按类别对本期将发生的日常关联交易进行总金额预</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计的，在报告期内的实际履行情况（如有）</w:t>
            </w:r>
          </w:p>
        </w:tc>
        <w:tc>
          <w:tcPr>
            <w:tcW w:w="1047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419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交易价格与市场参考价格差异较大的原因（如适用）</w:t>
            </w:r>
          </w:p>
        </w:tc>
        <w:tc>
          <w:tcPr>
            <w:tcW w:w="1047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center"/>
        <w:rPr>
          <w:rFonts w:ascii="宋体" w:hAnsi="宋体" w:cs="宋体" w:eastAsia="宋体" w:hint="default"/>
          <w:sz w:val="18"/>
          <w:szCs w:val="18"/>
        </w:rPr>
        <w:sectPr>
          <w:pgSz w:w="16840" w:h="11910" w:orient="landscape"/>
          <w:pgMar w:header="460" w:footer="974" w:top="1060" w:bottom="1160" w:left="980" w:right="960"/>
        </w:sectPr>
      </w:pPr>
    </w:p>
    <w:p>
      <w:pPr>
        <w:spacing w:line="240" w:lineRule="auto" w:before="6"/>
        <w:rPr>
          <w:rFonts w:ascii="Times New Roman" w:hAnsi="Times New Roman" w:cs="Times New Roman" w:eastAsia="Times New Roman" w:hint="default"/>
          <w:sz w:val="23"/>
          <w:szCs w:val="23"/>
        </w:rPr>
      </w:pPr>
    </w:p>
    <w:p>
      <w:pPr>
        <w:pStyle w:val="Heading3"/>
        <w:spacing w:line="240" w:lineRule="auto" w:before="36"/>
        <w:ind w:left="433" w:right="5972"/>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
        <w:rPr>
          <w:rFonts w:ascii="宋体" w:hAnsi="宋体" w:cs="宋体" w:eastAsia="宋体" w:hint="default"/>
          <w:b/>
          <w:bCs/>
          <w:sz w:val="27"/>
          <w:szCs w:val="27"/>
        </w:rPr>
      </w:pPr>
    </w:p>
    <w:p>
      <w:pPr>
        <w:spacing w:line="338" w:lineRule="auto" w:before="0"/>
        <w:ind w:left="433" w:right="5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公司报告期未发生资产或股权收购、出售的关联交易。</w:t>
      </w:r>
    </w:p>
    <w:p>
      <w:pPr>
        <w:spacing w:line="240" w:lineRule="auto" w:before="8"/>
        <w:rPr>
          <w:rFonts w:ascii="宋体" w:hAnsi="宋体" w:cs="宋体" w:eastAsia="宋体" w:hint="default"/>
          <w:sz w:val="20"/>
          <w:szCs w:val="20"/>
        </w:rPr>
      </w:pPr>
    </w:p>
    <w:p>
      <w:pPr>
        <w:pStyle w:val="Heading3"/>
        <w:spacing w:line="240" w:lineRule="auto"/>
        <w:ind w:left="433" w:right="5972"/>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1"/>
        <w:rPr>
          <w:rFonts w:ascii="宋体" w:hAnsi="宋体" w:cs="宋体" w:eastAsia="宋体" w:hint="default"/>
          <w:b/>
          <w:bCs/>
          <w:sz w:val="27"/>
          <w:szCs w:val="27"/>
        </w:rPr>
      </w:pPr>
    </w:p>
    <w:p>
      <w:pPr>
        <w:spacing w:line="343" w:lineRule="auto" w:before="0"/>
        <w:ind w:left="433" w:right="5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公司报告期未发生共同对外投资的关联交易。</w:t>
      </w:r>
    </w:p>
    <w:p>
      <w:pPr>
        <w:spacing w:line="240" w:lineRule="auto" w:before="5"/>
        <w:rPr>
          <w:rFonts w:ascii="宋体" w:hAnsi="宋体" w:cs="宋体" w:eastAsia="宋体" w:hint="default"/>
          <w:sz w:val="20"/>
          <w:szCs w:val="20"/>
        </w:rPr>
      </w:pPr>
    </w:p>
    <w:p>
      <w:pPr>
        <w:pStyle w:val="Heading3"/>
        <w:spacing w:line="240" w:lineRule="auto"/>
        <w:ind w:left="433" w:right="5972"/>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1"/>
        <w:rPr>
          <w:rFonts w:ascii="宋体" w:hAnsi="宋体" w:cs="宋体" w:eastAsia="宋体" w:hint="default"/>
          <w:b/>
          <w:bCs/>
          <w:sz w:val="27"/>
          <w:szCs w:val="27"/>
        </w:rPr>
      </w:pPr>
    </w:p>
    <w:p>
      <w:pPr>
        <w:spacing w:line="338" w:lineRule="auto" w:before="0"/>
        <w:ind w:left="433" w:right="72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是否存在非经营性关联债权债务往来</w:t>
      </w:r>
    </w:p>
    <w:p>
      <w:pPr>
        <w:spacing w:line="338" w:lineRule="auto" w:before="46"/>
        <w:ind w:left="433" w:right="876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否</w:t>
      </w:r>
      <w:r>
        <w:rPr>
          <w:rFonts w:ascii="宋体" w:hAnsi="宋体" w:cs="宋体" w:eastAsia="宋体" w:hint="default"/>
          <w:spacing w:val="-86"/>
          <w:sz w:val="18"/>
          <w:szCs w:val="18"/>
        </w:rPr>
        <w:t> </w:t>
      </w:r>
      <w:r>
        <w:rPr>
          <w:rFonts w:ascii="宋体" w:hAnsi="宋体" w:cs="宋体" w:eastAsia="宋体" w:hint="default"/>
          <w:spacing w:val="-3"/>
          <w:sz w:val="18"/>
          <w:szCs w:val="18"/>
        </w:rPr>
        <w:t>应付关联方债务</w:t>
      </w:r>
    </w:p>
    <w:p>
      <w:pPr>
        <w:spacing w:line="240" w:lineRule="auto" w:before="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465"/>
        <w:gridCol w:w="1056"/>
        <w:gridCol w:w="1061"/>
        <w:gridCol w:w="1057"/>
        <w:gridCol w:w="1056"/>
        <w:gridCol w:w="1061"/>
        <w:gridCol w:w="1057"/>
        <w:gridCol w:w="1061"/>
        <w:gridCol w:w="1114"/>
      </w:tblGrid>
      <w:tr>
        <w:trPr>
          <w:trHeight w:val="715"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46" w:right="12" w:hanging="322"/>
              <w:jc w:val="left"/>
              <w:rPr>
                <w:rFonts w:ascii="宋体" w:hAnsi="宋体" w:cs="宋体" w:eastAsia="宋体" w:hint="default"/>
                <w:sz w:val="18"/>
                <w:szCs w:val="18"/>
              </w:rPr>
            </w:pPr>
            <w:r>
              <w:rPr>
                <w:rFonts w:ascii="宋体" w:hAnsi="宋体" w:cs="宋体" w:eastAsia="宋体" w:hint="default"/>
                <w:spacing w:val="-15"/>
                <w:w w:val="101"/>
                <w:sz w:val="18"/>
                <w:szCs w:val="18"/>
              </w:rPr>
              <w:t>期初余额（万</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元）</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6" w:right="65"/>
              <w:jc w:val="left"/>
              <w:rPr>
                <w:rFonts w:ascii="宋体" w:hAnsi="宋体" w:cs="宋体" w:eastAsia="宋体" w:hint="default"/>
                <w:sz w:val="18"/>
                <w:szCs w:val="18"/>
              </w:rPr>
            </w:pPr>
            <w:r>
              <w:rPr>
                <w:rFonts w:ascii="宋体" w:hAnsi="宋体" w:cs="宋体" w:eastAsia="宋体" w:hint="default"/>
                <w:spacing w:val="-2"/>
                <w:sz w:val="18"/>
                <w:szCs w:val="18"/>
              </w:rPr>
              <w:t>本期新增金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额（万元）</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6" w:right="70"/>
              <w:jc w:val="left"/>
              <w:rPr>
                <w:rFonts w:ascii="宋体" w:hAnsi="宋体" w:cs="宋体" w:eastAsia="宋体" w:hint="default"/>
                <w:sz w:val="18"/>
                <w:szCs w:val="18"/>
              </w:rPr>
            </w:pPr>
            <w:r>
              <w:rPr>
                <w:rFonts w:ascii="宋体" w:hAnsi="宋体" w:cs="宋体" w:eastAsia="宋体" w:hint="default"/>
                <w:spacing w:val="-2"/>
                <w:sz w:val="18"/>
                <w:szCs w:val="18"/>
              </w:rPr>
              <w:t>本期归还金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额（万元）</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45" w:right="17" w:hanging="322"/>
              <w:jc w:val="left"/>
              <w:rPr>
                <w:rFonts w:ascii="宋体" w:hAnsi="宋体" w:cs="宋体" w:eastAsia="宋体" w:hint="default"/>
                <w:sz w:val="18"/>
                <w:szCs w:val="18"/>
              </w:rPr>
            </w:pPr>
            <w:r>
              <w:rPr>
                <w:rFonts w:ascii="宋体" w:hAnsi="宋体" w:cs="宋体" w:eastAsia="宋体" w:hint="default"/>
                <w:spacing w:val="-15"/>
                <w:w w:val="101"/>
                <w:sz w:val="18"/>
                <w:szCs w:val="18"/>
              </w:rPr>
              <w:t>本期利息（万</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元）</w:t>
            </w: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74" w:right="13" w:hanging="351"/>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元）</w:t>
            </w:r>
          </w:p>
        </w:tc>
      </w:tr>
      <w:tr>
        <w:trPr>
          <w:trHeight w:val="716" w:hRule="exact"/>
        </w:trPr>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0" w:right="89"/>
              <w:jc w:val="left"/>
              <w:rPr>
                <w:rFonts w:ascii="宋体" w:hAnsi="宋体" w:cs="宋体" w:eastAsia="宋体" w:hint="default"/>
                <w:sz w:val="18"/>
                <w:szCs w:val="18"/>
              </w:rPr>
            </w:pPr>
            <w:r>
              <w:rPr>
                <w:rFonts w:ascii="宋体" w:hAnsi="宋体" w:cs="宋体" w:eastAsia="宋体" w:hint="default"/>
                <w:spacing w:val="-3"/>
                <w:sz w:val="18"/>
                <w:szCs w:val="18"/>
              </w:rPr>
              <w:t>陕西医药控股集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团有限责任公司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控股股东</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5,000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5,000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4.35%</w:t>
            </w:r>
            <w:r>
              <w:rPr>
                <w:rFonts w:ascii="宋体" w:hAnsi="宋体" w:cs="宋体" w:eastAsia="宋体" w:hint="default"/>
                <w:sz w:val="18"/>
                <w:szCs w:val="18"/>
              </w:rPr>
              <w:t>、</w:t>
            </w:r>
          </w:p>
          <w:p>
            <w:pPr>
              <w:pStyle w:val="TableParagraph"/>
              <w:spacing w:line="240" w:lineRule="auto" w:before="105"/>
              <w:ind w:left="244" w:right="0"/>
              <w:jc w:val="left"/>
              <w:rPr>
                <w:rFonts w:ascii="Times New Roman" w:hAnsi="Times New Roman" w:cs="Times New Roman" w:eastAsia="Times New Roman" w:hint="default"/>
                <w:sz w:val="18"/>
                <w:szCs w:val="18"/>
              </w:rPr>
            </w:pPr>
            <w:r>
              <w:rPr>
                <w:rFonts w:ascii="Times New Roman"/>
                <w:sz w:val="18"/>
              </w:rPr>
              <w:t>4.785%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120.17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2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715" w:right="80" w:hanging="629"/>
              <w:jc w:val="left"/>
              <w:rPr>
                <w:rFonts w:ascii="宋体" w:hAnsi="宋体" w:cs="宋体" w:eastAsia="宋体" w:hint="default"/>
                <w:sz w:val="18"/>
                <w:szCs w:val="18"/>
              </w:rPr>
            </w:pPr>
            <w:r>
              <w:rPr>
                <w:rFonts w:ascii="宋体" w:hAnsi="宋体" w:cs="宋体" w:eastAsia="宋体" w:hint="default"/>
                <w:spacing w:val="-3"/>
                <w:sz w:val="18"/>
                <w:szCs w:val="18"/>
              </w:rPr>
              <w:t>关联债务对公司经营成果及财</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务状况的影响</w:t>
            </w:r>
          </w:p>
        </w:tc>
        <w:tc>
          <w:tcPr>
            <w:tcW w:w="7467"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3"/>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月向控股股东陕西医药控股集团有限责任公司申请</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5"/>
                <w:sz w:val="18"/>
                <w:szCs w:val="18"/>
              </w:rPr>
              <w:t> </w:t>
            </w:r>
            <w:r>
              <w:rPr>
                <w:rFonts w:ascii="宋体" w:hAnsi="宋体" w:cs="宋体" w:eastAsia="宋体" w:hint="default"/>
                <w:spacing w:val="-4"/>
                <w:sz w:val="18"/>
                <w:szCs w:val="18"/>
              </w:rPr>
              <w:t>万元并购借款，用于支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付收购霍尔果斯领凯网络科技有限公司 </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股权，期限不超过 </w:t>
            </w:r>
            <w:r>
              <w:rPr>
                <w:rFonts w:ascii="Times New Roman" w:hAnsi="Times New Roman" w:cs="Times New Roman" w:eastAsia="Times New Roman" w:hint="default"/>
                <w:sz w:val="18"/>
                <w:szCs w:val="18"/>
              </w:rPr>
              <w:t>9 </w:t>
            </w:r>
            <w:r>
              <w:rPr>
                <w:rFonts w:ascii="宋体" w:hAnsi="宋体" w:cs="宋体" w:eastAsia="宋体" w:hint="default"/>
                <w:spacing w:val="-3"/>
                <w:sz w:val="18"/>
                <w:szCs w:val="18"/>
              </w:rPr>
              <w:t>个月，借款利率参照银行同期</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贷款利率。</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年借款利息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pStyle w:val="Heading3"/>
        <w:spacing w:line="240" w:lineRule="auto" w:before="36"/>
        <w:ind w:left="433" w:right="5972"/>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433" w:right="72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公司报告期无其他重大关联交易。</w:t>
      </w:r>
    </w:p>
    <w:p>
      <w:pPr>
        <w:spacing w:line="240" w:lineRule="auto" w:before="10"/>
        <w:rPr>
          <w:rFonts w:ascii="宋体" w:hAnsi="宋体" w:cs="宋体" w:eastAsia="宋体" w:hint="default"/>
          <w:sz w:val="18"/>
          <w:szCs w:val="18"/>
        </w:rPr>
      </w:pPr>
    </w:p>
    <w:p>
      <w:pPr>
        <w:pStyle w:val="Heading2"/>
        <w:spacing w:line="240" w:lineRule="auto"/>
        <w:ind w:left="433" w:right="5972"/>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left="433" w:right="5972"/>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left="433" w:right="5972"/>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433" w:right="72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公司报告期不存在托管情况。</w:t>
      </w:r>
    </w:p>
    <w:p>
      <w:pPr>
        <w:spacing w:line="240" w:lineRule="auto" w:before="0"/>
        <w:rPr>
          <w:rFonts w:ascii="宋体" w:hAnsi="宋体" w:cs="宋体" w:eastAsia="宋体" w:hint="default"/>
          <w:sz w:val="21"/>
          <w:szCs w:val="21"/>
        </w:rPr>
      </w:pPr>
    </w:p>
    <w:p>
      <w:pPr>
        <w:pStyle w:val="Heading3"/>
        <w:spacing w:line="240" w:lineRule="auto"/>
        <w:ind w:left="433" w:right="5972"/>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433" w:right="72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公司报告期不存在承包情况。</w:t>
      </w:r>
    </w:p>
    <w:p>
      <w:pPr>
        <w:spacing w:after="0" w:line="338" w:lineRule="auto"/>
        <w:jc w:val="left"/>
        <w:rPr>
          <w:rFonts w:ascii="宋体" w:hAnsi="宋体" w:cs="宋体" w:eastAsia="宋体" w:hint="default"/>
          <w:sz w:val="18"/>
          <w:szCs w:val="18"/>
        </w:rPr>
        <w:sectPr>
          <w:headerReference w:type="default" r:id="rId19"/>
          <w:footerReference w:type="default" r:id="rId20"/>
          <w:pgSz w:w="11910" w:h="16840"/>
          <w:pgMar w:header="460" w:footer="979" w:top="1100" w:bottom="1160" w:left="700" w:right="0"/>
          <w:pgNumType w:start="55"/>
        </w:sectPr>
      </w:pPr>
    </w:p>
    <w:p>
      <w:pPr>
        <w:spacing w:line="240" w:lineRule="auto" w:before="9"/>
        <w:rPr>
          <w:rFonts w:ascii="宋体" w:hAnsi="宋体" w:cs="宋体" w:eastAsia="宋体" w:hint="default"/>
          <w:sz w:val="20"/>
          <w:szCs w:val="20"/>
        </w:rPr>
      </w:pPr>
    </w:p>
    <w:p>
      <w:pPr>
        <w:pStyle w:val="Heading3"/>
        <w:spacing w:line="240" w:lineRule="auto" w:before="36"/>
        <w:ind w:right="0"/>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6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为公司带来的损益达到公司报告期利润总额</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以上的项目</w:t>
      </w:r>
    </w:p>
    <w:p>
      <w:pPr>
        <w:spacing w:before="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公司报告期不存在为公司带来的损益达到公司报告期利润总额</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1）担保情况" w:id="93"/>
      <w:bookmarkEnd w:id="9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13"/>
        <w:gridCol w:w="916"/>
        <w:gridCol w:w="925"/>
        <w:gridCol w:w="1303"/>
        <w:gridCol w:w="1058"/>
        <w:gridCol w:w="1043"/>
        <w:gridCol w:w="1046"/>
        <w:gridCol w:w="790"/>
        <w:gridCol w:w="781"/>
      </w:tblGrid>
      <w:tr>
        <w:trPr>
          <w:trHeight w:val="398"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35" w:right="0"/>
              <w:jc w:val="left"/>
              <w:rPr>
                <w:rFonts w:ascii="宋体" w:hAnsi="宋体" w:cs="宋体" w:eastAsia="宋体" w:hint="default"/>
                <w:sz w:val="18"/>
                <w:szCs w:val="18"/>
              </w:rPr>
            </w:pPr>
            <w:r>
              <w:rPr>
                <w:rFonts w:ascii="宋体" w:hAnsi="宋体" w:cs="宋体" w:eastAsia="宋体" w:hint="default"/>
                <w:spacing w:val="-3"/>
                <w:sz w:val="18"/>
                <w:szCs w:val="18"/>
              </w:rPr>
              <w:t>公司及其子公司对外担保情况（不包括对子公司的担保）</w:t>
            </w:r>
          </w:p>
        </w:tc>
      </w:tr>
      <w:tr>
        <w:trPr>
          <w:trHeight w:val="1027"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6" w:right="82"/>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39" w:right="63"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37"/>
              <w:jc w:val="right"/>
              <w:rPr>
                <w:rFonts w:ascii="宋体" w:hAnsi="宋体" w:cs="宋体" w:eastAsia="宋体" w:hint="default"/>
                <w:sz w:val="18"/>
                <w:szCs w:val="18"/>
              </w:rPr>
            </w:pPr>
            <w:r>
              <w:rPr>
                <w:rFonts w:ascii="宋体" w:hAnsi="宋体" w:cs="宋体" w:eastAsia="宋体" w:hint="default"/>
                <w:spacing w:val="-2"/>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16" w:right="19" w:hanging="183"/>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7"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404"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公司对子公司的担保情况</w:t>
            </w:r>
          </w:p>
        </w:tc>
      </w:tr>
      <w:tr>
        <w:trPr>
          <w:trHeight w:val="1027"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1" w:right="87"/>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39" w:right="63"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41"/>
              <w:jc w:val="right"/>
              <w:rPr>
                <w:rFonts w:ascii="宋体" w:hAnsi="宋体" w:cs="宋体" w:eastAsia="宋体" w:hint="default"/>
                <w:sz w:val="18"/>
                <w:szCs w:val="18"/>
              </w:rPr>
            </w:pPr>
            <w:r>
              <w:rPr>
                <w:rFonts w:ascii="宋体" w:hAnsi="宋体" w:cs="宋体" w:eastAsia="宋体" w:hint="default"/>
                <w:spacing w:val="-2"/>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07" w:right="23"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7"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711"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55"/>
              <w:jc w:val="left"/>
              <w:rPr>
                <w:rFonts w:ascii="宋体" w:hAnsi="宋体" w:cs="宋体" w:eastAsia="宋体" w:hint="default"/>
                <w:sz w:val="18"/>
                <w:szCs w:val="18"/>
              </w:rPr>
            </w:pPr>
            <w:r>
              <w:rPr>
                <w:rFonts w:ascii="宋体" w:hAnsi="宋体" w:cs="宋体" w:eastAsia="宋体" w:hint="default"/>
                <w:spacing w:val="-3"/>
                <w:sz w:val="18"/>
                <w:szCs w:val="18"/>
              </w:rPr>
              <w:t>天津滨海环球印务有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31</w:t>
            </w:r>
            <w:r>
              <w:rPr>
                <w:rFonts w:ascii="Times New Roman" w:hAnsi="Times New Roman" w:cs="Times New Roman" w:eastAsia="Times New Roman" w:hint="default"/>
                <w:sz w:val="18"/>
                <w:szCs w:val="18"/>
              </w:rPr>
            </w:r>
          </w:p>
          <w:p>
            <w:pPr>
              <w:pStyle w:val="TableParagraph"/>
              <w:spacing w:line="240" w:lineRule="auto" w:before="63"/>
              <w:ind w:left="3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785.5</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30"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5"/>
              <w:jc w:val="left"/>
              <w:rPr>
                <w:rFonts w:ascii="宋体" w:hAnsi="宋体" w:cs="宋体" w:eastAsia="宋体" w:hint="default"/>
                <w:sz w:val="18"/>
                <w:szCs w:val="18"/>
              </w:rPr>
            </w:pPr>
            <w:r>
              <w:rPr>
                <w:rFonts w:ascii="宋体" w:hAnsi="宋体" w:cs="宋体" w:eastAsia="宋体" w:hint="default"/>
                <w:spacing w:val="-3"/>
                <w:sz w:val="18"/>
                <w:szCs w:val="18"/>
              </w:rPr>
              <w:t>霍尔果斯领凯网络科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技有限公司</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p>
            <w:pPr>
              <w:pStyle w:val="TableParagraph"/>
              <w:spacing w:line="240" w:lineRule="auto" w:before="67"/>
              <w:ind w:left="3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1,500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30"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5"/>
              <w:jc w:val="left"/>
              <w:rPr>
                <w:rFonts w:ascii="宋体" w:hAnsi="宋体" w:cs="宋体" w:eastAsia="宋体" w:hint="default"/>
                <w:sz w:val="18"/>
                <w:szCs w:val="18"/>
              </w:rPr>
            </w:pPr>
            <w:r>
              <w:rPr>
                <w:rFonts w:ascii="宋体" w:hAnsi="宋体" w:cs="宋体" w:eastAsia="宋体" w:hint="default"/>
                <w:spacing w:val="-3"/>
                <w:sz w:val="18"/>
                <w:szCs w:val="18"/>
              </w:rPr>
              <w:t>江苏领凯网络传媒有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06</w:t>
            </w:r>
            <w:r>
              <w:rPr>
                <w:rFonts w:ascii="Times New Roman" w:hAnsi="Times New Roman" w:cs="Times New Roman" w:eastAsia="Times New Roman" w:hint="default"/>
                <w:sz w:val="18"/>
                <w:szCs w:val="18"/>
              </w:rPr>
            </w:r>
          </w:p>
          <w:p>
            <w:pPr>
              <w:pStyle w:val="TableParagraph"/>
              <w:spacing w:line="240" w:lineRule="auto" w:before="67"/>
              <w:ind w:left="3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2,000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30"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55"/>
              <w:jc w:val="left"/>
              <w:rPr>
                <w:rFonts w:ascii="宋体" w:hAnsi="宋体" w:cs="宋体" w:eastAsia="宋体" w:hint="default"/>
                <w:sz w:val="18"/>
                <w:szCs w:val="18"/>
              </w:rPr>
            </w:pPr>
            <w:r>
              <w:rPr>
                <w:rFonts w:ascii="宋体" w:hAnsi="宋体" w:cs="宋体" w:eastAsia="宋体" w:hint="default"/>
                <w:spacing w:val="-3"/>
                <w:sz w:val="18"/>
                <w:szCs w:val="18"/>
              </w:rPr>
              <w:t>陕西永鑫纸业包装有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19</w:t>
            </w:r>
            <w:r>
              <w:rPr>
                <w:rFonts w:ascii="Times New Roman" w:hAnsi="Times New Roman" w:cs="Times New Roman" w:eastAsia="Times New Roman" w:hint="default"/>
                <w:sz w:val="18"/>
                <w:szCs w:val="18"/>
              </w:rPr>
            </w:r>
          </w:p>
          <w:p>
            <w:pPr>
              <w:pStyle w:val="TableParagraph"/>
              <w:spacing w:line="240" w:lineRule="auto" w:before="63"/>
              <w:ind w:left="3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500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30"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8"/>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7"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14,000</w:t>
            </w:r>
          </w:p>
        </w:tc>
        <w:tc>
          <w:tcPr>
            <w:tcW w:w="21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 w:right="79"/>
              <w:jc w:val="left"/>
              <w:rPr>
                <w:rFonts w:ascii="宋体" w:hAnsi="宋体" w:cs="宋体" w:eastAsia="宋体" w:hint="default"/>
                <w:sz w:val="18"/>
                <w:szCs w:val="18"/>
              </w:rPr>
            </w:pPr>
            <w:r>
              <w:rPr>
                <w:rFonts w:ascii="宋体" w:hAnsi="宋体" w:cs="宋体" w:eastAsia="宋体" w:hint="default"/>
                <w:spacing w:val="-3"/>
                <w:sz w:val="18"/>
                <w:szCs w:val="18"/>
              </w:rPr>
              <w:t>报告期内对子公司担保实</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5,083.9</w:t>
            </w:r>
          </w:p>
        </w:tc>
      </w:tr>
      <w:tr>
        <w:trPr>
          <w:trHeight w:val="720"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68"/>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7"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8,000</w:t>
            </w:r>
          </w:p>
        </w:tc>
        <w:tc>
          <w:tcPr>
            <w:tcW w:w="21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7" w:right="79"/>
              <w:jc w:val="left"/>
              <w:rPr>
                <w:rFonts w:ascii="宋体" w:hAnsi="宋体" w:cs="宋体" w:eastAsia="宋体" w:hint="default"/>
                <w:sz w:val="18"/>
                <w:szCs w:val="18"/>
              </w:rPr>
            </w:pPr>
            <w:r>
              <w:rPr>
                <w:rFonts w:ascii="宋体" w:hAnsi="宋体" w:cs="宋体" w:eastAsia="宋体" w:hint="default"/>
                <w:spacing w:val="-3"/>
                <w:sz w:val="18"/>
                <w:szCs w:val="18"/>
              </w:rPr>
              <w:t>报告期末对子公司实际担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4,785.5</w:t>
            </w:r>
          </w:p>
        </w:tc>
      </w:tr>
      <w:tr>
        <w:trPr>
          <w:trHeight w:val="394"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子公司对子公司的担保情况</w:t>
            </w:r>
          </w:p>
        </w:tc>
      </w:tr>
      <w:tr>
        <w:trPr>
          <w:trHeight w:val="163" w:hRule="exact"/>
        </w:trPr>
        <w:tc>
          <w:tcPr>
            <w:tcW w:w="1713" w:type="dxa"/>
            <w:vMerge w:val="restart"/>
            <w:tcBorders>
              <w:top w:val="single" w:sz="4" w:space="0" w:color="000000"/>
              <w:left w:val="single" w:sz="4" w:space="0" w:color="000000"/>
              <w:right w:val="single" w:sz="4" w:space="0" w:color="000000"/>
            </w:tcBorders>
            <w:shd w:val="clear" w:color="auto" w:fill="D2D2D2"/>
          </w:tcPr>
          <w:p>
            <w:pPr/>
          </w:p>
        </w:tc>
        <w:tc>
          <w:tcPr>
            <w:tcW w:w="91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87" w:right="91"/>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5" w:type="dxa"/>
            <w:vMerge w:val="restart"/>
            <w:tcBorders>
              <w:top w:val="single" w:sz="4" w:space="0" w:color="000000"/>
              <w:left w:val="single" w:sz="4" w:space="0" w:color="000000"/>
              <w:right w:val="single" w:sz="4" w:space="0" w:color="000000"/>
            </w:tcBorders>
            <w:shd w:val="clear" w:color="auto" w:fill="D2D2D2"/>
          </w:tcPr>
          <w:p>
            <w:pPr/>
          </w:p>
        </w:tc>
        <w:tc>
          <w:tcPr>
            <w:tcW w:w="1303" w:type="dxa"/>
            <w:vMerge w:val="restart"/>
            <w:tcBorders>
              <w:top w:val="single" w:sz="4" w:space="0" w:color="000000"/>
              <w:left w:val="single" w:sz="4" w:space="0" w:color="000000"/>
              <w:right w:val="single" w:sz="4" w:space="0" w:color="000000"/>
            </w:tcBorders>
            <w:shd w:val="clear" w:color="auto" w:fill="D2D2D2"/>
          </w:tcPr>
          <w:p>
            <w:pPr/>
          </w:p>
        </w:tc>
        <w:tc>
          <w:tcPr>
            <w:tcW w:w="1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3" w:type="dxa"/>
            <w:vMerge w:val="restart"/>
            <w:tcBorders>
              <w:top w:val="single" w:sz="4" w:space="0" w:color="000000"/>
              <w:left w:val="single" w:sz="4" w:space="0" w:color="000000"/>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1713" w:type="dxa"/>
            <w:vMerge/>
            <w:tcBorders>
              <w:left w:val="single" w:sz="4" w:space="0" w:color="000000"/>
              <w:bottom w:val="nil" w:sz="6" w:space="0" w:color="auto"/>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303" w:type="dxa"/>
            <w:vMerge/>
            <w:tcBorders>
              <w:left w:val="single" w:sz="4" w:space="0" w:color="000000"/>
              <w:bottom w:val="nil" w:sz="6" w:space="0" w:color="auto"/>
              <w:right w:val="single" w:sz="4" w:space="0" w:color="000000"/>
            </w:tcBorders>
            <w:shd w:val="clear" w:color="auto" w:fill="D2D2D2"/>
          </w:tcPr>
          <w:p>
            <w:pPr/>
          </w:p>
        </w:tc>
        <w:tc>
          <w:tcPr>
            <w:tcW w:w="1058"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430" w:right="73"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43" w:type="dxa"/>
            <w:vMerge/>
            <w:tcBorders>
              <w:left w:val="single" w:sz="4" w:space="0" w:color="000000"/>
              <w:bottom w:val="nil" w:sz="6" w:space="0" w:color="auto"/>
              <w:right w:val="single" w:sz="4" w:space="0" w:color="000000"/>
            </w:tcBorders>
            <w:shd w:val="clear" w:color="auto" w:fill="D2D2D2"/>
          </w:tcPr>
          <w:p>
            <w:pPr/>
          </w:p>
        </w:tc>
        <w:tc>
          <w:tcPr>
            <w:tcW w:w="1046"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202" w:right="28"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1"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22" w:right="21"/>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394" w:hRule="exact"/>
        </w:trPr>
        <w:tc>
          <w:tcPr>
            <w:tcW w:w="1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6" w:type="dxa"/>
            <w:vMerge/>
            <w:tcBorders>
              <w:left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8" w:type="dxa"/>
            <w:vMerge/>
            <w:tcBorders>
              <w:left w:val="single" w:sz="4" w:space="0" w:color="000000"/>
              <w:right w:val="single" w:sz="4" w:space="0" w:color="000000"/>
            </w:tcBorders>
            <w:shd w:val="clear" w:color="auto" w:fill="D2D2D2"/>
          </w:tcPr>
          <w:p>
            <w:pPr/>
          </w:p>
        </w:tc>
        <w:tc>
          <w:tcPr>
            <w:tcW w:w="10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241"/>
              <w:jc w:val="right"/>
              <w:rPr>
                <w:rFonts w:ascii="宋体" w:hAnsi="宋体" w:cs="宋体" w:eastAsia="宋体" w:hint="default"/>
                <w:sz w:val="18"/>
                <w:szCs w:val="18"/>
              </w:rPr>
            </w:pPr>
            <w:r>
              <w:rPr>
                <w:rFonts w:ascii="宋体" w:hAnsi="宋体" w:cs="宋体" w:eastAsia="宋体" w:hint="default"/>
                <w:spacing w:val="-2"/>
                <w:sz w:val="18"/>
                <w:szCs w:val="18"/>
              </w:rPr>
              <w:t>担保期</w:t>
            </w:r>
          </w:p>
        </w:tc>
        <w:tc>
          <w:tcPr>
            <w:tcW w:w="790"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54" w:hRule="exact"/>
        </w:trPr>
        <w:tc>
          <w:tcPr>
            <w:tcW w:w="1713" w:type="dxa"/>
            <w:vMerge w:val="restart"/>
            <w:tcBorders>
              <w:top w:val="nil" w:sz="6" w:space="0" w:color="auto"/>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
        </w:tc>
        <w:tc>
          <w:tcPr>
            <w:tcW w:w="1303" w:type="dxa"/>
            <w:vMerge w:val="restart"/>
            <w:tcBorders>
              <w:top w:val="nil" w:sz="6" w:space="0" w:color="auto"/>
              <w:left w:val="single" w:sz="4" w:space="0" w:color="000000"/>
              <w:right w:val="single" w:sz="4" w:space="0" w:color="000000"/>
            </w:tcBorders>
            <w:shd w:val="clear" w:color="auto" w:fill="D2D2D2"/>
          </w:tcPr>
          <w:p>
            <w:pPr/>
          </w:p>
        </w:tc>
        <w:tc>
          <w:tcPr>
            <w:tcW w:w="1058" w:type="dxa"/>
            <w:vMerge/>
            <w:tcBorders>
              <w:left w:val="single" w:sz="4" w:space="0" w:color="000000"/>
              <w:bottom w:val="nil" w:sz="6" w:space="0" w:color="auto"/>
              <w:right w:val="single" w:sz="4" w:space="0" w:color="000000"/>
            </w:tcBorders>
            <w:shd w:val="clear" w:color="auto" w:fill="D2D2D2"/>
          </w:tcPr>
          <w:p>
            <w:pPr/>
          </w:p>
        </w:tc>
        <w:tc>
          <w:tcPr>
            <w:tcW w:w="1043" w:type="dxa"/>
            <w:vMerge w:val="restart"/>
            <w:tcBorders>
              <w:top w:val="nil" w:sz="6" w:space="0" w:color="auto"/>
              <w:left w:val="single" w:sz="4" w:space="0" w:color="000000"/>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1" w:type="dxa"/>
            <w:vMerge/>
            <w:tcBorders>
              <w:left w:val="single" w:sz="4" w:space="0" w:color="000000"/>
              <w:bottom w:val="nil" w:sz="6" w:space="0" w:color="auto"/>
              <w:right w:val="single" w:sz="4" w:space="0" w:color="000000"/>
            </w:tcBorders>
            <w:shd w:val="clear" w:color="auto" w:fill="D2D2D2"/>
          </w:tcPr>
          <w:p>
            <w:pPr/>
          </w:p>
        </w:tc>
      </w:tr>
      <w:tr>
        <w:trPr>
          <w:trHeight w:val="168" w:hRule="exact"/>
        </w:trPr>
        <w:tc>
          <w:tcPr>
            <w:tcW w:w="1713" w:type="dxa"/>
            <w:vMerge/>
            <w:tcBorders>
              <w:left w:val="single" w:sz="4" w:space="0" w:color="000000"/>
              <w:bottom w:val="single" w:sz="4" w:space="0" w:color="000000"/>
              <w:right w:val="single" w:sz="4" w:space="0" w:color="000000"/>
            </w:tcBorders>
            <w:shd w:val="clear" w:color="auto" w:fill="D2D2D2"/>
          </w:tcPr>
          <w:p>
            <w:pPr/>
          </w:p>
        </w:tc>
        <w:tc>
          <w:tcPr>
            <w:tcW w:w="916"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303" w:type="dxa"/>
            <w:vMerge/>
            <w:tcBorders>
              <w:left w:val="single" w:sz="4" w:space="0" w:color="000000"/>
              <w:bottom w:val="single" w:sz="4" w:space="0" w:color="000000"/>
              <w:right w:val="single" w:sz="4" w:space="0" w:color="000000"/>
            </w:tcBorders>
            <w:shd w:val="clear" w:color="auto" w:fill="D2D2D2"/>
          </w:tcPr>
          <w:p>
            <w:pPr/>
          </w:p>
        </w:tc>
        <w:tc>
          <w:tcPr>
            <w:tcW w:w="1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3" w:type="dxa"/>
            <w:vMerge/>
            <w:tcBorders>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4"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公司担保总额（即前三大项的合计）</w:t>
            </w:r>
          </w:p>
        </w:tc>
      </w:tr>
    </w:tbl>
    <w:p>
      <w:pPr>
        <w:spacing w:after="0" w:line="240" w:lineRule="auto"/>
        <w:jc w:val="left"/>
        <w:rPr>
          <w:rFonts w:ascii="宋体" w:hAnsi="宋体" w:cs="宋体" w:eastAsia="宋体" w:hint="default"/>
          <w:sz w:val="18"/>
          <w:szCs w:val="18"/>
        </w:rPr>
        <w:sectPr>
          <w:pgSz w:w="11910" w:h="16840"/>
          <w:pgMar w:header="46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610"/>
        <w:gridCol w:w="2235"/>
        <w:gridCol w:w="2088"/>
        <w:gridCol w:w="2629"/>
      </w:tblGrid>
      <w:tr>
        <w:trPr>
          <w:trHeight w:val="715" w:hRule="exact"/>
        </w:trPr>
        <w:tc>
          <w:tcPr>
            <w:tcW w:w="2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报告期内审批担保额度合计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5" w:type="dxa"/>
            <w:tcBorders>
              <w:top w:val="single" w:sz="4" w:space="0" w:color="000000"/>
              <w:left w:val="single" w:sz="10" w:space="0" w:color="D2D2D2"/>
              <w:bottom w:val="single" w:sz="4" w:space="0" w:color="000000"/>
              <w:right w:val="single" w:sz="15"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14,000</w:t>
            </w:r>
          </w:p>
        </w:tc>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6" w:right="67"/>
              <w:jc w:val="left"/>
              <w:rPr>
                <w:rFonts w:ascii="宋体" w:hAnsi="宋体" w:cs="宋体" w:eastAsia="宋体" w:hint="default"/>
                <w:sz w:val="18"/>
                <w:szCs w:val="18"/>
              </w:rPr>
            </w:pPr>
            <w:r>
              <w:rPr>
                <w:rFonts w:ascii="宋体" w:hAnsi="宋体" w:cs="宋体" w:eastAsia="宋体" w:hint="default"/>
                <w:spacing w:val="-3"/>
                <w:sz w:val="18"/>
                <w:szCs w:val="18"/>
              </w:rPr>
              <w:t>报告期内担保实际发生额</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5,083.9</w:t>
            </w:r>
          </w:p>
        </w:tc>
      </w:tr>
      <w:tr>
        <w:trPr>
          <w:trHeight w:val="713" w:hRule="exact"/>
        </w:trPr>
        <w:tc>
          <w:tcPr>
            <w:tcW w:w="2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报告期末已审批的担保额度合计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5" w:type="dxa"/>
            <w:tcBorders>
              <w:top w:val="single" w:sz="4" w:space="0" w:color="000000"/>
              <w:left w:val="single" w:sz="10" w:space="0" w:color="D2D2D2"/>
              <w:bottom w:val="single" w:sz="4" w:space="0" w:color="000000"/>
              <w:right w:val="single" w:sz="15" w:space="0" w:color="D2D2D2"/>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8,000</w:t>
            </w:r>
          </w:p>
        </w:tc>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6" w:right="67"/>
              <w:jc w:val="left"/>
              <w:rPr>
                <w:rFonts w:ascii="宋体" w:hAnsi="宋体" w:cs="宋体" w:eastAsia="宋体" w:hint="default"/>
                <w:sz w:val="18"/>
                <w:szCs w:val="18"/>
              </w:rPr>
            </w:pPr>
            <w:r>
              <w:rPr>
                <w:rFonts w:ascii="宋体" w:hAnsi="宋体" w:cs="宋体" w:eastAsia="宋体" w:hint="default"/>
                <w:spacing w:val="-3"/>
                <w:sz w:val="18"/>
                <w:szCs w:val="18"/>
              </w:rPr>
              <w:t>报告期末实际担保余额合</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4,785.5</w:t>
            </w:r>
          </w:p>
        </w:tc>
      </w:tr>
      <w:tr>
        <w:trPr>
          <w:trHeight w:val="406"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2"/>
                <w:sz w:val="18"/>
                <w:szCs w:val="18"/>
              </w:rPr>
              <w:t>实际担保总额（即</w:t>
            </w:r>
            <w:r>
              <w:rPr>
                <w:rFonts w:ascii="宋体" w:hAnsi="宋体" w:cs="宋体" w:eastAsia="宋体" w:hint="default"/>
                <w:spacing w:val="9"/>
                <w:sz w:val="18"/>
                <w:szCs w:val="18"/>
              </w:rPr>
              <w:t> </w:t>
            </w:r>
            <w:r>
              <w:rPr>
                <w:rFonts w:ascii="Times New Roman" w:hAnsi="Times New Roman" w:cs="Times New Roman" w:eastAsia="Times New Roman" w:hint="default"/>
                <w:spacing w:val="-2"/>
                <w:sz w:val="18"/>
                <w:szCs w:val="18"/>
              </w:rPr>
              <w:t>A4+B4+C4</w:t>
            </w:r>
            <w:r>
              <w:rPr>
                <w:rFonts w:ascii="宋体" w:hAnsi="宋体" w:cs="宋体" w:eastAsia="宋体" w:hint="default"/>
                <w:spacing w:val="-2"/>
                <w:sz w:val="18"/>
                <w:szCs w:val="18"/>
              </w:rPr>
              <w:t>）占公司净资产的比例</w:t>
            </w:r>
          </w:p>
        </w:tc>
        <w:tc>
          <w:tcPr>
            <w:tcW w:w="471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4"/>
              <w:jc w:val="right"/>
              <w:rPr>
                <w:rFonts w:ascii="Times New Roman" w:hAnsi="Times New Roman" w:cs="Times New Roman" w:eastAsia="Times New Roman" w:hint="default"/>
                <w:sz w:val="18"/>
                <w:szCs w:val="18"/>
              </w:rPr>
            </w:pPr>
            <w:r>
              <w:rPr>
                <w:rFonts w:ascii="Times New Roman"/>
                <w:spacing w:val="-1"/>
                <w:sz w:val="18"/>
              </w:rPr>
              <w:t>7.91%</w:t>
            </w:r>
          </w:p>
        </w:tc>
      </w:tr>
      <w:tr>
        <w:trPr>
          <w:trHeight w:val="394" w:hRule="exact"/>
        </w:trPr>
        <w:tc>
          <w:tcPr>
            <w:tcW w:w="9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20"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16"/>
              <w:jc w:val="left"/>
              <w:rPr>
                <w:rFonts w:ascii="宋体" w:hAnsi="宋体" w:cs="宋体" w:eastAsia="宋体" w:hint="default"/>
                <w:sz w:val="18"/>
                <w:szCs w:val="18"/>
              </w:rPr>
            </w:pPr>
            <w:r>
              <w:rPr>
                <w:rFonts w:ascii="宋体" w:hAnsi="宋体" w:cs="宋体" w:eastAsia="宋体" w:hint="default"/>
                <w:spacing w:val="-5"/>
                <w:sz w:val="18"/>
                <w:szCs w:val="18"/>
              </w:rPr>
              <w:t>对未到期担保，报告期内已发生担保责任或可能承担连带清偿</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责任的情况说明（如有）</w:t>
            </w:r>
          </w:p>
        </w:tc>
        <w:tc>
          <w:tcPr>
            <w:tcW w:w="471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违反规定程序对外提供担保的说明（如有）</w:t>
            </w:r>
          </w:p>
        </w:tc>
        <w:tc>
          <w:tcPr>
            <w:tcW w:w="471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采用复合方式担保的具体情况说明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2）违规对外担保情况" w:id="94"/>
      <w:bookmarkEnd w:id="9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1"/>
        <w:rPr>
          <w:rFonts w:ascii="宋体" w:hAnsi="宋体" w:cs="宋体" w:eastAsia="宋体" w:hint="default"/>
          <w:b/>
          <w:bCs/>
          <w:sz w:val="27"/>
          <w:szCs w:val="27"/>
        </w:rPr>
      </w:pPr>
    </w:p>
    <w:p>
      <w:pPr>
        <w:spacing w:line="343" w:lineRule="auto" w:before="0"/>
        <w:ind w:left="153" w:right="763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公司报告期无违规对外担保情况。</w:t>
      </w:r>
    </w:p>
    <w:p>
      <w:pPr>
        <w:spacing w:line="240" w:lineRule="auto" w:before="5"/>
        <w:rPr>
          <w:rFonts w:ascii="宋体" w:hAnsi="宋体" w:cs="宋体" w:eastAsia="宋体" w:hint="default"/>
          <w:sz w:val="20"/>
          <w:szCs w:val="20"/>
        </w:rPr>
      </w:pPr>
    </w:p>
    <w:p>
      <w:pPr>
        <w:pStyle w:val="Heading3"/>
        <w:spacing w:line="240" w:lineRule="auto"/>
        <w:ind w:right="0"/>
        <w:jc w:val="left"/>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763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公司报告期不存在委托理财。</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763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公司报告期不存在委托贷款。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763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公司报告期不存在其他重大合同。</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八、社会责任情况" w:id="99"/>
      <w:bookmarkEnd w:id="99"/>
      <w:r>
        <w:rPr>
          <w:b w:val="0"/>
          <w:bCs w:val="0"/>
        </w:rPr>
      </w:r>
      <w:r>
        <w:rPr/>
        <w:t>十八、社会责任情况</w:t>
      </w:r>
      <w:r>
        <w:rPr>
          <w:b w:val="0"/>
          <w:bCs w:val="0"/>
        </w:rPr>
      </w:r>
    </w:p>
    <w:p>
      <w:pPr>
        <w:pStyle w:val="BodyText"/>
        <w:spacing w:line="638" w:lineRule="exact" w:before="66"/>
        <w:ind w:left="614" w:right="0" w:hanging="461"/>
        <w:jc w:val="left"/>
      </w:pPr>
      <w:bookmarkStart w:name="1、履行社会责任情况" w:id="100"/>
      <w:bookmarkEnd w:id="100"/>
      <w:r>
        <w:rPr/>
      </w: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spacing w:val="-102"/>
        </w:rPr>
        <w:t> </w:t>
      </w:r>
      <w:r>
        <w:rPr>
          <w:spacing w:val="-3"/>
        </w:rPr>
        <w:t>报告期内，公司积极履行企业公民应尽的义务，承担社会责任。在追求自身发展和为股东创造价值的</w:t>
      </w:r>
    </w:p>
    <w:p>
      <w:pPr>
        <w:pStyle w:val="BodyText"/>
        <w:spacing w:line="314" w:lineRule="auto" w:before="0"/>
        <w:ind w:right="0"/>
        <w:jc w:val="left"/>
      </w:pPr>
      <w:r>
        <w:rPr>
          <w:spacing w:val="-2"/>
        </w:rPr>
        <w:t>同时，公司也积极承担对员工、客户、社会等其它利益相关体的责任，力争实现企业、投资者、员工与社</w:t>
      </w:r>
      <w:r>
        <w:rPr>
          <w:spacing w:val="-33"/>
        </w:rPr>
        <w:t> </w:t>
      </w:r>
      <w:r>
        <w:rPr>
          <w:spacing w:val="-33"/>
        </w:rPr>
      </w:r>
      <w:r>
        <w:rPr/>
        <w:t>会的共同成长和发展。</w:t>
      </w:r>
    </w:p>
    <w:p>
      <w:pPr>
        <w:pStyle w:val="BodyText"/>
        <w:spacing w:line="314" w:lineRule="auto" w:before="15"/>
        <w:ind w:right="0" w:firstLine="480"/>
        <w:jc w:val="left"/>
      </w:pPr>
      <w:r>
        <w:rPr>
          <w:spacing w:val="-4"/>
        </w:rPr>
        <w:t>面对环境保护和经济持续发展的和谐统一重任，公司高度重视生态环保和防霾减排工作，持续加大环</w:t>
      </w:r>
      <w:r>
        <w:rPr>
          <w:w w:val="100"/>
        </w:rPr>
        <w:t> </w:t>
      </w:r>
      <w:r>
        <w:rPr/>
        <w:t>保综合治理的投入，自觉承担保护环境、维护自然生态的义务。</w:t>
      </w:r>
    </w:p>
    <w:p>
      <w:pPr>
        <w:spacing w:after="0" w:line="314" w:lineRule="auto"/>
        <w:jc w:val="left"/>
        <w:sectPr>
          <w:pgSz w:w="11910" w:h="16840"/>
          <w:pgMar w:header="460" w:footer="979" w:top="1100" w:bottom="1160" w:left="980" w:right="0"/>
        </w:sectPr>
      </w:pPr>
    </w:p>
    <w:p>
      <w:pPr>
        <w:spacing w:line="240" w:lineRule="auto" w:before="11"/>
        <w:rPr>
          <w:rFonts w:ascii="宋体" w:hAnsi="宋体" w:cs="宋体" w:eastAsia="宋体" w:hint="default"/>
          <w:sz w:val="22"/>
          <w:szCs w:val="22"/>
        </w:rPr>
      </w:pPr>
    </w:p>
    <w:p>
      <w:pPr>
        <w:pStyle w:val="BodyText"/>
        <w:spacing w:line="314" w:lineRule="auto" w:before="36"/>
        <w:ind w:right="1135" w:firstLine="340"/>
        <w:jc w:val="both"/>
      </w:pPr>
      <w:r>
        <w:rPr/>
        <w:t>同时公司积极推动精准扶贫及定向扶贫工作。一方面通过专项招聘对建档立卡的贫困对象进行就业帮</w:t>
      </w:r>
      <w:r>
        <w:rPr>
          <w:w w:val="100"/>
        </w:rPr>
        <w:t> </w:t>
      </w:r>
      <w:r>
        <w:rPr/>
        <w:t>扶，另一方面积极参与陕药集团的定点扶贫项目，切实做到精准扶贫、阳光扶贫。</w:t>
      </w:r>
    </w:p>
    <w:p>
      <w:pPr>
        <w:spacing w:line="240" w:lineRule="auto" w:before="2"/>
        <w:rPr>
          <w:rFonts w:ascii="宋体" w:hAnsi="宋体" w:cs="宋体" w:eastAsia="宋体" w:hint="default"/>
          <w:sz w:val="22"/>
          <w:szCs w:val="22"/>
        </w:rPr>
      </w:pPr>
    </w:p>
    <w:p>
      <w:pPr>
        <w:pStyle w:val="Heading3"/>
        <w:spacing w:line="240" w:lineRule="auto"/>
        <w:ind w:right="0"/>
        <w:jc w:val="both"/>
        <w:rPr>
          <w:b w:val="0"/>
          <w:bCs w:val="0"/>
        </w:rPr>
      </w:pPr>
      <w:bookmarkStart w:name="2、履行精准扶贫社会责任情况" w:id="101"/>
      <w:bookmarkEnd w:id="101"/>
      <w:r>
        <w:rPr>
          <w:b w:val="0"/>
          <w:bCs w:val="0"/>
        </w:rPr>
      </w:r>
      <w:r>
        <w:rPr>
          <w:rFonts w:ascii="Times New Roman" w:hAnsi="Times New Roman" w:cs="Times New Roman" w:eastAsia="Times New Roman" w:hint="default"/>
        </w:rPr>
        <w:t>2</w:t>
      </w:r>
      <w:r>
        <w:rPr/>
        <w:t>、履行精准扶贫社会责任情况</w:t>
      </w:r>
      <w:r>
        <w:rPr>
          <w:b w:val="0"/>
          <w:bCs w:val="0"/>
        </w:rPr>
      </w:r>
    </w:p>
    <w:p>
      <w:pPr>
        <w:pStyle w:val="BodyText"/>
        <w:spacing w:line="638" w:lineRule="exact" w:before="58"/>
        <w:ind w:left="575" w:right="0" w:hanging="423"/>
        <w:jc w:val="left"/>
      </w:pPr>
      <w:bookmarkStart w:name="（1）精准扶贫规划" w:id="102"/>
      <w:bookmarkEnd w:id="102"/>
      <w:r>
        <w:rPr/>
      </w: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）精准扶贫规划</w:t>
      </w:r>
      <w:r>
        <w:rPr>
          <w:rFonts w:ascii="宋体" w:hAnsi="宋体" w:cs="宋体" w:eastAsia="宋体" w:hint="default"/>
          <w:b/>
          <w:bCs/>
          <w:spacing w:val="-104"/>
        </w:rPr>
        <w:t> </w:t>
      </w:r>
      <w:r>
        <w:rPr>
          <w:rFonts w:ascii="宋体" w:hAnsi="宋体" w:cs="宋体" w:eastAsia="宋体" w:hint="default"/>
          <w:spacing w:val="-2"/>
        </w:rPr>
        <w:t>2019</w:t>
      </w:r>
      <w:r>
        <w:rPr>
          <w:spacing w:val="-2"/>
        </w:rPr>
        <w:t>年度，公司积极响应党中央国务院打赢脱贫攻坚战的号召，通过不断组织专项招聘工作对建档立</w:t>
      </w:r>
    </w:p>
    <w:p>
      <w:pPr>
        <w:pStyle w:val="BodyText"/>
        <w:spacing w:line="258" w:lineRule="exact" w:before="0"/>
        <w:ind w:right="0"/>
        <w:jc w:val="both"/>
      </w:pPr>
      <w:r>
        <w:rPr>
          <w:spacing w:val="-4"/>
        </w:rPr>
        <w:t>卡的贫困对象积极进行就业帮扶，同时加大对内部一线贫困员工的摸排工作力度，对于新认定的贫困员工，</w:t>
      </w:r>
    </w:p>
    <w:p>
      <w:pPr>
        <w:pStyle w:val="BodyText"/>
        <w:spacing w:line="314" w:lineRule="auto" w:before="85"/>
        <w:ind w:right="1125"/>
        <w:jc w:val="both"/>
      </w:pPr>
      <w:r>
        <w:rPr>
          <w:spacing w:val="-2"/>
        </w:rPr>
        <w:t>及时收集信息、资料等内容，并整理上报；对于已建档的贫困员工，做到经常性走访问询、即时了解、积</w:t>
      </w:r>
      <w:r>
        <w:rPr>
          <w:spacing w:val="-33"/>
        </w:rPr>
        <w:t> </w:t>
      </w:r>
      <w:r>
        <w:rPr>
          <w:spacing w:val="-33"/>
        </w:rPr>
      </w:r>
      <w:r>
        <w:rPr>
          <w:spacing w:val="-2"/>
        </w:rPr>
        <w:t>极开展慰问帮扶工作。对于脱贫人员也及时完善相关资料，确保工作的完备性。另外，公司也积极参与陕</w:t>
      </w:r>
      <w:r>
        <w:rPr>
          <w:spacing w:val="-33"/>
        </w:rPr>
        <w:t> </w:t>
      </w:r>
      <w:r>
        <w:rPr>
          <w:spacing w:val="-33"/>
        </w:rPr>
      </w:r>
      <w:r>
        <w:rPr/>
        <w:t>药集团定点扶贫项目。</w:t>
      </w:r>
    </w:p>
    <w:p>
      <w:pPr>
        <w:spacing w:line="638" w:lineRule="exact" w:before="29"/>
        <w:ind w:left="575" w:right="0" w:hanging="423"/>
        <w:jc w:val="left"/>
        <w:rPr>
          <w:rFonts w:ascii="宋体" w:hAnsi="宋体" w:cs="宋体" w:eastAsia="宋体" w:hint="default"/>
          <w:sz w:val="21"/>
          <w:szCs w:val="21"/>
        </w:rPr>
      </w:pPr>
      <w:bookmarkStart w:name="（2）年度精准扶贫概要" w:id="103"/>
      <w:bookmarkEnd w:id="1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）年度精准扶贫概要</w:t>
      </w:r>
      <w:r>
        <w:rPr>
          <w:rFonts w:ascii="宋体" w:hAnsi="宋体" w:cs="宋体" w:eastAsia="宋体" w:hint="default"/>
          <w:b/>
          <w:bCs/>
          <w:spacing w:val="-103"/>
          <w:sz w:val="21"/>
          <w:szCs w:val="21"/>
        </w:rPr>
        <w:t> </w:t>
      </w:r>
      <w:r>
        <w:rPr>
          <w:rFonts w:ascii="宋体" w:hAnsi="宋体" w:cs="宋体" w:eastAsia="宋体" w:hint="default"/>
          <w:spacing w:val="-2"/>
          <w:sz w:val="21"/>
          <w:szCs w:val="21"/>
        </w:rPr>
        <w:t>2019</w:t>
      </w:r>
      <w:r>
        <w:rPr>
          <w:rFonts w:ascii="宋体" w:hAnsi="宋体" w:cs="宋体" w:eastAsia="宋体" w:hint="default"/>
          <w:spacing w:val="-2"/>
          <w:sz w:val="21"/>
          <w:szCs w:val="21"/>
        </w:rPr>
        <w:t>年度公司重点建立精准扶贫工作机制，做到对扶贫对象精准化识别、对扶贫资源精确化分配。</w:t>
      </w:r>
    </w:p>
    <w:p>
      <w:pPr>
        <w:pStyle w:val="BodyText"/>
        <w:spacing w:line="257" w:lineRule="exact" w:before="0"/>
        <w:ind w:right="0" w:firstLine="422"/>
        <w:jc w:val="both"/>
      </w:pPr>
      <w:r>
        <w:rPr/>
        <w:t>①就业扶贫：公司通过招聘信息的专项设定，对社会上建档立卡的贫困户进行精准招聘。针对贫困劳</w:t>
      </w:r>
    </w:p>
    <w:p>
      <w:pPr>
        <w:pStyle w:val="BodyText"/>
        <w:spacing w:line="312" w:lineRule="auto" w:before="85"/>
        <w:ind w:right="1123"/>
        <w:jc w:val="both"/>
      </w:pPr>
      <w:r>
        <w:rPr>
          <w:spacing w:val="-2"/>
        </w:rPr>
        <w:t>动力就业需求和实际特点，收集整理工作年龄要求宽、技能水平要求低、薪酬待遇合理的公司就业岗位信</w:t>
      </w:r>
      <w:r>
        <w:rPr>
          <w:spacing w:val="-33"/>
        </w:rPr>
        <w:t> </w:t>
      </w:r>
      <w:r>
        <w:rPr>
          <w:spacing w:val="-33"/>
        </w:rPr>
      </w:r>
      <w:r>
        <w:rPr>
          <w:spacing w:val="-2"/>
        </w:rPr>
        <w:t>息，并在招聘信息上进行专项标注，组织或参与专项招聘会。截止报告期末，公司积极参加了高新区就业</w:t>
      </w:r>
      <w:r>
        <w:rPr>
          <w:spacing w:val="-33"/>
        </w:rPr>
        <w:t> </w:t>
      </w:r>
      <w:r>
        <w:rPr>
          <w:spacing w:val="-33"/>
        </w:rPr>
      </w:r>
      <w:r>
        <w:rPr/>
        <w:t>扶贫专场招聘会。招聘会现场应聘群众</w:t>
      </w:r>
      <w:r>
        <w:rPr>
          <w:rFonts w:ascii="宋体" w:hAnsi="宋体" w:cs="宋体" w:eastAsia="宋体" w:hint="default"/>
        </w:rPr>
        <w:t>100</w:t>
      </w:r>
      <w:r>
        <w:rPr/>
        <w:t>人左右，公司人资部通过现场宣传招聘政策，生产制造部副经</w:t>
      </w:r>
      <w:r>
        <w:rPr>
          <w:spacing w:val="-30"/>
        </w:rPr>
        <w:t> </w:t>
      </w:r>
      <w:r>
        <w:rPr>
          <w:spacing w:val="-30"/>
        </w:rPr>
      </w:r>
      <w:r>
        <w:rPr>
          <w:spacing w:val="-6"/>
        </w:rPr>
        <w:t>理全程专业讲解，并明确“建档立卡贫困户”优先，现场有就业意向</w:t>
      </w:r>
      <w:r>
        <w:rPr>
          <w:rFonts w:ascii="宋体" w:hAnsi="宋体" w:cs="宋体" w:eastAsia="宋体" w:hint="default"/>
          <w:spacing w:val="-6"/>
        </w:rPr>
        <w:t>11</w:t>
      </w:r>
      <w:r>
        <w:rPr>
          <w:spacing w:val="-6"/>
        </w:rPr>
        <w:t>人，公司后续将持续跟进相关工作。</w:t>
      </w:r>
    </w:p>
    <w:p>
      <w:pPr>
        <w:pStyle w:val="BodyText"/>
        <w:spacing w:line="314" w:lineRule="auto" w:before="22"/>
        <w:ind w:right="1118" w:firstLine="422"/>
        <w:jc w:val="both"/>
      </w:pPr>
      <w:r>
        <w:rPr>
          <w:spacing w:val="-7"/>
        </w:rPr>
        <w:t>②内部贫困员工帮扶：公司通过申请评议、核查信息、建档录入等步骤，有效识别公司内部贫困员工，</w:t>
      </w:r>
      <w:r>
        <w:rPr>
          <w:w w:val="100"/>
        </w:rPr>
        <w:t> </w:t>
      </w:r>
      <w:r>
        <w:rPr/>
        <w:t>进行重点帮扶。截止报告期末，公司共向中华全国总工会上报</w:t>
      </w:r>
      <w:r>
        <w:rPr>
          <w:rFonts w:ascii="宋体" w:hAnsi="宋体" w:cs="宋体" w:eastAsia="宋体" w:hint="default"/>
        </w:rPr>
        <w:t>9</w:t>
      </w:r>
      <w:r>
        <w:rPr/>
        <w:t>名贫困员工，均通过系统审核并进入工会</w:t>
      </w:r>
      <w:r>
        <w:rPr>
          <w:spacing w:val="-29"/>
        </w:rPr>
        <w:t> </w:t>
      </w:r>
      <w:r>
        <w:rPr>
          <w:spacing w:val="-29"/>
        </w:rPr>
      </w:r>
      <w:r>
        <w:rPr/>
        <w:t>帮扶工作管理系统；向</w:t>
      </w:r>
      <w:r>
        <w:rPr>
          <w:rFonts w:ascii="宋体" w:hAnsi="宋体" w:cs="宋体" w:eastAsia="宋体" w:hint="default"/>
        </w:rPr>
        <w:t>9</w:t>
      </w:r>
      <w:r>
        <w:rPr/>
        <w:t>名贫困员工的工资发放总额为</w:t>
      </w:r>
      <w:r>
        <w:rPr>
          <w:rFonts w:ascii="宋体" w:hAnsi="宋体" w:cs="宋体" w:eastAsia="宋体" w:hint="default"/>
        </w:rPr>
        <w:t>21.01</w:t>
      </w:r>
      <w:r>
        <w:rPr/>
        <w:t>万元，另发放困难补贴共计</w:t>
      </w:r>
      <w:r>
        <w:rPr>
          <w:rFonts w:ascii="宋体" w:hAnsi="宋体" w:cs="宋体" w:eastAsia="宋体" w:hint="default"/>
        </w:rPr>
        <w:t>2.04</w:t>
      </w:r>
      <w:r>
        <w:rPr/>
        <w:t>万元。</w:t>
      </w:r>
    </w:p>
    <w:p>
      <w:pPr>
        <w:pStyle w:val="BodyText"/>
        <w:spacing w:line="314" w:lineRule="auto" w:before="15"/>
        <w:ind w:right="1124" w:firstLine="422"/>
        <w:jc w:val="both"/>
      </w:pPr>
      <w:r>
        <w:rPr>
          <w:spacing w:val="-2"/>
        </w:rPr>
        <w:t>③精准扶贫：公司为陕药集团“两联一包”帮扶村白河县冷水镇小双村出资建设了标准化党支部，并</w:t>
      </w:r>
      <w:r>
        <w:rPr>
          <w:w w:val="100"/>
        </w:rPr>
        <w:t> </w:t>
      </w:r>
      <w:r>
        <w:rPr/>
        <w:t>进行了物品及资金援助，共计</w:t>
      </w:r>
      <w:r>
        <w:rPr>
          <w:rFonts w:ascii="宋体" w:hAnsi="宋体" w:cs="宋体" w:eastAsia="宋体" w:hint="default"/>
        </w:rPr>
        <w:t>4</w:t>
      </w:r>
      <w:r>
        <w:rPr/>
        <w:t>万元。</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bookmarkStart w:name="（3）精准扶贫成效" w:id="104"/>
      <w:bookmarkEnd w:id="104"/>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585"/>
        <w:gridCol w:w="1450"/>
        <w:gridCol w:w="4523"/>
      </w:tblGrid>
      <w:tr>
        <w:trPr>
          <w:trHeight w:val="403" w:hRule="exact"/>
        </w:trPr>
        <w:tc>
          <w:tcPr>
            <w:tcW w:w="3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指标</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3" w:hRule="exact"/>
        </w:trPr>
        <w:tc>
          <w:tcPr>
            <w:tcW w:w="3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98" w:hRule="exact"/>
        </w:trPr>
        <w:tc>
          <w:tcPr>
            <w:tcW w:w="3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27.05</w:t>
            </w:r>
          </w:p>
        </w:tc>
      </w:tr>
      <w:tr>
        <w:trPr>
          <w:trHeight w:val="404" w:hRule="exact"/>
        </w:trPr>
        <w:tc>
          <w:tcPr>
            <w:tcW w:w="3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帮助建档立卡贫困人口脱贫数</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8" w:right="0"/>
              <w:jc w:val="center"/>
              <w:rPr>
                <w:rFonts w:ascii="宋体" w:hAnsi="宋体" w:cs="宋体" w:eastAsia="宋体" w:hint="default"/>
                <w:sz w:val="18"/>
                <w:szCs w:val="18"/>
              </w:rPr>
            </w:pPr>
            <w:r>
              <w:rPr>
                <w:rFonts w:ascii="宋体" w:hAnsi="宋体" w:cs="宋体" w:eastAsia="宋体" w:hint="default"/>
                <w:w w:val="101"/>
                <w:sz w:val="18"/>
                <w:szCs w:val="18"/>
              </w:rPr>
              <w:t>人</w:t>
            </w:r>
            <w:r>
              <w:rPr>
                <w:rFonts w:ascii="宋体" w:hAnsi="宋体" w:cs="宋体" w:eastAsia="宋体" w:hint="default"/>
                <w:sz w:val="18"/>
                <w:szCs w:val="18"/>
              </w:rPr>
            </w:r>
          </w:p>
        </w:tc>
        <w:tc>
          <w:tcPr>
            <w:tcW w:w="45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r>
        <w:trPr>
          <w:trHeight w:val="403" w:hRule="exact"/>
        </w:trPr>
        <w:tc>
          <w:tcPr>
            <w:tcW w:w="3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98" w:hRule="exact"/>
        </w:trPr>
        <w:tc>
          <w:tcPr>
            <w:tcW w:w="3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3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460" w:footer="979"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3585"/>
        <w:gridCol w:w="1450"/>
        <w:gridCol w:w="4523"/>
      </w:tblGrid>
      <w:tr>
        <w:trPr>
          <w:trHeight w:val="403" w:hRule="exact"/>
        </w:trPr>
        <w:tc>
          <w:tcPr>
            <w:tcW w:w="3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0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0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1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20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定点扶贫工作投入金额</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4.00</w:t>
            </w:r>
          </w:p>
        </w:tc>
      </w:tr>
      <w:tr>
        <w:trPr>
          <w:trHeight w:val="403" w:hRule="exact"/>
        </w:trPr>
        <w:tc>
          <w:tcPr>
            <w:tcW w:w="3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0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w:t>
            </w:r>
            <w:r>
              <w:rPr>
                <w:rFonts w:ascii="宋体" w:hAnsi="宋体" w:cs="宋体" w:eastAsia="宋体" w:hint="default"/>
                <w:sz w:val="18"/>
                <w:szCs w:val="18"/>
              </w:rPr>
              <w:t>投入金额</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23.05</w:t>
            </w:r>
          </w:p>
        </w:tc>
      </w:tr>
      <w:tr>
        <w:trPr>
          <w:trHeight w:val="401" w:hRule="exact"/>
        </w:trPr>
        <w:tc>
          <w:tcPr>
            <w:tcW w:w="3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9.3.</w:t>
            </w:r>
            <w:r>
              <w:rPr>
                <w:rFonts w:ascii="宋体" w:hAnsi="宋体" w:cs="宋体" w:eastAsia="宋体" w:hint="default"/>
                <w:spacing w:val="-3"/>
                <w:sz w:val="18"/>
                <w:szCs w:val="18"/>
              </w:rPr>
              <w:t>帮助建档立卡贫困人口脱贫数</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8" w:right="0"/>
              <w:jc w:val="center"/>
              <w:rPr>
                <w:rFonts w:ascii="宋体" w:hAnsi="宋体" w:cs="宋体" w:eastAsia="宋体" w:hint="default"/>
                <w:sz w:val="18"/>
                <w:szCs w:val="18"/>
              </w:rPr>
            </w:pPr>
            <w:r>
              <w:rPr>
                <w:rFonts w:ascii="宋体" w:hAnsi="宋体" w:cs="宋体" w:eastAsia="宋体" w:hint="default"/>
                <w:w w:val="101"/>
                <w:sz w:val="18"/>
                <w:szCs w:val="18"/>
              </w:rPr>
              <w:t>人</w:t>
            </w:r>
            <w:r>
              <w:rPr>
                <w:rFonts w:ascii="宋体" w:hAnsi="宋体" w:cs="宋体" w:eastAsia="宋体" w:hint="default"/>
                <w:sz w:val="18"/>
                <w:szCs w:val="18"/>
              </w:rPr>
            </w:r>
          </w:p>
        </w:tc>
        <w:tc>
          <w:tcPr>
            <w:tcW w:w="45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r>
        <w:trPr>
          <w:trHeight w:val="403" w:hRule="exact"/>
        </w:trPr>
        <w:tc>
          <w:tcPr>
            <w:tcW w:w="3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三、所获奖项（内容、级别）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0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4）后续精准扶贫计划" w:id="105"/>
      <w:bookmarkEnd w:id="105"/>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3"/>
        <w:rPr>
          <w:rFonts w:ascii="宋体" w:hAnsi="宋体" w:cs="宋体" w:eastAsia="宋体" w:hint="default"/>
          <w:b/>
          <w:bCs/>
          <w:sz w:val="26"/>
          <w:szCs w:val="26"/>
        </w:rPr>
      </w:pPr>
    </w:p>
    <w:p>
      <w:pPr>
        <w:pStyle w:val="BodyText"/>
        <w:spacing w:line="314" w:lineRule="auto" w:before="0"/>
        <w:ind w:right="0" w:firstLine="422"/>
        <w:jc w:val="left"/>
      </w:pPr>
      <w:r>
        <w:rPr>
          <w:rFonts w:ascii="宋体" w:hAnsi="宋体" w:cs="宋体" w:eastAsia="宋体" w:hint="default"/>
          <w:spacing w:val="-4"/>
        </w:rPr>
        <w:t>2020</w:t>
      </w:r>
      <w:r>
        <w:rPr>
          <w:spacing w:val="-4"/>
        </w:rPr>
        <w:t>年公司将继续认真贯彻落实习近平总书记扶贫开发战略思想，加大扶贫工作力度，注重精准发力，</w:t>
      </w:r>
      <w:r>
        <w:rPr>
          <w:w w:val="100"/>
        </w:rPr>
        <w:t> </w:t>
      </w:r>
      <w:r>
        <w:rPr/>
        <w:t>正确处理经济发展与扶贫工作的关系。除坚持做好就业扶贫和内部贫困员工帮扶工作外，将建立健全扶贫</w:t>
      </w:r>
      <w:r>
        <w:rPr>
          <w:w w:val="100"/>
        </w:rPr>
        <w:t> </w:t>
      </w:r>
      <w:r>
        <w:rPr/>
        <w:t>长效机制，切实巩固提升脱贫成果。</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3、环境保护相关的情况" w:id="106"/>
      <w:bookmarkEnd w:id="106"/>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5655" w:firstLine="0"/>
        <w:jc w:val="left"/>
        <w:rPr>
          <w:rFonts w:ascii="宋体" w:hAnsi="宋体" w:cs="宋体" w:eastAsia="宋体" w:hint="default"/>
          <w:sz w:val="18"/>
          <w:szCs w:val="18"/>
        </w:rPr>
      </w:pPr>
      <w:r>
        <w:rPr>
          <w:rFonts w:ascii="宋体" w:hAnsi="宋体" w:cs="宋体" w:eastAsia="宋体" w:hint="default"/>
          <w:spacing w:val="-3"/>
          <w:sz w:val="18"/>
          <w:szCs w:val="18"/>
        </w:rPr>
        <w:t>上市公司及其子公司是否属于环境保护部门公布的重点排污单位</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否</w:t>
      </w:r>
    </w:p>
    <w:p>
      <w:pPr>
        <w:pStyle w:val="BodyText"/>
        <w:spacing w:line="312" w:lineRule="auto" w:before="25"/>
        <w:ind w:right="1126" w:firstLine="422"/>
        <w:jc w:val="both"/>
      </w:pPr>
      <w:r>
        <w:rPr>
          <w:spacing w:val="-2"/>
        </w:rPr>
        <w:t>公司在研发和生产过程所使用的原辅料属于环保型产品，在原辅料采购环节公司一直在追寻国内外知</w:t>
      </w:r>
      <w:r>
        <w:rPr>
          <w:w w:val="100"/>
        </w:rPr>
        <w:t> </w:t>
      </w:r>
      <w:r>
        <w:rPr>
          <w:spacing w:val="-2"/>
        </w:rPr>
        <w:t>名品牌，要求生产厂家必须通过三体系认证，产品须有十环认证，经公司确认后方可采购使用，所以公司</w:t>
      </w:r>
      <w:r>
        <w:rPr>
          <w:spacing w:val="-33"/>
        </w:rPr>
        <w:t> </w:t>
      </w:r>
      <w:r>
        <w:rPr>
          <w:spacing w:val="-33"/>
        </w:rPr>
      </w:r>
      <w:r>
        <w:rPr/>
        <w:t>不属于环境保护部门公布的重点排污单位和监控企业。</w:t>
      </w:r>
    </w:p>
    <w:p>
      <w:pPr>
        <w:pStyle w:val="BodyText"/>
        <w:spacing w:line="314" w:lineRule="auto" w:before="22"/>
        <w:ind w:left="575" w:right="0" w:hanging="423"/>
        <w:jc w:val="left"/>
      </w:pPr>
      <w:r>
        <w:rPr/>
        <w:t>（</w:t>
      </w:r>
      <w:r>
        <w:rPr>
          <w:rFonts w:ascii="宋体" w:hAnsi="宋体" w:cs="宋体" w:eastAsia="宋体" w:hint="default"/>
        </w:rPr>
        <w:t>1</w:t>
      </w:r>
      <w:r>
        <w:rPr/>
        <w:t>）防治污染设施的建设和运行情况</w:t>
      </w:r>
      <w:r>
        <w:rPr>
          <w:spacing w:val="-101"/>
        </w:rPr>
        <w:t> </w:t>
      </w:r>
      <w:r>
        <w:rPr>
          <w:spacing w:val="-101"/>
        </w:rPr>
      </w:r>
      <w:r>
        <w:rPr>
          <w:spacing w:val="-2"/>
        </w:rPr>
        <w:t>公司严格按照相关法律法规和地方标椎要求，落实企业社会责任和义务，通过高科技手段治理有机废</w:t>
      </w:r>
    </w:p>
    <w:p>
      <w:pPr>
        <w:pStyle w:val="BodyText"/>
        <w:spacing w:line="314" w:lineRule="auto" w:before="15"/>
        <w:ind w:right="0"/>
        <w:jc w:val="left"/>
      </w:pPr>
      <w:r>
        <w:rPr/>
        <w:t>气，自</w:t>
      </w:r>
      <w:r>
        <w:rPr>
          <w:rFonts w:ascii="宋体" w:hAnsi="宋体" w:cs="宋体" w:eastAsia="宋体" w:hint="default"/>
        </w:rPr>
        <w:t>2015</w:t>
      </w:r>
      <w:r>
        <w:rPr/>
        <w:t>年到</w:t>
      </w:r>
      <w:r>
        <w:rPr>
          <w:rFonts w:ascii="宋体" w:hAnsi="宋体" w:cs="宋体" w:eastAsia="宋体" w:hint="default"/>
        </w:rPr>
        <w:t>2018</w:t>
      </w:r>
      <w:r>
        <w:rPr/>
        <w:t>年先后投资建设了三套有机废气设施，有效的对有机废气进行治理并达标排放，</w:t>
      </w:r>
      <w:r>
        <w:rPr>
          <w:rFonts w:ascii="宋体" w:hAnsi="宋体" w:cs="宋体" w:eastAsia="宋体" w:hint="default"/>
        </w:rPr>
        <w:t>2019</w:t>
      </w:r>
      <w:r>
        <w:rPr>
          <w:rFonts w:ascii="宋体" w:hAnsi="宋体" w:cs="宋体" w:eastAsia="宋体" w:hint="default"/>
          <w:w w:val="100"/>
        </w:rPr>
        <w:t> </w:t>
      </w:r>
      <w:r>
        <w:rPr/>
        <w:t>年全年达标排放</w:t>
      </w:r>
      <w:r>
        <w:rPr>
          <w:rFonts w:ascii="宋体" w:hAnsi="宋体" w:cs="宋体" w:eastAsia="宋体" w:hint="default"/>
        </w:rPr>
        <w:t>300</w:t>
      </w:r>
      <w:r>
        <w:rPr/>
        <w:t>天。</w:t>
      </w:r>
      <w:r>
        <w:rPr>
          <w:rFonts w:ascii="宋体" w:hAnsi="宋体" w:cs="宋体" w:eastAsia="宋体" w:hint="default"/>
        </w:rPr>
        <w:t>2009</w:t>
      </w:r>
      <w:r>
        <w:rPr/>
        <w:t>年公司投资建设污水处理系统，日处理污水能力</w:t>
      </w:r>
      <w:r>
        <w:rPr>
          <w:rFonts w:ascii="宋体" w:hAnsi="宋体" w:cs="宋体" w:eastAsia="宋体" w:hint="default"/>
        </w:rPr>
        <w:t>100</w:t>
      </w:r>
      <w:r>
        <w:rPr/>
        <w:t>吨，全年运行正常，未出</w:t>
      </w:r>
      <w:r>
        <w:rPr>
          <w:w w:val="100"/>
        </w:rPr>
        <w:t> </w:t>
      </w:r>
      <w:r>
        <w:rPr>
          <w:spacing w:val="-4"/>
        </w:rPr>
        <w:t>现不达标排放情况的发生，公司建立健全了各项环境保护方面管理制度，明确了相关人员责任和作业流程，</w:t>
      </w:r>
      <w:r>
        <w:rPr>
          <w:spacing w:val="-42"/>
        </w:rPr>
        <w:t> </w:t>
      </w:r>
      <w:r>
        <w:rPr>
          <w:spacing w:val="-42"/>
        </w:rPr>
      </w:r>
      <w:r>
        <w:rPr/>
        <w:t>有效的提高环境保护责任和社会义务，得到相关政府管理部门的一致认可。</w:t>
      </w:r>
    </w:p>
    <w:p>
      <w:pPr>
        <w:pStyle w:val="BodyText"/>
        <w:spacing w:line="314" w:lineRule="auto" w:before="15"/>
        <w:ind w:left="575" w:right="0" w:hanging="423"/>
        <w:jc w:val="left"/>
      </w:pPr>
      <w:r>
        <w:rPr/>
        <w:t>（</w:t>
      </w:r>
      <w:r>
        <w:rPr>
          <w:rFonts w:ascii="宋体" w:hAnsi="宋体" w:cs="宋体" w:eastAsia="宋体" w:hint="default"/>
        </w:rPr>
        <w:t>2</w:t>
      </w:r>
      <w:r>
        <w:rPr/>
        <w:t>）建设项目环境影响评价及其他环境保护行政许可情况</w:t>
      </w:r>
      <w:r>
        <w:rPr>
          <w:w w:val="100"/>
        </w:rPr>
        <w:t> </w:t>
      </w:r>
      <w:r>
        <w:rPr>
          <w:spacing w:val="-2"/>
        </w:rPr>
        <w:t>公司的建设项目严格执行环境许可制度，严格遵守环境保护许可法规。</w:t>
      </w:r>
      <w:r>
        <w:rPr>
          <w:rFonts w:ascii="宋体" w:hAnsi="宋体" w:cs="宋体" w:eastAsia="宋体" w:hint="default"/>
          <w:spacing w:val="-2"/>
        </w:rPr>
        <w:t>2019</w:t>
      </w:r>
      <w:r>
        <w:rPr>
          <w:spacing w:val="-2"/>
        </w:rPr>
        <w:t>年公司按照《中华人民共</w:t>
      </w:r>
    </w:p>
    <w:p>
      <w:pPr>
        <w:pStyle w:val="BodyText"/>
        <w:spacing w:line="240" w:lineRule="auto"/>
        <w:ind w:right="0"/>
        <w:jc w:val="left"/>
      </w:pPr>
      <w:r>
        <w:rPr/>
        <w:t>和国清洁生产促进法》要求，开展了为期</w:t>
      </w:r>
      <w:r>
        <w:rPr>
          <w:rFonts w:ascii="宋体" w:hAnsi="宋体" w:cs="宋体" w:eastAsia="宋体" w:hint="default"/>
        </w:rPr>
        <w:t>6</w:t>
      </w:r>
      <w:r>
        <w:rPr/>
        <w:t>个月的清洁生产工作，该工作已经得到相关部门的评审。</w:t>
      </w:r>
    </w:p>
    <w:p>
      <w:pPr>
        <w:pStyle w:val="BodyText"/>
        <w:spacing w:line="309" w:lineRule="auto" w:before="85"/>
        <w:ind w:left="575" w:right="0" w:hanging="423"/>
        <w:jc w:val="left"/>
      </w:pPr>
      <w:r>
        <w:rPr/>
        <w:t>（</w:t>
      </w:r>
      <w:r>
        <w:rPr>
          <w:rFonts w:ascii="宋体" w:hAnsi="宋体" w:cs="宋体" w:eastAsia="宋体" w:hint="default"/>
        </w:rPr>
        <w:t>3</w:t>
      </w:r>
      <w:r>
        <w:rPr/>
        <w:t>）突发环境事件应急预案</w:t>
      </w:r>
      <w:r>
        <w:rPr>
          <w:spacing w:val="-100"/>
        </w:rPr>
        <w:t> </w:t>
      </w:r>
      <w:r>
        <w:rPr>
          <w:spacing w:val="-100"/>
        </w:rPr>
      </w:r>
      <w:r>
        <w:rPr>
          <w:spacing w:val="-2"/>
        </w:rPr>
        <w:t>公司建立有《突发环境事件应急预案》，明确了突发环境事件应急领导小组人员与职能责任，并定期</w:t>
      </w:r>
    </w:p>
    <w:p>
      <w:pPr>
        <w:pStyle w:val="BodyText"/>
        <w:spacing w:line="240" w:lineRule="auto" w:before="24"/>
        <w:ind w:right="0"/>
        <w:jc w:val="left"/>
      </w:pPr>
      <w:r>
        <w:rPr/>
        <w:t>对应急预案进行演练，不断完善应急措施，提高应急能力。</w:t>
      </w:r>
    </w:p>
    <w:p>
      <w:pPr>
        <w:pStyle w:val="BodyText"/>
        <w:spacing w:line="314" w:lineRule="auto" w:before="85"/>
        <w:ind w:left="575" w:right="0" w:hanging="423"/>
        <w:jc w:val="left"/>
      </w:pPr>
      <w:r>
        <w:rPr/>
        <w:t>（</w:t>
      </w:r>
      <w:r>
        <w:rPr>
          <w:rFonts w:ascii="宋体" w:hAnsi="宋体" w:cs="宋体" w:eastAsia="宋体" w:hint="default"/>
        </w:rPr>
        <w:t>4</w:t>
      </w:r>
      <w:r>
        <w:rPr/>
        <w:t>）环境自行监测方案</w:t>
      </w:r>
      <w:r>
        <w:rPr>
          <w:spacing w:val="-103"/>
        </w:rPr>
        <w:t> </w:t>
      </w:r>
      <w:r>
        <w:rPr>
          <w:spacing w:val="-103"/>
        </w:rPr>
      </w:r>
      <w:r>
        <w:rPr>
          <w:rFonts w:ascii="宋体" w:hAnsi="宋体" w:cs="宋体" w:eastAsia="宋体" w:hint="default"/>
          <w:spacing w:val="-2"/>
        </w:rPr>
        <w:t>2019</w:t>
      </w:r>
      <w:r>
        <w:rPr>
          <w:spacing w:val="-2"/>
        </w:rPr>
        <w:t>年初，公司依据《中华人民共和国环境保护法》、《中华人民共和国大气污染防治法》、《中华</w:t>
      </w:r>
    </w:p>
    <w:p>
      <w:pPr>
        <w:pStyle w:val="BodyText"/>
        <w:spacing w:line="314" w:lineRule="auto" w:before="16"/>
        <w:ind w:right="0"/>
        <w:jc w:val="left"/>
      </w:pPr>
      <w:r>
        <w:rPr/>
        <w:t>人民共和国水污染防治法》、《工业污染源监测管理办法</w:t>
      </w:r>
      <w:r>
        <w:rPr>
          <w:rFonts w:ascii="宋体" w:hAnsi="宋体" w:cs="宋体" w:eastAsia="宋体" w:hint="default"/>
        </w:rPr>
        <w:t>(</w:t>
      </w:r>
      <w:r>
        <w:rPr/>
        <w:t>暂行</w:t>
      </w:r>
      <w:r>
        <w:rPr>
          <w:rFonts w:ascii="宋体" w:hAnsi="宋体" w:cs="宋体" w:eastAsia="宋体" w:hint="default"/>
        </w:rPr>
        <w:t>)</w:t>
      </w:r>
      <w:r>
        <w:rPr/>
        <w:t>》等相关规定</w:t>
      </w:r>
      <w:r>
        <w:rPr>
          <w:rFonts w:ascii="宋体" w:hAnsi="宋体" w:cs="宋体" w:eastAsia="宋体" w:hint="default"/>
        </w:rPr>
        <w:t>,</w:t>
      </w:r>
      <w:r>
        <w:rPr/>
        <w:t>结合公司生产工艺过程及</w:t>
      </w:r>
      <w:r>
        <w:rPr>
          <w:spacing w:val="-29"/>
        </w:rPr>
        <w:t> </w:t>
      </w:r>
      <w:r>
        <w:rPr>
          <w:spacing w:val="-29"/>
        </w:rPr>
      </w:r>
      <w:r>
        <w:rPr>
          <w:spacing w:val="-2"/>
        </w:rPr>
        <w:t>污染治理设施运行情况和公司环评中环境监测管理要求等内容，制定了环境监测计划书，计划书明确了有</w:t>
      </w:r>
    </w:p>
    <w:p>
      <w:pPr>
        <w:spacing w:after="0" w:line="314" w:lineRule="auto"/>
        <w:jc w:val="left"/>
        <w:sectPr>
          <w:pgSz w:w="11910" w:h="16840"/>
          <w:pgMar w:header="460" w:footer="979" w:top="1100" w:bottom="1160" w:left="980" w:right="0"/>
        </w:sectPr>
      </w:pPr>
    </w:p>
    <w:p>
      <w:pPr>
        <w:spacing w:line="240" w:lineRule="auto" w:before="7"/>
        <w:rPr>
          <w:rFonts w:ascii="宋体" w:hAnsi="宋体" w:cs="宋体" w:eastAsia="宋体" w:hint="default"/>
          <w:sz w:val="22"/>
          <w:szCs w:val="22"/>
        </w:rPr>
      </w:pPr>
    </w:p>
    <w:p>
      <w:pPr>
        <w:pStyle w:val="BodyText"/>
        <w:spacing w:line="312" w:lineRule="auto" w:before="36"/>
        <w:ind w:right="1125"/>
        <w:jc w:val="both"/>
      </w:pPr>
      <w:r>
        <w:rPr>
          <w:spacing w:val="-2"/>
        </w:rPr>
        <w:t>机废气，废水，噪音的监测频次和检测数值。通过定期的环境监测，了解公司三废排放情况，可以及时发</w:t>
      </w:r>
      <w:r>
        <w:rPr>
          <w:spacing w:val="-38"/>
        </w:rPr>
        <w:t> </w:t>
      </w:r>
      <w:r>
        <w:rPr>
          <w:spacing w:val="-38"/>
        </w:rPr>
      </w:r>
      <w:r>
        <w:rPr>
          <w:spacing w:val="-2"/>
        </w:rPr>
        <w:t>现问题、解决问题，从而有利于监督公司各项环保措施的落实及环保设施的运转情况，履行了环境保护责</w:t>
      </w:r>
      <w:r>
        <w:rPr>
          <w:spacing w:val="-33"/>
        </w:rPr>
        <w:t> </w:t>
      </w:r>
      <w:r>
        <w:rPr>
          <w:spacing w:val="-33"/>
        </w:rPr>
      </w:r>
      <w:r>
        <w:rPr/>
        <w:t>任和社会义务。</w:t>
      </w:r>
    </w:p>
    <w:p>
      <w:pPr>
        <w:pStyle w:val="BodyText"/>
        <w:spacing w:line="314" w:lineRule="auto" w:before="22"/>
        <w:ind w:right="0" w:firstLine="422"/>
        <w:jc w:val="left"/>
      </w:pPr>
      <w:r>
        <w:rPr>
          <w:spacing w:val="-2"/>
        </w:rPr>
        <w:t>未来公司将继续秉持“创新发展，持续探索”的理念，与公司的各相关方携手，共同实现生态可持续</w:t>
      </w:r>
      <w:r>
        <w:rPr>
          <w:w w:val="100"/>
        </w:rPr>
        <w:t> </w:t>
      </w:r>
      <w:r>
        <w:rPr/>
        <w:t>发展、社会可持续发展和经济可持续发展的平衡。</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2"/>
        <w:spacing w:line="240" w:lineRule="auto"/>
        <w:ind w:right="0"/>
        <w:jc w:val="both"/>
        <w:rPr>
          <w:b w:val="0"/>
          <w:bCs w:val="0"/>
        </w:rPr>
      </w:pPr>
      <w:bookmarkStart w:name="十九、其他重大事项的说明" w:id="107"/>
      <w:bookmarkEnd w:id="107"/>
      <w:r>
        <w:rPr>
          <w:b w:val="0"/>
          <w:bCs w:val="0"/>
        </w:rPr>
      </w:r>
      <w:r>
        <w:rPr/>
        <w:t>十九、其他重大事项的说明</w:t>
      </w:r>
      <w:r>
        <w:rPr>
          <w:b w:val="0"/>
          <w:bCs w:val="0"/>
        </w:rPr>
      </w:r>
    </w:p>
    <w:p>
      <w:pPr>
        <w:spacing w:line="240" w:lineRule="auto" w:before="8"/>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86" w:type="dxa"/>
        <w:tblLayout w:type="fixed"/>
        <w:tblCellMar>
          <w:top w:w="0" w:type="dxa"/>
          <w:left w:w="0" w:type="dxa"/>
          <w:bottom w:w="0" w:type="dxa"/>
          <w:right w:w="0" w:type="dxa"/>
        </w:tblCellMar>
        <w:tblLook w:val="01E0"/>
      </w:tblPr>
      <w:tblGrid>
        <w:gridCol w:w="1393"/>
        <w:gridCol w:w="994"/>
        <w:gridCol w:w="2411"/>
        <w:gridCol w:w="2694"/>
        <w:gridCol w:w="2233"/>
      </w:tblGrid>
      <w:tr>
        <w:trPr>
          <w:trHeight w:val="346" w:hRule="exact"/>
        </w:trPr>
        <w:tc>
          <w:tcPr>
            <w:tcW w:w="13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披露时间</w:t>
            </w:r>
          </w:p>
        </w:tc>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公告编号</w:t>
            </w:r>
          </w:p>
        </w:tc>
        <w:tc>
          <w:tcPr>
            <w:tcW w:w="24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2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情况说明</w:t>
            </w:r>
          </w:p>
        </w:tc>
        <w:tc>
          <w:tcPr>
            <w:tcW w:w="22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披露媒体</w:t>
            </w:r>
          </w:p>
        </w:tc>
      </w:tr>
      <w:tr>
        <w:trPr>
          <w:trHeight w:val="1594" w:hRule="exact"/>
        </w:trPr>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2019-003</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388" w:right="109" w:hanging="269"/>
              <w:jc w:val="left"/>
              <w:rPr>
                <w:rFonts w:ascii="宋体" w:hAnsi="宋体" w:cs="宋体" w:eastAsia="宋体" w:hint="default"/>
                <w:sz w:val="18"/>
                <w:szCs w:val="18"/>
              </w:rPr>
            </w:pPr>
            <w:r>
              <w:rPr>
                <w:rFonts w:ascii="宋体" w:hAnsi="宋体" w:cs="宋体" w:eastAsia="宋体" w:hint="default"/>
                <w:spacing w:val="-3"/>
                <w:sz w:val="18"/>
                <w:szCs w:val="18"/>
              </w:rPr>
              <w:t>西安环球印务股份有限公司</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关于对外投资的公告</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5"/>
              <w:jc w:val="left"/>
              <w:rPr>
                <w:rFonts w:ascii="宋体" w:hAnsi="宋体" w:cs="宋体" w:eastAsia="宋体" w:hint="default"/>
                <w:sz w:val="18"/>
                <w:szCs w:val="18"/>
              </w:rPr>
            </w:pPr>
            <w:r>
              <w:rPr>
                <w:rFonts w:ascii="宋体" w:hAnsi="宋体" w:cs="宋体" w:eastAsia="宋体" w:hint="default"/>
                <w:spacing w:val="-3"/>
                <w:sz w:val="18"/>
                <w:szCs w:val="18"/>
              </w:rPr>
              <w:t>公司拟与控股子公司霍尔果斯领</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凯网络科技有限公司共同投资设</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4"/>
                <w:sz w:val="18"/>
                <w:szCs w:val="18"/>
              </w:rPr>
              <w:t>立霍城环球信息技术有限公司（暂</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4"/>
                <w:sz w:val="18"/>
                <w:szCs w:val="18"/>
              </w:rPr>
              <w:t>定名，最终名称以工商管理部门实</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3"/>
                <w:sz w:val="18"/>
                <w:szCs w:val="18"/>
              </w:rPr>
              <w:t>际核定为准）。</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319" w:lineRule="auto"/>
              <w:ind w:left="4" w:right="-4" w:hanging="5"/>
              <w:jc w:val="center"/>
              <w:rPr>
                <w:rFonts w:ascii="宋体" w:hAnsi="宋体" w:cs="宋体" w:eastAsia="宋体" w:hint="default"/>
                <w:sz w:val="18"/>
                <w:szCs w:val="18"/>
              </w:rPr>
            </w:pPr>
            <w:r>
              <w:rPr>
                <w:rFonts w:ascii="宋体" w:hAnsi="宋体" w:cs="宋体" w:eastAsia="宋体" w:hint="default"/>
                <w:spacing w:val="-3"/>
                <w:sz w:val="18"/>
                <w:szCs w:val="18"/>
              </w:rPr>
              <w:t>《中国证券报》、《上海证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券报》、《证券时报》、《证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券日报》及巨潮资讯网</w:t>
            </w:r>
          </w:p>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2223" w:hRule="exact"/>
        </w:trPr>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2019-012</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09" w:lineRule="auto"/>
              <w:ind w:left="28" w:right="22" w:firstLine="4"/>
              <w:jc w:val="center"/>
              <w:rPr>
                <w:rFonts w:ascii="宋体" w:hAnsi="宋体" w:cs="宋体" w:eastAsia="宋体" w:hint="default"/>
                <w:sz w:val="18"/>
                <w:szCs w:val="18"/>
              </w:rPr>
            </w:pPr>
            <w:r>
              <w:rPr>
                <w:rFonts w:ascii="宋体" w:hAnsi="宋体" w:cs="宋体" w:eastAsia="宋体" w:hint="default"/>
                <w:spacing w:val="-3"/>
                <w:sz w:val="18"/>
                <w:szCs w:val="18"/>
              </w:rPr>
              <w:t>西安环球印务股份有限公司</w:t>
            </w:r>
            <w:r>
              <w:rPr>
                <w:rFonts w:ascii="宋体" w:hAnsi="宋体" w:cs="宋体" w:eastAsia="宋体" w:hint="default"/>
                <w:w w:val="101"/>
                <w:sz w:val="18"/>
                <w:szCs w:val="18"/>
              </w:rPr>
              <w:t> </w:t>
            </w:r>
            <w:r>
              <w:rPr>
                <w:rFonts w:ascii="宋体" w:hAnsi="宋体" w:cs="宋体" w:eastAsia="宋体" w:hint="default"/>
                <w:spacing w:val="-2"/>
                <w:sz w:val="18"/>
                <w:szCs w:val="18"/>
              </w:rPr>
              <w:t>关于</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年度利润分配预案的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公告</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年度利润分配预案为：</w:t>
            </w:r>
          </w:p>
          <w:p>
            <w:pPr>
              <w:pStyle w:val="TableParagraph"/>
              <w:spacing w:line="300" w:lineRule="auto" w:before="63"/>
              <w:ind w:left="4" w:right="-5"/>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月</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日总股本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pacing w:val="-3"/>
                <w:sz w:val="18"/>
                <w:szCs w:val="18"/>
              </w:rPr>
              <w:t>150,000,000</w:t>
            </w:r>
            <w:r>
              <w:rPr>
                <w:rFonts w:ascii="宋体" w:hAnsi="宋体" w:cs="宋体" w:eastAsia="宋体" w:hint="default"/>
                <w:spacing w:val="-3"/>
                <w:sz w:val="18"/>
                <w:szCs w:val="18"/>
              </w:rPr>
              <w:t>股为基数，向全体股东</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2"/>
                <w:sz w:val="18"/>
                <w:szCs w:val="18"/>
              </w:rPr>
              <w:t> </w:t>
            </w:r>
            <w:r>
              <w:rPr>
                <w:rFonts w:ascii="宋体" w:hAnsi="宋体" w:cs="宋体" w:eastAsia="宋体" w:hint="default"/>
                <w:spacing w:val="-3"/>
                <w:sz w:val="18"/>
                <w:szCs w:val="18"/>
              </w:rPr>
              <w:t>股派发现金红利人民币</w:t>
            </w:r>
          </w:p>
          <w:p>
            <w:pPr>
              <w:pStyle w:val="TableParagraph"/>
              <w:spacing w:line="309" w:lineRule="auto" w:before="13"/>
              <w:ind w:left="4" w:right="-5"/>
              <w:jc w:val="both"/>
              <w:rPr>
                <w:rFonts w:ascii="宋体" w:hAnsi="宋体" w:cs="宋体" w:eastAsia="宋体" w:hint="default"/>
                <w:sz w:val="18"/>
                <w:szCs w:val="18"/>
              </w:rPr>
            </w:pPr>
            <w:r>
              <w:rPr>
                <w:rFonts w:ascii="Times New Roman" w:hAnsi="Times New Roman" w:cs="Times New Roman" w:eastAsia="Times New Roman" w:hint="default"/>
                <w:sz w:val="18"/>
                <w:szCs w:val="18"/>
              </w:rPr>
              <w:t>0.35 </w:t>
            </w:r>
            <w:r>
              <w:rPr>
                <w:rFonts w:ascii="宋体" w:hAnsi="宋体" w:cs="宋体" w:eastAsia="宋体" w:hint="default"/>
                <w:spacing w:val="-7"/>
                <w:sz w:val="18"/>
                <w:szCs w:val="18"/>
              </w:rPr>
              <w:t>元（含税），不送红股，不以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资本公积金转增股本，共派发现金</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红利人民币 </w:t>
            </w:r>
            <w:r>
              <w:rPr>
                <w:rFonts w:ascii="Times New Roman" w:hAnsi="Times New Roman" w:cs="Times New Roman" w:eastAsia="Times New Roman" w:hint="default"/>
                <w:sz w:val="18"/>
                <w:szCs w:val="18"/>
              </w:rPr>
              <w:t>5,250,000</w:t>
            </w:r>
            <w:r>
              <w:rPr>
                <w:rFonts w:ascii="Times New Roman" w:hAnsi="Times New Roman" w:cs="Times New Roman" w:eastAsia="Times New Roman" w:hint="default"/>
                <w:spacing w:val="14"/>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9" w:lineRule="auto"/>
              <w:ind w:left="4" w:right="-4" w:hanging="5"/>
              <w:jc w:val="center"/>
              <w:rPr>
                <w:rFonts w:ascii="宋体" w:hAnsi="宋体" w:cs="宋体" w:eastAsia="宋体" w:hint="default"/>
                <w:sz w:val="18"/>
                <w:szCs w:val="18"/>
              </w:rPr>
            </w:pPr>
            <w:r>
              <w:rPr>
                <w:rFonts w:ascii="宋体" w:hAnsi="宋体" w:cs="宋体" w:eastAsia="宋体" w:hint="default"/>
                <w:spacing w:val="-3"/>
                <w:sz w:val="18"/>
                <w:szCs w:val="18"/>
              </w:rPr>
              <w:t>《中国证券报》、《上海证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券报》、《证券时报》、《证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券日报》及巨潮资讯网</w:t>
            </w:r>
          </w:p>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282" w:hRule="exact"/>
        </w:trPr>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2019-017</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211" w:right="109" w:hanging="92"/>
              <w:jc w:val="left"/>
              <w:rPr>
                <w:rFonts w:ascii="宋体" w:hAnsi="宋体" w:cs="宋体" w:eastAsia="宋体" w:hint="default"/>
                <w:sz w:val="18"/>
                <w:szCs w:val="18"/>
              </w:rPr>
            </w:pPr>
            <w:r>
              <w:rPr>
                <w:rFonts w:ascii="宋体" w:hAnsi="宋体" w:cs="宋体" w:eastAsia="宋体" w:hint="default"/>
                <w:spacing w:val="-3"/>
                <w:sz w:val="18"/>
                <w:szCs w:val="18"/>
              </w:rPr>
              <w:t>西安环球印务股份有限公司</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关于修订公司章程的公告</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4" w:right="-5"/>
              <w:jc w:val="left"/>
              <w:rPr>
                <w:rFonts w:ascii="宋体" w:hAnsi="宋体" w:cs="宋体" w:eastAsia="宋体" w:hint="default"/>
                <w:sz w:val="18"/>
                <w:szCs w:val="18"/>
              </w:rPr>
            </w:pPr>
            <w:r>
              <w:rPr>
                <w:rFonts w:ascii="宋体" w:hAnsi="宋体" w:cs="宋体" w:eastAsia="宋体" w:hint="default"/>
                <w:spacing w:val="-4"/>
                <w:sz w:val="18"/>
                <w:szCs w:val="18"/>
              </w:rPr>
              <w:t>修订公司章程中关于回购股份、董</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3"/>
                <w:sz w:val="18"/>
                <w:szCs w:val="18"/>
              </w:rPr>
              <w:t>事会专门委员会、分红等部分条</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款。</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hanging="5"/>
              <w:jc w:val="center"/>
              <w:rPr>
                <w:rFonts w:ascii="宋体" w:hAnsi="宋体" w:cs="宋体" w:eastAsia="宋体" w:hint="default"/>
                <w:sz w:val="18"/>
                <w:szCs w:val="18"/>
              </w:rPr>
            </w:pPr>
            <w:r>
              <w:rPr>
                <w:rFonts w:ascii="宋体" w:hAnsi="宋体" w:cs="宋体" w:eastAsia="宋体" w:hint="default"/>
                <w:spacing w:val="-3"/>
                <w:sz w:val="18"/>
                <w:szCs w:val="18"/>
              </w:rPr>
              <w:t>《中国证券报》、《上海证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券报》、《证券时报》、《证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券日报》及巨潮资讯网</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2843" w:hRule="exact"/>
        </w:trPr>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14" w:right="0"/>
              <w:jc w:val="center"/>
              <w:rPr>
                <w:rFonts w:ascii="Times New Roman" w:hAnsi="Times New Roman" w:cs="Times New Roman" w:eastAsia="Times New Roman" w:hint="default"/>
                <w:sz w:val="18"/>
                <w:szCs w:val="18"/>
              </w:rPr>
            </w:pPr>
            <w:r>
              <w:rPr>
                <w:rFonts w:ascii="Times New Roman"/>
                <w:sz w:val="18"/>
              </w:rPr>
              <w:t>2019-020</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8" w:right="22" w:firstLine="91"/>
              <w:jc w:val="left"/>
              <w:rPr>
                <w:rFonts w:ascii="宋体" w:hAnsi="宋体" w:cs="宋体" w:eastAsia="宋体" w:hint="default"/>
                <w:sz w:val="18"/>
                <w:szCs w:val="18"/>
              </w:rPr>
            </w:pPr>
            <w:r>
              <w:rPr>
                <w:rFonts w:ascii="宋体" w:hAnsi="宋体" w:cs="宋体" w:eastAsia="宋体" w:hint="default"/>
                <w:spacing w:val="-3"/>
                <w:sz w:val="18"/>
                <w:szCs w:val="18"/>
              </w:rPr>
              <w:t>西安环球印务股份有限公司</w:t>
            </w:r>
            <w:r>
              <w:rPr>
                <w:rFonts w:ascii="宋体" w:hAnsi="宋体" w:cs="宋体" w:eastAsia="宋体" w:hint="default"/>
                <w:w w:val="101"/>
                <w:sz w:val="18"/>
                <w:szCs w:val="18"/>
              </w:rPr>
              <w:t> </w:t>
            </w:r>
            <w:r>
              <w:rPr>
                <w:rFonts w:ascii="宋体" w:hAnsi="宋体" w:cs="宋体" w:eastAsia="宋体" w:hint="default"/>
                <w:spacing w:val="-3"/>
                <w:sz w:val="18"/>
                <w:szCs w:val="18"/>
              </w:rPr>
              <w:t>关于公司会计政策变更的公告</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财政部于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pacing w:val="-3"/>
                <w:sz w:val="18"/>
                <w:szCs w:val="18"/>
              </w:rPr>
              <w:t>15  </w:t>
            </w:r>
            <w:r>
              <w:rPr>
                <w:rFonts w:ascii="宋体" w:hAnsi="宋体" w:cs="宋体" w:eastAsia="宋体" w:hint="default"/>
                <w:spacing w:val="-5"/>
                <w:sz w:val="18"/>
                <w:szCs w:val="18"/>
              </w:rPr>
              <w:t>日颁</w:t>
            </w:r>
            <w:r>
              <w:rPr>
                <w:rFonts w:ascii="宋体" w:hAnsi="宋体" w:cs="宋体" w:eastAsia="宋体" w:hint="default"/>
                <w:sz w:val="18"/>
                <w:szCs w:val="18"/>
              </w:rPr>
            </w:r>
          </w:p>
          <w:p>
            <w:pPr>
              <w:pStyle w:val="TableParagraph"/>
              <w:spacing w:line="309" w:lineRule="auto" w:before="63"/>
              <w:ind w:left="4" w:right="-5"/>
              <w:jc w:val="left"/>
              <w:rPr>
                <w:rFonts w:ascii="宋体" w:hAnsi="宋体" w:cs="宋体" w:eastAsia="宋体" w:hint="default"/>
                <w:sz w:val="18"/>
                <w:szCs w:val="18"/>
              </w:rPr>
            </w:pPr>
            <w:r>
              <w:rPr>
                <w:rFonts w:ascii="宋体" w:hAnsi="宋体" w:cs="宋体" w:eastAsia="宋体" w:hint="default"/>
                <w:spacing w:val="-3"/>
                <w:sz w:val="18"/>
                <w:szCs w:val="18"/>
              </w:rPr>
              <w:t>布了《关于修订印发</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年度一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般企业财务报表格式的通知》（财</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会</w:t>
            </w:r>
            <w:r>
              <w:rPr>
                <w:rFonts w:ascii="Times New Roman" w:hAnsi="Times New Roman" w:cs="Times New Roman" w:eastAsia="Times New Roman" w:hint="default"/>
                <w:sz w:val="18"/>
                <w:szCs w:val="18"/>
              </w:rPr>
              <w:t>[2018]15 </w:t>
            </w:r>
            <w:r>
              <w:rPr>
                <w:rFonts w:ascii="宋体" w:hAnsi="宋体" w:cs="宋体" w:eastAsia="宋体" w:hint="default"/>
                <w:spacing w:val="-6"/>
                <w:sz w:val="18"/>
                <w:szCs w:val="18"/>
              </w:rPr>
              <w:t>号），对一般企业财务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报表格式进行了修订。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根据上述财会</w:t>
            </w:r>
            <w:r>
              <w:rPr>
                <w:rFonts w:ascii="Times New Roman" w:hAnsi="Times New Roman" w:cs="Times New Roman" w:eastAsia="Times New Roman" w:hint="default"/>
                <w:sz w:val="18"/>
                <w:szCs w:val="18"/>
              </w:rPr>
              <w:t>[2018]15</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号文件的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要求，按照上述通知及企业会计准</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4"/>
                <w:sz w:val="18"/>
                <w:szCs w:val="18"/>
              </w:rPr>
              <w:t>则的规定和要求，公司对原会计政</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策进行相应变更。</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4" w:right="-4" w:hanging="5"/>
              <w:jc w:val="center"/>
              <w:rPr>
                <w:rFonts w:ascii="宋体" w:hAnsi="宋体" w:cs="宋体" w:eastAsia="宋体" w:hint="default"/>
                <w:sz w:val="18"/>
                <w:szCs w:val="18"/>
              </w:rPr>
            </w:pPr>
            <w:r>
              <w:rPr>
                <w:rFonts w:ascii="宋体" w:hAnsi="宋体" w:cs="宋体" w:eastAsia="宋体" w:hint="default"/>
                <w:spacing w:val="-3"/>
                <w:sz w:val="18"/>
                <w:szCs w:val="18"/>
              </w:rPr>
              <w:t>《中国证券报》、《上海证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券报》、《证券时报》、《证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券日报》及巨潮资讯网</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282" w:hRule="exact"/>
        </w:trPr>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2019-028</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28" w:right="22" w:firstLine="4"/>
              <w:jc w:val="center"/>
              <w:rPr>
                <w:rFonts w:ascii="宋体" w:hAnsi="宋体" w:cs="宋体" w:eastAsia="宋体" w:hint="default"/>
                <w:sz w:val="18"/>
                <w:szCs w:val="18"/>
              </w:rPr>
            </w:pPr>
            <w:r>
              <w:rPr>
                <w:rFonts w:ascii="宋体" w:hAnsi="宋体" w:cs="宋体" w:eastAsia="宋体" w:hint="default"/>
                <w:spacing w:val="-3"/>
                <w:sz w:val="18"/>
                <w:szCs w:val="18"/>
              </w:rPr>
              <w:t>西安环球印务股份有限公司</w:t>
            </w:r>
            <w:r>
              <w:rPr>
                <w:rFonts w:ascii="宋体" w:hAnsi="宋体" w:cs="宋体" w:eastAsia="宋体" w:hint="default"/>
                <w:w w:val="101"/>
                <w:sz w:val="18"/>
                <w:szCs w:val="18"/>
              </w:rPr>
              <w:t> </w:t>
            </w:r>
            <w:r>
              <w:rPr>
                <w:rFonts w:ascii="宋体" w:hAnsi="宋体" w:cs="宋体" w:eastAsia="宋体" w:hint="default"/>
                <w:spacing w:val="-3"/>
                <w:sz w:val="18"/>
                <w:szCs w:val="18"/>
              </w:rPr>
              <w:t>关于收购北京金印联国际供应</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链管理有限公司</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股权的公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告</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4" w:right="147"/>
              <w:jc w:val="left"/>
              <w:rPr>
                <w:rFonts w:ascii="宋体" w:hAnsi="宋体" w:cs="宋体" w:eastAsia="宋体" w:hint="default"/>
                <w:sz w:val="18"/>
                <w:szCs w:val="18"/>
              </w:rPr>
            </w:pPr>
            <w:r>
              <w:rPr>
                <w:rFonts w:ascii="宋体" w:hAnsi="宋体" w:cs="宋体" w:eastAsia="宋体" w:hint="default"/>
                <w:spacing w:val="-3"/>
                <w:sz w:val="18"/>
                <w:szCs w:val="18"/>
              </w:rPr>
              <w:t>公司收购北京金印联国际供应链</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管理有限公司</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hanging="5"/>
              <w:jc w:val="center"/>
              <w:rPr>
                <w:rFonts w:ascii="宋体" w:hAnsi="宋体" w:cs="宋体" w:eastAsia="宋体" w:hint="default"/>
                <w:sz w:val="18"/>
                <w:szCs w:val="18"/>
              </w:rPr>
            </w:pPr>
            <w:r>
              <w:rPr>
                <w:rFonts w:ascii="宋体" w:hAnsi="宋体" w:cs="宋体" w:eastAsia="宋体" w:hint="default"/>
                <w:spacing w:val="-3"/>
                <w:sz w:val="18"/>
                <w:szCs w:val="18"/>
              </w:rPr>
              <w:t>《中国证券报》、《上海证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券报》、《证券时报》、《证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券日报》及巨潮资讯网</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2" w:hRule="exact"/>
        </w:trPr>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05</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2019-032</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28" w:right="22"/>
              <w:jc w:val="left"/>
              <w:rPr>
                <w:rFonts w:ascii="宋体" w:hAnsi="宋体" w:cs="宋体" w:eastAsia="宋体" w:hint="default"/>
                <w:sz w:val="18"/>
                <w:szCs w:val="18"/>
              </w:rPr>
            </w:pPr>
            <w:r>
              <w:rPr>
                <w:rFonts w:ascii="宋体" w:hAnsi="宋体" w:cs="宋体" w:eastAsia="宋体" w:hint="default"/>
                <w:spacing w:val="-3"/>
                <w:sz w:val="18"/>
                <w:szCs w:val="18"/>
              </w:rPr>
              <w:t>西安环球印务股份有限公司关</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于首次公开发行前已发行股份</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5"/>
              <w:ind w:left="4" w:right="5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、本次限售股份可上市流通日期</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为</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4" w:firstLine="24"/>
              <w:jc w:val="left"/>
              <w:rPr>
                <w:rFonts w:ascii="宋体" w:hAnsi="宋体" w:cs="宋体" w:eastAsia="宋体" w:hint="default"/>
                <w:sz w:val="18"/>
                <w:szCs w:val="18"/>
              </w:rPr>
            </w:pPr>
            <w:r>
              <w:rPr>
                <w:rFonts w:ascii="宋体" w:hAnsi="宋体" w:cs="宋体" w:eastAsia="宋体" w:hint="default"/>
                <w:spacing w:val="-3"/>
                <w:sz w:val="18"/>
                <w:szCs w:val="18"/>
              </w:rPr>
              <w:t>《中国证券报》、《上海证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3"/>
                <w:sz w:val="18"/>
                <w:szCs w:val="18"/>
              </w:rPr>
              <w:t>券报》、《证券时报》、《证</w:t>
            </w:r>
          </w:p>
        </w:tc>
      </w:tr>
    </w:tbl>
    <w:p>
      <w:pPr>
        <w:spacing w:after="0" w:line="316" w:lineRule="auto"/>
        <w:jc w:val="left"/>
        <w:rPr>
          <w:rFonts w:ascii="宋体" w:hAnsi="宋体" w:cs="宋体" w:eastAsia="宋体" w:hint="default"/>
          <w:sz w:val="18"/>
          <w:szCs w:val="18"/>
        </w:rPr>
        <w:sectPr>
          <w:pgSz w:w="11910" w:h="16840"/>
          <w:pgMar w:header="46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306" w:type="dxa"/>
        <w:tblLayout w:type="fixed"/>
        <w:tblCellMar>
          <w:top w:w="0" w:type="dxa"/>
          <w:left w:w="0" w:type="dxa"/>
          <w:bottom w:w="0" w:type="dxa"/>
          <w:right w:w="0" w:type="dxa"/>
        </w:tblCellMar>
        <w:tblLook w:val="01E0"/>
      </w:tblPr>
      <w:tblGrid>
        <w:gridCol w:w="1393"/>
        <w:gridCol w:w="994"/>
        <w:gridCol w:w="2411"/>
        <w:gridCol w:w="2694"/>
        <w:gridCol w:w="2233"/>
      </w:tblGrid>
      <w:tr>
        <w:trPr>
          <w:trHeight w:val="2218" w:hRule="exact"/>
        </w:trPr>
        <w:tc>
          <w:tcPr>
            <w:tcW w:w="1393"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88" w:right="0"/>
              <w:jc w:val="left"/>
              <w:rPr>
                <w:rFonts w:ascii="宋体" w:hAnsi="宋体" w:cs="宋体" w:eastAsia="宋体" w:hint="default"/>
                <w:sz w:val="18"/>
                <w:szCs w:val="18"/>
              </w:rPr>
            </w:pPr>
            <w:r>
              <w:rPr>
                <w:rFonts w:ascii="宋体" w:hAnsi="宋体" w:cs="宋体" w:eastAsia="宋体" w:hint="default"/>
                <w:spacing w:val="-3"/>
                <w:sz w:val="18"/>
                <w:szCs w:val="18"/>
              </w:rPr>
              <w:t>上市流通提示性公告</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、本次解除限售股份总数为</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7,312.50</w:t>
            </w:r>
            <w:r>
              <w:rPr>
                <w:rFonts w:ascii="宋体" w:hAnsi="宋体" w:cs="宋体" w:eastAsia="宋体" w:hint="default"/>
                <w:sz w:val="18"/>
                <w:szCs w:val="18"/>
              </w:rPr>
              <w:t>万股，占公司总股本的</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48.75%</w:t>
            </w:r>
            <w:r>
              <w:rPr>
                <w:rFonts w:ascii="宋体" w:hAnsi="宋体" w:cs="宋体" w:eastAsia="宋体" w:hint="default"/>
                <w:sz w:val="18"/>
                <w:szCs w:val="18"/>
              </w:rPr>
              <w:t>。</w:t>
            </w:r>
          </w:p>
          <w:p>
            <w:pPr>
              <w:pStyle w:val="TableParagraph"/>
              <w:spacing w:line="307" w:lineRule="auto" w:before="63"/>
              <w:ind w:left="4"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、本次申请解除股份限售的股东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数量</w:t>
            </w:r>
            <w:r>
              <w:rPr>
                <w:rFonts w:ascii="Times New Roman" w:hAnsi="Times New Roman" w:cs="Times New Roman" w:eastAsia="Times New Roman" w:hint="default"/>
                <w:sz w:val="18"/>
                <w:szCs w:val="18"/>
              </w:rPr>
              <w:t>2</w:t>
            </w:r>
            <w:r>
              <w:rPr>
                <w:rFonts w:ascii="宋体" w:hAnsi="宋体" w:cs="宋体" w:eastAsia="宋体" w:hint="default"/>
                <w:sz w:val="18"/>
                <w:szCs w:val="18"/>
              </w:rPr>
              <w:t>名，其中，陕药集团为国有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法人，全国社会保障基金理事会转</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3"/>
                <w:sz w:val="18"/>
                <w:szCs w:val="18"/>
              </w:rPr>
              <w:t>持二户为基金、理财产品等。</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1" w:right="0"/>
              <w:jc w:val="left"/>
              <w:rPr>
                <w:rFonts w:ascii="宋体" w:hAnsi="宋体" w:cs="宋体" w:eastAsia="宋体" w:hint="default"/>
                <w:sz w:val="18"/>
                <w:szCs w:val="18"/>
              </w:rPr>
            </w:pPr>
            <w:r>
              <w:rPr>
                <w:rFonts w:ascii="宋体" w:hAnsi="宋体" w:cs="宋体" w:eastAsia="宋体" w:hint="default"/>
                <w:sz w:val="18"/>
                <w:szCs w:val="18"/>
              </w:rPr>
              <w:t>券日报》及巨潮资讯网</w:t>
            </w:r>
          </w:p>
          <w:p>
            <w:pPr>
              <w:pStyle w:val="TableParagraph"/>
              <w:spacing w:line="240" w:lineRule="auto" w:before="76"/>
              <w:ind w:left="196"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287" w:hRule="exact"/>
        </w:trPr>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2019-049</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319" w:lineRule="auto"/>
              <w:ind w:left="28" w:right="22"/>
              <w:jc w:val="center"/>
              <w:rPr>
                <w:rFonts w:ascii="宋体" w:hAnsi="宋体" w:cs="宋体" w:eastAsia="宋体" w:hint="default"/>
                <w:sz w:val="18"/>
                <w:szCs w:val="18"/>
              </w:rPr>
            </w:pPr>
            <w:r>
              <w:rPr>
                <w:rFonts w:ascii="宋体" w:hAnsi="宋体" w:cs="宋体" w:eastAsia="宋体" w:hint="default"/>
                <w:spacing w:val="-3"/>
                <w:sz w:val="18"/>
                <w:szCs w:val="18"/>
              </w:rPr>
              <w:t>西安环球印务股份有限公司关</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于公司董事会董事辞职及增补</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公司董事的公告</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33"/>
              <w:jc w:val="left"/>
              <w:rPr>
                <w:rFonts w:ascii="宋体" w:hAnsi="宋体" w:cs="宋体" w:eastAsia="宋体" w:hint="default"/>
                <w:sz w:val="18"/>
                <w:szCs w:val="18"/>
              </w:rPr>
            </w:pPr>
            <w:r>
              <w:rPr>
                <w:rFonts w:ascii="宋体" w:hAnsi="宋体" w:cs="宋体" w:eastAsia="宋体" w:hint="default"/>
                <w:spacing w:val="-3"/>
                <w:sz w:val="18"/>
                <w:szCs w:val="18"/>
              </w:rPr>
              <w:t>董事冯杰先生因工作调动，</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2"/>
                <w:sz w:val="18"/>
                <w:szCs w:val="18"/>
              </w:rPr>
              <w:t>申请辞去公司第四届董事会董事，</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职务增补郭青平先生为公司第四</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届董事会董事候选人</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319" w:lineRule="auto"/>
              <w:ind w:left="28" w:right="22"/>
              <w:jc w:val="center"/>
              <w:rPr>
                <w:rFonts w:ascii="宋体" w:hAnsi="宋体" w:cs="宋体" w:eastAsia="宋体" w:hint="default"/>
                <w:sz w:val="18"/>
                <w:szCs w:val="18"/>
              </w:rPr>
            </w:pPr>
            <w:r>
              <w:rPr>
                <w:rFonts w:ascii="宋体" w:hAnsi="宋体" w:cs="宋体" w:eastAsia="宋体" w:hint="default"/>
                <w:spacing w:val="-3"/>
                <w:sz w:val="18"/>
                <w:szCs w:val="18"/>
              </w:rPr>
              <w:t>《中国证券报》、《证券时</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报》及巨潮资讯网</w:t>
            </w:r>
          </w:p>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282" w:hRule="exact"/>
        </w:trPr>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04</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2019-056</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28" w:right="22"/>
              <w:jc w:val="left"/>
              <w:rPr>
                <w:rFonts w:ascii="宋体" w:hAnsi="宋体" w:cs="宋体" w:eastAsia="宋体" w:hint="default"/>
                <w:sz w:val="18"/>
                <w:szCs w:val="18"/>
              </w:rPr>
            </w:pPr>
            <w:r>
              <w:rPr>
                <w:rFonts w:ascii="宋体" w:hAnsi="宋体" w:cs="宋体" w:eastAsia="宋体" w:hint="default"/>
                <w:spacing w:val="-3"/>
                <w:sz w:val="18"/>
                <w:szCs w:val="18"/>
              </w:rPr>
              <w:t>西安环球印务股份有限公司关</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于更换公司监事候选人的公告</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33"/>
              <w:jc w:val="left"/>
              <w:rPr>
                <w:rFonts w:ascii="宋体" w:hAnsi="宋体" w:cs="宋体" w:eastAsia="宋体" w:hint="default"/>
                <w:sz w:val="18"/>
                <w:szCs w:val="18"/>
              </w:rPr>
            </w:pPr>
            <w:r>
              <w:rPr>
                <w:rFonts w:ascii="宋体" w:hAnsi="宋体" w:cs="宋体" w:eastAsia="宋体" w:hint="default"/>
                <w:spacing w:val="-4"/>
                <w:sz w:val="18"/>
                <w:szCs w:val="18"/>
              </w:rPr>
              <w:t>监事贾亚乐先生因工作调动，申请</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2"/>
                <w:sz w:val="18"/>
                <w:szCs w:val="18"/>
              </w:rPr>
              <w:t>辞去公司第四届监事会监事职务，</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增补赵坚先生作为公司监事会监</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事候选人</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28" w:right="22"/>
              <w:jc w:val="center"/>
              <w:rPr>
                <w:rFonts w:ascii="宋体" w:hAnsi="宋体" w:cs="宋体" w:eastAsia="宋体" w:hint="default"/>
                <w:sz w:val="18"/>
                <w:szCs w:val="18"/>
              </w:rPr>
            </w:pPr>
            <w:r>
              <w:rPr>
                <w:rFonts w:ascii="宋体" w:hAnsi="宋体" w:cs="宋体" w:eastAsia="宋体" w:hint="default"/>
                <w:spacing w:val="-3"/>
                <w:sz w:val="18"/>
                <w:szCs w:val="18"/>
              </w:rPr>
              <w:t>《中国证券报》、《证券时</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报》及巨潮资讯网</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906" w:hRule="exact"/>
        </w:trPr>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4" w:right="0"/>
              <w:jc w:val="center"/>
              <w:rPr>
                <w:rFonts w:ascii="Times New Roman" w:hAnsi="Times New Roman" w:cs="Times New Roman" w:eastAsia="Times New Roman" w:hint="default"/>
                <w:sz w:val="18"/>
                <w:szCs w:val="18"/>
              </w:rPr>
            </w:pPr>
            <w:r>
              <w:rPr>
                <w:rFonts w:ascii="Times New Roman"/>
                <w:sz w:val="18"/>
              </w:rPr>
              <w:t>2019-063</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6" w:lineRule="auto"/>
              <w:ind w:left="28" w:right="22"/>
              <w:jc w:val="center"/>
              <w:rPr>
                <w:rFonts w:ascii="宋体" w:hAnsi="宋体" w:cs="宋体" w:eastAsia="宋体" w:hint="default"/>
                <w:sz w:val="18"/>
                <w:szCs w:val="18"/>
              </w:rPr>
            </w:pPr>
            <w:r>
              <w:rPr>
                <w:rFonts w:ascii="宋体" w:hAnsi="宋体" w:cs="宋体" w:eastAsia="宋体" w:hint="default"/>
                <w:spacing w:val="-3"/>
                <w:sz w:val="18"/>
                <w:szCs w:val="18"/>
              </w:rPr>
              <w:t>西安环球印务股份有限公司关</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于对外投资设立控股子公司的</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进展公告</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0"/>
              <w:ind w:left="4" w:right="-5"/>
              <w:jc w:val="left"/>
              <w:rPr>
                <w:rFonts w:ascii="宋体" w:hAnsi="宋体" w:cs="宋体" w:eastAsia="宋体" w:hint="default"/>
                <w:sz w:val="18"/>
                <w:szCs w:val="18"/>
              </w:rPr>
            </w:pPr>
            <w:r>
              <w:rPr>
                <w:rFonts w:ascii="宋体" w:hAnsi="宋体" w:cs="宋体" w:eastAsia="宋体" w:hint="default"/>
                <w:spacing w:val="-3"/>
                <w:sz w:val="18"/>
                <w:szCs w:val="18"/>
              </w:rPr>
              <w:t>公司将与北京爱斯瑞特共同投资</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4"/>
                <w:sz w:val="18"/>
                <w:szCs w:val="18"/>
              </w:rPr>
              <w:t>设立区块链技术企业。新公司注册</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资本为</w:t>
            </w:r>
            <w:r>
              <w:rPr>
                <w:rFonts w:ascii="Times New Roman" w:hAnsi="Times New Roman" w:cs="Times New Roman" w:eastAsia="Times New Roman" w:hint="default"/>
                <w:sz w:val="18"/>
                <w:szCs w:val="18"/>
              </w:rPr>
              <w:t>2,000.00 </w:t>
            </w:r>
            <w:r>
              <w:rPr>
                <w:rFonts w:ascii="宋体" w:hAnsi="宋体" w:cs="宋体" w:eastAsia="宋体" w:hint="default"/>
                <w:spacing w:val="-4"/>
                <w:sz w:val="18"/>
                <w:szCs w:val="18"/>
              </w:rPr>
              <w:t>万元，其中公司出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资</w:t>
            </w:r>
            <w:r>
              <w:rPr>
                <w:rFonts w:ascii="Times New Roman" w:hAnsi="Times New Roman" w:cs="Times New Roman" w:eastAsia="Times New Roman" w:hint="default"/>
                <w:spacing w:val="-8"/>
                <w:sz w:val="18"/>
                <w:szCs w:val="18"/>
              </w:rPr>
              <w:t>1,400.00</w:t>
            </w:r>
            <w:r>
              <w:rPr>
                <w:rFonts w:ascii="宋体" w:hAnsi="宋体" w:cs="宋体" w:eastAsia="宋体" w:hint="default"/>
                <w:spacing w:val="-8"/>
                <w:sz w:val="18"/>
                <w:szCs w:val="18"/>
              </w:rPr>
              <w:t>万元，出资比例</w:t>
            </w:r>
            <w:r>
              <w:rPr>
                <w:rFonts w:ascii="Times New Roman" w:hAnsi="Times New Roman" w:cs="Times New Roman" w:eastAsia="Times New Roman" w:hint="default"/>
                <w:spacing w:val="-8"/>
                <w:sz w:val="18"/>
                <w:szCs w:val="18"/>
              </w:rPr>
              <w:t>70%</w:t>
            </w:r>
            <w:r>
              <w:rPr>
                <w:rFonts w:ascii="宋体" w:hAnsi="宋体" w:cs="宋体" w:eastAsia="宋体" w:hint="default"/>
                <w:spacing w:val="-8"/>
                <w:sz w:val="18"/>
                <w:szCs w:val="18"/>
              </w:rPr>
              <w:t>，北</w:t>
            </w:r>
            <w:r>
              <w:rPr>
                <w:rFonts w:ascii="宋体" w:hAnsi="宋体" w:cs="宋体" w:eastAsia="宋体" w:hint="default"/>
                <w:spacing w:val="-52"/>
                <w:sz w:val="18"/>
                <w:szCs w:val="18"/>
              </w:rPr>
              <w:t> </w:t>
            </w:r>
            <w:r>
              <w:rPr>
                <w:rFonts w:ascii="宋体" w:hAnsi="宋体" w:cs="宋体" w:eastAsia="宋体" w:hint="default"/>
                <w:spacing w:val="-2"/>
                <w:sz w:val="18"/>
                <w:szCs w:val="18"/>
              </w:rPr>
              <w:t>京爱斯瑞特出资</w:t>
            </w:r>
            <w:r>
              <w:rPr>
                <w:rFonts w:ascii="Times New Roman" w:hAnsi="Times New Roman" w:cs="Times New Roman" w:eastAsia="Times New Roman" w:hint="default"/>
                <w:spacing w:val="-2"/>
                <w:sz w:val="18"/>
                <w:szCs w:val="18"/>
              </w:rPr>
              <w:t>600.00</w:t>
            </w:r>
            <w:r>
              <w:rPr>
                <w:rFonts w:ascii="宋体" w:hAnsi="宋体" w:cs="宋体" w:eastAsia="宋体" w:hint="default"/>
                <w:spacing w:val="-2"/>
                <w:sz w:val="18"/>
                <w:szCs w:val="18"/>
              </w:rPr>
              <w:t>万元，出资</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比例</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6" w:lineRule="auto"/>
              <w:ind w:left="28" w:right="22"/>
              <w:jc w:val="center"/>
              <w:rPr>
                <w:rFonts w:ascii="宋体" w:hAnsi="宋体" w:cs="宋体" w:eastAsia="宋体" w:hint="default"/>
                <w:sz w:val="18"/>
                <w:szCs w:val="18"/>
              </w:rPr>
            </w:pPr>
            <w:r>
              <w:rPr>
                <w:rFonts w:ascii="宋体" w:hAnsi="宋体" w:cs="宋体" w:eastAsia="宋体" w:hint="default"/>
                <w:spacing w:val="-3"/>
                <w:sz w:val="18"/>
                <w:szCs w:val="18"/>
              </w:rPr>
              <w:t>《中国证券报》、《证券时</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报》及巨潮资讯网</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2535" w:hRule="exact"/>
        </w:trPr>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2019-065</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28" w:right="22"/>
              <w:jc w:val="center"/>
              <w:rPr>
                <w:rFonts w:ascii="宋体" w:hAnsi="宋体" w:cs="宋体" w:eastAsia="宋体" w:hint="default"/>
                <w:sz w:val="18"/>
                <w:szCs w:val="18"/>
              </w:rPr>
            </w:pPr>
            <w:r>
              <w:rPr>
                <w:rFonts w:ascii="宋体" w:hAnsi="宋体" w:cs="宋体" w:eastAsia="宋体" w:hint="default"/>
                <w:spacing w:val="-3"/>
                <w:sz w:val="18"/>
                <w:szCs w:val="18"/>
              </w:rPr>
              <w:t>西安环球印务股份有限公司关</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于以公开进场交易的方式收购</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外贸无锡印刷股份有限公司</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股权进展情况的公告</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4"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日，公司作为牵头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方，与控股股东陕西医药控股集团</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4"/>
                <w:sz w:val="18"/>
                <w:szCs w:val="18"/>
              </w:rPr>
              <w:t>有限责任公司组成联合受让体，以</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3"/>
                <w:sz w:val="18"/>
                <w:szCs w:val="18"/>
              </w:rPr>
              <w:t>公开进场交易的方式参与无锡产</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权交易所外贸无锡印刷股份有限</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8"/>
                <w:w w:val="101"/>
                <w:sz w:val="18"/>
                <w:szCs w:val="18"/>
              </w:rPr>
              <w:t>公司</w:t>
            </w:r>
            <w:r>
              <w:rPr>
                <w:rFonts w:ascii="Times New Roman" w:hAnsi="Times New Roman" w:cs="Times New Roman" w:eastAsia="Times New Roman" w:hint="default"/>
                <w:spacing w:val="-8"/>
                <w:w w:val="101"/>
                <w:sz w:val="18"/>
                <w:szCs w:val="18"/>
              </w:rPr>
              <w:t>100%</w:t>
            </w:r>
            <w:r>
              <w:rPr>
                <w:rFonts w:ascii="宋体" w:hAnsi="宋体" w:cs="宋体" w:eastAsia="宋体" w:hint="default"/>
                <w:spacing w:val="-8"/>
                <w:w w:val="101"/>
                <w:sz w:val="18"/>
                <w:szCs w:val="18"/>
              </w:rPr>
              <w:t>股权竞价交易，最终公司</w:t>
            </w:r>
            <w:r>
              <w:rPr>
                <w:rFonts w:ascii="宋体" w:hAnsi="宋体" w:cs="宋体" w:eastAsia="宋体" w:hint="default"/>
                <w:spacing w:val="-77"/>
                <w:w w:val="101"/>
                <w:sz w:val="18"/>
                <w:szCs w:val="18"/>
              </w:rPr>
              <w:t> </w:t>
            </w:r>
            <w:r>
              <w:rPr>
                <w:rFonts w:ascii="宋体" w:hAnsi="宋体" w:cs="宋体" w:eastAsia="宋体" w:hint="default"/>
                <w:spacing w:val="-77"/>
                <w:w w:val="101"/>
                <w:sz w:val="18"/>
                <w:szCs w:val="18"/>
              </w:rPr>
            </w:r>
            <w:r>
              <w:rPr>
                <w:rFonts w:ascii="宋体" w:hAnsi="宋体" w:cs="宋体" w:eastAsia="宋体" w:hint="default"/>
                <w:spacing w:val="-4"/>
                <w:sz w:val="18"/>
                <w:szCs w:val="18"/>
              </w:rPr>
              <w:t>未能成功竞得该股权，因此本次收</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购交易终止。</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19" w:lineRule="auto"/>
              <w:ind w:left="28" w:right="22"/>
              <w:jc w:val="center"/>
              <w:rPr>
                <w:rFonts w:ascii="宋体" w:hAnsi="宋体" w:cs="宋体" w:eastAsia="宋体" w:hint="default"/>
                <w:sz w:val="18"/>
                <w:szCs w:val="18"/>
              </w:rPr>
            </w:pPr>
            <w:r>
              <w:rPr>
                <w:rFonts w:ascii="宋体" w:hAnsi="宋体" w:cs="宋体" w:eastAsia="宋体" w:hint="default"/>
                <w:spacing w:val="-3"/>
                <w:sz w:val="18"/>
                <w:szCs w:val="18"/>
              </w:rPr>
              <w:t>《中国证券报》、《证券时</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报》及巨潮资讯网</w:t>
            </w:r>
          </w:p>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line="240" w:lineRule="auto" w:before="9"/>
        <w:rPr>
          <w:rFonts w:ascii="宋体" w:hAnsi="宋体" w:cs="宋体" w:eastAsia="宋体" w:hint="default"/>
          <w:sz w:val="17"/>
          <w:szCs w:val="17"/>
        </w:rPr>
      </w:pPr>
    </w:p>
    <w:p>
      <w:pPr>
        <w:pStyle w:val="Heading2"/>
        <w:spacing w:line="240" w:lineRule="auto" w:before="26"/>
        <w:ind w:left="273" w:right="0"/>
        <w:jc w:val="left"/>
        <w:rPr>
          <w:b w:val="0"/>
          <w:bCs w:val="0"/>
        </w:rPr>
      </w:pPr>
      <w:bookmarkStart w:name="二十、公司子公司重大事项" w:id="108"/>
      <w:bookmarkEnd w:id="108"/>
      <w:r>
        <w:rPr>
          <w:b w:val="0"/>
          <w:bCs w:val="0"/>
        </w:rPr>
      </w:r>
      <w:r>
        <w:rPr/>
        <w:t>二十、公司子公司重大事项</w:t>
      </w:r>
      <w:r>
        <w:rPr>
          <w:b w:val="0"/>
          <w:bCs w:val="0"/>
        </w:rPr>
      </w:r>
    </w:p>
    <w:p>
      <w:pPr>
        <w:spacing w:line="240" w:lineRule="auto" w:before="3"/>
        <w:rPr>
          <w:rFonts w:ascii="宋体" w:hAnsi="宋体" w:cs="宋体" w:eastAsia="宋体" w:hint="default"/>
          <w:b/>
          <w:bCs/>
          <w:sz w:val="27"/>
          <w:szCs w:val="27"/>
        </w:rPr>
      </w:pPr>
    </w:p>
    <w:p>
      <w:pPr>
        <w:spacing w:before="0"/>
        <w:ind w:left="2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spacing w:before="46"/>
        <w:ind w:left="0" w:right="1199" w:firstLine="0"/>
        <w:jc w:val="right"/>
        <w:rPr>
          <w:rFonts w:ascii="宋体" w:hAnsi="宋体" w:cs="宋体" w:eastAsia="宋体" w:hint="default"/>
          <w:sz w:val="18"/>
          <w:szCs w:val="18"/>
        </w:rPr>
      </w:pPr>
      <w:r>
        <w:rPr/>
        <w:pict>
          <v:shape style="position:absolute;margin-left:48.264pt;margin-top:-40.248234pt;width:483.2pt;height:146.450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7"/>
                    <w:gridCol w:w="994"/>
                    <w:gridCol w:w="2588"/>
                    <w:gridCol w:w="2694"/>
                    <w:gridCol w:w="1949"/>
                  </w:tblGrid>
                  <w:tr>
                    <w:trPr>
                      <w:trHeight w:val="329" w:hRule="exact"/>
                    </w:trPr>
                    <w:tc>
                      <w:tcPr>
                        <w:tcW w:w="1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披露时间</w:t>
                        </w:r>
                      </w:p>
                    </w:tc>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公告编号</w:t>
                        </w:r>
                      </w:p>
                    </w:tc>
                    <w:tc>
                      <w:tcPr>
                        <w:tcW w:w="25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2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情况说明</w:t>
                        </w:r>
                      </w:p>
                    </w:tc>
                    <w:tc>
                      <w:tcPr>
                        <w:tcW w:w="19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609" w:right="0"/>
                          <w:jc w:val="left"/>
                          <w:rPr>
                            <w:rFonts w:ascii="宋体" w:hAnsi="宋体" w:cs="宋体" w:eastAsia="宋体" w:hint="default"/>
                            <w:sz w:val="18"/>
                            <w:szCs w:val="18"/>
                          </w:rPr>
                        </w:pPr>
                        <w:r>
                          <w:rPr>
                            <w:rFonts w:ascii="宋体" w:hAnsi="宋体" w:cs="宋体" w:eastAsia="宋体" w:hint="default"/>
                            <w:sz w:val="18"/>
                            <w:szCs w:val="18"/>
                          </w:rPr>
                          <w:t>披露媒体</w:t>
                        </w:r>
                      </w:p>
                    </w:tc>
                  </w:tr>
                  <w:tr>
                    <w:trPr>
                      <w:trHeight w:val="1616" w:hRule="exact"/>
                    </w:trPr>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2019-043</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8" w:right="17"/>
                          <w:jc w:val="center"/>
                          <w:rPr>
                            <w:rFonts w:ascii="宋体" w:hAnsi="宋体" w:cs="宋体" w:eastAsia="宋体" w:hint="default"/>
                            <w:sz w:val="18"/>
                            <w:szCs w:val="18"/>
                          </w:rPr>
                        </w:pPr>
                        <w:r>
                          <w:rPr>
                            <w:rFonts w:ascii="宋体" w:hAnsi="宋体" w:cs="宋体" w:eastAsia="宋体" w:hint="default"/>
                            <w:spacing w:val="-3"/>
                            <w:sz w:val="18"/>
                            <w:szCs w:val="18"/>
                          </w:rPr>
                          <w:t>西安环球印务股份有限公司关于</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子公司变更公司名称及经营范围</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并进行增资扩股的公告</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8" w:right="0"/>
                          <w:jc w:val="center"/>
                          <w:rPr>
                            <w:rFonts w:ascii="宋体" w:hAnsi="宋体" w:cs="宋体" w:eastAsia="宋体" w:hint="default"/>
                            <w:sz w:val="18"/>
                            <w:szCs w:val="18"/>
                          </w:rPr>
                        </w:pPr>
                        <w:r>
                          <w:rPr>
                            <w:rFonts w:ascii="宋体" w:hAnsi="宋体" w:cs="宋体" w:eastAsia="宋体" w:hint="default"/>
                            <w:spacing w:val="-3"/>
                            <w:sz w:val="18"/>
                            <w:szCs w:val="18"/>
                          </w:rPr>
                          <w:t>西安易诺和创科技发展有限公司</w:t>
                        </w:r>
                      </w:p>
                      <w:p>
                        <w:pPr>
                          <w:pStyle w:val="TableParagraph"/>
                          <w:spacing w:line="316" w:lineRule="auto" w:before="77"/>
                          <w:ind w:left="4" w:right="-5"/>
                          <w:jc w:val="center"/>
                          <w:rPr>
                            <w:rFonts w:ascii="宋体" w:hAnsi="宋体" w:cs="宋体" w:eastAsia="宋体" w:hint="default"/>
                            <w:sz w:val="18"/>
                            <w:szCs w:val="18"/>
                          </w:rPr>
                        </w:pPr>
                        <w:r>
                          <w:rPr>
                            <w:rFonts w:ascii="宋体" w:hAnsi="宋体" w:cs="宋体" w:eastAsia="宋体" w:hint="default"/>
                            <w:spacing w:val="-4"/>
                            <w:sz w:val="18"/>
                            <w:szCs w:val="18"/>
                          </w:rPr>
                          <w:t>（曾用名：西安永旭创新服务有限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公司）变更公司名称及经营范围并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进行增资扩股，引进有实力的战略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合作伙伴。</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4" w:right="-5"/>
                          <w:jc w:val="left"/>
                          <w:rPr>
                            <w:rFonts w:ascii="宋体" w:hAnsi="宋体" w:cs="宋体" w:eastAsia="宋体" w:hint="default"/>
                            <w:sz w:val="18"/>
                            <w:szCs w:val="18"/>
                          </w:rPr>
                        </w:pPr>
                        <w:r>
                          <w:rPr>
                            <w:rFonts w:ascii="宋体" w:hAnsi="宋体" w:cs="宋体" w:eastAsia="宋体" w:hint="default"/>
                            <w:spacing w:val="-7"/>
                            <w:sz w:val="18"/>
                            <w:szCs w:val="18"/>
                          </w:rPr>
                          <w:t>《中国证券报》、《上海</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15"/>
                            <w:w w:val="101"/>
                            <w:sz w:val="18"/>
                            <w:szCs w:val="18"/>
                          </w:rPr>
                          <w:t>证券报》、《证券时报》</w:t>
                        </w:r>
                        <w:r>
                          <w:rPr>
                            <w:rFonts w:ascii="宋体" w:hAnsi="宋体" w:cs="宋体" w:eastAsia="宋体" w:hint="default"/>
                            <w:sz w:val="18"/>
                            <w:szCs w:val="18"/>
                          </w:rPr>
                        </w:r>
                      </w:p>
                      <w:p>
                        <w:pPr>
                          <w:pStyle w:val="TableParagraph"/>
                          <w:spacing w:line="316" w:lineRule="auto" w:before="19"/>
                          <w:ind w:left="4" w:right="-5"/>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《证券日报》及巨潮资讯</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网（</w:t>
                        </w:r>
                        <w:hyperlink r:id="rId11">
                          <w:r>
                            <w:rPr>
                              <w:rFonts w:ascii="Times New Roman" w:hAnsi="Times New Roman" w:cs="Times New Roman" w:eastAsia="Times New Roman" w:hint="default"/>
                              <w:spacing w:val="-3"/>
                              <w:sz w:val="18"/>
                              <w:szCs w:val="18"/>
                            </w:rPr>
                            <w:t>www.cninfo.com.cn</w:t>
                          </w:r>
                        </w:hyperlink>
                      </w:p>
                    </w:tc>
                  </w:tr>
                  <w:tr>
                    <w:trPr>
                      <w:trHeight w:val="970" w:hRule="exact"/>
                    </w:trPr>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4" w:right="0"/>
                          <w:jc w:val="center"/>
                          <w:rPr>
                            <w:rFonts w:ascii="Times New Roman" w:hAnsi="Times New Roman" w:cs="Times New Roman" w:eastAsia="Times New Roman" w:hint="default"/>
                            <w:sz w:val="18"/>
                            <w:szCs w:val="18"/>
                          </w:rPr>
                        </w:pPr>
                        <w:r>
                          <w:rPr>
                            <w:rFonts w:ascii="Times New Roman"/>
                            <w:sz w:val="18"/>
                          </w:rPr>
                          <w:t>2019-061</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8" w:right="17"/>
                          <w:jc w:val="center"/>
                          <w:rPr>
                            <w:rFonts w:ascii="宋体" w:hAnsi="宋体" w:cs="宋体" w:eastAsia="宋体" w:hint="default"/>
                            <w:sz w:val="18"/>
                            <w:szCs w:val="18"/>
                          </w:rPr>
                        </w:pPr>
                        <w:r>
                          <w:rPr>
                            <w:rFonts w:ascii="宋体" w:hAnsi="宋体" w:cs="宋体" w:eastAsia="宋体" w:hint="default"/>
                            <w:spacing w:val="-3"/>
                            <w:sz w:val="18"/>
                            <w:szCs w:val="18"/>
                          </w:rPr>
                          <w:t>西安环球印务股份有限公司关于</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子公司变更公司名称及经营范围</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并进行增资扩股的进展公告</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3" w:right="37" w:firstLine="38"/>
                          <w:jc w:val="both"/>
                          <w:rPr>
                            <w:rFonts w:ascii="宋体" w:hAnsi="宋体" w:cs="宋体" w:eastAsia="宋体" w:hint="default"/>
                            <w:sz w:val="18"/>
                            <w:szCs w:val="18"/>
                          </w:rPr>
                        </w:pPr>
                        <w:r>
                          <w:rPr>
                            <w:rFonts w:ascii="宋体" w:hAnsi="宋体" w:cs="宋体" w:eastAsia="宋体" w:hint="default"/>
                            <w:spacing w:val="-3"/>
                            <w:sz w:val="18"/>
                            <w:szCs w:val="18"/>
                          </w:rPr>
                          <w:t>西安永旭创新服务有限公司变更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名称为西安易诺和创科技发展有</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限公司，</w:t>
                        </w:r>
                        <w:r>
                          <w:rPr>
                            <w:rFonts w:ascii="宋体" w:hAnsi="宋体" w:cs="宋体" w:eastAsia="宋体" w:hint="default"/>
                            <w:spacing w:val="14"/>
                            <w:sz w:val="18"/>
                            <w:szCs w:val="18"/>
                          </w:rPr>
                          <w:t> </w:t>
                        </w:r>
                        <w:r>
                          <w:rPr>
                            <w:rFonts w:ascii="宋体" w:hAnsi="宋体" w:cs="宋体" w:eastAsia="宋体" w:hint="default"/>
                            <w:spacing w:val="-3"/>
                            <w:sz w:val="18"/>
                            <w:szCs w:val="18"/>
                          </w:rPr>
                          <w:t>同时变更了经营范围。</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158" w:right="-5" w:hanging="154"/>
                          <w:jc w:val="left"/>
                          <w:rPr>
                            <w:rFonts w:ascii="宋体" w:hAnsi="宋体" w:cs="宋体" w:eastAsia="宋体" w:hint="default"/>
                            <w:sz w:val="18"/>
                            <w:szCs w:val="18"/>
                          </w:rPr>
                        </w:pPr>
                        <w:r>
                          <w:rPr>
                            <w:rFonts w:ascii="宋体" w:hAnsi="宋体" w:cs="宋体" w:eastAsia="宋体" w:hint="default"/>
                            <w:spacing w:val="-7"/>
                            <w:sz w:val="18"/>
                            <w:szCs w:val="18"/>
                          </w:rPr>
                          <w:t>《中国证券报》、《证券</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3"/>
                            <w:sz w:val="18"/>
                            <w:szCs w:val="18"/>
                          </w:rPr>
                          <w:t>时报》及巨潮资讯网</w:t>
                        </w:r>
                      </w:p>
                      <w:p>
                        <w:pPr>
                          <w:pStyle w:val="TableParagraph"/>
                          <w:spacing w:line="240" w:lineRule="auto" w:before="17"/>
                          <w:ind w:left="57"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2"/>
        <w:rPr>
          <w:rFonts w:ascii="宋体" w:hAnsi="宋体" w:cs="宋体" w:eastAsia="宋体" w:hint="default"/>
          <w:sz w:val="26"/>
          <w:szCs w:val="26"/>
        </w:rPr>
      </w:pPr>
    </w:p>
    <w:p>
      <w:pPr>
        <w:spacing w:before="46"/>
        <w:ind w:left="0" w:right="1223"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460" w:footer="979" w:top="1100" w:bottom="1160" w:left="8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1"/>
        <w:spacing w:line="240" w:lineRule="auto"/>
        <w:ind w:right="0"/>
        <w:jc w:val="left"/>
        <w:rPr>
          <w:b w:val="0"/>
          <w:bCs w:val="0"/>
        </w:rPr>
      </w:pPr>
      <w:bookmarkStart w:name="第六节 股份变动及股东情况" w:id="109"/>
      <w:bookmarkEnd w:id="109"/>
      <w:r>
        <w:rPr>
          <w:b w:val="0"/>
          <w:bCs w:val="0"/>
        </w:rPr>
      </w:r>
      <w:bookmarkStart w:name="_bookmark5" w:id="110"/>
      <w:bookmarkEnd w:id="110"/>
      <w:r>
        <w:rPr>
          <w:b w:val="0"/>
          <w:bCs w:val="0"/>
        </w:rPr>
      </w:r>
      <w:r>
        <w:rPr/>
        <w:t>第六节</w:t>
      </w:r>
      <w:r>
        <w:rPr>
          <w:spacing w:val="1"/>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0"/>
        <w:jc w:val="left"/>
        <w:rPr>
          <w:b w:val="0"/>
          <w:bCs w:val="0"/>
        </w:rPr>
      </w:pPr>
      <w:bookmarkStart w:name="一、股份变动情况" w:id="111"/>
      <w:bookmarkEnd w:id="111"/>
      <w:r>
        <w:rPr>
          <w:b w:val="0"/>
          <w:bCs w:val="0"/>
        </w:rPr>
      </w:r>
      <w:r>
        <w:rPr/>
        <w:t>一、股份变动情况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股份变动情况" w:id="112"/>
      <w:bookmarkEnd w:id="112"/>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2171"/>
        <w:gridCol w:w="972"/>
        <w:gridCol w:w="778"/>
        <w:gridCol w:w="634"/>
        <w:gridCol w:w="715"/>
        <w:gridCol w:w="711"/>
        <w:gridCol w:w="1003"/>
        <w:gridCol w:w="999"/>
        <w:gridCol w:w="960"/>
        <w:gridCol w:w="745"/>
      </w:tblGrid>
      <w:tr>
        <w:trPr>
          <w:trHeight w:val="403" w:hRule="exact"/>
        </w:trPr>
        <w:tc>
          <w:tcPr>
            <w:tcW w:w="21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6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7"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17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8" w:hRule="exact"/>
        </w:trPr>
        <w:tc>
          <w:tcPr>
            <w:tcW w:w="2171" w:type="dxa"/>
            <w:vMerge w:val="restart"/>
            <w:tcBorders>
              <w:top w:val="nil" w:sz="6" w:space="0" w:color="auto"/>
              <w:left w:val="single" w:sz="4" w:space="0" w:color="000000"/>
              <w:right w:val="single" w:sz="4" w:space="0" w:color="000000"/>
            </w:tcBorders>
            <w:shd w:val="clear" w:color="auto" w:fill="D2D2D2"/>
          </w:tcPr>
          <w:p>
            <w:pPr/>
          </w:p>
        </w:tc>
        <w:tc>
          <w:tcPr>
            <w:tcW w:w="9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25" w:right="36" w:hanging="183"/>
              <w:jc w:val="left"/>
              <w:rPr>
                <w:rFonts w:ascii="宋体" w:hAnsi="宋体" w:cs="宋体" w:eastAsia="宋体" w:hint="default"/>
                <w:sz w:val="18"/>
                <w:szCs w:val="18"/>
              </w:rPr>
            </w:pPr>
            <w:r>
              <w:rPr>
                <w:rFonts w:ascii="宋体" w:hAnsi="宋体" w:cs="宋体" w:eastAsia="宋体" w:hint="default"/>
                <w:sz w:val="18"/>
                <w:szCs w:val="18"/>
              </w:rPr>
              <w:t>发行新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71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2" w:right="75" w:hanging="92"/>
              <w:jc w:val="left"/>
              <w:rPr>
                <w:rFonts w:ascii="宋体" w:hAnsi="宋体" w:cs="宋体" w:eastAsia="宋体" w:hint="default"/>
                <w:sz w:val="18"/>
                <w:szCs w:val="18"/>
              </w:rPr>
            </w:pPr>
            <w:r>
              <w:rPr>
                <w:rFonts w:ascii="宋体" w:hAnsi="宋体" w:cs="宋体" w:eastAsia="宋体" w:hint="default"/>
                <w:sz w:val="18"/>
                <w:szCs w:val="18"/>
              </w:rPr>
              <w:t>公积金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转股</w:t>
            </w:r>
          </w:p>
        </w:tc>
        <w:tc>
          <w:tcPr>
            <w:tcW w:w="1003" w:type="dxa"/>
            <w:tcBorders>
              <w:top w:val="single" w:sz="4" w:space="0" w:color="000000"/>
              <w:left w:val="single" w:sz="4" w:space="0" w:color="000000"/>
              <w:bottom w:val="nil" w:sz="6" w:space="0" w:color="auto"/>
              <w:right w:val="single" w:sz="4" w:space="0" w:color="000000"/>
            </w:tcBorders>
            <w:shd w:val="clear" w:color="auto" w:fill="D2D2D2"/>
          </w:tcPr>
          <w:p>
            <w:pPr/>
          </w:p>
        </w:tc>
        <w:tc>
          <w:tcPr>
            <w:tcW w:w="999" w:type="dxa"/>
            <w:tcBorders>
              <w:top w:val="single" w:sz="4" w:space="0" w:color="000000"/>
              <w:left w:val="single" w:sz="4" w:space="0" w:color="000000"/>
              <w:bottom w:val="nil" w:sz="6" w:space="0" w:color="auto"/>
              <w:right w:val="single" w:sz="4" w:space="0" w:color="000000"/>
            </w:tcBorders>
            <w:shd w:val="clear" w:color="auto" w:fill="D2D2D2"/>
          </w:tcPr>
          <w:p>
            <w:pPr/>
          </w:p>
        </w:tc>
        <w:tc>
          <w:tcPr>
            <w:tcW w:w="960" w:type="dxa"/>
            <w:tcBorders>
              <w:top w:val="single" w:sz="4" w:space="0" w:color="000000"/>
              <w:left w:val="single" w:sz="4" w:space="0" w:color="000000"/>
              <w:bottom w:val="nil" w:sz="6" w:space="0" w:color="auto"/>
              <w:right w:val="single" w:sz="4" w:space="0" w:color="000000"/>
            </w:tcBorders>
            <w:shd w:val="clear" w:color="auto" w:fill="D2D2D2"/>
          </w:tcPr>
          <w:p>
            <w:pPr/>
          </w:p>
        </w:tc>
        <w:tc>
          <w:tcPr>
            <w:tcW w:w="74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171" w:type="dxa"/>
            <w:vMerge/>
            <w:tcBorders>
              <w:left w:val="single" w:sz="4" w:space="0" w:color="000000"/>
              <w:bottom w:val="nil" w:sz="6" w:space="0" w:color="auto"/>
              <w:right w:val="single" w:sz="4" w:space="0" w:color="000000"/>
            </w:tcBorders>
            <w:shd w:val="clear" w:color="auto" w:fill="D2D2D2"/>
          </w:tcPr>
          <w:p>
            <w:pPr/>
          </w:p>
        </w:tc>
        <w:tc>
          <w:tcPr>
            <w:tcW w:w="9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34" w:type="dxa"/>
            <w:vMerge/>
            <w:tcBorders>
              <w:left w:val="single" w:sz="4" w:space="0" w:color="000000"/>
              <w:right w:val="single" w:sz="4" w:space="0" w:color="000000"/>
            </w:tcBorders>
            <w:shd w:val="clear" w:color="auto" w:fill="D2D2D2"/>
          </w:tcPr>
          <w:p>
            <w:pPr/>
          </w:p>
        </w:tc>
        <w:tc>
          <w:tcPr>
            <w:tcW w:w="7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7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11" w:type="dxa"/>
            <w:vMerge/>
            <w:tcBorders>
              <w:left w:val="single" w:sz="4" w:space="0" w:color="000000"/>
              <w:right w:val="single" w:sz="4" w:space="0" w:color="000000"/>
            </w:tcBorders>
            <w:shd w:val="clear" w:color="auto" w:fill="D2D2D2"/>
          </w:tcPr>
          <w:p>
            <w:pPr/>
          </w:p>
        </w:tc>
        <w:tc>
          <w:tcPr>
            <w:tcW w:w="10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171" w:type="dxa"/>
            <w:vMerge w:val="restart"/>
            <w:tcBorders>
              <w:top w:val="nil" w:sz="6" w:space="0" w:color="auto"/>
              <w:left w:val="single" w:sz="4" w:space="0" w:color="000000"/>
              <w:right w:val="single" w:sz="4" w:space="0" w:color="000000"/>
            </w:tcBorders>
            <w:shd w:val="clear" w:color="auto" w:fill="D2D2D2"/>
          </w:tcPr>
          <w:p>
            <w:pPr/>
          </w:p>
        </w:tc>
        <w:tc>
          <w:tcPr>
            <w:tcW w:w="972" w:type="dxa"/>
            <w:vMerge/>
            <w:tcBorders>
              <w:left w:val="single" w:sz="4" w:space="0" w:color="000000"/>
              <w:bottom w:val="nil" w:sz="6" w:space="0" w:color="auto"/>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634" w:type="dxa"/>
            <w:vMerge/>
            <w:tcBorders>
              <w:left w:val="single" w:sz="4" w:space="0" w:color="000000"/>
              <w:right w:val="single" w:sz="4" w:space="0" w:color="000000"/>
            </w:tcBorders>
            <w:shd w:val="clear" w:color="auto" w:fill="D2D2D2"/>
          </w:tcPr>
          <w:p>
            <w:pPr/>
          </w:p>
        </w:tc>
        <w:tc>
          <w:tcPr>
            <w:tcW w:w="715" w:type="dxa"/>
            <w:vMerge/>
            <w:tcBorders>
              <w:left w:val="single" w:sz="4" w:space="0" w:color="000000"/>
              <w:bottom w:val="nil" w:sz="6" w:space="0" w:color="auto"/>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1003" w:type="dxa"/>
            <w:vMerge/>
            <w:tcBorders>
              <w:left w:val="single" w:sz="4" w:space="0" w:color="000000"/>
              <w:bottom w:val="nil" w:sz="6" w:space="0" w:color="auto"/>
              <w:right w:val="single" w:sz="4" w:space="0" w:color="000000"/>
            </w:tcBorders>
            <w:shd w:val="clear" w:color="auto" w:fill="D2D2D2"/>
          </w:tcPr>
          <w:p>
            <w:pPr/>
          </w:p>
        </w:tc>
        <w:tc>
          <w:tcPr>
            <w:tcW w:w="999" w:type="dxa"/>
            <w:vMerge/>
            <w:tcBorders>
              <w:left w:val="single" w:sz="4" w:space="0" w:color="000000"/>
              <w:bottom w:val="nil" w:sz="6" w:space="0" w:color="auto"/>
              <w:right w:val="single" w:sz="4" w:space="0" w:color="000000"/>
            </w:tcBorders>
            <w:shd w:val="clear" w:color="auto" w:fill="D2D2D2"/>
          </w:tcPr>
          <w:p>
            <w:pPr/>
          </w:p>
        </w:tc>
        <w:tc>
          <w:tcPr>
            <w:tcW w:w="960" w:type="dxa"/>
            <w:vMerge/>
            <w:tcBorders>
              <w:left w:val="single" w:sz="4" w:space="0" w:color="000000"/>
              <w:bottom w:val="nil" w:sz="6" w:space="0" w:color="auto"/>
              <w:right w:val="single" w:sz="4" w:space="0" w:color="000000"/>
            </w:tcBorders>
            <w:shd w:val="clear" w:color="auto" w:fill="D2D2D2"/>
          </w:tcPr>
          <w:p>
            <w:pPr/>
          </w:p>
        </w:tc>
        <w:tc>
          <w:tcPr>
            <w:tcW w:w="745"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2171" w:type="dxa"/>
            <w:vMerge/>
            <w:tcBorders>
              <w:left w:val="single" w:sz="4" w:space="0" w:color="000000"/>
              <w:bottom w:val="single" w:sz="4" w:space="0" w:color="000000"/>
              <w:right w:val="single" w:sz="4" w:space="0" w:color="000000"/>
            </w:tcBorders>
            <w:shd w:val="clear" w:color="auto" w:fill="D2D2D2"/>
          </w:tcPr>
          <w:p>
            <w:pPr/>
          </w:p>
        </w:tc>
        <w:tc>
          <w:tcPr>
            <w:tcW w:w="9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4" w:type="dxa"/>
            <w:vMerge/>
            <w:tcBorders>
              <w:left w:val="single" w:sz="4" w:space="0" w:color="000000"/>
              <w:bottom w:val="single" w:sz="4" w:space="0" w:color="000000"/>
              <w:right w:val="single" w:sz="4" w:space="0" w:color="000000"/>
            </w:tcBorders>
            <w:shd w:val="clear" w:color="auto" w:fill="D2D2D2"/>
          </w:tcPr>
          <w:p>
            <w:pPr/>
          </w:p>
        </w:tc>
        <w:tc>
          <w:tcPr>
            <w:tcW w:w="71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1003" w:type="dxa"/>
            <w:tcBorders>
              <w:top w:val="nil" w:sz="6" w:space="0" w:color="auto"/>
              <w:left w:val="single" w:sz="4" w:space="0" w:color="000000"/>
              <w:bottom w:val="single" w:sz="4" w:space="0" w:color="000000"/>
              <w:right w:val="single" w:sz="4" w:space="0" w:color="000000"/>
            </w:tcBorders>
            <w:shd w:val="clear" w:color="auto" w:fill="D2D2D2"/>
          </w:tcPr>
          <w:p>
            <w:pPr/>
          </w:p>
        </w:tc>
        <w:tc>
          <w:tcPr>
            <w:tcW w:w="999" w:type="dxa"/>
            <w:tcBorders>
              <w:top w:val="nil" w:sz="6" w:space="0" w:color="auto"/>
              <w:left w:val="single" w:sz="4" w:space="0" w:color="000000"/>
              <w:bottom w:val="single" w:sz="4" w:space="0" w:color="000000"/>
              <w:right w:val="single" w:sz="4" w:space="0" w:color="000000"/>
            </w:tcBorders>
            <w:shd w:val="clear" w:color="auto" w:fill="D2D2D2"/>
          </w:tcPr>
          <w:p>
            <w:pPr/>
          </w:p>
        </w:tc>
        <w:tc>
          <w:tcPr>
            <w:tcW w:w="9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4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2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9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73,125,000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48.75%</w:t>
            </w:r>
          </w:p>
        </w:tc>
        <w:tc>
          <w:tcPr>
            <w:tcW w:w="63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-73,125,000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-73,125,000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73,125,000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48.75%</w:t>
            </w:r>
          </w:p>
        </w:tc>
        <w:tc>
          <w:tcPr>
            <w:tcW w:w="63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-73,125,000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-73,125,000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9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76,875,000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51.25%</w:t>
            </w:r>
          </w:p>
        </w:tc>
        <w:tc>
          <w:tcPr>
            <w:tcW w:w="63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73,125,000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73,125,000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150,000,000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398" w:hRule="exact"/>
        </w:trPr>
        <w:tc>
          <w:tcPr>
            <w:tcW w:w="2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76,875,000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51.25%</w:t>
            </w:r>
          </w:p>
        </w:tc>
        <w:tc>
          <w:tcPr>
            <w:tcW w:w="63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73,125,000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73,125,000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150,000,000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2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150,000,000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63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150,000,000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100.00%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股份变动的原因</w:t>
      </w:r>
    </w:p>
    <w:p>
      <w:pPr>
        <w:spacing w:line="338" w:lineRule="auto" w:before="119"/>
        <w:ind w:left="153" w:right="43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日，首次公开发行前已发行股份</w:t>
      </w:r>
      <w:r>
        <w:rPr>
          <w:rFonts w:ascii="Times New Roman" w:hAnsi="Times New Roman" w:cs="Times New Roman" w:eastAsia="Times New Roman" w:hint="default"/>
          <w:spacing w:val="-3"/>
          <w:sz w:val="18"/>
          <w:szCs w:val="18"/>
        </w:rPr>
        <w:t>7,312.50</w:t>
      </w:r>
      <w:r>
        <w:rPr>
          <w:rFonts w:ascii="宋体" w:hAnsi="宋体" w:cs="宋体" w:eastAsia="宋体" w:hint="default"/>
          <w:spacing w:val="-3"/>
          <w:sz w:val="18"/>
          <w:szCs w:val="18"/>
        </w:rPr>
        <w:t>万股解除限售。</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3"/>
          <w:sz w:val="18"/>
          <w:szCs w:val="18"/>
        </w:rPr>
        <w:t>股份变动的批准情况</w:t>
      </w:r>
    </w:p>
    <w:p>
      <w:pPr>
        <w:spacing w:line="338" w:lineRule="auto" w:before="46"/>
        <w:ind w:left="153" w:right="29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首发前已发行股份</w:t>
      </w:r>
      <w:r>
        <w:rPr>
          <w:rFonts w:ascii="Times New Roman" w:hAnsi="Times New Roman" w:cs="Times New Roman" w:eastAsia="Times New Roman" w:hint="default"/>
          <w:spacing w:val="-3"/>
          <w:sz w:val="18"/>
          <w:szCs w:val="18"/>
        </w:rPr>
        <w:t>7,312.50</w:t>
      </w:r>
      <w:r>
        <w:rPr>
          <w:rFonts w:ascii="宋体" w:hAnsi="宋体" w:cs="宋体" w:eastAsia="宋体" w:hint="default"/>
          <w:spacing w:val="-3"/>
          <w:sz w:val="18"/>
          <w:szCs w:val="18"/>
        </w:rPr>
        <w:t>万股限售期为</w:t>
      </w:r>
      <w:r>
        <w:rPr>
          <w:rFonts w:ascii="Times New Roman" w:hAnsi="Times New Roman" w:cs="Times New Roman" w:eastAsia="Times New Roman" w:hint="default"/>
          <w:spacing w:val="-3"/>
          <w:sz w:val="18"/>
          <w:szCs w:val="18"/>
        </w:rPr>
        <w:t>36</w:t>
      </w:r>
      <w:r>
        <w:rPr>
          <w:rFonts w:ascii="宋体" w:hAnsi="宋体" w:cs="宋体" w:eastAsia="宋体" w:hint="default"/>
          <w:spacing w:val="-3"/>
          <w:sz w:val="18"/>
          <w:szCs w:val="18"/>
        </w:rPr>
        <w:t>个月，至</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日，限售期已届满。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股份变动的过户情况</w:t>
      </w:r>
    </w:p>
    <w:p>
      <w:pPr>
        <w:spacing w:line="338" w:lineRule="auto" w:before="46"/>
        <w:ind w:left="153" w:right="85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股份回购的实施进展情况</w:t>
      </w:r>
    </w:p>
    <w:p>
      <w:pPr>
        <w:spacing w:line="338" w:lineRule="auto" w:before="46"/>
        <w:ind w:left="153" w:right="6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采用集中竞价方式减持回购股份的实施进展情况</w:t>
      </w:r>
    </w:p>
    <w:p>
      <w:pPr>
        <w:spacing w:line="343" w:lineRule="auto" w:before="41"/>
        <w:ind w:left="153" w:right="10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股份变动对最近一年和最近一期基本每股收益和稀释每股收益、归属于公司普通股股东的每股净资产等财务指标的影响</w:t>
      </w:r>
    </w:p>
    <w:p>
      <w:pPr>
        <w:spacing w:line="338" w:lineRule="auto" w:before="37"/>
        <w:ind w:left="153" w:right="6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公司认为必要或证券监管机构要求披露的其他内容</w:t>
      </w: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13"/>
      <w:bookmarkEnd w:id="113"/>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7"/>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after="0"/>
        <w:jc w:val="right"/>
        <w:rPr>
          <w:rFonts w:ascii="宋体" w:hAnsi="宋体" w:cs="宋体" w:eastAsia="宋体" w:hint="default"/>
          <w:sz w:val="18"/>
          <w:szCs w:val="18"/>
        </w:rPr>
        <w:sectPr>
          <w:pgSz w:w="11910" w:h="16840"/>
          <w:pgMar w:header="46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495" w:type="dxa"/>
        <w:tblLayout w:type="fixed"/>
        <w:tblCellMar>
          <w:top w:w="0" w:type="dxa"/>
          <w:left w:w="0" w:type="dxa"/>
          <w:bottom w:w="0" w:type="dxa"/>
          <w:right w:w="0" w:type="dxa"/>
        </w:tblCellMar>
        <w:tblLook w:val="01E0"/>
      </w:tblPr>
      <w:tblGrid>
        <w:gridCol w:w="1541"/>
        <w:gridCol w:w="1368"/>
        <w:gridCol w:w="1369"/>
        <w:gridCol w:w="1368"/>
        <w:gridCol w:w="1364"/>
        <w:gridCol w:w="1369"/>
        <w:gridCol w:w="1547"/>
      </w:tblGrid>
      <w:tr>
        <w:trPr>
          <w:trHeight w:val="715"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91" w:right="46" w:hanging="543"/>
              <w:jc w:val="left"/>
              <w:rPr>
                <w:rFonts w:ascii="宋体" w:hAnsi="宋体" w:cs="宋体" w:eastAsia="宋体" w:hint="default"/>
                <w:sz w:val="18"/>
                <w:szCs w:val="18"/>
              </w:rPr>
            </w:pPr>
            <w:r>
              <w:rPr>
                <w:rFonts w:ascii="宋体" w:hAnsi="宋体" w:cs="宋体" w:eastAsia="宋体" w:hint="default"/>
                <w:spacing w:val="-3"/>
                <w:sz w:val="18"/>
                <w:szCs w:val="18"/>
              </w:rPr>
              <w:t>本期增加限售股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90" w:right="46" w:hanging="543"/>
              <w:jc w:val="left"/>
              <w:rPr>
                <w:rFonts w:ascii="宋体" w:hAnsi="宋体" w:cs="宋体" w:eastAsia="宋体" w:hint="default"/>
                <w:sz w:val="18"/>
                <w:szCs w:val="18"/>
              </w:rPr>
            </w:pPr>
            <w:r>
              <w:rPr>
                <w:rFonts w:ascii="宋体" w:hAnsi="宋体" w:cs="宋体" w:eastAsia="宋体" w:hint="default"/>
                <w:spacing w:val="-3"/>
                <w:sz w:val="18"/>
                <w:szCs w:val="18"/>
              </w:rPr>
              <w:t>本期解除限售股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陕西医药控股集团</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有限责任公司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69,375,000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69,375,000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60"/>
              <w:jc w:val="left"/>
              <w:rPr>
                <w:rFonts w:ascii="宋体" w:hAnsi="宋体" w:cs="宋体" w:eastAsia="宋体" w:hint="default"/>
                <w:sz w:val="18"/>
                <w:szCs w:val="18"/>
              </w:rPr>
            </w:pPr>
            <w:r>
              <w:rPr>
                <w:rFonts w:ascii="宋体" w:hAnsi="宋体" w:cs="宋体" w:eastAsia="宋体" w:hint="default"/>
                <w:spacing w:val="-2"/>
                <w:sz w:val="18"/>
                <w:szCs w:val="18"/>
              </w:rPr>
              <w:t>全国社会保障基金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理事会转持二户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3,750,000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3,750,000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73,125,000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73,125,000</w:t>
            </w:r>
          </w:p>
        </w:tc>
        <w:tc>
          <w:tcPr>
            <w:tcW w:w="13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9"/>
        <w:rPr>
          <w:rFonts w:ascii="宋体" w:hAnsi="宋体" w:cs="宋体" w:eastAsia="宋体" w:hint="default"/>
          <w:sz w:val="17"/>
          <w:szCs w:val="17"/>
        </w:rPr>
      </w:pPr>
    </w:p>
    <w:p>
      <w:pPr>
        <w:pStyle w:val="Heading2"/>
        <w:spacing w:line="240" w:lineRule="auto" w:before="26"/>
        <w:ind w:left="673" w:right="491"/>
        <w:jc w:val="left"/>
        <w:rPr>
          <w:b w:val="0"/>
          <w:bCs w:val="0"/>
        </w:rPr>
      </w:pPr>
      <w:bookmarkStart w:name="二、证券发行与上市情况" w:id="114"/>
      <w:bookmarkEnd w:id="114"/>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673" w:right="491"/>
        <w:jc w:val="left"/>
        <w:rPr>
          <w:b w:val="0"/>
          <w:bCs w:val="0"/>
        </w:rPr>
      </w:pPr>
      <w:bookmarkStart w:name="1、报告期内证券发行（不含优先股）情况" w:id="115"/>
      <w:bookmarkEnd w:id="115"/>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
        <w:rPr>
          <w:rFonts w:ascii="宋体" w:hAnsi="宋体" w:cs="宋体" w:eastAsia="宋体" w:hint="default"/>
          <w:b/>
          <w:bCs/>
          <w:sz w:val="27"/>
          <w:szCs w:val="27"/>
        </w:rPr>
      </w:pPr>
    </w:p>
    <w:p>
      <w:pPr>
        <w:spacing w:before="0"/>
        <w:ind w:left="673" w:right="4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3"/>
        <w:spacing w:line="240" w:lineRule="auto"/>
        <w:ind w:left="673" w:right="491"/>
        <w:jc w:val="left"/>
        <w:rPr>
          <w:b w:val="0"/>
          <w:bCs w:val="0"/>
        </w:rPr>
      </w:pPr>
      <w:bookmarkStart w:name="2、公司股份总数及股东结构的变动、公司资产和负债结构的变动情况说明" w:id="116"/>
      <w:bookmarkEnd w:id="116"/>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
        <w:rPr>
          <w:rFonts w:ascii="宋体" w:hAnsi="宋体" w:cs="宋体" w:eastAsia="宋体" w:hint="default"/>
          <w:b/>
          <w:bCs/>
          <w:sz w:val="27"/>
          <w:szCs w:val="27"/>
        </w:rPr>
      </w:pPr>
    </w:p>
    <w:p>
      <w:pPr>
        <w:spacing w:before="0"/>
        <w:ind w:left="673" w:right="4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left="673" w:right="491"/>
        <w:jc w:val="left"/>
        <w:rPr>
          <w:b w:val="0"/>
          <w:bCs w:val="0"/>
        </w:rPr>
      </w:pPr>
      <w:bookmarkStart w:name="3、现存的内部职工股情况" w:id="117"/>
      <w:bookmarkEnd w:id="117"/>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1"/>
        <w:rPr>
          <w:rFonts w:ascii="宋体" w:hAnsi="宋体" w:cs="宋体" w:eastAsia="宋体" w:hint="default"/>
          <w:b/>
          <w:bCs/>
          <w:sz w:val="27"/>
          <w:szCs w:val="27"/>
        </w:rPr>
      </w:pPr>
    </w:p>
    <w:p>
      <w:pPr>
        <w:spacing w:before="0"/>
        <w:ind w:left="673" w:right="4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left="673" w:right="491"/>
        <w:jc w:val="left"/>
        <w:rPr>
          <w:b w:val="0"/>
          <w:bCs w:val="0"/>
        </w:rPr>
      </w:pPr>
      <w:bookmarkStart w:name="三、股东和实际控制人情况" w:id="118"/>
      <w:bookmarkEnd w:id="118"/>
      <w:r>
        <w:rPr>
          <w:b w:val="0"/>
          <w:bCs w:val="0"/>
        </w:rPr>
      </w:r>
      <w:r>
        <w:rPr/>
        <w:t>三、股东和实际控制人情况</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left="673" w:right="491"/>
        <w:jc w:val="left"/>
        <w:rPr>
          <w:b w:val="0"/>
          <w:bCs w:val="0"/>
        </w:rPr>
      </w:pPr>
      <w:bookmarkStart w:name="1、公司股东数量及持股情况" w:id="119"/>
      <w:bookmarkEnd w:id="119"/>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748"/>
        <w:gridCol w:w="1162"/>
        <w:gridCol w:w="1018"/>
        <w:gridCol w:w="1157"/>
        <w:gridCol w:w="1018"/>
        <w:gridCol w:w="1018"/>
        <w:gridCol w:w="1167"/>
        <w:gridCol w:w="1316"/>
        <w:gridCol w:w="1153"/>
      </w:tblGrid>
      <w:tr>
        <w:trPr>
          <w:trHeight w:val="1892"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595" w:right="147" w:hanging="452"/>
              <w:jc w:val="left"/>
              <w:rPr>
                <w:rFonts w:ascii="宋体" w:hAnsi="宋体" w:cs="宋体" w:eastAsia="宋体" w:hint="default"/>
                <w:sz w:val="18"/>
                <w:szCs w:val="18"/>
              </w:rPr>
            </w:pPr>
            <w:r>
              <w:rPr>
                <w:rFonts w:ascii="宋体" w:hAnsi="宋体" w:cs="宋体" w:eastAsia="宋体" w:hint="default"/>
                <w:spacing w:val="-2"/>
                <w:sz w:val="18"/>
                <w:szCs w:val="18"/>
              </w:rPr>
              <w:t>报告期末普通股股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东总数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14,963</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319" w:lineRule="auto"/>
              <w:ind w:left="143" w:right="137"/>
              <w:jc w:val="both"/>
              <w:rPr>
                <w:rFonts w:ascii="宋体" w:hAnsi="宋体" w:cs="宋体" w:eastAsia="宋体" w:hint="default"/>
                <w:sz w:val="18"/>
                <w:szCs w:val="18"/>
              </w:rPr>
            </w:pPr>
            <w:r>
              <w:rPr>
                <w:rFonts w:ascii="宋体" w:hAnsi="宋体" w:cs="宋体" w:eastAsia="宋体" w:hint="default"/>
                <w:sz w:val="18"/>
                <w:szCs w:val="18"/>
              </w:rPr>
              <w:t>年度报告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上一月末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普通股股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东总数</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
              <w:jc w:val="center"/>
              <w:rPr>
                <w:rFonts w:ascii="Times New Roman" w:hAnsi="Times New Roman" w:cs="Times New Roman" w:eastAsia="Times New Roman" w:hint="default"/>
                <w:sz w:val="18"/>
                <w:szCs w:val="18"/>
              </w:rPr>
            </w:pPr>
            <w:r>
              <w:rPr>
                <w:rFonts w:ascii="Times New Roman"/>
                <w:sz w:val="18"/>
              </w:rPr>
              <w:t>12,369</w:t>
            </w:r>
          </w:p>
        </w:tc>
        <w:tc>
          <w:tcPr>
            <w:tcW w:w="20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106" w:right="3" w:hanging="92"/>
              <w:jc w:val="center"/>
              <w:rPr>
                <w:rFonts w:ascii="宋体" w:hAnsi="宋体" w:cs="宋体" w:eastAsia="宋体" w:hint="default"/>
                <w:sz w:val="18"/>
                <w:szCs w:val="18"/>
              </w:rPr>
            </w:pPr>
            <w:r>
              <w:rPr>
                <w:rFonts w:ascii="宋体" w:hAnsi="宋体" w:cs="宋体" w:eastAsia="宋体" w:hint="default"/>
                <w:sz w:val="18"/>
                <w:szCs w:val="18"/>
              </w:rPr>
              <w:t>报告期末表决权恢复的</w:t>
            </w:r>
            <w:r>
              <w:rPr>
                <w:rFonts w:ascii="宋体" w:hAnsi="宋体" w:cs="宋体" w:eastAsia="宋体" w:hint="default"/>
                <w:w w:val="101"/>
                <w:sz w:val="18"/>
                <w:szCs w:val="18"/>
              </w:rPr>
              <w:t> </w:t>
            </w:r>
            <w:r>
              <w:rPr>
                <w:rFonts w:ascii="宋体" w:hAnsi="宋体" w:cs="宋体" w:eastAsia="宋体" w:hint="default"/>
                <w:spacing w:val="-9"/>
                <w:w w:val="101"/>
                <w:sz w:val="18"/>
                <w:szCs w:val="18"/>
              </w:rPr>
              <w:t>优先股股东总数（如有）</w:t>
            </w:r>
            <w:r>
              <w:rPr>
                <w:rFonts w:ascii="宋体" w:hAnsi="宋体" w:cs="宋体" w:eastAsia="宋体" w:hint="default"/>
                <w:spacing w:val="-9"/>
                <w:sz w:val="18"/>
                <w:szCs w:val="18"/>
              </w:rPr>
            </w:r>
          </w:p>
          <w:p>
            <w:pPr>
              <w:pStyle w:val="TableParagraph"/>
              <w:spacing w:line="240" w:lineRule="auto" w:before="19"/>
              <w:ind w:left="5" w:right="0"/>
              <w:jc w:val="center"/>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0" w:right="98" w:hanging="1"/>
              <w:jc w:val="center"/>
              <w:rPr>
                <w:rFonts w:ascii="宋体" w:hAnsi="宋体" w:cs="宋体" w:eastAsia="宋体" w:hint="default"/>
                <w:sz w:val="18"/>
                <w:szCs w:val="18"/>
              </w:rPr>
            </w:pPr>
            <w:r>
              <w:rPr>
                <w:rFonts w:ascii="宋体" w:hAnsi="宋体" w:cs="宋体" w:eastAsia="宋体" w:hint="default"/>
                <w:sz w:val="18"/>
                <w:szCs w:val="18"/>
              </w:rPr>
              <w:t>年度报告披露</w:t>
            </w:r>
            <w:r>
              <w:rPr>
                <w:rFonts w:ascii="宋体" w:hAnsi="宋体" w:cs="宋体" w:eastAsia="宋体" w:hint="default"/>
                <w:w w:val="101"/>
                <w:sz w:val="18"/>
                <w:szCs w:val="18"/>
              </w:rPr>
              <w:t> </w:t>
            </w:r>
            <w:r>
              <w:rPr>
                <w:rFonts w:ascii="宋体" w:hAnsi="宋体" w:cs="宋体" w:eastAsia="宋体" w:hint="default"/>
                <w:sz w:val="18"/>
                <w:szCs w:val="18"/>
              </w:rPr>
              <w:t>日前上一月末</w:t>
            </w:r>
            <w:r>
              <w:rPr>
                <w:rFonts w:ascii="宋体" w:hAnsi="宋体" w:cs="宋体" w:eastAsia="宋体" w:hint="default"/>
                <w:w w:val="101"/>
                <w:sz w:val="18"/>
                <w:szCs w:val="18"/>
              </w:rPr>
              <w:t> </w:t>
            </w:r>
            <w:r>
              <w:rPr>
                <w:rFonts w:ascii="宋体" w:hAnsi="宋体" w:cs="宋体" w:eastAsia="宋体" w:hint="default"/>
                <w:sz w:val="18"/>
                <w:szCs w:val="18"/>
              </w:rPr>
              <w:t>表决权恢复的</w:t>
            </w:r>
            <w:r>
              <w:rPr>
                <w:rFonts w:ascii="宋体" w:hAnsi="宋体" w:cs="宋体" w:eastAsia="宋体" w:hint="default"/>
                <w:w w:val="101"/>
                <w:sz w:val="18"/>
                <w:szCs w:val="18"/>
              </w:rPr>
              <w:t> </w:t>
            </w:r>
            <w:r>
              <w:rPr>
                <w:rFonts w:ascii="宋体" w:hAnsi="宋体" w:cs="宋体" w:eastAsia="宋体" w:hint="default"/>
                <w:sz w:val="18"/>
                <w:szCs w:val="18"/>
              </w:rPr>
              <w:t>优先股股东总</w:t>
            </w:r>
            <w:r>
              <w:rPr>
                <w:rFonts w:ascii="宋体" w:hAnsi="宋体" w:cs="宋体" w:eastAsia="宋体" w:hint="default"/>
                <w:w w:val="101"/>
                <w:sz w:val="18"/>
                <w:szCs w:val="18"/>
              </w:rPr>
              <w:t> </w:t>
            </w:r>
            <w:r>
              <w:rPr>
                <w:rFonts w:ascii="宋体" w:hAnsi="宋体" w:cs="宋体" w:eastAsia="宋体" w:hint="default"/>
                <w:spacing w:val="-25"/>
                <w:w w:val="101"/>
                <w:sz w:val="18"/>
                <w:szCs w:val="18"/>
              </w:rPr>
              <w:t>数（如有）（参</w:t>
            </w:r>
            <w:r>
              <w:rPr>
                <w:rFonts w:ascii="宋体" w:hAnsi="宋体" w:cs="宋体" w:eastAsia="宋体" w:hint="default"/>
                <w:w w:val="101"/>
                <w:sz w:val="18"/>
                <w:szCs w:val="18"/>
              </w:rPr>
              <w:t> </w:t>
            </w:r>
            <w:r>
              <w:rPr>
                <w:rFonts w:ascii="宋体" w:hAnsi="宋体" w:cs="宋体" w:eastAsia="宋体" w:hint="default"/>
                <w:sz w:val="18"/>
                <w:szCs w:val="18"/>
              </w:rPr>
              <w:t>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17" w:hRule="exact"/>
        </w:trPr>
        <w:tc>
          <w:tcPr>
            <w:tcW w:w="1075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1" w:right="3"/>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以上的股东或前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名股东持股情况</w:t>
            </w:r>
          </w:p>
        </w:tc>
      </w:tr>
      <w:tr>
        <w:trPr>
          <w:trHeight w:val="379" w:hRule="exact"/>
        </w:trPr>
        <w:tc>
          <w:tcPr>
            <w:tcW w:w="17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0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02" w:right="122" w:hanging="183"/>
              <w:jc w:val="left"/>
              <w:rPr>
                <w:rFonts w:ascii="宋体" w:hAnsi="宋体" w:cs="宋体" w:eastAsia="宋体" w:hint="default"/>
                <w:sz w:val="18"/>
                <w:szCs w:val="18"/>
              </w:rPr>
            </w:pPr>
            <w:r>
              <w:rPr>
                <w:rFonts w:ascii="宋体" w:hAnsi="宋体" w:cs="宋体" w:eastAsia="宋体" w:hint="default"/>
                <w:spacing w:val="-2"/>
                <w:sz w:val="18"/>
                <w:szCs w:val="18"/>
              </w:rPr>
              <w:t>报告期末持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股数量</w:t>
            </w:r>
          </w:p>
        </w:tc>
        <w:tc>
          <w:tcPr>
            <w:tcW w:w="10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
              <w:ind w:left="144" w:right="137"/>
              <w:jc w:val="center"/>
              <w:rPr>
                <w:rFonts w:ascii="宋体" w:hAnsi="宋体" w:cs="宋体" w:eastAsia="宋体" w:hint="default"/>
                <w:sz w:val="18"/>
                <w:szCs w:val="18"/>
              </w:rPr>
            </w:pPr>
            <w:r>
              <w:rPr>
                <w:rFonts w:ascii="宋体" w:hAnsi="宋体" w:cs="宋体" w:eastAsia="宋体" w:hint="default"/>
                <w:spacing w:val="-2"/>
                <w:sz w:val="18"/>
                <w:szCs w:val="18"/>
              </w:rPr>
              <w:t>报告期内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情况</w:t>
            </w:r>
          </w:p>
        </w:tc>
        <w:tc>
          <w:tcPr>
            <w:tcW w:w="10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
              <w:ind w:left="143" w:right="137"/>
              <w:jc w:val="both"/>
              <w:rPr>
                <w:rFonts w:ascii="宋体" w:hAnsi="宋体" w:cs="宋体" w:eastAsia="宋体" w:hint="default"/>
                <w:sz w:val="18"/>
                <w:szCs w:val="18"/>
              </w:rPr>
            </w:pPr>
            <w:r>
              <w:rPr>
                <w:rFonts w:ascii="宋体" w:hAnsi="宋体" w:cs="宋体" w:eastAsia="宋体" w:hint="default"/>
                <w:sz w:val="18"/>
                <w:szCs w:val="18"/>
              </w:rPr>
              <w:t>持有有限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
              <w:ind w:left="129" w:right="123"/>
              <w:jc w:val="center"/>
              <w:rPr>
                <w:rFonts w:ascii="宋体" w:hAnsi="宋体" w:cs="宋体" w:eastAsia="宋体" w:hint="default"/>
                <w:sz w:val="18"/>
                <w:szCs w:val="18"/>
              </w:rPr>
            </w:pPr>
            <w:r>
              <w:rPr>
                <w:rFonts w:ascii="宋体" w:hAnsi="宋体" w:cs="宋体" w:eastAsia="宋体" w:hint="default"/>
                <w:spacing w:val="-2"/>
                <w:sz w:val="18"/>
                <w:szCs w:val="18"/>
              </w:rPr>
              <w:t>持有无限售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条件的股份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数量</w:t>
            </w:r>
          </w:p>
        </w:tc>
        <w:tc>
          <w:tcPr>
            <w:tcW w:w="24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566" w:hRule="exact"/>
        </w:trPr>
        <w:tc>
          <w:tcPr>
            <w:tcW w:w="1748" w:type="dxa"/>
            <w:vMerge/>
            <w:tcBorders>
              <w:left w:val="single" w:sz="4" w:space="0" w:color="000000"/>
              <w:bottom w:val="single" w:sz="4" w:space="0" w:color="000000"/>
              <w:right w:val="single" w:sz="4" w:space="0" w:color="000000"/>
            </w:tcBorders>
            <w:shd w:val="clear" w:color="auto" w:fill="D2D2D2"/>
          </w:tcPr>
          <w:p>
            <w:pPr/>
          </w:p>
        </w:tc>
        <w:tc>
          <w:tcPr>
            <w:tcW w:w="1162" w:type="dxa"/>
            <w:vMerge/>
            <w:tcBorders>
              <w:left w:val="single" w:sz="4" w:space="0" w:color="000000"/>
              <w:bottom w:val="single" w:sz="4" w:space="0" w:color="000000"/>
              <w:right w:val="single" w:sz="4" w:space="0" w:color="000000"/>
            </w:tcBorders>
            <w:shd w:val="clear" w:color="auto" w:fill="D2D2D2"/>
          </w:tcPr>
          <w:p>
            <w:pPr/>
          </w:p>
        </w:tc>
        <w:tc>
          <w:tcPr>
            <w:tcW w:w="1018" w:type="dxa"/>
            <w:vMerge/>
            <w:tcBorders>
              <w:left w:val="single" w:sz="4" w:space="0" w:color="000000"/>
              <w:bottom w:val="single" w:sz="4" w:space="0" w:color="000000"/>
              <w:right w:val="single" w:sz="4" w:space="0" w:color="000000"/>
            </w:tcBorders>
            <w:shd w:val="clear" w:color="auto" w:fill="D2D2D2"/>
          </w:tcPr>
          <w:p>
            <w:pPr/>
          </w:p>
        </w:tc>
        <w:tc>
          <w:tcPr>
            <w:tcW w:w="1157" w:type="dxa"/>
            <w:vMerge/>
            <w:tcBorders>
              <w:left w:val="single" w:sz="4" w:space="0" w:color="000000"/>
              <w:bottom w:val="single" w:sz="4" w:space="0" w:color="000000"/>
              <w:right w:val="single" w:sz="4" w:space="0" w:color="000000"/>
            </w:tcBorders>
            <w:shd w:val="clear" w:color="auto" w:fill="D2D2D2"/>
          </w:tcPr>
          <w:p>
            <w:pPr/>
          </w:p>
        </w:tc>
        <w:tc>
          <w:tcPr>
            <w:tcW w:w="1018" w:type="dxa"/>
            <w:vMerge/>
            <w:tcBorders>
              <w:left w:val="single" w:sz="4" w:space="0" w:color="000000"/>
              <w:bottom w:val="single" w:sz="4" w:space="0" w:color="000000"/>
              <w:right w:val="single" w:sz="4" w:space="0" w:color="000000"/>
            </w:tcBorders>
            <w:shd w:val="clear" w:color="auto" w:fill="D2D2D2"/>
          </w:tcPr>
          <w:p>
            <w:pPr/>
          </w:p>
        </w:tc>
        <w:tc>
          <w:tcPr>
            <w:tcW w:w="101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28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634"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26" w:right="147" w:hanging="183"/>
              <w:jc w:val="left"/>
              <w:rPr>
                <w:rFonts w:ascii="宋体" w:hAnsi="宋体" w:cs="宋体" w:eastAsia="宋体" w:hint="default"/>
                <w:sz w:val="18"/>
                <w:szCs w:val="18"/>
              </w:rPr>
            </w:pPr>
            <w:r>
              <w:rPr>
                <w:rFonts w:ascii="宋体" w:hAnsi="宋体" w:cs="宋体" w:eastAsia="宋体" w:hint="default"/>
                <w:spacing w:val="-2"/>
                <w:sz w:val="18"/>
                <w:szCs w:val="18"/>
              </w:rPr>
              <w:t>陕西医药控股集团</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有限责任公司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46.25%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sz w:val="18"/>
              </w:rPr>
              <w:t>69,375,000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8" w:right="0"/>
              <w:jc w:val="center"/>
              <w:rPr>
                <w:rFonts w:ascii="Times New Roman" w:hAnsi="Times New Roman" w:cs="Times New Roman" w:eastAsia="Times New Roman" w:hint="default"/>
                <w:sz w:val="18"/>
                <w:szCs w:val="18"/>
              </w:rPr>
            </w:pPr>
            <w:r>
              <w:rPr>
                <w:rFonts w:ascii="Times New Roman"/>
                <w:sz w:val="18"/>
              </w:rPr>
              <w:t>69,375,000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86" w:right="147" w:hanging="543"/>
              <w:jc w:val="left"/>
              <w:rPr>
                <w:rFonts w:ascii="宋体" w:hAnsi="宋体" w:cs="宋体" w:eastAsia="宋体" w:hint="default"/>
                <w:sz w:val="18"/>
                <w:szCs w:val="18"/>
              </w:rPr>
            </w:pPr>
            <w:r>
              <w:rPr>
                <w:rFonts w:ascii="宋体" w:hAnsi="宋体" w:cs="宋体" w:eastAsia="宋体" w:hint="default"/>
                <w:spacing w:val="-2"/>
                <w:sz w:val="18"/>
                <w:szCs w:val="18"/>
              </w:rPr>
              <w:t>香港原石国际有限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境外法人</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18.75%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sz w:val="18"/>
              </w:rPr>
              <w:t>28,125,000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8" w:right="0"/>
              <w:jc w:val="center"/>
              <w:rPr>
                <w:rFonts w:ascii="Times New Roman" w:hAnsi="Times New Roman" w:cs="Times New Roman" w:eastAsia="Times New Roman" w:hint="default"/>
                <w:sz w:val="18"/>
                <w:szCs w:val="18"/>
              </w:rPr>
            </w:pPr>
            <w:r>
              <w:rPr>
                <w:rFonts w:ascii="Times New Roman"/>
                <w:sz w:val="18"/>
              </w:rPr>
              <w:t>28,125,000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60" w:footer="979" w:top="1100" w:bottom="1160" w:left="460" w:right="0"/>
        </w:sectPr>
      </w:pPr>
    </w:p>
    <w:p>
      <w:pPr>
        <w:spacing w:line="240" w:lineRule="auto" w:before="8"/>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1748"/>
        <w:gridCol w:w="1162"/>
        <w:gridCol w:w="1018"/>
        <w:gridCol w:w="1157"/>
        <w:gridCol w:w="1018"/>
        <w:gridCol w:w="1018"/>
        <w:gridCol w:w="1167"/>
        <w:gridCol w:w="1316"/>
        <w:gridCol w:w="1153"/>
      </w:tblGrid>
      <w:tr>
        <w:trPr>
          <w:trHeight w:val="634"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95" w:right="99" w:hanging="495"/>
              <w:jc w:val="left"/>
              <w:rPr>
                <w:rFonts w:ascii="宋体" w:hAnsi="宋体" w:cs="宋体" w:eastAsia="宋体" w:hint="default"/>
                <w:sz w:val="18"/>
                <w:szCs w:val="18"/>
              </w:rPr>
            </w:pPr>
            <w:r>
              <w:rPr>
                <w:rFonts w:ascii="宋体" w:hAnsi="宋体" w:cs="宋体" w:eastAsia="宋体" w:hint="default"/>
                <w:spacing w:val="-12"/>
                <w:sz w:val="18"/>
                <w:szCs w:val="18"/>
              </w:rPr>
              <w:t>比特（香港）投资有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境外法人</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7.50%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11,250,000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11,250,000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44" w:right="147"/>
              <w:jc w:val="center"/>
              <w:rPr>
                <w:rFonts w:ascii="宋体" w:hAnsi="宋体" w:cs="宋体" w:eastAsia="宋体" w:hint="default"/>
                <w:sz w:val="18"/>
                <w:szCs w:val="18"/>
              </w:rPr>
            </w:pPr>
            <w:r>
              <w:rPr>
                <w:rFonts w:ascii="宋体" w:hAnsi="宋体" w:cs="宋体" w:eastAsia="宋体" w:hint="default"/>
                <w:spacing w:val="-2"/>
                <w:sz w:val="18"/>
                <w:szCs w:val="18"/>
              </w:rPr>
              <w:t>西安环球印务股份</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有限公司－第一期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员工持股计划</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7" w:right="0"/>
              <w:jc w:val="center"/>
              <w:rPr>
                <w:rFonts w:ascii="Times New Roman" w:hAnsi="Times New Roman" w:cs="Times New Roman" w:eastAsia="Times New Roman" w:hint="default"/>
                <w:sz w:val="18"/>
                <w:szCs w:val="18"/>
              </w:rPr>
            </w:pPr>
            <w:r>
              <w:rPr>
                <w:rFonts w:ascii="Times New Roman"/>
                <w:sz w:val="18"/>
              </w:rPr>
              <w:t>0.95%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8"/>
              <w:jc w:val="right"/>
              <w:rPr>
                <w:rFonts w:ascii="Times New Roman" w:hAnsi="Times New Roman" w:cs="Times New Roman" w:eastAsia="Times New Roman" w:hint="default"/>
                <w:sz w:val="18"/>
                <w:szCs w:val="18"/>
              </w:rPr>
            </w:pPr>
            <w:r>
              <w:rPr>
                <w:rFonts w:ascii="Times New Roman"/>
                <w:spacing w:val="-1"/>
                <w:sz w:val="18"/>
              </w:rPr>
              <w:t>1,431,350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3"/>
              <w:jc w:val="right"/>
              <w:rPr>
                <w:rFonts w:ascii="Times New Roman" w:hAnsi="Times New Roman" w:cs="Times New Roman" w:eastAsia="Times New Roman" w:hint="default"/>
                <w:sz w:val="18"/>
                <w:szCs w:val="18"/>
              </w:rPr>
            </w:pPr>
            <w:r>
              <w:rPr>
                <w:rFonts w:ascii="Times New Roman"/>
                <w:spacing w:val="-1"/>
                <w:sz w:val="18"/>
              </w:rPr>
              <w:t>374,200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9"/>
              <w:jc w:val="right"/>
              <w:rPr>
                <w:rFonts w:ascii="Times New Roman" w:hAnsi="Times New Roman" w:cs="Times New Roman" w:eastAsia="Times New Roman" w:hint="default"/>
                <w:sz w:val="18"/>
                <w:szCs w:val="18"/>
              </w:rPr>
            </w:pPr>
            <w:r>
              <w:rPr>
                <w:rFonts w:ascii="Times New Roman"/>
                <w:spacing w:val="-1"/>
                <w:sz w:val="18"/>
              </w:rPr>
              <w:t>1,431,350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徐天平</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 w:right="0"/>
              <w:jc w:val="center"/>
              <w:rPr>
                <w:rFonts w:ascii="Times New Roman" w:hAnsi="Times New Roman" w:cs="Times New Roman" w:eastAsia="Times New Roman" w:hint="default"/>
                <w:sz w:val="18"/>
                <w:szCs w:val="18"/>
              </w:rPr>
            </w:pPr>
            <w:r>
              <w:rPr>
                <w:rFonts w:ascii="Times New Roman"/>
                <w:sz w:val="18"/>
              </w:rPr>
              <w:t>0.72%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1,079,150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1,079,150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1,079,150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许德全</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 w:right="0"/>
              <w:jc w:val="center"/>
              <w:rPr>
                <w:rFonts w:ascii="Times New Roman" w:hAnsi="Times New Roman" w:cs="Times New Roman" w:eastAsia="Times New Roman" w:hint="default"/>
                <w:sz w:val="18"/>
                <w:szCs w:val="18"/>
              </w:rPr>
            </w:pPr>
            <w:r>
              <w:rPr>
                <w:rFonts w:ascii="Times New Roman"/>
                <w:sz w:val="18"/>
              </w:rPr>
              <w:t>0.53%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792,800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792,800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5" w:right="147" w:hanging="92"/>
              <w:jc w:val="left"/>
              <w:rPr>
                <w:rFonts w:ascii="宋体" w:hAnsi="宋体" w:cs="宋体" w:eastAsia="宋体" w:hint="default"/>
                <w:sz w:val="18"/>
                <w:szCs w:val="18"/>
              </w:rPr>
            </w:pPr>
            <w:r>
              <w:rPr>
                <w:rFonts w:ascii="宋体" w:hAnsi="宋体" w:cs="宋体" w:eastAsia="宋体" w:hint="default"/>
                <w:spacing w:val="-2"/>
                <w:sz w:val="18"/>
                <w:szCs w:val="18"/>
              </w:rPr>
              <w:t>全国社会保障基金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理事会转持二户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0.50%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750,000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3,000,000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750,000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林胜伟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 w:right="0"/>
              <w:jc w:val="center"/>
              <w:rPr>
                <w:rFonts w:ascii="Times New Roman" w:hAnsi="Times New Roman" w:cs="Times New Roman" w:eastAsia="Times New Roman" w:hint="default"/>
                <w:sz w:val="18"/>
                <w:szCs w:val="18"/>
              </w:rPr>
            </w:pPr>
            <w:r>
              <w:rPr>
                <w:rFonts w:ascii="Times New Roman"/>
                <w:sz w:val="18"/>
              </w:rPr>
              <w:t>0.35%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530,822</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530,822</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冯玉霞</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 w:right="0"/>
              <w:jc w:val="center"/>
              <w:rPr>
                <w:rFonts w:ascii="Times New Roman" w:hAnsi="Times New Roman" w:cs="Times New Roman" w:eastAsia="Times New Roman" w:hint="default"/>
                <w:sz w:val="18"/>
                <w:szCs w:val="18"/>
              </w:rPr>
            </w:pPr>
            <w:r>
              <w:rPr>
                <w:rFonts w:ascii="Times New Roman"/>
                <w:sz w:val="18"/>
              </w:rPr>
              <w:t>0.31%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spacing w:val="-1"/>
                <w:sz w:val="18"/>
              </w:rPr>
              <w:t>459,700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Times New Roman" w:hAnsi="Times New Roman" w:cs="Times New Roman" w:eastAsia="Times New Roman" w:hint="default"/>
                <w:sz w:val="18"/>
                <w:szCs w:val="18"/>
              </w:rPr>
            </w:pPr>
            <w:r>
              <w:rPr>
                <w:rFonts w:ascii="Times New Roman"/>
                <w:spacing w:val="-1"/>
                <w:sz w:val="18"/>
              </w:rPr>
              <w:t>459,700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马海燕</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 w:right="0"/>
              <w:jc w:val="center"/>
              <w:rPr>
                <w:rFonts w:ascii="Times New Roman" w:hAnsi="Times New Roman" w:cs="Times New Roman" w:eastAsia="Times New Roman" w:hint="default"/>
                <w:sz w:val="18"/>
                <w:szCs w:val="18"/>
              </w:rPr>
            </w:pPr>
            <w:r>
              <w:rPr>
                <w:rFonts w:ascii="Times New Roman"/>
                <w:sz w:val="18"/>
              </w:rPr>
              <w:t>0.30%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450,000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pacing w:val="-1"/>
                <w:sz w:val="18"/>
              </w:rPr>
              <w:t>-307950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450,000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9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01" w:right="8" w:hanging="91"/>
              <w:jc w:val="center"/>
              <w:rPr>
                <w:rFonts w:ascii="宋体" w:hAnsi="宋体" w:cs="宋体" w:eastAsia="宋体" w:hint="default"/>
                <w:sz w:val="18"/>
                <w:szCs w:val="18"/>
              </w:rPr>
            </w:pPr>
            <w:r>
              <w:rPr>
                <w:rFonts w:ascii="宋体" w:hAnsi="宋体" w:cs="宋体" w:eastAsia="宋体" w:hint="default"/>
                <w:spacing w:val="-3"/>
                <w:sz w:val="18"/>
                <w:szCs w:val="18"/>
              </w:rPr>
              <w:t>战略投资者或一般法人因配售新</w:t>
            </w:r>
            <w:r>
              <w:rPr>
                <w:rFonts w:ascii="宋体" w:hAnsi="宋体" w:cs="宋体" w:eastAsia="宋体" w:hint="default"/>
                <w:w w:val="101"/>
                <w:sz w:val="18"/>
                <w:szCs w:val="18"/>
              </w:rPr>
              <w:t> </w:t>
            </w:r>
            <w:r>
              <w:rPr>
                <w:rFonts w:ascii="宋体" w:hAnsi="宋体" w:cs="宋体" w:eastAsia="宋体" w:hint="default"/>
                <w:sz w:val="18"/>
                <w:szCs w:val="18"/>
              </w:rPr>
              <w:t>股成为前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名股东的情况（如有）</w:t>
            </w:r>
          </w:p>
          <w:p>
            <w:pPr>
              <w:pStyle w:val="TableParagraph"/>
              <w:spacing w:line="249" w:lineRule="exact"/>
              <w:ind w:right="2"/>
              <w:jc w:val="center"/>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84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634" w:hRule="exact"/>
        </w:trPr>
        <w:tc>
          <w:tcPr>
            <w:tcW w:w="29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267" w:right="185" w:hanging="1080"/>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上述股东关联关系或一致行动的</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说明</w:t>
            </w:r>
          </w:p>
        </w:tc>
        <w:tc>
          <w:tcPr>
            <w:tcW w:w="784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公司未获知其他前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2"/>
                <w:sz w:val="18"/>
                <w:szCs w:val="18"/>
              </w:rPr>
              <w:t> </w:t>
            </w:r>
            <w:r>
              <w:rPr>
                <w:rFonts w:ascii="宋体" w:hAnsi="宋体" w:cs="宋体" w:eastAsia="宋体" w:hint="default"/>
                <w:spacing w:val="-3"/>
                <w:sz w:val="18"/>
                <w:szCs w:val="18"/>
              </w:rPr>
              <w:t>名普通股股东之间，是否存在关联关系或一致行动关系。</w:t>
            </w:r>
          </w:p>
        </w:tc>
      </w:tr>
      <w:tr>
        <w:trPr>
          <w:trHeight w:val="322" w:hRule="exact"/>
        </w:trPr>
        <w:tc>
          <w:tcPr>
            <w:tcW w:w="1075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2"/>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322" w:hRule="exact"/>
        </w:trPr>
        <w:tc>
          <w:tcPr>
            <w:tcW w:w="291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37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335"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24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2" w:hRule="exact"/>
        </w:trPr>
        <w:tc>
          <w:tcPr>
            <w:tcW w:w="2910" w:type="dxa"/>
            <w:gridSpan w:val="2"/>
            <w:vMerge/>
            <w:tcBorders>
              <w:left w:val="single" w:sz="4" w:space="0" w:color="000000"/>
              <w:bottom w:val="single" w:sz="4" w:space="0" w:color="000000"/>
              <w:right w:val="single" w:sz="4" w:space="0" w:color="000000"/>
            </w:tcBorders>
            <w:shd w:val="clear" w:color="auto" w:fill="D2D2D2"/>
          </w:tcPr>
          <w:p>
            <w:pPr/>
          </w:p>
        </w:tc>
        <w:tc>
          <w:tcPr>
            <w:tcW w:w="5378" w:type="dxa"/>
            <w:gridSpan w:val="5"/>
            <w:vMerge/>
            <w:tcBorders>
              <w:left w:val="single" w:sz="4" w:space="0" w:color="000000"/>
              <w:bottom w:val="single" w:sz="4" w:space="0" w:color="000000"/>
              <w:right w:val="single" w:sz="4" w:space="0" w:color="000000"/>
            </w:tcBorders>
            <w:shd w:val="clear" w:color="auto" w:fill="D2D2D2"/>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322" w:hRule="exact"/>
        </w:trPr>
        <w:tc>
          <w:tcPr>
            <w:tcW w:w="29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7" w:right="0"/>
              <w:jc w:val="left"/>
              <w:rPr>
                <w:rFonts w:ascii="宋体" w:hAnsi="宋体" w:cs="宋体" w:eastAsia="宋体" w:hint="default"/>
                <w:sz w:val="18"/>
                <w:szCs w:val="18"/>
              </w:rPr>
            </w:pPr>
            <w:r>
              <w:rPr>
                <w:rFonts w:ascii="宋体" w:hAnsi="宋体" w:cs="宋体" w:eastAsia="宋体" w:hint="default"/>
                <w:spacing w:val="-3"/>
                <w:sz w:val="18"/>
                <w:szCs w:val="18"/>
              </w:rPr>
              <w:t>陕西医药控股集团有限责任公司</w:t>
            </w:r>
          </w:p>
        </w:tc>
        <w:tc>
          <w:tcPr>
            <w:tcW w:w="53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69,375,000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69,375,000</w:t>
            </w:r>
          </w:p>
        </w:tc>
      </w:tr>
      <w:tr>
        <w:trPr>
          <w:trHeight w:val="322" w:hRule="exact"/>
        </w:trPr>
        <w:tc>
          <w:tcPr>
            <w:tcW w:w="29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47" w:right="0"/>
              <w:jc w:val="left"/>
              <w:rPr>
                <w:rFonts w:ascii="宋体" w:hAnsi="宋体" w:cs="宋体" w:eastAsia="宋体" w:hint="default"/>
                <w:sz w:val="18"/>
                <w:szCs w:val="18"/>
              </w:rPr>
            </w:pPr>
            <w:r>
              <w:rPr>
                <w:rFonts w:ascii="宋体" w:hAnsi="宋体" w:cs="宋体" w:eastAsia="宋体" w:hint="default"/>
                <w:sz w:val="18"/>
                <w:szCs w:val="18"/>
              </w:rPr>
              <w:t>香港原石国际有限公司</w:t>
            </w:r>
          </w:p>
        </w:tc>
        <w:tc>
          <w:tcPr>
            <w:tcW w:w="53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28,125,000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28,125,000</w:t>
            </w:r>
          </w:p>
        </w:tc>
      </w:tr>
      <w:tr>
        <w:trPr>
          <w:trHeight w:val="322" w:hRule="exact"/>
        </w:trPr>
        <w:tc>
          <w:tcPr>
            <w:tcW w:w="29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5" w:right="0"/>
              <w:jc w:val="left"/>
              <w:rPr>
                <w:rFonts w:ascii="宋体" w:hAnsi="宋体" w:cs="宋体" w:eastAsia="宋体" w:hint="default"/>
                <w:sz w:val="18"/>
                <w:szCs w:val="18"/>
              </w:rPr>
            </w:pPr>
            <w:r>
              <w:rPr>
                <w:rFonts w:ascii="宋体" w:hAnsi="宋体" w:cs="宋体" w:eastAsia="宋体" w:hint="default"/>
                <w:spacing w:val="-3"/>
                <w:sz w:val="18"/>
                <w:szCs w:val="18"/>
              </w:rPr>
              <w:t>比特（香港）投资有限公司</w:t>
            </w:r>
          </w:p>
        </w:tc>
        <w:tc>
          <w:tcPr>
            <w:tcW w:w="53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11,250,000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11,250,000</w:t>
            </w:r>
          </w:p>
        </w:tc>
      </w:tr>
      <w:tr>
        <w:trPr>
          <w:trHeight w:val="634" w:hRule="exact"/>
        </w:trPr>
        <w:tc>
          <w:tcPr>
            <w:tcW w:w="291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725" w:right="185" w:hanging="538"/>
              <w:jc w:val="left"/>
              <w:rPr>
                <w:rFonts w:ascii="宋体" w:hAnsi="宋体" w:cs="宋体" w:eastAsia="宋体" w:hint="default"/>
                <w:sz w:val="18"/>
                <w:szCs w:val="18"/>
              </w:rPr>
            </w:pPr>
            <w:r>
              <w:rPr>
                <w:rFonts w:ascii="宋体" w:hAnsi="宋体" w:cs="宋体" w:eastAsia="宋体" w:hint="default"/>
                <w:spacing w:val="-3"/>
                <w:sz w:val="18"/>
                <w:szCs w:val="18"/>
              </w:rPr>
              <w:t>西安环球印务股份有限公司－第</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一期员工持股计划</w:t>
            </w:r>
          </w:p>
        </w:tc>
        <w:tc>
          <w:tcPr>
            <w:tcW w:w="53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1,431,350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1,431,350</w:t>
            </w:r>
          </w:p>
        </w:tc>
      </w:tr>
      <w:tr>
        <w:trPr>
          <w:trHeight w:val="322" w:hRule="exact"/>
        </w:trPr>
        <w:tc>
          <w:tcPr>
            <w:tcW w:w="29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徐天平</w:t>
            </w:r>
          </w:p>
        </w:tc>
        <w:tc>
          <w:tcPr>
            <w:tcW w:w="53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1,079,150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1,079,150</w:t>
            </w:r>
          </w:p>
        </w:tc>
      </w:tr>
      <w:tr>
        <w:trPr>
          <w:trHeight w:val="326" w:hRule="exact"/>
        </w:trPr>
        <w:tc>
          <w:tcPr>
            <w:tcW w:w="29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
              <w:jc w:val="center"/>
              <w:rPr>
                <w:rFonts w:ascii="宋体" w:hAnsi="宋体" w:cs="宋体" w:eastAsia="宋体" w:hint="default"/>
                <w:sz w:val="18"/>
                <w:szCs w:val="18"/>
              </w:rPr>
            </w:pPr>
            <w:r>
              <w:rPr>
                <w:rFonts w:ascii="宋体" w:hAnsi="宋体" w:cs="宋体" w:eastAsia="宋体" w:hint="default"/>
                <w:sz w:val="18"/>
                <w:szCs w:val="18"/>
              </w:rPr>
              <w:t>许德全</w:t>
            </w:r>
          </w:p>
        </w:tc>
        <w:tc>
          <w:tcPr>
            <w:tcW w:w="53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4"/>
              <w:jc w:val="right"/>
              <w:rPr>
                <w:rFonts w:ascii="Times New Roman" w:hAnsi="Times New Roman" w:cs="Times New Roman" w:eastAsia="Times New Roman" w:hint="default"/>
                <w:sz w:val="18"/>
                <w:szCs w:val="18"/>
              </w:rPr>
            </w:pPr>
            <w:r>
              <w:rPr>
                <w:rFonts w:ascii="Times New Roman"/>
                <w:spacing w:val="-1"/>
                <w:sz w:val="18"/>
              </w:rPr>
              <w:t>792,800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Times New Roman" w:hAnsi="Times New Roman" w:cs="Times New Roman" w:eastAsia="Times New Roman" w:hint="default"/>
                <w:sz w:val="18"/>
                <w:szCs w:val="18"/>
              </w:rPr>
            </w:pPr>
            <w:r>
              <w:rPr>
                <w:rFonts w:ascii="Times New Roman"/>
                <w:spacing w:val="-1"/>
                <w:sz w:val="18"/>
              </w:rPr>
              <w:t>792,800</w:t>
            </w:r>
          </w:p>
        </w:tc>
      </w:tr>
      <w:tr>
        <w:trPr>
          <w:trHeight w:val="634" w:hRule="exact"/>
        </w:trPr>
        <w:tc>
          <w:tcPr>
            <w:tcW w:w="291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359" w:right="185" w:hanging="1172"/>
              <w:jc w:val="left"/>
              <w:rPr>
                <w:rFonts w:ascii="宋体" w:hAnsi="宋体" w:cs="宋体" w:eastAsia="宋体" w:hint="default"/>
                <w:sz w:val="18"/>
                <w:szCs w:val="18"/>
              </w:rPr>
            </w:pPr>
            <w:r>
              <w:rPr>
                <w:rFonts w:ascii="宋体" w:hAnsi="宋体" w:cs="宋体" w:eastAsia="宋体" w:hint="default"/>
                <w:spacing w:val="-3"/>
                <w:sz w:val="18"/>
                <w:szCs w:val="18"/>
              </w:rPr>
              <w:t>全国社会保障基金理事会转持二</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户</w:t>
            </w:r>
          </w:p>
        </w:tc>
        <w:tc>
          <w:tcPr>
            <w:tcW w:w="53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750,000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750,000</w:t>
            </w:r>
          </w:p>
        </w:tc>
      </w:tr>
      <w:tr>
        <w:trPr>
          <w:trHeight w:val="322" w:hRule="exact"/>
        </w:trPr>
        <w:tc>
          <w:tcPr>
            <w:tcW w:w="29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林胜伟</w:t>
            </w:r>
          </w:p>
        </w:tc>
        <w:tc>
          <w:tcPr>
            <w:tcW w:w="53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530,822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530,822</w:t>
            </w:r>
          </w:p>
        </w:tc>
      </w:tr>
      <w:tr>
        <w:trPr>
          <w:trHeight w:val="322" w:hRule="exact"/>
        </w:trPr>
        <w:tc>
          <w:tcPr>
            <w:tcW w:w="29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冯玉霞</w:t>
            </w:r>
          </w:p>
        </w:tc>
        <w:tc>
          <w:tcPr>
            <w:tcW w:w="53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459,700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459,700</w:t>
            </w:r>
          </w:p>
        </w:tc>
      </w:tr>
      <w:tr>
        <w:trPr>
          <w:trHeight w:val="322" w:hRule="exact"/>
        </w:trPr>
        <w:tc>
          <w:tcPr>
            <w:tcW w:w="29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马海燕</w:t>
            </w:r>
          </w:p>
        </w:tc>
        <w:tc>
          <w:tcPr>
            <w:tcW w:w="53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450,000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450,000</w:t>
            </w:r>
          </w:p>
        </w:tc>
      </w:tr>
      <w:tr>
        <w:trPr>
          <w:trHeight w:val="1258" w:hRule="exact"/>
        </w:trPr>
        <w:tc>
          <w:tcPr>
            <w:tcW w:w="29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39" w:right="0"/>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名无限售流通股股东之间，</w:t>
            </w:r>
          </w:p>
          <w:p>
            <w:pPr>
              <w:pStyle w:val="TableParagraph"/>
              <w:spacing w:line="240" w:lineRule="auto" w:before="63"/>
              <w:ind w:left="139"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0" w:lineRule="auto" w:before="63"/>
              <w:ind w:left="998" w:right="142" w:hanging="86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名股东之间关联关系或一致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行动的说明</w:t>
            </w:r>
          </w:p>
        </w:tc>
        <w:tc>
          <w:tcPr>
            <w:tcW w:w="784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公司未获知其他前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2"/>
                <w:sz w:val="18"/>
                <w:szCs w:val="18"/>
              </w:rPr>
              <w:t> </w:t>
            </w:r>
            <w:r>
              <w:rPr>
                <w:rFonts w:ascii="宋体" w:hAnsi="宋体" w:cs="宋体" w:eastAsia="宋体" w:hint="default"/>
                <w:spacing w:val="-3"/>
                <w:sz w:val="18"/>
                <w:szCs w:val="18"/>
              </w:rPr>
              <w:t>名普通股股东之间，是否存在关联关系或一致行动关系。</w:t>
            </w:r>
          </w:p>
        </w:tc>
      </w:tr>
      <w:tr>
        <w:trPr>
          <w:trHeight w:val="634" w:hRule="exact"/>
        </w:trPr>
        <w:tc>
          <w:tcPr>
            <w:tcW w:w="29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01" w:right="7" w:firstLine="38"/>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名普通股股东参与融资融券</w:t>
            </w:r>
            <w:r>
              <w:rPr>
                <w:rFonts w:ascii="宋体" w:hAnsi="宋体" w:cs="宋体" w:eastAsia="宋体" w:hint="default"/>
                <w:w w:val="101"/>
                <w:sz w:val="18"/>
                <w:szCs w:val="18"/>
              </w:rPr>
              <w:t> </w:t>
            </w:r>
            <w:r>
              <w:rPr>
                <w:rFonts w:ascii="宋体" w:hAnsi="宋体" w:cs="宋体" w:eastAsia="宋体" w:hint="default"/>
                <w:spacing w:val="-6"/>
                <w:sz w:val="18"/>
                <w:szCs w:val="18"/>
              </w:rPr>
              <w:t>业务情况说明（如有）（参见注</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84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line="316" w:lineRule="auto" w:before="53"/>
        <w:ind w:left="673" w:right="491" w:firstLine="0"/>
        <w:jc w:val="left"/>
        <w:rPr>
          <w:rFonts w:ascii="宋体" w:hAnsi="宋体" w:cs="宋体" w:eastAsia="宋体" w:hint="default"/>
          <w:sz w:val="18"/>
          <w:szCs w:val="18"/>
        </w:rPr>
      </w:pPr>
      <w:r>
        <w:rPr>
          <w:rFonts w:ascii="宋体" w:hAnsi="宋体" w:cs="宋体" w:eastAsia="宋体" w:hint="default"/>
          <w:spacing w:val="-5"/>
          <w:w w:val="101"/>
          <w:sz w:val="18"/>
          <w:szCs w:val="18"/>
        </w:rPr>
        <w:t>说明：根据公司第一期员工持股计划（草案）的规定，“西安环球印务股份有限公司－第一期员工持股计划”所购买的股票</w:t>
      </w:r>
      <w:r>
        <w:rPr>
          <w:rFonts w:ascii="宋体" w:hAnsi="宋体" w:cs="宋体" w:eastAsia="宋体" w:hint="default"/>
          <w:spacing w:val="-43"/>
          <w:w w:val="101"/>
          <w:sz w:val="18"/>
          <w:szCs w:val="18"/>
        </w:rPr>
        <w:t> </w:t>
      </w:r>
      <w:r>
        <w:rPr>
          <w:rFonts w:ascii="宋体" w:hAnsi="宋体" w:cs="宋体" w:eastAsia="宋体" w:hint="default"/>
          <w:spacing w:val="-43"/>
          <w:w w:val="101"/>
          <w:sz w:val="18"/>
          <w:szCs w:val="18"/>
        </w:rPr>
      </w:r>
      <w:r>
        <w:rPr>
          <w:rFonts w:ascii="宋体" w:hAnsi="宋体" w:cs="宋体" w:eastAsia="宋体" w:hint="default"/>
          <w:sz w:val="18"/>
          <w:szCs w:val="18"/>
        </w:rPr>
        <w:t>锁定期为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日起至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p>
    <w:p>
      <w:pPr>
        <w:spacing w:before="157"/>
        <w:ind w:left="673" w:right="491" w:firstLine="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名无限售条件普通股股东在报告期内是否进行约定购回交易</w:t>
      </w:r>
    </w:p>
    <w:p>
      <w:pPr>
        <w:spacing w:before="101"/>
        <w:ind w:left="673" w:right="4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460" w:footer="979" w:top="1100" w:bottom="1160" w:left="460" w:right="0"/>
        </w:sectPr>
      </w:pPr>
    </w:p>
    <w:p>
      <w:pPr>
        <w:spacing w:line="240" w:lineRule="auto" w:before="3"/>
        <w:rPr>
          <w:rFonts w:ascii="宋体" w:hAnsi="宋体" w:cs="宋体" w:eastAsia="宋体" w:hint="default"/>
          <w:sz w:val="22"/>
          <w:szCs w:val="22"/>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名无限售条件普通股股东在报告期内未进行约定购回交易。</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20"/>
      <w:bookmarkEnd w:id="120"/>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7"/>
          <w:szCs w:val="27"/>
        </w:rPr>
      </w:pPr>
    </w:p>
    <w:p>
      <w:pPr>
        <w:spacing w:line="362" w:lineRule="auto" w:before="0"/>
        <w:ind w:left="153" w:right="7635" w:firstLine="0"/>
        <w:jc w:val="left"/>
        <w:rPr>
          <w:rFonts w:ascii="宋体" w:hAnsi="宋体" w:cs="宋体" w:eastAsia="宋体" w:hint="default"/>
          <w:sz w:val="18"/>
          <w:szCs w:val="18"/>
        </w:rPr>
      </w:pPr>
      <w:r>
        <w:rPr>
          <w:rFonts w:ascii="宋体" w:hAnsi="宋体" w:cs="宋体" w:eastAsia="宋体" w:hint="default"/>
          <w:spacing w:val="-3"/>
          <w:sz w:val="18"/>
          <w:szCs w:val="18"/>
        </w:rPr>
        <w:t>控股股东性质：地方国有控股</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控股股东类型：法人</w:t>
      </w:r>
    </w:p>
    <w:tbl>
      <w:tblPr>
        <w:tblW w:w="0" w:type="auto"/>
        <w:jc w:val="left"/>
        <w:tblInd w:w="119" w:type="dxa"/>
        <w:tblLayout w:type="fixed"/>
        <w:tblCellMar>
          <w:top w:w="0" w:type="dxa"/>
          <w:left w:w="0" w:type="dxa"/>
          <w:bottom w:w="0" w:type="dxa"/>
          <w:right w:w="0" w:type="dxa"/>
        </w:tblCellMar>
        <w:tblLook w:val="01E0"/>
      </w:tblPr>
      <w:tblGrid>
        <w:gridCol w:w="2026"/>
        <w:gridCol w:w="1854"/>
        <w:gridCol w:w="1916"/>
        <w:gridCol w:w="1964"/>
        <w:gridCol w:w="1940"/>
      </w:tblGrid>
      <w:tr>
        <w:trPr>
          <w:trHeight w:val="715"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830" w:right="80" w:hanging="744"/>
              <w:jc w:val="left"/>
              <w:rPr>
                <w:rFonts w:ascii="宋体" w:hAnsi="宋体" w:cs="宋体" w:eastAsia="宋体" w:hint="default"/>
                <w:sz w:val="18"/>
                <w:szCs w:val="18"/>
              </w:rPr>
            </w:pPr>
            <w:r>
              <w:rPr>
                <w:rFonts w:ascii="宋体" w:hAnsi="宋体" w:cs="宋体" w:eastAsia="宋体" w:hint="default"/>
                <w:spacing w:val="-2"/>
                <w:sz w:val="18"/>
                <w:szCs w:val="18"/>
              </w:rPr>
              <w:t>法定代表人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单位负责</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人</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4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1"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85"/>
              <w:jc w:val="left"/>
              <w:rPr>
                <w:rFonts w:ascii="宋体" w:hAnsi="宋体" w:cs="宋体" w:eastAsia="宋体" w:hint="default"/>
                <w:sz w:val="18"/>
                <w:szCs w:val="18"/>
              </w:rPr>
            </w:pPr>
            <w:r>
              <w:rPr>
                <w:rFonts w:ascii="宋体" w:hAnsi="宋体" w:cs="宋体" w:eastAsia="宋体" w:hint="default"/>
                <w:spacing w:val="-2"/>
                <w:sz w:val="18"/>
                <w:szCs w:val="18"/>
              </w:rPr>
              <w:t>陕西医药控股集团有限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责任公司</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翟日强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91610000220575738M</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99"/>
              <w:jc w:val="left"/>
              <w:rPr>
                <w:rFonts w:ascii="宋体" w:hAnsi="宋体" w:cs="宋体" w:eastAsia="宋体" w:hint="default"/>
                <w:sz w:val="18"/>
                <w:szCs w:val="18"/>
              </w:rPr>
            </w:pPr>
            <w:r>
              <w:rPr>
                <w:rFonts w:ascii="宋体" w:hAnsi="宋体" w:cs="宋体" w:eastAsia="宋体" w:hint="default"/>
                <w:spacing w:val="-2"/>
                <w:sz w:val="18"/>
                <w:szCs w:val="18"/>
              </w:rPr>
              <w:t>授权范围内国有资产的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经营管理和监督</w:t>
            </w:r>
          </w:p>
        </w:tc>
      </w:tr>
      <w:tr>
        <w:trPr>
          <w:trHeight w:val="1027"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85"/>
              <w:jc w:val="both"/>
              <w:rPr>
                <w:rFonts w:ascii="宋体" w:hAnsi="宋体" w:cs="宋体" w:eastAsia="宋体" w:hint="default"/>
                <w:sz w:val="18"/>
                <w:szCs w:val="18"/>
              </w:rPr>
            </w:pPr>
            <w:r>
              <w:rPr>
                <w:rFonts w:ascii="宋体" w:hAnsi="宋体" w:cs="宋体" w:eastAsia="宋体" w:hint="default"/>
                <w:spacing w:val="-2"/>
                <w:sz w:val="18"/>
                <w:szCs w:val="18"/>
              </w:rPr>
              <w:t>控股股东报告期内控股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和参股的其他境内外上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市公司的股权情况</w:t>
            </w:r>
          </w:p>
        </w:tc>
        <w:tc>
          <w:tcPr>
            <w:tcW w:w="7674"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before="62"/>
        <w:ind w:left="153"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9"/>
        <w:ind w:left="153" w:right="763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公司报告期控股股东未发生变更。</w:t>
      </w: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及其一致行动人" w:id="121"/>
      <w:bookmarkEnd w:id="121"/>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1"/>
        <w:rPr>
          <w:rFonts w:ascii="宋体" w:hAnsi="宋体" w:cs="宋体" w:eastAsia="宋体" w:hint="default"/>
          <w:b/>
          <w:bCs/>
          <w:sz w:val="27"/>
          <w:szCs w:val="27"/>
        </w:rPr>
      </w:pPr>
    </w:p>
    <w:p>
      <w:pPr>
        <w:spacing w:line="357" w:lineRule="auto" w:before="0"/>
        <w:ind w:left="153" w:right="7635"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实际控制人性质：地方国资管理机构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实际控制人类型：法人</w:t>
      </w:r>
    </w:p>
    <w:tbl>
      <w:tblPr>
        <w:tblW w:w="0" w:type="auto"/>
        <w:jc w:val="left"/>
        <w:tblInd w:w="148" w:type="dxa"/>
        <w:tblLayout w:type="fixed"/>
        <w:tblCellMar>
          <w:top w:w="0" w:type="dxa"/>
          <w:left w:w="0" w:type="dxa"/>
          <w:bottom w:w="0" w:type="dxa"/>
          <w:right w:w="0" w:type="dxa"/>
        </w:tblCellMar>
        <w:tblLook w:val="01E0"/>
      </w:tblPr>
      <w:tblGrid>
        <w:gridCol w:w="1997"/>
        <w:gridCol w:w="1835"/>
        <w:gridCol w:w="1892"/>
        <w:gridCol w:w="1935"/>
        <w:gridCol w:w="1911"/>
      </w:tblGrid>
      <w:tr>
        <w:trPr>
          <w:trHeight w:val="715"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pacing w:val="-3"/>
                <w:sz w:val="18"/>
                <w:szCs w:val="18"/>
              </w:rPr>
              <w:t>实际控制人名称</w:t>
            </w:r>
          </w:p>
        </w:tc>
        <w:tc>
          <w:tcPr>
            <w:tcW w:w="1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821" w:right="70" w:hanging="744"/>
              <w:jc w:val="left"/>
              <w:rPr>
                <w:rFonts w:ascii="宋体" w:hAnsi="宋体" w:cs="宋体" w:eastAsia="宋体" w:hint="default"/>
                <w:sz w:val="18"/>
                <w:szCs w:val="18"/>
              </w:rPr>
            </w:pPr>
            <w:r>
              <w:rPr>
                <w:rFonts w:ascii="宋体" w:hAnsi="宋体" w:cs="宋体" w:eastAsia="宋体" w:hint="default"/>
                <w:spacing w:val="-2"/>
                <w:sz w:val="18"/>
                <w:szCs w:val="18"/>
              </w:rPr>
              <w:t>法定代表人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单位负责</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人</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6"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56"/>
              <w:jc w:val="left"/>
              <w:rPr>
                <w:rFonts w:ascii="宋体" w:hAnsi="宋体" w:cs="宋体" w:eastAsia="宋体" w:hint="default"/>
                <w:sz w:val="18"/>
                <w:szCs w:val="18"/>
              </w:rPr>
            </w:pPr>
            <w:r>
              <w:rPr>
                <w:rFonts w:ascii="宋体" w:hAnsi="宋体" w:cs="宋体" w:eastAsia="宋体" w:hint="default"/>
                <w:spacing w:val="-2"/>
                <w:sz w:val="18"/>
                <w:szCs w:val="18"/>
              </w:rPr>
              <w:t>陕西省人民政府国有资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产监督管理委员会</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892"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028"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6"/>
              <w:jc w:val="both"/>
              <w:rPr>
                <w:rFonts w:ascii="宋体" w:hAnsi="宋体" w:cs="宋体" w:eastAsia="宋体" w:hint="default"/>
                <w:sz w:val="18"/>
                <w:szCs w:val="18"/>
              </w:rPr>
            </w:pPr>
            <w:r>
              <w:rPr>
                <w:rFonts w:ascii="宋体" w:hAnsi="宋体" w:cs="宋体" w:eastAsia="宋体" w:hint="default"/>
                <w:spacing w:val="-2"/>
                <w:sz w:val="18"/>
                <w:szCs w:val="18"/>
              </w:rPr>
              <w:t>实际控制人报告期内控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制的其他境内外上市公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司的股权情况</w:t>
            </w:r>
          </w:p>
        </w:tc>
        <w:tc>
          <w:tcPr>
            <w:tcW w:w="7572" w:type="dxa"/>
            <w:gridSpan w:val="4"/>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7"/>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65"/>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实际控制人报告期内变更</w:t>
      </w:r>
    </w:p>
    <w:p>
      <w:pPr>
        <w:spacing w:line="350" w:lineRule="auto" w:before="115"/>
        <w:ind w:left="153" w:right="66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公司报告期实际控制人未发生变更。</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公司与实际控制人之间的产权及控制关系的方框图</w:t>
      </w:r>
    </w:p>
    <w:p>
      <w:pPr>
        <w:spacing w:after="0" w:line="350" w:lineRule="auto"/>
        <w:jc w:val="left"/>
        <w:rPr>
          <w:rFonts w:ascii="宋体" w:hAnsi="宋体" w:cs="宋体" w:eastAsia="宋体" w:hint="default"/>
          <w:sz w:val="18"/>
          <w:szCs w:val="18"/>
        </w:rPr>
        <w:sectPr>
          <w:pgSz w:w="11910" w:h="16840"/>
          <w:pgMar w:header="460" w:footer="979" w:top="110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5010" w:lineRule="exact"/>
        <w:ind w:left="1358" w:right="0" w:firstLine="0"/>
        <w:rPr>
          <w:rFonts w:ascii="宋体" w:hAnsi="宋体" w:cs="宋体" w:eastAsia="宋体" w:hint="default"/>
          <w:sz w:val="20"/>
          <w:szCs w:val="20"/>
        </w:rPr>
      </w:pPr>
      <w:r>
        <w:rPr>
          <w:rFonts w:ascii="宋体" w:hAnsi="宋体" w:cs="宋体" w:eastAsia="宋体" w:hint="default"/>
          <w:position w:val="-99"/>
          <w:sz w:val="20"/>
          <w:szCs w:val="20"/>
        </w:rPr>
        <w:drawing>
          <wp:inline distT="0" distB="0" distL="0" distR="0">
            <wp:extent cx="4591050" cy="3181350"/>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1" cstate="print"/>
                    <a:stretch>
                      <a:fillRect/>
                    </a:stretch>
                  </pic:blipFill>
                  <pic:spPr>
                    <a:xfrm>
                      <a:off x="0" y="0"/>
                      <a:ext cx="4591050" cy="3181350"/>
                    </a:xfrm>
                    <a:prstGeom prst="rect">
                      <a:avLst/>
                    </a:prstGeom>
                  </pic:spPr>
                </pic:pic>
              </a:graphicData>
            </a:graphic>
          </wp:inline>
        </w:drawing>
      </w:r>
      <w:r>
        <w:rPr>
          <w:rFonts w:ascii="宋体" w:hAnsi="宋体" w:cs="宋体" w:eastAsia="宋体" w:hint="default"/>
          <w:position w:val="-99"/>
          <w:sz w:val="20"/>
          <w:szCs w:val="20"/>
        </w:rPr>
      </w:r>
    </w:p>
    <w:p>
      <w:pPr>
        <w:spacing w:line="240" w:lineRule="auto" w:before="1"/>
        <w:rPr>
          <w:rFonts w:ascii="宋体" w:hAnsi="宋体" w:cs="宋体" w:eastAsia="宋体" w:hint="default"/>
          <w:sz w:val="24"/>
          <w:szCs w:val="24"/>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实际控制人通过信托或其他资产管理方式控制公司</w:t>
      </w:r>
    </w:p>
    <w:p>
      <w:pPr>
        <w:spacing w:line="240" w:lineRule="auto" w:before="4"/>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22"/>
      <w:bookmarkEnd w:id="122"/>
      <w:r>
        <w:rPr>
          <w:b w:val="0"/>
          <w:bCs w:val="0"/>
        </w:rPr>
      </w:r>
      <w:r>
        <w:rPr>
          <w:rFonts w:ascii="Times New Roman" w:hAnsi="Times New Roman" w:cs="Times New Roman" w:eastAsia="Times New Roman" w:hint="default"/>
        </w:rPr>
        <w:t>4</w:t>
      </w:r>
      <w:r>
        <w:rPr/>
        <w:t>、其他持股在</w:t>
      </w:r>
      <w:r>
        <w:rPr>
          <w:spacing w:val="-51"/>
        </w:rPr>
        <w:t> </w:t>
      </w:r>
      <w:r>
        <w:rPr>
          <w:rFonts w:ascii="Times New Roman" w:hAnsi="Times New Roman" w:cs="Times New Roman" w:eastAsia="Times New Roman" w:hint="default"/>
        </w:rPr>
        <w:t>10%</w:t>
      </w:r>
      <w:r>
        <w:rPr/>
        <w:t>以上的法人股东</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579"/>
        <w:gridCol w:w="1642"/>
        <w:gridCol w:w="1590"/>
        <w:gridCol w:w="1637"/>
        <w:gridCol w:w="2122"/>
      </w:tblGrid>
      <w:tr>
        <w:trPr>
          <w:trHeight w:val="716"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法人股东名称</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633" w:right="65" w:hanging="562"/>
              <w:jc w:val="left"/>
              <w:rPr>
                <w:rFonts w:ascii="宋体" w:hAnsi="宋体" w:cs="宋体" w:eastAsia="宋体" w:hint="default"/>
                <w:sz w:val="18"/>
                <w:szCs w:val="18"/>
              </w:rPr>
            </w:pPr>
            <w:r>
              <w:rPr>
                <w:rFonts w:ascii="宋体" w:hAnsi="宋体" w:cs="宋体" w:eastAsia="宋体" w:hint="default"/>
                <w:spacing w:val="-2"/>
                <w:sz w:val="18"/>
                <w:szCs w:val="18"/>
              </w:rPr>
              <w:t>法定代表人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单位负</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责人</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主要经营业务或管理活动</w:t>
            </w:r>
          </w:p>
        </w:tc>
      </w:tr>
      <w:tr>
        <w:trPr>
          <w:trHeight w:val="403"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香港原石国际有限公司</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47" w:right="0"/>
              <w:jc w:val="left"/>
              <w:rPr>
                <w:rFonts w:ascii="宋体" w:hAnsi="宋体" w:cs="宋体" w:eastAsia="宋体" w:hint="default"/>
                <w:sz w:val="18"/>
                <w:szCs w:val="18"/>
              </w:rPr>
            </w:pPr>
            <w:r>
              <w:rPr>
                <w:rFonts w:ascii="宋体" w:hAnsi="宋体" w:cs="宋体" w:eastAsia="宋体" w:hint="default"/>
                <w:sz w:val="18"/>
                <w:szCs w:val="18"/>
              </w:rPr>
              <w:t>蔡红军</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港元</w:t>
            </w:r>
            <w:r>
              <w:rPr>
                <w:rFonts w:ascii="宋体" w:hAnsi="宋体" w:cs="宋体" w:eastAsia="宋体" w:hint="default"/>
                <w:sz w:val="18"/>
                <w:szCs w:val="18"/>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对外股权投资</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控股股东、实际控制人、重组方及其他承诺主体股份限制减持情况" w:id="123"/>
      <w:bookmarkEnd w:id="123"/>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0"/>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46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283" w:right="0"/>
        <w:jc w:val="left"/>
        <w:rPr>
          <w:b w:val="0"/>
          <w:bCs w:val="0"/>
        </w:rPr>
      </w:pPr>
      <w:bookmarkStart w:name="第七节 优先股相关情况" w:id="124"/>
      <w:bookmarkEnd w:id="124"/>
      <w:r>
        <w:rPr>
          <w:b w:val="0"/>
          <w:bCs w:val="0"/>
        </w:rPr>
      </w:r>
      <w:bookmarkStart w:name="_bookmark6" w:id="125"/>
      <w:bookmarkEnd w:id="125"/>
      <w:r>
        <w:rPr>
          <w:b w:val="0"/>
          <w:bCs w:val="0"/>
        </w:rPr>
      </w:r>
      <w:r>
        <w:rPr/>
        <w:t>第七节 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6"/>
        <w:ind w:left="153" w:right="85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报告期公司不存在优先股。</w:t>
      </w:r>
    </w:p>
    <w:p>
      <w:pPr>
        <w:spacing w:after="0" w:line="338" w:lineRule="auto"/>
        <w:jc w:val="left"/>
        <w:rPr>
          <w:rFonts w:ascii="宋体" w:hAnsi="宋体" w:cs="宋体" w:eastAsia="宋体" w:hint="default"/>
          <w:sz w:val="18"/>
          <w:szCs w:val="18"/>
        </w:rPr>
        <w:sectPr>
          <w:pgSz w:w="11910" w:h="16840"/>
          <w:pgMar w:header="46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2645" w:right="0"/>
        <w:jc w:val="left"/>
        <w:rPr>
          <w:b w:val="0"/>
          <w:bCs w:val="0"/>
        </w:rPr>
      </w:pPr>
      <w:bookmarkStart w:name="第八节 可转换公司债券相关情况" w:id="126"/>
      <w:bookmarkEnd w:id="126"/>
      <w:r>
        <w:rPr>
          <w:b w:val="0"/>
          <w:bCs w:val="0"/>
        </w:rPr>
      </w:r>
      <w:bookmarkStart w:name="_bookmark7" w:id="127"/>
      <w:bookmarkEnd w:id="127"/>
      <w:r>
        <w:rPr>
          <w:b w:val="0"/>
          <w:bCs w:val="0"/>
        </w:rPr>
      </w:r>
      <w:r>
        <w:rPr/>
        <w:t>第八节</w:t>
      </w:r>
      <w:r>
        <w:rPr>
          <w:spacing w:val="1"/>
        </w:rPr>
        <w:t> </w:t>
      </w:r>
      <w:r>
        <w:rPr/>
        <w:t>可转换公司债券相关情况</w:t>
      </w:r>
      <w:r>
        <w:rPr>
          <w:b w:val="0"/>
          <w:bCs w:val="0"/>
        </w:rPr>
      </w:r>
    </w:p>
    <w:p>
      <w:pPr>
        <w:spacing w:line="240" w:lineRule="auto" w:before="12"/>
        <w:rPr>
          <w:rFonts w:ascii="宋体" w:hAnsi="宋体" w:cs="宋体" w:eastAsia="宋体" w:hint="default"/>
          <w:b/>
          <w:bCs/>
          <w:sz w:val="42"/>
          <w:szCs w:val="42"/>
        </w:rPr>
      </w:pPr>
    </w:p>
    <w:p>
      <w:pPr>
        <w:spacing w:line="338" w:lineRule="auto" w:before="0"/>
        <w:ind w:left="153" w:right="763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报告期公司不存在可转换公司债券。</w:t>
      </w:r>
    </w:p>
    <w:p>
      <w:pPr>
        <w:spacing w:after="0" w:line="338" w:lineRule="auto"/>
        <w:jc w:val="left"/>
        <w:rPr>
          <w:rFonts w:ascii="宋体" w:hAnsi="宋体" w:cs="宋体" w:eastAsia="宋体" w:hint="default"/>
          <w:sz w:val="18"/>
          <w:szCs w:val="18"/>
        </w:rPr>
        <w:sectPr>
          <w:pgSz w:w="11910" w:h="16840"/>
          <w:pgMar w:header="46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1680" w:right="0"/>
        <w:jc w:val="left"/>
        <w:rPr>
          <w:b w:val="0"/>
          <w:bCs w:val="0"/>
        </w:rPr>
      </w:pPr>
      <w:bookmarkStart w:name="第九节 董事、监事、高级管理人员和员工情况" w:id="128"/>
      <w:bookmarkEnd w:id="128"/>
      <w:r>
        <w:rPr>
          <w:b w:val="0"/>
          <w:bCs w:val="0"/>
        </w:rPr>
      </w:r>
      <w:bookmarkStart w:name="_bookmark8" w:id="129"/>
      <w:bookmarkEnd w:id="129"/>
      <w:r>
        <w:rPr>
          <w:b w:val="0"/>
          <w:bCs w:val="0"/>
        </w:rPr>
      </w:r>
      <w:r>
        <w:rPr/>
        <w:t>第九节</w:t>
      </w:r>
      <w:r>
        <w:rPr>
          <w:spacing w:val="-2"/>
        </w:rPr>
        <w:t> </w:t>
      </w:r>
      <w:r>
        <w:rPr/>
        <w:t>董事、监事、高级管理人员和员工情况</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 董事、监事和高级管理人员持股变动" w:id="130"/>
      <w:bookmarkEnd w:id="130"/>
      <w:r>
        <w:rPr>
          <w:b w:val="0"/>
          <w:bCs w:val="0"/>
        </w:rPr>
      </w:r>
      <w:r>
        <w:rPr/>
        <w:t>一、董事、监事和高级管理人员持股变动</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宋体" w:hAnsi="宋体" w:cs="宋体" w:eastAsia="宋体" w:hint="default"/>
          <w:spacing w:val="12"/>
          <w:sz w:val="18"/>
          <w:szCs w:val="18"/>
        </w:rPr>
        <w:t>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二、公司董事、监事、高级管理人员变动情况" w:id="131"/>
      <w:bookmarkEnd w:id="131"/>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647"/>
        <w:gridCol w:w="3933"/>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冯杰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工作变动</w:t>
            </w:r>
          </w:p>
        </w:tc>
      </w:tr>
      <w:tr>
        <w:trPr>
          <w:trHeight w:val="39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贾亚乐</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工作变动</w:t>
            </w:r>
          </w:p>
        </w:tc>
      </w:tr>
    </w:tbl>
    <w:p>
      <w:pPr>
        <w:spacing w:line="240" w:lineRule="auto" w:before="9"/>
        <w:rPr>
          <w:rFonts w:ascii="宋体" w:hAnsi="宋体" w:cs="宋体" w:eastAsia="宋体" w:hint="default"/>
          <w:sz w:val="17"/>
          <w:szCs w:val="17"/>
        </w:rPr>
      </w:pPr>
    </w:p>
    <w:p>
      <w:pPr>
        <w:pStyle w:val="Heading2"/>
        <w:spacing w:line="240" w:lineRule="auto" w:before="26"/>
        <w:ind w:right="0"/>
        <w:jc w:val="both"/>
        <w:rPr>
          <w:b w:val="0"/>
          <w:bCs w:val="0"/>
        </w:rPr>
      </w:pPr>
      <w:bookmarkStart w:name="三、任职情况" w:id="132"/>
      <w:bookmarkEnd w:id="132"/>
      <w:r>
        <w:rPr>
          <w:b w:val="0"/>
          <w:bCs w:val="0"/>
        </w:rPr>
      </w:r>
      <w:r>
        <w:rPr/>
        <w:t>三、任职情况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公司现任董事、监事、高级管理人员专业背景、主要工作经历以及目前在公司的主要职责</w:t>
      </w:r>
    </w:p>
    <w:p>
      <w:pPr>
        <w:pStyle w:val="BodyText"/>
        <w:spacing w:line="314" w:lineRule="auto" w:before="109"/>
        <w:ind w:left="633" w:right="0" w:hanging="480"/>
        <w:jc w:val="left"/>
      </w:pPr>
      <w:r>
        <w:rPr>
          <w:rFonts w:ascii="宋体" w:hAnsi="宋体" w:cs="宋体" w:eastAsia="宋体" w:hint="default"/>
          <w:b/>
          <w:bCs/>
        </w:rPr>
        <w:t>（一）公司董事任职情况</w:t>
      </w:r>
      <w:r>
        <w:rPr>
          <w:rFonts w:ascii="宋体" w:hAnsi="宋体" w:cs="宋体" w:eastAsia="宋体" w:hint="default"/>
          <w:b/>
          <w:bCs/>
          <w:spacing w:val="-102"/>
        </w:rPr>
        <w:t> </w:t>
      </w:r>
      <w:r>
        <w:rPr>
          <w:spacing w:val="-8"/>
        </w:rPr>
        <w:t>李移岭，男，</w:t>
      </w:r>
      <w:r>
        <w:rPr>
          <w:rFonts w:ascii="宋体" w:hAnsi="宋体" w:cs="宋体" w:eastAsia="宋体" w:hint="default"/>
          <w:spacing w:val="-8"/>
        </w:rPr>
        <w:t>1962</w:t>
      </w:r>
      <w:r>
        <w:rPr>
          <w:spacing w:val="-8"/>
        </w:rPr>
        <w:t>年</w:t>
      </w:r>
      <w:r>
        <w:rPr>
          <w:rFonts w:ascii="宋体" w:hAnsi="宋体" w:cs="宋体" w:eastAsia="宋体" w:hint="default"/>
          <w:spacing w:val="-8"/>
        </w:rPr>
        <w:t>2</w:t>
      </w:r>
      <w:r>
        <w:rPr>
          <w:spacing w:val="-8"/>
        </w:rPr>
        <w:t>月出生，中国国籍，工商管理硕士（</w:t>
      </w:r>
      <w:r>
        <w:rPr>
          <w:rFonts w:ascii="宋体" w:hAnsi="宋体" w:cs="宋体" w:eastAsia="宋体" w:hint="default"/>
          <w:spacing w:val="-8"/>
        </w:rPr>
        <w:t>MBA</w:t>
      </w:r>
      <w:r>
        <w:rPr>
          <w:spacing w:val="-8"/>
        </w:rPr>
        <w:t>），会计师，中共党员，无境外居留权。</w:t>
      </w:r>
    </w:p>
    <w:p>
      <w:pPr>
        <w:pStyle w:val="BodyText"/>
        <w:spacing w:line="312" w:lineRule="auto"/>
        <w:ind w:right="1122"/>
        <w:jc w:val="both"/>
      </w:pPr>
      <w:r>
        <w:rPr>
          <w:spacing w:val="-6"/>
        </w:rPr>
        <w:t>现任公司董事长、党委书记，西安德宝董事长，领凯科技董事长，北京金印联董事长。主要工作经历：</w:t>
      </w:r>
      <w:r>
        <w:rPr>
          <w:rFonts w:ascii="宋体" w:hAnsi="宋体" w:cs="宋体" w:eastAsia="宋体" w:hint="default"/>
          <w:spacing w:val="-6"/>
        </w:rPr>
        <w:t>2001</w:t>
      </w:r>
      <w:r>
        <w:rPr>
          <w:rFonts w:ascii="宋体" w:hAnsi="宋体" w:cs="宋体" w:eastAsia="宋体" w:hint="default"/>
          <w:spacing w:val="-45"/>
        </w:rPr>
        <w:t> </w:t>
      </w:r>
      <w:r>
        <w:rPr>
          <w:rFonts w:ascii="宋体" w:hAnsi="宋体" w:cs="宋体" w:eastAsia="宋体" w:hint="default"/>
          <w:spacing w:val="-45"/>
        </w:rPr>
      </w:r>
      <w:r>
        <w:rPr>
          <w:spacing w:val="-2"/>
        </w:rPr>
        <w:t>年至今，历任本公司副总经理、总经理、副董事长、董事长；</w:t>
      </w:r>
      <w:r>
        <w:rPr>
          <w:rFonts w:ascii="宋体" w:hAnsi="宋体" w:cs="宋体" w:eastAsia="宋体" w:hint="default"/>
          <w:spacing w:val="-2"/>
        </w:rPr>
        <w:t>2008</w:t>
      </w:r>
      <w:r>
        <w:rPr>
          <w:spacing w:val="-2"/>
        </w:rPr>
        <w:t>年至今，任陕药集团董事，西安德宝董</w:t>
      </w:r>
      <w:r>
        <w:rPr>
          <w:spacing w:val="-32"/>
        </w:rPr>
        <w:t> </w:t>
      </w:r>
      <w:r>
        <w:rPr>
          <w:spacing w:val="-32"/>
        </w:rPr>
      </w:r>
      <w:r>
        <w:rPr>
          <w:spacing w:val="-2"/>
        </w:rPr>
        <w:t>事长。曾获“陕西省优秀企业家”、“西安市劳动模范”、“西安市科技创新企业家”、“高新区年度经</w:t>
      </w:r>
      <w:r>
        <w:rPr>
          <w:spacing w:val="-31"/>
        </w:rPr>
        <w:t> </w:t>
      </w:r>
      <w:r>
        <w:rPr>
          <w:spacing w:val="-31"/>
        </w:rPr>
      </w:r>
      <w:r>
        <w:rPr/>
        <w:t>济创新人物”、“陕西省总工会优秀工会之友”、“陕药集团十大经济人物”等荣誉称号。</w:t>
      </w:r>
    </w:p>
    <w:p>
      <w:pPr>
        <w:pStyle w:val="BodyText"/>
        <w:spacing w:line="312" w:lineRule="auto" w:before="22"/>
        <w:ind w:right="1125" w:firstLine="480"/>
        <w:jc w:val="both"/>
      </w:pPr>
      <w:r>
        <w:rPr>
          <w:spacing w:val="-2"/>
        </w:rPr>
        <w:t>孙学军，男，</w:t>
      </w:r>
      <w:r>
        <w:rPr>
          <w:rFonts w:ascii="宋体" w:hAnsi="宋体" w:cs="宋体" w:eastAsia="宋体" w:hint="default"/>
          <w:spacing w:val="-2"/>
        </w:rPr>
        <w:t>1969</w:t>
      </w:r>
      <w:r>
        <w:rPr>
          <w:spacing w:val="-2"/>
        </w:rPr>
        <w:t>年</w:t>
      </w:r>
      <w:r>
        <w:rPr>
          <w:rFonts w:ascii="宋体" w:hAnsi="宋体" w:cs="宋体" w:eastAsia="宋体" w:hint="default"/>
          <w:spacing w:val="-2"/>
        </w:rPr>
        <w:t>7</w:t>
      </w:r>
      <w:r>
        <w:rPr>
          <w:spacing w:val="-2"/>
        </w:rPr>
        <w:t>月出生，中国国籍，大学本科学历，助理工程师，无境外居留权。现任公司董</w:t>
      </w:r>
      <w:r>
        <w:rPr>
          <w:w w:val="100"/>
        </w:rPr>
        <w:t> </w:t>
      </w:r>
      <w:r>
        <w:rPr>
          <w:spacing w:val="-2"/>
        </w:rPr>
        <w:t>事、总经理，天津环球董事长，易诺和创执行董事，领凯科技董事。主要工作经历：</w:t>
      </w:r>
      <w:r>
        <w:rPr>
          <w:rFonts w:ascii="宋体" w:hAnsi="宋体" w:cs="宋体" w:eastAsia="宋体" w:hint="default"/>
          <w:spacing w:val="-2"/>
        </w:rPr>
        <w:t>2001</w:t>
      </w:r>
      <w:r>
        <w:rPr>
          <w:spacing w:val="-2"/>
        </w:rPr>
        <w:t>年至今，历任公</w:t>
      </w:r>
      <w:r>
        <w:rPr>
          <w:spacing w:val="-31"/>
        </w:rPr>
        <w:t> </w:t>
      </w:r>
      <w:r>
        <w:rPr>
          <w:spacing w:val="-31"/>
        </w:rPr>
      </w:r>
      <w:r>
        <w:rPr>
          <w:spacing w:val="-2"/>
        </w:rPr>
        <w:t>司销售部经理、销售总监、常务副总经理、总经理、董事，天津环球总经理、董事、董事长，易诺和创执</w:t>
      </w:r>
      <w:r>
        <w:rPr>
          <w:spacing w:val="-33"/>
        </w:rPr>
        <w:t> </w:t>
      </w:r>
      <w:r>
        <w:rPr>
          <w:spacing w:val="-33"/>
        </w:rPr>
      </w:r>
      <w:r>
        <w:rPr/>
        <w:t>行董事。</w:t>
      </w:r>
    </w:p>
    <w:p>
      <w:pPr>
        <w:pStyle w:val="BodyText"/>
        <w:spacing w:line="312" w:lineRule="auto" w:before="22"/>
        <w:ind w:right="1122" w:firstLine="480"/>
        <w:jc w:val="both"/>
      </w:pPr>
      <w:r>
        <w:rPr>
          <w:spacing w:val="-2"/>
        </w:rPr>
        <w:t>郭青平，男，中国国籍，无境外居留权，</w:t>
      </w:r>
      <w:r>
        <w:rPr>
          <w:rFonts w:ascii="宋体" w:hAnsi="宋体" w:cs="宋体" w:eastAsia="宋体" w:hint="default"/>
          <w:spacing w:val="-2"/>
        </w:rPr>
        <w:t>1965</w:t>
      </w:r>
      <w:r>
        <w:rPr>
          <w:spacing w:val="-2"/>
        </w:rPr>
        <w:t>年</w:t>
      </w:r>
      <w:r>
        <w:rPr>
          <w:rFonts w:ascii="宋体" w:hAnsi="宋体" w:cs="宋体" w:eastAsia="宋体" w:hint="default"/>
          <w:spacing w:val="-2"/>
        </w:rPr>
        <w:t>3</w:t>
      </w:r>
      <w:r>
        <w:rPr>
          <w:spacing w:val="-2"/>
        </w:rPr>
        <w:t>月出生，中共党员，研究生学历，高级工程师，现</w:t>
      </w:r>
      <w:r>
        <w:rPr>
          <w:w w:val="100"/>
        </w:rPr>
        <w:t> </w:t>
      </w:r>
      <w:r>
        <w:rPr>
          <w:spacing w:val="-2"/>
        </w:rPr>
        <w:t>任公司董事。主要工作经历：</w:t>
      </w:r>
      <w:r>
        <w:rPr>
          <w:rFonts w:ascii="宋体" w:hAnsi="宋体" w:cs="宋体" w:eastAsia="宋体" w:hint="default"/>
          <w:spacing w:val="-2"/>
        </w:rPr>
        <w:t>1985</w:t>
      </w:r>
      <w:r>
        <w:rPr>
          <w:spacing w:val="-2"/>
        </w:rPr>
        <w:t>年至</w:t>
      </w:r>
      <w:r>
        <w:rPr>
          <w:rFonts w:ascii="宋体" w:hAnsi="宋体" w:cs="宋体" w:eastAsia="宋体" w:hint="default"/>
          <w:spacing w:val="-2"/>
        </w:rPr>
        <w:t>1997</w:t>
      </w:r>
      <w:r>
        <w:rPr>
          <w:spacing w:val="-2"/>
        </w:rPr>
        <w:t>年，轻工部西安设计院工作；</w:t>
      </w:r>
      <w:r>
        <w:rPr>
          <w:rFonts w:ascii="宋体" w:hAnsi="宋体" w:cs="宋体" w:eastAsia="宋体" w:hint="default"/>
          <w:spacing w:val="-2"/>
        </w:rPr>
        <w:t>1997</w:t>
      </w:r>
      <w:r>
        <w:rPr>
          <w:spacing w:val="-2"/>
        </w:rPr>
        <w:t>年至</w:t>
      </w:r>
      <w:r>
        <w:rPr>
          <w:rFonts w:ascii="宋体" w:hAnsi="宋体" w:cs="宋体" w:eastAsia="宋体" w:hint="default"/>
          <w:spacing w:val="-2"/>
        </w:rPr>
        <w:t>2000</w:t>
      </w:r>
      <w:r>
        <w:rPr>
          <w:spacing w:val="-2"/>
        </w:rPr>
        <w:t>年，陕西省医药公</w:t>
      </w:r>
      <w:r>
        <w:rPr>
          <w:spacing w:val="-20"/>
        </w:rPr>
        <w:t> </w:t>
      </w:r>
      <w:r>
        <w:rPr>
          <w:spacing w:val="-20"/>
        </w:rPr>
      </w:r>
      <w:r>
        <w:rPr>
          <w:spacing w:val="-2"/>
        </w:rPr>
        <w:t>司基建办工作；</w:t>
      </w:r>
      <w:r>
        <w:rPr>
          <w:rFonts w:ascii="宋体" w:hAnsi="宋体" w:cs="宋体" w:eastAsia="宋体" w:hint="default"/>
          <w:spacing w:val="-2"/>
        </w:rPr>
        <w:t>2000</w:t>
      </w:r>
      <w:r>
        <w:rPr>
          <w:spacing w:val="-2"/>
        </w:rPr>
        <w:t>年至</w:t>
      </w:r>
      <w:r>
        <w:rPr>
          <w:rFonts w:ascii="宋体" w:hAnsi="宋体" w:cs="宋体" w:eastAsia="宋体" w:hint="default"/>
          <w:spacing w:val="-2"/>
        </w:rPr>
        <w:t>2009</w:t>
      </w:r>
      <w:r>
        <w:rPr>
          <w:spacing w:val="-2"/>
        </w:rPr>
        <w:t>年，陕西医药控股集团有限责任公司物业中心工作；</w:t>
      </w:r>
      <w:r>
        <w:rPr>
          <w:rFonts w:ascii="宋体" w:hAnsi="宋体" w:cs="宋体" w:eastAsia="宋体" w:hint="default"/>
          <w:spacing w:val="-2"/>
        </w:rPr>
        <w:t>2009</w:t>
      </w:r>
      <w:r>
        <w:rPr>
          <w:spacing w:val="-2"/>
        </w:rPr>
        <w:t>年至</w:t>
      </w:r>
      <w:r>
        <w:rPr>
          <w:rFonts w:ascii="宋体" w:hAnsi="宋体" w:cs="宋体" w:eastAsia="宋体" w:hint="default"/>
          <w:spacing w:val="-2"/>
        </w:rPr>
        <w:t>2011</w:t>
      </w:r>
      <w:r>
        <w:rPr>
          <w:spacing w:val="-2"/>
        </w:rPr>
        <w:t>年，任陕</w:t>
      </w:r>
      <w:r>
        <w:rPr>
          <w:spacing w:val="-15"/>
        </w:rPr>
        <w:t> </w:t>
      </w:r>
      <w:r>
        <w:rPr>
          <w:spacing w:val="-15"/>
        </w:rPr>
      </w:r>
      <w:r>
        <w:rPr>
          <w:spacing w:val="-2"/>
        </w:rPr>
        <w:t>西医药控股集团医药物流有限公司副总经理；</w:t>
      </w:r>
      <w:r>
        <w:rPr>
          <w:rFonts w:ascii="宋体" w:hAnsi="宋体" w:cs="宋体" w:eastAsia="宋体" w:hint="default"/>
          <w:spacing w:val="-2"/>
        </w:rPr>
        <w:t>2011</w:t>
      </w:r>
      <w:r>
        <w:rPr>
          <w:spacing w:val="-2"/>
        </w:rPr>
        <w:t>年至</w:t>
      </w:r>
      <w:r>
        <w:rPr>
          <w:rFonts w:ascii="宋体" w:hAnsi="宋体" w:cs="宋体" w:eastAsia="宋体" w:hint="default"/>
          <w:spacing w:val="-2"/>
        </w:rPr>
        <w:t>2015</w:t>
      </w:r>
      <w:r>
        <w:rPr>
          <w:spacing w:val="-2"/>
        </w:rPr>
        <w:t>年，任陕西医药控股集团有限责任公司产权管</w:t>
      </w:r>
      <w:r>
        <w:rPr>
          <w:spacing w:val="-23"/>
        </w:rPr>
        <w:t> </w:t>
      </w:r>
      <w:r>
        <w:rPr>
          <w:spacing w:val="-23"/>
        </w:rPr>
      </w:r>
      <w:r>
        <w:rPr>
          <w:spacing w:val="-2"/>
        </w:rPr>
        <w:t>理部副经理、经理；</w:t>
      </w:r>
      <w:r>
        <w:rPr>
          <w:rFonts w:ascii="宋体" w:hAnsi="宋体" w:cs="宋体" w:eastAsia="宋体" w:hint="default"/>
          <w:spacing w:val="-2"/>
        </w:rPr>
        <w:t>2015</w:t>
      </w:r>
      <w:r>
        <w:rPr>
          <w:spacing w:val="-2"/>
        </w:rPr>
        <w:t>年至今，任陕西医药控股集团有限责任公司投资管理部经理；</w:t>
      </w:r>
      <w:r>
        <w:rPr>
          <w:rFonts w:ascii="宋体" w:hAnsi="宋体" w:cs="宋体" w:eastAsia="宋体" w:hint="default"/>
          <w:spacing w:val="-2"/>
        </w:rPr>
        <w:t>2019</w:t>
      </w:r>
      <w:r>
        <w:rPr>
          <w:spacing w:val="-2"/>
        </w:rPr>
        <w:t>年</w:t>
      </w:r>
      <w:r>
        <w:rPr>
          <w:rFonts w:ascii="宋体" w:hAnsi="宋体" w:cs="宋体" w:eastAsia="宋体" w:hint="default"/>
          <w:spacing w:val="-2"/>
        </w:rPr>
        <w:t>11</w:t>
      </w:r>
      <w:r>
        <w:rPr>
          <w:spacing w:val="-2"/>
        </w:rPr>
        <w:t>月至今任</w:t>
      </w:r>
      <w:r>
        <w:rPr>
          <w:spacing w:val="-21"/>
        </w:rPr>
        <w:t> </w:t>
      </w:r>
      <w:r>
        <w:rPr>
          <w:spacing w:val="-21"/>
        </w:rPr>
      </w:r>
      <w:r>
        <w:rPr/>
        <w:t>公司董事。</w:t>
      </w:r>
    </w:p>
    <w:p>
      <w:pPr>
        <w:pStyle w:val="BodyText"/>
        <w:spacing w:line="314" w:lineRule="auto" w:before="22"/>
        <w:ind w:right="1004" w:firstLine="480"/>
        <w:jc w:val="left"/>
      </w:pPr>
      <w:r>
        <w:rPr>
          <w:spacing w:val="-3"/>
        </w:rPr>
        <w:t>蔡红军，男，</w:t>
      </w:r>
      <w:r>
        <w:rPr>
          <w:rFonts w:ascii="宋体" w:hAnsi="宋体" w:cs="宋体" w:eastAsia="宋体" w:hint="default"/>
          <w:spacing w:val="-3"/>
        </w:rPr>
        <w:t>1970</w:t>
      </w:r>
      <w:r>
        <w:rPr>
          <w:spacing w:val="-3"/>
        </w:rPr>
        <w:t>年</w:t>
      </w:r>
      <w:r>
        <w:rPr>
          <w:rFonts w:ascii="宋体" w:hAnsi="宋体" w:cs="宋体" w:eastAsia="宋体" w:hint="default"/>
          <w:spacing w:val="-3"/>
        </w:rPr>
        <w:t>11</w:t>
      </w:r>
      <w:r>
        <w:rPr>
          <w:spacing w:val="-3"/>
        </w:rPr>
        <w:t>月出生，中国国籍，研究生学历，拥有几内亚比绍居留权。现任公司董事。主</w:t>
      </w:r>
      <w:r>
        <w:rPr>
          <w:w w:val="100"/>
        </w:rPr>
        <w:t> </w:t>
      </w:r>
      <w:r>
        <w:rPr>
          <w:spacing w:val="-2"/>
        </w:rPr>
        <w:t>要工作经历：</w:t>
      </w:r>
      <w:r>
        <w:rPr>
          <w:rFonts w:ascii="宋体" w:hAnsi="宋体" w:cs="宋体" w:eastAsia="宋体" w:hint="default"/>
          <w:spacing w:val="-2"/>
        </w:rPr>
        <w:t>2002</w:t>
      </w:r>
      <w:r>
        <w:rPr>
          <w:spacing w:val="-2"/>
        </w:rPr>
        <w:t>年</w:t>
      </w:r>
      <w:r>
        <w:rPr>
          <w:rFonts w:ascii="宋体" w:hAnsi="宋体" w:cs="宋体" w:eastAsia="宋体" w:hint="default"/>
          <w:spacing w:val="-2"/>
        </w:rPr>
        <w:t>6</w:t>
      </w:r>
      <w:r>
        <w:rPr>
          <w:spacing w:val="-2"/>
        </w:rPr>
        <w:t>月至今，任上海包装物资有限公司董事、总经理；</w:t>
      </w:r>
      <w:r>
        <w:rPr>
          <w:rFonts w:ascii="宋体" w:hAnsi="宋体" w:cs="宋体" w:eastAsia="宋体" w:hint="default"/>
          <w:spacing w:val="-2"/>
        </w:rPr>
        <w:t>2009</w:t>
      </w:r>
      <w:r>
        <w:rPr>
          <w:spacing w:val="-2"/>
        </w:rPr>
        <w:t>年</w:t>
      </w:r>
      <w:r>
        <w:rPr>
          <w:rFonts w:ascii="宋体" w:hAnsi="宋体" w:cs="宋体" w:eastAsia="宋体" w:hint="default"/>
          <w:spacing w:val="-2"/>
        </w:rPr>
        <w:t>3</w:t>
      </w:r>
      <w:r>
        <w:rPr>
          <w:spacing w:val="-2"/>
        </w:rPr>
        <w:t>月至今，任香港原石国际</w:t>
      </w:r>
      <w:r>
        <w:rPr>
          <w:spacing w:val="-31"/>
        </w:rPr>
        <w:t> </w:t>
      </w:r>
      <w:r>
        <w:rPr>
          <w:spacing w:val="-31"/>
        </w:rPr>
      </w:r>
      <w:r>
        <w:rPr/>
        <w:t>有限公司董事长、总经理；</w:t>
      </w:r>
      <w:r>
        <w:rPr>
          <w:rFonts w:ascii="宋体" w:hAnsi="宋体" w:cs="宋体" w:eastAsia="宋体" w:hint="default"/>
        </w:rPr>
        <w:t>2009</w:t>
      </w:r>
      <w:r>
        <w:rPr/>
        <w:t>年</w:t>
      </w:r>
      <w:r>
        <w:rPr>
          <w:rFonts w:ascii="宋体" w:hAnsi="宋体" w:cs="宋体" w:eastAsia="宋体" w:hint="default"/>
        </w:rPr>
        <w:t>3</w:t>
      </w:r>
      <w:r>
        <w:rPr/>
        <w:t>月至今，任公司董事；</w:t>
      </w:r>
      <w:r>
        <w:rPr>
          <w:rFonts w:ascii="宋体" w:hAnsi="宋体" w:cs="宋体" w:eastAsia="宋体" w:hint="default"/>
        </w:rPr>
        <w:t>2013</w:t>
      </w:r>
      <w:r>
        <w:rPr/>
        <w:t>年</w:t>
      </w:r>
      <w:r>
        <w:rPr>
          <w:rFonts w:ascii="宋体" w:hAnsi="宋体" w:cs="宋体" w:eastAsia="宋体" w:hint="default"/>
        </w:rPr>
        <w:t>6</w:t>
      </w:r>
      <w:r>
        <w:rPr/>
        <w:t>月至今，任永丽造纸合营会社董事长；</w:t>
      </w:r>
      <w:r>
        <w:rPr>
          <w:spacing w:val="-32"/>
        </w:rPr>
        <w:t> </w:t>
      </w:r>
      <w:r>
        <w:rPr>
          <w:spacing w:val="-32"/>
        </w:rPr>
      </w:r>
      <w:r>
        <w:rPr>
          <w:rFonts w:ascii="宋体" w:hAnsi="宋体" w:cs="宋体" w:eastAsia="宋体" w:hint="default"/>
        </w:rPr>
        <w:t>2015</w:t>
      </w:r>
      <w:r>
        <w:rPr/>
        <w:t>年</w:t>
      </w:r>
      <w:r>
        <w:rPr>
          <w:rFonts w:ascii="宋体" w:hAnsi="宋体" w:cs="宋体" w:eastAsia="宋体" w:hint="default"/>
        </w:rPr>
        <w:t>11</w:t>
      </w:r>
      <w:r>
        <w:rPr/>
        <w:t>月至今，任上海久日投资管理有限公司董事长；</w:t>
      </w:r>
      <w:r>
        <w:rPr>
          <w:rFonts w:ascii="宋体" w:hAnsi="宋体" w:cs="宋体" w:eastAsia="宋体" w:hint="default"/>
        </w:rPr>
        <w:t>2015</w:t>
      </w:r>
      <w:r>
        <w:rPr/>
        <w:t>年</w:t>
      </w:r>
      <w:r>
        <w:rPr>
          <w:rFonts w:ascii="宋体" w:hAnsi="宋体" w:cs="宋体" w:eastAsia="宋体" w:hint="default"/>
        </w:rPr>
        <w:t>11</w:t>
      </w:r>
      <w:r>
        <w:rPr/>
        <w:t>月至今，任上海中科久日置业有限公司</w:t>
      </w:r>
      <w:r>
        <w:rPr>
          <w:w w:val="100"/>
        </w:rPr>
        <w:t> </w:t>
      </w:r>
      <w:r>
        <w:rPr/>
        <w:t>董事。</w:t>
      </w:r>
    </w:p>
    <w:p>
      <w:pPr>
        <w:pStyle w:val="BodyText"/>
        <w:spacing w:line="240" w:lineRule="auto"/>
        <w:ind w:left="633" w:right="0"/>
        <w:jc w:val="left"/>
      </w:pPr>
      <w:r>
        <w:rPr>
          <w:spacing w:val="-8"/>
        </w:rPr>
        <w:t>张明禹，男，</w:t>
      </w:r>
      <w:r>
        <w:rPr>
          <w:rFonts w:ascii="宋体" w:hAnsi="宋体" w:cs="宋体" w:eastAsia="宋体" w:hint="default"/>
          <w:spacing w:val="-8"/>
        </w:rPr>
        <w:t>1950</w:t>
      </w:r>
      <w:r>
        <w:rPr>
          <w:spacing w:val="-8"/>
        </w:rPr>
        <w:t>年出生，大学本科学历，中国国籍，中共党员。现任公司独立董事。主要工作经历：</w:t>
      </w:r>
    </w:p>
    <w:p>
      <w:pPr>
        <w:spacing w:after="0" w:line="240" w:lineRule="auto"/>
        <w:jc w:val="left"/>
        <w:sectPr>
          <w:pgSz w:w="11910" w:h="16840"/>
          <w:pgMar w:header="460" w:footer="979" w:top="1100" w:bottom="1160" w:left="980" w:right="0"/>
        </w:sectPr>
      </w:pPr>
    </w:p>
    <w:p>
      <w:pPr>
        <w:spacing w:line="240" w:lineRule="auto" w:before="7"/>
        <w:rPr>
          <w:rFonts w:ascii="宋体" w:hAnsi="宋体" w:cs="宋体" w:eastAsia="宋体" w:hint="default"/>
          <w:sz w:val="22"/>
          <w:szCs w:val="22"/>
        </w:rPr>
      </w:pPr>
    </w:p>
    <w:p>
      <w:pPr>
        <w:pStyle w:val="BodyText"/>
        <w:spacing w:line="314" w:lineRule="auto" w:before="36"/>
        <w:ind w:right="0"/>
        <w:jc w:val="left"/>
      </w:pPr>
      <w:r>
        <w:rPr>
          <w:rFonts w:ascii="宋体" w:hAnsi="宋体" w:cs="宋体" w:eastAsia="宋体" w:hint="default"/>
          <w:spacing w:val="-2"/>
        </w:rPr>
        <w:t>2000</w:t>
      </w:r>
      <w:r>
        <w:rPr>
          <w:spacing w:val="-2"/>
        </w:rPr>
        <w:t>年</w:t>
      </w:r>
      <w:r>
        <w:rPr>
          <w:rFonts w:ascii="宋体" w:hAnsi="宋体" w:cs="宋体" w:eastAsia="宋体" w:hint="default"/>
          <w:spacing w:val="-2"/>
        </w:rPr>
        <w:t>12</w:t>
      </w:r>
      <w:r>
        <w:rPr>
          <w:spacing w:val="-2"/>
        </w:rPr>
        <w:t>月至</w:t>
      </w:r>
      <w:r>
        <w:rPr>
          <w:rFonts w:ascii="宋体" w:hAnsi="宋体" w:cs="宋体" w:eastAsia="宋体" w:hint="default"/>
          <w:spacing w:val="-2"/>
        </w:rPr>
        <w:t>2004</w:t>
      </w:r>
      <w:r>
        <w:rPr>
          <w:spacing w:val="-2"/>
        </w:rPr>
        <w:t>年</w:t>
      </w:r>
      <w:r>
        <w:rPr>
          <w:rFonts w:ascii="宋体" w:hAnsi="宋体" w:cs="宋体" w:eastAsia="宋体" w:hint="default"/>
          <w:spacing w:val="-2"/>
        </w:rPr>
        <w:t>6</w:t>
      </w:r>
      <w:r>
        <w:rPr>
          <w:spacing w:val="-2"/>
        </w:rPr>
        <w:t>月，任中国医药工业公司总经理；</w:t>
      </w:r>
      <w:r>
        <w:rPr>
          <w:rFonts w:ascii="宋体" w:hAnsi="宋体" w:cs="宋体" w:eastAsia="宋体" w:hint="default"/>
          <w:spacing w:val="-2"/>
        </w:rPr>
        <w:t>2004</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2010</w:t>
      </w:r>
      <w:r>
        <w:rPr>
          <w:spacing w:val="-2"/>
        </w:rPr>
        <w:t>年</w:t>
      </w:r>
      <w:r>
        <w:rPr>
          <w:rFonts w:ascii="宋体" w:hAnsi="宋体" w:cs="宋体" w:eastAsia="宋体" w:hint="default"/>
          <w:spacing w:val="-2"/>
        </w:rPr>
        <w:t>10</w:t>
      </w:r>
      <w:r>
        <w:rPr>
          <w:spacing w:val="-2"/>
        </w:rPr>
        <w:t>月，任国药集团工业有限公</w:t>
      </w:r>
      <w:r>
        <w:rPr>
          <w:spacing w:val="-15"/>
        </w:rPr>
        <w:t> </w:t>
      </w:r>
      <w:r>
        <w:rPr>
          <w:spacing w:val="-15"/>
        </w:rPr>
      </w:r>
      <w:r>
        <w:rPr/>
        <w:t>司董事长；</w:t>
      </w:r>
      <w:r>
        <w:rPr>
          <w:rFonts w:ascii="宋体" w:hAnsi="宋体" w:cs="宋体" w:eastAsia="宋体" w:hint="default"/>
        </w:rPr>
        <w:t>2010</w:t>
      </w:r>
      <w:r>
        <w:rPr/>
        <w:t>年</w:t>
      </w:r>
      <w:r>
        <w:rPr>
          <w:rFonts w:ascii="宋体" w:hAnsi="宋体" w:cs="宋体" w:eastAsia="宋体" w:hint="default"/>
        </w:rPr>
        <w:t>10</w:t>
      </w:r>
      <w:r>
        <w:rPr/>
        <w:t>月至</w:t>
      </w:r>
      <w:r>
        <w:rPr>
          <w:rFonts w:ascii="宋体" w:hAnsi="宋体" w:cs="宋体" w:eastAsia="宋体" w:hint="default"/>
        </w:rPr>
        <w:t>2018</w:t>
      </w:r>
      <w:r>
        <w:rPr/>
        <w:t>年</w:t>
      </w:r>
      <w:r>
        <w:rPr>
          <w:rFonts w:ascii="宋体" w:hAnsi="宋体" w:cs="宋体" w:eastAsia="宋体" w:hint="default"/>
        </w:rPr>
        <w:t>2</w:t>
      </w:r>
      <w:r>
        <w:rPr/>
        <w:t>月，任中国化学制药工业协会资深副会长。</w:t>
      </w:r>
    </w:p>
    <w:p>
      <w:pPr>
        <w:pStyle w:val="BodyText"/>
        <w:spacing w:line="314" w:lineRule="auto" w:before="15"/>
        <w:ind w:right="0" w:firstLine="480"/>
        <w:jc w:val="left"/>
      </w:pPr>
      <w:r>
        <w:rPr>
          <w:spacing w:val="-1"/>
        </w:rPr>
        <w:t>冯均科，男，</w:t>
      </w:r>
      <w:r>
        <w:rPr>
          <w:rFonts w:ascii="宋体" w:hAnsi="宋体" w:cs="宋体" w:eastAsia="宋体" w:hint="default"/>
          <w:spacing w:val="-1"/>
        </w:rPr>
        <w:t>1958</w:t>
      </w:r>
      <w:r>
        <w:rPr>
          <w:spacing w:val="-1"/>
        </w:rPr>
        <w:t>年出生，中国国籍，研究生学历，中共党员。现任公司独立董事。主要工作经历：</w:t>
      </w:r>
      <w:r>
        <w:rPr>
          <w:w w:val="100"/>
        </w:rPr>
        <w:t> </w:t>
      </w:r>
      <w:r>
        <w:rPr>
          <w:rFonts w:ascii="宋体" w:hAnsi="宋体" w:cs="宋体" w:eastAsia="宋体" w:hint="default"/>
        </w:rPr>
        <w:t>1982</w:t>
      </w:r>
      <w:r>
        <w:rPr/>
        <w:t>年</w:t>
      </w:r>
      <w:r>
        <w:rPr>
          <w:rFonts w:ascii="宋体" w:hAnsi="宋体" w:cs="宋体" w:eastAsia="宋体" w:hint="default"/>
        </w:rPr>
        <w:t>8</w:t>
      </w:r>
      <w:r>
        <w:rPr/>
        <w:t>月至</w:t>
      </w:r>
      <w:r>
        <w:rPr>
          <w:rFonts w:ascii="宋体" w:hAnsi="宋体" w:cs="宋体" w:eastAsia="宋体" w:hint="default"/>
        </w:rPr>
        <w:t>2000</w:t>
      </w:r>
      <w:r>
        <w:rPr/>
        <w:t>年</w:t>
      </w:r>
      <w:r>
        <w:rPr>
          <w:rFonts w:ascii="宋体" w:hAnsi="宋体" w:cs="宋体" w:eastAsia="宋体" w:hint="default"/>
        </w:rPr>
        <w:t>4</w:t>
      </w:r>
      <w:r>
        <w:rPr/>
        <w:t>月，陕西财经学院任教；</w:t>
      </w:r>
      <w:r>
        <w:rPr>
          <w:rFonts w:ascii="宋体" w:hAnsi="宋体" w:cs="宋体" w:eastAsia="宋体" w:hint="default"/>
        </w:rPr>
        <w:t>2000</w:t>
      </w:r>
      <w:r>
        <w:rPr/>
        <w:t>年</w:t>
      </w:r>
      <w:r>
        <w:rPr>
          <w:rFonts w:ascii="宋体" w:hAnsi="宋体" w:cs="宋体" w:eastAsia="宋体" w:hint="default"/>
        </w:rPr>
        <w:t>5</w:t>
      </w:r>
      <w:r>
        <w:rPr/>
        <w:t>月至</w:t>
      </w:r>
      <w:r>
        <w:rPr>
          <w:rFonts w:ascii="宋体" w:hAnsi="宋体" w:cs="宋体" w:eastAsia="宋体" w:hint="default"/>
        </w:rPr>
        <w:t>2006</w:t>
      </w:r>
      <w:r>
        <w:rPr/>
        <w:t>年</w:t>
      </w:r>
      <w:r>
        <w:rPr>
          <w:rFonts w:ascii="宋体" w:hAnsi="宋体" w:cs="宋体" w:eastAsia="宋体" w:hint="default"/>
        </w:rPr>
        <w:t>10</w:t>
      </w:r>
      <w:r>
        <w:rPr/>
        <w:t>月，西安交通大学任教，</w:t>
      </w:r>
      <w:r>
        <w:rPr>
          <w:rFonts w:ascii="宋体" w:hAnsi="宋体" w:cs="宋体" w:eastAsia="宋体" w:hint="default"/>
        </w:rPr>
        <w:t>2006</w:t>
      </w:r>
      <w:r>
        <w:rPr/>
        <w:t>年</w:t>
      </w:r>
      <w:r>
        <w:rPr>
          <w:rFonts w:ascii="宋体" w:hAnsi="宋体" w:cs="宋体" w:eastAsia="宋体" w:hint="default"/>
        </w:rPr>
        <w:t>11</w:t>
      </w:r>
      <w:r>
        <w:rPr/>
        <w:t>月</w:t>
      </w:r>
      <w:r>
        <w:rPr>
          <w:w w:val="100"/>
        </w:rPr>
        <w:t> </w:t>
      </w:r>
      <w:r>
        <w:rPr/>
        <w:t>至今，西北大学经济管理学院会计系任教授、博士生导师。</w:t>
      </w:r>
    </w:p>
    <w:p>
      <w:pPr>
        <w:pStyle w:val="BodyText"/>
        <w:spacing w:line="312" w:lineRule="auto"/>
        <w:ind w:right="0" w:firstLine="480"/>
        <w:jc w:val="left"/>
      </w:pPr>
      <w:r>
        <w:rPr>
          <w:spacing w:val="-8"/>
        </w:rPr>
        <w:t>宋林，男，</w:t>
      </w:r>
      <w:r>
        <w:rPr>
          <w:rFonts w:ascii="宋体" w:hAnsi="宋体" w:cs="宋体" w:eastAsia="宋体" w:hint="default"/>
          <w:spacing w:val="-8"/>
        </w:rPr>
        <w:t>1969</w:t>
      </w:r>
      <w:r>
        <w:rPr>
          <w:spacing w:val="-8"/>
        </w:rPr>
        <w:t>年</w:t>
      </w:r>
      <w:r>
        <w:rPr>
          <w:rFonts w:ascii="宋体" w:hAnsi="宋体" w:cs="宋体" w:eastAsia="宋体" w:hint="default"/>
          <w:spacing w:val="-8"/>
        </w:rPr>
        <w:t>12</w:t>
      </w:r>
      <w:r>
        <w:rPr>
          <w:spacing w:val="-8"/>
        </w:rPr>
        <w:t>月出生，中国国籍，博士生学历，中共党员。现任公司独立董事。主要工作经历：</w:t>
      </w:r>
      <w:r>
        <w:rPr>
          <w:w w:val="100"/>
        </w:rPr>
        <w:t> </w:t>
      </w:r>
      <w:r>
        <w:rPr>
          <w:rFonts w:ascii="宋体" w:hAnsi="宋体" w:cs="宋体" w:eastAsia="宋体" w:hint="default"/>
          <w:spacing w:val="-2"/>
        </w:rPr>
        <w:t>2000</w:t>
      </w:r>
      <w:r>
        <w:rPr>
          <w:spacing w:val="-2"/>
        </w:rPr>
        <w:t>年至</w:t>
      </w:r>
      <w:r>
        <w:rPr>
          <w:rFonts w:ascii="宋体" w:hAnsi="宋体" w:cs="宋体" w:eastAsia="宋体" w:hint="default"/>
          <w:spacing w:val="-2"/>
        </w:rPr>
        <w:t>2013</w:t>
      </w:r>
      <w:r>
        <w:rPr>
          <w:spacing w:val="-2"/>
        </w:rPr>
        <w:t>年，历任西安交通大学讲师、副教授；</w:t>
      </w:r>
      <w:r>
        <w:rPr>
          <w:rFonts w:ascii="宋体" w:hAnsi="宋体" w:cs="宋体" w:eastAsia="宋体" w:hint="default"/>
          <w:spacing w:val="-2"/>
        </w:rPr>
        <w:t>2013</w:t>
      </w:r>
      <w:r>
        <w:rPr>
          <w:spacing w:val="-2"/>
        </w:rPr>
        <w:t>年至今，任西安交通大学经济与金融学院产业经</w:t>
      </w:r>
      <w:r>
        <w:rPr>
          <w:spacing w:val="-19"/>
        </w:rPr>
        <w:t> </w:t>
      </w:r>
      <w:r>
        <w:rPr>
          <w:spacing w:val="-19"/>
        </w:rPr>
      </w:r>
      <w:r>
        <w:rPr/>
        <w:t>济专业教授、博士生导师；</w:t>
      </w:r>
      <w:r>
        <w:rPr>
          <w:rFonts w:ascii="宋体" w:hAnsi="宋体" w:cs="宋体" w:eastAsia="宋体" w:hint="default"/>
        </w:rPr>
        <w:t>2014</w:t>
      </w:r>
      <w:r>
        <w:rPr/>
        <w:t>年</w:t>
      </w:r>
      <w:r>
        <w:rPr>
          <w:rFonts w:ascii="宋体" w:hAnsi="宋体" w:cs="宋体" w:eastAsia="宋体" w:hint="default"/>
        </w:rPr>
        <w:t>9</w:t>
      </w:r>
      <w:r>
        <w:rPr/>
        <w:t>月至今，任陕西航天动力高科技股份有限公司独立董事；</w:t>
      </w:r>
      <w:r>
        <w:rPr>
          <w:rFonts w:ascii="宋体" w:hAnsi="宋体" w:cs="宋体" w:eastAsia="宋体" w:hint="default"/>
        </w:rPr>
        <w:t>2014</w:t>
      </w:r>
      <w:r>
        <w:rPr/>
        <w:t>年</w:t>
      </w:r>
      <w:r>
        <w:rPr>
          <w:rFonts w:ascii="宋体" w:hAnsi="宋体" w:cs="宋体" w:eastAsia="宋体" w:hint="default"/>
        </w:rPr>
        <w:t>10</w:t>
      </w:r>
      <w:r>
        <w:rPr/>
        <w:t>月</w:t>
      </w:r>
      <w:r>
        <w:rPr>
          <w:spacing w:val="-103"/>
        </w:rPr>
        <w:t> </w:t>
      </w:r>
      <w:r>
        <w:rPr/>
        <w:t>至今，任陕西建设机械股份有限公司独立董事。</w:t>
      </w:r>
    </w:p>
    <w:p>
      <w:pPr>
        <w:spacing w:line="240" w:lineRule="auto" w:before="11"/>
        <w:rPr>
          <w:rFonts w:ascii="宋体" w:hAnsi="宋体" w:cs="宋体" w:eastAsia="宋体" w:hint="default"/>
          <w:sz w:val="28"/>
          <w:szCs w:val="28"/>
        </w:rPr>
      </w:pPr>
    </w:p>
    <w:p>
      <w:pPr>
        <w:spacing w:line="314" w:lineRule="auto" w:before="0"/>
        <w:ind w:left="633" w:right="0" w:hanging="480"/>
        <w:jc w:val="left"/>
        <w:rPr>
          <w:rFonts w:ascii="宋体" w:hAnsi="宋体" w:cs="宋体" w:eastAsia="宋体" w:hint="default"/>
          <w:sz w:val="21"/>
          <w:szCs w:val="21"/>
        </w:rPr>
      </w:pPr>
      <w:r>
        <w:rPr>
          <w:rFonts w:ascii="宋体" w:hAnsi="宋体" w:cs="宋体" w:eastAsia="宋体" w:hint="default"/>
          <w:b/>
          <w:bCs/>
          <w:sz w:val="21"/>
          <w:szCs w:val="21"/>
        </w:rPr>
        <w:t>（二）公司监事任职情况</w:t>
      </w:r>
      <w:r>
        <w:rPr>
          <w:rFonts w:ascii="宋体" w:hAnsi="宋体" w:cs="宋体" w:eastAsia="宋体" w:hint="default"/>
          <w:b/>
          <w:bCs/>
          <w:spacing w:val="-102"/>
          <w:sz w:val="21"/>
          <w:szCs w:val="21"/>
        </w:rPr>
        <w:t> </w:t>
      </w:r>
      <w:r>
        <w:rPr>
          <w:rFonts w:ascii="宋体" w:hAnsi="宋体" w:cs="宋体" w:eastAsia="宋体" w:hint="default"/>
          <w:spacing w:val="-3"/>
          <w:sz w:val="21"/>
          <w:szCs w:val="21"/>
        </w:rPr>
        <w:t>张兴才，男，</w:t>
      </w:r>
      <w:r>
        <w:rPr>
          <w:rFonts w:ascii="宋体" w:hAnsi="宋体" w:cs="宋体" w:eastAsia="宋体" w:hint="default"/>
          <w:spacing w:val="-3"/>
          <w:sz w:val="21"/>
          <w:szCs w:val="21"/>
        </w:rPr>
        <w:t>1964</w:t>
      </w:r>
      <w:r>
        <w:rPr>
          <w:rFonts w:ascii="宋体" w:hAnsi="宋体" w:cs="宋体" w:eastAsia="宋体" w:hint="default"/>
          <w:spacing w:val="-3"/>
          <w:sz w:val="21"/>
          <w:szCs w:val="21"/>
        </w:rPr>
        <w:t>年</w:t>
      </w:r>
      <w:r>
        <w:rPr>
          <w:rFonts w:ascii="宋体" w:hAnsi="宋体" w:cs="宋体" w:eastAsia="宋体" w:hint="default"/>
          <w:spacing w:val="-3"/>
          <w:sz w:val="21"/>
          <w:szCs w:val="21"/>
        </w:rPr>
        <w:t>8</w:t>
      </w:r>
      <w:r>
        <w:rPr>
          <w:rFonts w:ascii="宋体" w:hAnsi="宋体" w:cs="宋体" w:eastAsia="宋体" w:hint="default"/>
          <w:spacing w:val="-3"/>
          <w:sz w:val="21"/>
          <w:szCs w:val="21"/>
        </w:rPr>
        <w:t>月出生，中国国籍，大学本科学历，高级审计师</w:t>
      </w:r>
      <w:r>
        <w:rPr>
          <w:rFonts w:ascii="宋体" w:hAnsi="宋体" w:cs="宋体" w:eastAsia="宋体" w:hint="default"/>
          <w:spacing w:val="-3"/>
          <w:sz w:val="21"/>
          <w:szCs w:val="21"/>
        </w:rPr>
        <w:t>,</w:t>
      </w:r>
      <w:r>
        <w:rPr>
          <w:rFonts w:ascii="宋体" w:hAnsi="宋体" w:cs="宋体" w:eastAsia="宋体" w:hint="default"/>
          <w:spacing w:val="-3"/>
          <w:sz w:val="21"/>
          <w:szCs w:val="21"/>
        </w:rPr>
        <w:t>会计师，中共党员，无境外居</w:t>
      </w:r>
    </w:p>
    <w:p>
      <w:pPr>
        <w:pStyle w:val="BodyText"/>
        <w:spacing w:line="312" w:lineRule="auto"/>
        <w:ind w:right="0"/>
        <w:jc w:val="left"/>
      </w:pPr>
      <w:r>
        <w:rPr/>
        <w:t>留权。现任公司监事会主席。主要工作经历：</w:t>
      </w:r>
      <w:r>
        <w:rPr>
          <w:rFonts w:ascii="宋体" w:hAnsi="宋体" w:cs="宋体" w:eastAsia="宋体" w:hint="default"/>
        </w:rPr>
        <w:t>2009</w:t>
      </w:r>
      <w:r>
        <w:rPr/>
        <w:t>年</w:t>
      </w:r>
      <w:r>
        <w:rPr>
          <w:rFonts w:ascii="宋体" w:hAnsi="宋体" w:cs="宋体" w:eastAsia="宋体" w:hint="default"/>
        </w:rPr>
        <w:t>12</w:t>
      </w:r>
      <w:r>
        <w:rPr/>
        <w:t>月至</w:t>
      </w:r>
      <w:r>
        <w:rPr>
          <w:rFonts w:ascii="宋体" w:hAnsi="宋体" w:cs="宋体" w:eastAsia="宋体" w:hint="default"/>
        </w:rPr>
        <w:t>2013</w:t>
      </w:r>
      <w:r>
        <w:rPr/>
        <w:t>年</w:t>
      </w:r>
      <w:r>
        <w:rPr>
          <w:rFonts w:ascii="宋体" w:hAnsi="宋体" w:cs="宋体" w:eastAsia="宋体" w:hint="default"/>
        </w:rPr>
        <w:t>3</w:t>
      </w:r>
      <w:r>
        <w:rPr/>
        <w:t>月，任陕药集团财务管理部副经理；</w:t>
      </w:r>
      <w:r>
        <w:rPr>
          <w:w w:val="100"/>
        </w:rPr>
        <w:t> </w:t>
      </w:r>
      <w:r>
        <w:rPr>
          <w:rFonts w:ascii="宋体" w:hAnsi="宋体" w:cs="宋体" w:eastAsia="宋体" w:hint="default"/>
          <w:spacing w:val="-5"/>
        </w:rPr>
        <w:t>2013</w:t>
      </w:r>
      <w:r>
        <w:rPr>
          <w:spacing w:val="-5"/>
        </w:rPr>
        <w:t>年</w:t>
      </w:r>
      <w:r>
        <w:rPr>
          <w:rFonts w:ascii="宋体" w:hAnsi="宋体" w:cs="宋体" w:eastAsia="宋体" w:hint="default"/>
          <w:spacing w:val="-5"/>
        </w:rPr>
        <w:t>4</w:t>
      </w:r>
      <w:r>
        <w:rPr>
          <w:spacing w:val="-5"/>
        </w:rPr>
        <w:t>月至</w:t>
      </w:r>
      <w:r>
        <w:rPr>
          <w:rFonts w:ascii="宋体" w:hAnsi="宋体" w:cs="宋体" w:eastAsia="宋体" w:hint="default"/>
          <w:spacing w:val="-5"/>
        </w:rPr>
        <w:t>2016</w:t>
      </w:r>
      <w:r>
        <w:rPr>
          <w:spacing w:val="-5"/>
        </w:rPr>
        <w:t>年</w:t>
      </w:r>
      <w:r>
        <w:rPr>
          <w:rFonts w:ascii="宋体" w:hAnsi="宋体" w:cs="宋体" w:eastAsia="宋体" w:hint="default"/>
          <w:spacing w:val="-5"/>
        </w:rPr>
        <w:t>3</w:t>
      </w:r>
      <w:r>
        <w:rPr>
          <w:spacing w:val="-5"/>
        </w:rPr>
        <w:t>月，任陕药集团审计部经理；</w:t>
      </w:r>
      <w:r>
        <w:rPr>
          <w:rFonts w:ascii="宋体" w:hAnsi="宋体" w:cs="宋体" w:eastAsia="宋体" w:hint="default"/>
          <w:spacing w:val="-5"/>
        </w:rPr>
        <w:t>2016</w:t>
      </w:r>
      <w:r>
        <w:rPr>
          <w:spacing w:val="-5"/>
        </w:rPr>
        <w:t>年</w:t>
      </w:r>
      <w:r>
        <w:rPr>
          <w:rFonts w:ascii="宋体" w:hAnsi="宋体" w:cs="宋体" w:eastAsia="宋体" w:hint="default"/>
          <w:spacing w:val="-5"/>
        </w:rPr>
        <w:t>3</w:t>
      </w:r>
      <w:r>
        <w:rPr>
          <w:spacing w:val="-5"/>
        </w:rPr>
        <w:t>月至</w:t>
      </w:r>
      <w:r>
        <w:rPr>
          <w:rFonts w:ascii="宋体" w:hAnsi="宋体" w:cs="宋体" w:eastAsia="宋体" w:hint="default"/>
          <w:spacing w:val="-5"/>
        </w:rPr>
        <w:t>2019</w:t>
      </w:r>
      <w:r>
        <w:rPr>
          <w:spacing w:val="-5"/>
        </w:rPr>
        <w:t>年</w:t>
      </w:r>
      <w:r>
        <w:rPr>
          <w:rFonts w:ascii="宋体" w:hAnsi="宋体" w:cs="宋体" w:eastAsia="宋体" w:hint="default"/>
          <w:spacing w:val="-5"/>
        </w:rPr>
        <w:t>6</w:t>
      </w:r>
      <w:r>
        <w:rPr>
          <w:spacing w:val="-5"/>
        </w:rPr>
        <w:t>月任陕药集团财务管理部经理，</w:t>
      </w:r>
      <w:r>
        <w:rPr>
          <w:rFonts w:ascii="宋体" w:hAnsi="宋体" w:cs="宋体" w:eastAsia="宋体" w:hint="default"/>
          <w:spacing w:val="-5"/>
        </w:rPr>
        <w:t>2019</w:t>
      </w:r>
      <w:r>
        <w:rPr>
          <w:rFonts w:ascii="宋体" w:hAnsi="宋体" w:cs="宋体" w:eastAsia="宋体" w:hint="default"/>
          <w:spacing w:val="-39"/>
        </w:rPr>
        <w:t> </w:t>
      </w:r>
      <w:r>
        <w:rPr/>
        <w:t>年</w:t>
      </w:r>
      <w:r>
        <w:rPr>
          <w:rFonts w:ascii="宋体" w:hAnsi="宋体" w:cs="宋体" w:eastAsia="宋体" w:hint="default"/>
        </w:rPr>
        <w:t>7</w:t>
      </w:r>
      <w:r>
        <w:rPr/>
        <w:t>月任陕药集团副总审计师，审计部经理；</w:t>
      </w:r>
      <w:r>
        <w:rPr>
          <w:rFonts w:ascii="宋体" w:hAnsi="宋体" w:cs="宋体" w:eastAsia="宋体" w:hint="default"/>
        </w:rPr>
        <w:t>2013</w:t>
      </w:r>
      <w:r>
        <w:rPr/>
        <w:t>年</w:t>
      </w:r>
      <w:r>
        <w:rPr>
          <w:rFonts w:ascii="宋体" w:hAnsi="宋体" w:cs="宋体" w:eastAsia="宋体" w:hint="default"/>
        </w:rPr>
        <w:t>11</w:t>
      </w:r>
      <w:r>
        <w:rPr/>
        <w:t>月至今，任公司监事会主席。</w:t>
      </w:r>
    </w:p>
    <w:p>
      <w:pPr>
        <w:pStyle w:val="BodyText"/>
        <w:spacing w:line="312" w:lineRule="auto" w:before="22"/>
        <w:ind w:right="0" w:firstLine="422"/>
        <w:jc w:val="left"/>
      </w:pPr>
      <w:r>
        <w:rPr/>
        <w:t>赵坚，男，中国国籍，无境外居留权，</w:t>
      </w:r>
      <w:r>
        <w:rPr>
          <w:rFonts w:ascii="宋体" w:hAnsi="宋体" w:cs="宋体" w:eastAsia="宋体" w:hint="default"/>
        </w:rPr>
        <w:t>1968</w:t>
      </w:r>
      <w:r>
        <w:rPr/>
        <w:t>年</w:t>
      </w:r>
      <w:r>
        <w:rPr>
          <w:rFonts w:ascii="宋体" w:hAnsi="宋体" w:cs="宋体" w:eastAsia="宋体" w:hint="default"/>
        </w:rPr>
        <w:t>2</w:t>
      </w:r>
      <w:r>
        <w:rPr/>
        <w:t>月出生，硕士研究生。主要工作经历：</w:t>
      </w:r>
      <w:r>
        <w:rPr>
          <w:rFonts w:ascii="宋体" w:hAnsi="宋体" w:cs="宋体" w:eastAsia="宋体" w:hint="default"/>
        </w:rPr>
        <w:t>1997</w:t>
      </w:r>
      <w:r>
        <w:rPr/>
        <w:t>年至</w:t>
      </w:r>
      <w:r>
        <w:rPr>
          <w:rFonts w:ascii="宋体" w:hAnsi="宋体" w:cs="宋体" w:eastAsia="宋体" w:hint="default"/>
        </w:rPr>
        <w:t>2009</w:t>
      </w:r>
      <w:r>
        <w:rPr>
          <w:rFonts w:ascii="宋体" w:hAnsi="宋体" w:cs="宋体" w:eastAsia="宋体" w:hint="default"/>
          <w:w w:val="100"/>
        </w:rPr>
        <w:t> </w:t>
      </w:r>
      <w:r>
        <w:rPr/>
        <w:t>年，任广发银行上海分行公司银行部经理；</w:t>
      </w:r>
      <w:r>
        <w:rPr>
          <w:rFonts w:ascii="宋体" w:hAnsi="宋体" w:cs="宋体" w:eastAsia="宋体" w:hint="default"/>
        </w:rPr>
        <w:t>2009</w:t>
      </w:r>
      <w:r>
        <w:rPr/>
        <w:t>年</w:t>
      </w:r>
      <w:r>
        <w:rPr>
          <w:rFonts w:ascii="宋体" w:hAnsi="宋体" w:cs="宋体" w:eastAsia="宋体" w:hint="default"/>
        </w:rPr>
        <w:t>2</w:t>
      </w:r>
      <w:r>
        <w:rPr/>
        <w:t>月至</w:t>
      </w:r>
      <w:r>
        <w:rPr>
          <w:rFonts w:ascii="宋体" w:hAnsi="宋体" w:cs="宋体" w:eastAsia="宋体" w:hint="default"/>
        </w:rPr>
        <w:t>2014</w:t>
      </w:r>
      <w:r>
        <w:rPr/>
        <w:t>年</w:t>
      </w:r>
      <w:r>
        <w:rPr>
          <w:rFonts w:ascii="宋体" w:hAnsi="宋体" w:cs="宋体" w:eastAsia="宋体" w:hint="default"/>
        </w:rPr>
        <w:t>6</w:t>
      </w:r>
      <w:r>
        <w:rPr/>
        <w:t>月，历任渤海银行上海分行公司银行部、</w:t>
      </w:r>
      <w:r>
        <w:rPr>
          <w:spacing w:val="-33"/>
        </w:rPr>
        <w:t> </w:t>
      </w:r>
      <w:r>
        <w:rPr>
          <w:spacing w:val="-33"/>
        </w:rPr>
      </w:r>
      <w:r>
        <w:rPr>
          <w:spacing w:val="-2"/>
        </w:rPr>
        <w:t>中小企业部总经理；</w:t>
      </w:r>
      <w:r>
        <w:rPr>
          <w:rFonts w:ascii="宋体" w:hAnsi="宋体" w:cs="宋体" w:eastAsia="宋体" w:hint="default"/>
          <w:spacing w:val="-2"/>
        </w:rPr>
        <w:t>2016</w:t>
      </w:r>
      <w:r>
        <w:rPr>
          <w:spacing w:val="-2"/>
        </w:rPr>
        <w:t>年</w:t>
      </w:r>
      <w:r>
        <w:rPr>
          <w:rFonts w:ascii="宋体" w:hAnsi="宋体" w:cs="宋体" w:eastAsia="宋体" w:hint="default"/>
          <w:spacing w:val="-2"/>
        </w:rPr>
        <w:t>6</w:t>
      </w:r>
      <w:r>
        <w:rPr>
          <w:spacing w:val="-2"/>
        </w:rPr>
        <w:t>月至今，任上海久日投资管理有限公司总经理；</w:t>
      </w:r>
      <w:r>
        <w:rPr>
          <w:rFonts w:ascii="宋体" w:hAnsi="宋体" w:cs="宋体" w:eastAsia="宋体" w:hint="default"/>
          <w:spacing w:val="-2"/>
        </w:rPr>
        <w:t>2019</w:t>
      </w:r>
      <w:r>
        <w:rPr>
          <w:spacing w:val="-2"/>
        </w:rPr>
        <w:t>年</w:t>
      </w:r>
      <w:r>
        <w:rPr>
          <w:rFonts w:ascii="宋体" w:hAnsi="宋体" w:cs="宋体" w:eastAsia="宋体" w:hint="default"/>
          <w:spacing w:val="-2"/>
        </w:rPr>
        <w:t>6</w:t>
      </w:r>
      <w:r>
        <w:rPr>
          <w:spacing w:val="-2"/>
        </w:rPr>
        <w:t>月至今，任上海包装</w:t>
      </w:r>
      <w:r>
        <w:rPr>
          <w:spacing w:val="-27"/>
        </w:rPr>
        <w:t> </w:t>
      </w:r>
      <w:r>
        <w:rPr>
          <w:spacing w:val="-27"/>
        </w:rPr>
      </w:r>
      <w:r>
        <w:rPr/>
        <w:t>造纸（集团）有限公司监事。</w:t>
      </w:r>
    </w:p>
    <w:p>
      <w:pPr>
        <w:pStyle w:val="BodyText"/>
        <w:spacing w:line="312" w:lineRule="auto" w:before="22"/>
        <w:ind w:right="0" w:firstLine="422"/>
        <w:jc w:val="left"/>
      </w:pPr>
      <w:r>
        <w:rPr/>
        <w:t>惠俊玉，男，</w:t>
      </w:r>
      <w:r>
        <w:rPr>
          <w:rFonts w:ascii="宋体" w:hAnsi="宋体" w:cs="宋体" w:eastAsia="宋体" w:hint="default"/>
        </w:rPr>
        <w:t>1971</w:t>
      </w:r>
      <w:r>
        <w:rPr/>
        <w:t>年</w:t>
      </w:r>
      <w:r>
        <w:rPr>
          <w:rFonts w:ascii="宋体" w:hAnsi="宋体" w:cs="宋体" w:eastAsia="宋体" w:hint="default"/>
        </w:rPr>
        <w:t>5</w:t>
      </w:r>
      <w:r>
        <w:rPr/>
        <w:t>月出生，中国国籍，大学本科学历，工业自动化专业，工程师，中共党员，无</w:t>
      </w:r>
      <w:r>
        <w:rPr>
          <w:w w:val="100"/>
        </w:rPr>
        <w:t> </w:t>
      </w:r>
      <w:r>
        <w:rPr>
          <w:spacing w:val="-2"/>
        </w:rPr>
        <w:t>境外居留权。现任公司生产总监、职工监事，天津环球董事、总经理。主要工作经历：</w:t>
      </w:r>
      <w:r>
        <w:rPr>
          <w:rFonts w:ascii="宋体" w:hAnsi="宋体" w:cs="宋体" w:eastAsia="宋体" w:hint="default"/>
          <w:spacing w:val="-2"/>
        </w:rPr>
        <w:t>2001</w:t>
      </w:r>
      <w:r>
        <w:rPr>
          <w:spacing w:val="-2"/>
        </w:rPr>
        <w:t>年至今，历任</w:t>
      </w:r>
      <w:r>
        <w:rPr>
          <w:spacing w:val="-31"/>
        </w:rPr>
        <w:t> </w:t>
      </w:r>
      <w:r>
        <w:rPr>
          <w:spacing w:val="-31"/>
        </w:rPr>
      </w:r>
      <w:r>
        <w:rPr>
          <w:spacing w:val="-2"/>
        </w:rPr>
        <w:t>公司工程设备管理部经理、研发总监、职工监事、生产总监；</w:t>
      </w:r>
      <w:r>
        <w:rPr>
          <w:rFonts w:ascii="宋体" w:hAnsi="宋体" w:cs="宋体" w:eastAsia="宋体" w:hint="default"/>
          <w:spacing w:val="-2"/>
        </w:rPr>
        <w:t>2009</w:t>
      </w:r>
      <w:r>
        <w:rPr>
          <w:spacing w:val="-2"/>
        </w:rPr>
        <w:t>年至今，历任天津环球副总经理、常务</w:t>
      </w:r>
      <w:r>
        <w:rPr>
          <w:spacing w:val="-27"/>
        </w:rPr>
        <w:t> </w:t>
      </w:r>
      <w:r>
        <w:rPr>
          <w:spacing w:val="-27"/>
        </w:rPr>
      </w:r>
      <w:r>
        <w:rPr/>
        <w:t>副总经理、总经理。</w:t>
      </w:r>
    </w:p>
    <w:p>
      <w:pPr>
        <w:spacing w:line="240" w:lineRule="auto" w:before="3"/>
        <w:rPr>
          <w:rFonts w:ascii="宋体" w:hAnsi="宋体" w:cs="宋体" w:eastAsia="宋体" w:hint="default"/>
          <w:sz w:val="29"/>
          <w:szCs w:val="29"/>
        </w:rPr>
      </w:pPr>
    </w:p>
    <w:p>
      <w:pPr>
        <w:spacing w:line="314" w:lineRule="auto" w:before="0"/>
        <w:ind w:left="153" w:right="6054" w:firstLine="0"/>
        <w:jc w:val="left"/>
        <w:rPr>
          <w:rFonts w:ascii="宋体" w:hAnsi="宋体" w:cs="宋体" w:eastAsia="宋体" w:hint="default"/>
          <w:sz w:val="21"/>
          <w:szCs w:val="21"/>
        </w:rPr>
      </w:pPr>
      <w:r>
        <w:rPr>
          <w:rFonts w:ascii="宋体" w:hAnsi="宋体" w:cs="宋体" w:eastAsia="宋体" w:hint="default"/>
          <w:b/>
          <w:bCs/>
          <w:sz w:val="21"/>
          <w:szCs w:val="21"/>
        </w:rPr>
        <w:t>（三）公司高级管理人员任职情况</w:t>
      </w:r>
      <w:r>
        <w:rPr>
          <w:rFonts w:ascii="宋体" w:hAnsi="宋体" w:cs="宋体" w:eastAsia="宋体" w:hint="default"/>
          <w:b/>
          <w:bCs/>
          <w:spacing w:val="-101"/>
          <w:sz w:val="21"/>
          <w:szCs w:val="21"/>
        </w:rPr>
        <w:t> </w:t>
      </w:r>
      <w:r>
        <w:rPr>
          <w:rFonts w:ascii="宋体" w:hAnsi="宋体" w:cs="宋体" w:eastAsia="宋体" w:hint="default"/>
          <w:spacing w:val="-1"/>
          <w:sz w:val="21"/>
          <w:szCs w:val="21"/>
        </w:rPr>
        <w:t>孙学军，详见“（一）公司董事任职情况”</w:t>
      </w:r>
    </w:p>
    <w:p>
      <w:pPr>
        <w:spacing w:line="240" w:lineRule="auto" w:before="9"/>
        <w:rPr>
          <w:rFonts w:ascii="宋体" w:hAnsi="宋体" w:cs="宋体" w:eastAsia="宋体" w:hint="default"/>
          <w:sz w:val="28"/>
          <w:szCs w:val="28"/>
        </w:rPr>
      </w:pPr>
    </w:p>
    <w:p>
      <w:pPr>
        <w:pStyle w:val="BodyText"/>
        <w:spacing w:line="314" w:lineRule="auto" w:before="0"/>
        <w:ind w:right="0" w:firstLine="480"/>
        <w:jc w:val="left"/>
      </w:pPr>
      <w:r>
        <w:rPr>
          <w:spacing w:val="-6"/>
        </w:rPr>
        <w:t>夏顺伟，男，</w:t>
      </w:r>
      <w:r>
        <w:rPr>
          <w:rFonts w:ascii="宋体" w:hAnsi="宋体" w:cs="宋体" w:eastAsia="宋体" w:hint="default"/>
          <w:spacing w:val="-6"/>
        </w:rPr>
        <w:t>1964</w:t>
      </w:r>
      <w:r>
        <w:rPr>
          <w:spacing w:val="-6"/>
        </w:rPr>
        <w:t>年</w:t>
      </w:r>
      <w:r>
        <w:rPr>
          <w:rFonts w:ascii="宋体" w:hAnsi="宋体" w:cs="宋体" w:eastAsia="宋体" w:hint="default"/>
          <w:spacing w:val="-6"/>
        </w:rPr>
        <w:t>8</w:t>
      </w:r>
      <w:r>
        <w:rPr>
          <w:spacing w:val="-6"/>
        </w:rPr>
        <w:t>月出生，中国国籍，研究生学历，高级工程师，九三学社社员，无境外居留权。</w:t>
      </w:r>
      <w:r>
        <w:rPr>
          <w:w w:val="100"/>
        </w:rPr>
        <w:t> </w:t>
      </w:r>
      <w:r>
        <w:rPr/>
        <w:t>现任公司执行总经理、西安德宝董事、天津环球董事。主要工作经历：</w:t>
      </w:r>
      <w:r>
        <w:rPr>
          <w:rFonts w:ascii="宋体" w:hAnsi="宋体" w:cs="宋体" w:eastAsia="宋体" w:hint="default"/>
        </w:rPr>
        <w:t>2000</w:t>
      </w:r>
      <w:r>
        <w:rPr/>
        <w:t>年</w:t>
      </w:r>
      <w:r>
        <w:rPr>
          <w:rFonts w:ascii="宋体" w:hAnsi="宋体" w:cs="宋体" w:eastAsia="宋体" w:hint="default"/>
        </w:rPr>
        <w:t>7</w:t>
      </w:r>
      <w:r>
        <w:rPr/>
        <w:t>月至</w:t>
      </w:r>
      <w:r>
        <w:rPr>
          <w:rFonts w:ascii="宋体" w:hAnsi="宋体" w:cs="宋体" w:eastAsia="宋体" w:hint="default"/>
        </w:rPr>
        <w:t>2019</w:t>
      </w:r>
      <w:r>
        <w:rPr/>
        <w:t>年</w:t>
      </w:r>
      <w:r>
        <w:rPr>
          <w:rFonts w:ascii="宋体" w:hAnsi="宋体" w:cs="宋体" w:eastAsia="宋体" w:hint="default"/>
        </w:rPr>
        <w:t>3</w:t>
      </w:r>
      <w:r>
        <w:rPr/>
        <w:t>月，任西安德</w:t>
      </w:r>
      <w:r>
        <w:rPr>
          <w:w w:val="100"/>
        </w:rPr>
        <w:t> </w:t>
      </w:r>
      <w:r>
        <w:rPr/>
        <w:t>宝总经理；</w:t>
      </w:r>
      <w:r>
        <w:rPr>
          <w:rFonts w:ascii="宋体" w:hAnsi="宋体" w:cs="宋体" w:eastAsia="宋体" w:hint="default"/>
        </w:rPr>
        <w:t>2007</w:t>
      </w:r>
      <w:r>
        <w:rPr/>
        <w:t>年</w:t>
      </w:r>
      <w:r>
        <w:rPr>
          <w:rFonts w:ascii="宋体" w:hAnsi="宋体" w:cs="宋体" w:eastAsia="宋体" w:hint="default"/>
        </w:rPr>
        <w:t>7</w:t>
      </w:r>
      <w:r>
        <w:rPr/>
        <w:t>月至今，任西安德宝董事；</w:t>
      </w:r>
      <w:r>
        <w:rPr>
          <w:rFonts w:ascii="宋体" w:hAnsi="宋体" w:cs="宋体" w:eastAsia="宋体" w:hint="default"/>
        </w:rPr>
        <w:t>2016</w:t>
      </w:r>
      <w:r>
        <w:rPr/>
        <w:t>年</w:t>
      </w:r>
      <w:r>
        <w:rPr>
          <w:rFonts w:ascii="宋体" w:hAnsi="宋体" w:cs="宋体" w:eastAsia="宋体" w:hint="default"/>
        </w:rPr>
        <w:t>7</w:t>
      </w:r>
      <w:r>
        <w:rPr/>
        <w:t>月至</w:t>
      </w:r>
      <w:r>
        <w:rPr>
          <w:rFonts w:ascii="宋体" w:hAnsi="宋体" w:cs="宋体" w:eastAsia="宋体" w:hint="default"/>
        </w:rPr>
        <w:t>2019</w:t>
      </w:r>
      <w:r>
        <w:rPr/>
        <w:t>年</w:t>
      </w:r>
      <w:r>
        <w:rPr>
          <w:rFonts w:ascii="宋体" w:hAnsi="宋体" w:cs="宋体" w:eastAsia="宋体" w:hint="default"/>
        </w:rPr>
        <w:t>3</w:t>
      </w:r>
      <w:r>
        <w:rPr/>
        <w:t>月，任公司副总经理，分管西安德宝</w:t>
      </w:r>
      <w:r>
        <w:rPr>
          <w:w w:val="100"/>
        </w:rPr>
        <w:t> </w:t>
      </w:r>
      <w:r>
        <w:rPr/>
        <w:t>公司；</w:t>
      </w:r>
      <w:r>
        <w:rPr>
          <w:rFonts w:ascii="宋体" w:hAnsi="宋体" w:cs="宋体" w:eastAsia="宋体" w:hint="default"/>
        </w:rPr>
        <w:t>2019</w:t>
      </w:r>
      <w:r>
        <w:rPr/>
        <w:t>年</w:t>
      </w:r>
      <w:r>
        <w:rPr>
          <w:rFonts w:ascii="宋体" w:hAnsi="宋体" w:cs="宋体" w:eastAsia="宋体" w:hint="default"/>
        </w:rPr>
        <w:t>4</w:t>
      </w:r>
      <w:r>
        <w:rPr/>
        <w:t>月至今，任公司执行总经理；</w:t>
      </w:r>
      <w:r>
        <w:rPr>
          <w:rFonts w:ascii="宋体" w:hAnsi="宋体" w:cs="宋体" w:eastAsia="宋体" w:hint="default"/>
        </w:rPr>
        <w:t>2019</w:t>
      </w:r>
      <w:r>
        <w:rPr/>
        <w:t>年</w:t>
      </w:r>
      <w:r>
        <w:rPr>
          <w:rFonts w:ascii="宋体" w:hAnsi="宋体" w:cs="宋体" w:eastAsia="宋体" w:hint="default"/>
        </w:rPr>
        <w:t>7</w:t>
      </w:r>
      <w:r>
        <w:rPr/>
        <w:t>月至今，任天津环球董事。曾获</w:t>
      </w:r>
      <w:r>
        <w:rPr>
          <w:spacing w:val="1"/>
        </w:rPr>
        <w:t> </w:t>
      </w:r>
      <w:r>
        <w:rPr/>
        <w:t>“西部开发优秀创</w:t>
      </w:r>
      <w:r>
        <w:rPr>
          <w:w w:val="100"/>
        </w:rPr>
        <w:t> </w:t>
      </w:r>
      <w:r>
        <w:rPr/>
        <w:t>业者”、“2011中国优秀创新企业家”、“陕西省医药系统先进工作者”、第五届陕西省优秀企业家”、</w:t>
      </w:r>
      <w:r>
        <w:rPr>
          <w:spacing w:val="-28"/>
        </w:rPr>
        <w:t> </w:t>
      </w:r>
      <w:r>
        <w:rPr>
          <w:spacing w:val="-28"/>
        </w:rPr>
      </w:r>
      <w:r>
        <w:rPr/>
        <w:t>“西安市改革开放四十周年十大杰出企业家”、“陕药集团二十年有突出贡献人物”等荣誉称号。</w:t>
      </w:r>
    </w:p>
    <w:p>
      <w:pPr>
        <w:pStyle w:val="BodyText"/>
        <w:spacing w:line="312" w:lineRule="auto"/>
        <w:ind w:right="0" w:firstLine="480"/>
        <w:jc w:val="left"/>
      </w:pPr>
      <w:r>
        <w:rPr/>
        <w:t>林蔚，女，</w:t>
      </w:r>
      <w:r>
        <w:rPr>
          <w:rFonts w:ascii="宋体" w:hAnsi="宋体" w:cs="宋体" w:eastAsia="宋体" w:hint="default"/>
        </w:rPr>
        <w:t>1970</w:t>
      </w:r>
      <w:r>
        <w:rPr/>
        <w:t>年</w:t>
      </w:r>
      <w:r>
        <w:rPr>
          <w:rFonts w:ascii="宋体" w:hAnsi="宋体" w:cs="宋体" w:eastAsia="宋体" w:hint="default"/>
        </w:rPr>
        <w:t>2</w:t>
      </w:r>
      <w:r>
        <w:rPr/>
        <w:t>月出生，中国国籍，大专学历，会计师、高级国际财务管理师，中共党员，无境</w:t>
      </w:r>
      <w:r>
        <w:rPr>
          <w:w w:val="100"/>
        </w:rPr>
        <w:t> </w:t>
      </w:r>
      <w:r>
        <w:rPr/>
        <w:t>外居留权。现任公司副总经理、董事会秘书、总会计师（财务负责人），西安德宝董事，天津环球董事，</w:t>
      </w:r>
      <w:r>
        <w:rPr>
          <w:spacing w:val="-33"/>
        </w:rPr>
        <w:t> </w:t>
      </w:r>
      <w:r>
        <w:rPr>
          <w:spacing w:val="-33"/>
        </w:rPr>
      </w:r>
      <w:r>
        <w:rPr>
          <w:spacing w:val="-2"/>
        </w:rPr>
        <w:t>领凯科技董事，北京金印联董事。主要工作经历：</w:t>
      </w:r>
      <w:r>
        <w:rPr>
          <w:rFonts w:ascii="宋体" w:hAnsi="宋体" w:cs="宋体" w:eastAsia="宋体" w:hint="default"/>
          <w:spacing w:val="-2"/>
        </w:rPr>
        <w:t>2001</w:t>
      </w:r>
      <w:r>
        <w:rPr>
          <w:spacing w:val="-2"/>
        </w:rPr>
        <w:t>年至今，历任公司会计主管、经理助理、财务部经</w:t>
      </w:r>
      <w:r>
        <w:rPr>
          <w:spacing w:val="-27"/>
        </w:rPr>
        <w:t> </w:t>
      </w:r>
      <w:r>
        <w:rPr>
          <w:spacing w:val="-27"/>
        </w:rPr>
      </w:r>
      <w:r>
        <w:rPr>
          <w:spacing w:val="-2"/>
        </w:rPr>
        <w:t>理、总会计师（财务负责人）、董事会秘书、副总经理，天津环球董事，西安德宝董事。曾获“陕西省国</w:t>
      </w:r>
      <w:r>
        <w:rPr>
          <w:spacing w:val="-34"/>
        </w:rPr>
        <w:t> </w:t>
      </w:r>
      <w:r>
        <w:rPr>
          <w:spacing w:val="-34"/>
        </w:rPr>
      </w:r>
      <w:r>
        <w:rPr>
          <w:spacing w:val="-2"/>
        </w:rPr>
        <w:t>资委先进工作者”、“陕西省财贸系统五一巾帼标兵”、“陕西省总工会五一巾帼标兵”、“陕药集团十</w:t>
      </w:r>
      <w:r>
        <w:rPr>
          <w:spacing w:val="-31"/>
        </w:rPr>
        <w:t> </w:t>
      </w:r>
      <w:r>
        <w:rPr>
          <w:spacing w:val="-31"/>
        </w:rPr>
      </w:r>
      <w:r>
        <w:rPr/>
        <w:t>大经济人物”等荣誉称号。</w:t>
      </w:r>
    </w:p>
    <w:p>
      <w:pPr>
        <w:spacing w:after="0" w:line="312" w:lineRule="auto"/>
        <w:jc w:val="left"/>
        <w:sectPr>
          <w:pgSz w:w="11910" w:h="16840"/>
          <w:pgMar w:header="460" w:footer="979" w:top="1100" w:bottom="1160" w:left="980" w:right="0"/>
        </w:sectPr>
      </w:pPr>
    </w:p>
    <w:p>
      <w:pPr>
        <w:spacing w:line="240" w:lineRule="auto" w:before="7"/>
        <w:rPr>
          <w:rFonts w:ascii="宋体" w:hAnsi="宋体" w:cs="宋体" w:eastAsia="宋体" w:hint="default"/>
          <w:sz w:val="22"/>
          <w:szCs w:val="22"/>
        </w:rPr>
      </w:pPr>
    </w:p>
    <w:p>
      <w:pPr>
        <w:pStyle w:val="BodyText"/>
        <w:spacing w:line="314" w:lineRule="auto" w:before="36"/>
        <w:ind w:right="0" w:firstLine="480"/>
        <w:jc w:val="left"/>
      </w:pPr>
      <w:r>
        <w:rPr>
          <w:spacing w:val="-8"/>
        </w:rPr>
        <w:t>赵建平，男，</w:t>
      </w:r>
      <w:r>
        <w:rPr>
          <w:rFonts w:ascii="宋体" w:hAnsi="宋体" w:cs="宋体" w:eastAsia="宋体" w:hint="default"/>
          <w:spacing w:val="-8"/>
        </w:rPr>
        <w:t>1968</w:t>
      </w:r>
      <w:r>
        <w:rPr>
          <w:spacing w:val="-8"/>
        </w:rPr>
        <w:t>年</w:t>
      </w:r>
      <w:r>
        <w:rPr>
          <w:rFonts w:ascii="宋体" w:hAnsi="宋体" w:cs="宋体" w:eastAsia="宋体" w:hint="default"/>
          <w:spacing w:val="-8"/>
        </w:rPr>
        <w:t>11</w:t>
      </w:r>
      <w:r>
        <w:rPr>
          <w:spacing w:val="-8"/>
        </w:rPr>
        <w:t>月出生，中国国籍，大学本科学历，工程师，高级生产运作管理师，中共党员，</w:t>
      </w:r>
      <w:r>
        <w:rPr>
          <w:w w:val="100"/>
        </w:rPr>
        <w:t> </w:t>
      </w:r>
      <w:r>
        <w:rPr/>
        <w:t>无境外居留权。现任公司副总经理，永鑫包装董事长，天津环球董事，西安德宝总经理。主要工作经历：</w:t>
      </w:r>
      <w:r>
        <w:rPr>
          <w:spacing w:val="-33"/>
        </w:rPr>
        <w:t> </w:t>
      </w:r>
      <w:r>
        <w:rPr>
          <w:spacing w:val="-33"/>
        </w:rPr>
      </w:r>
      <w:r>
        <w:rPr>
          <w:rFonts w:ascii="宋体" w:hAnsi="宋体" w:cs="宋体" w:eastAsia="宋体" w:hint="default"/>
          <w:spacing w:val="-2"/>
        </w:rPr>
        <w:t>2001</w:t>
      </w:r>
      <w:r>
        <w:rPr>
          <w:spacing w:val="-2"/>
        </w:rPr>
        <w:t>年至</w:t>
      </w:r>
      <w:r>
        <w:rPr>
          <w:rFonts w:ascii="宋体" w:hAnsi="宋体" w:cs="宋体" w:eastAsia="宋体" w:hint="default"/>
          <w:spacing w:val="-2"/>
        </w:rPr>
        <w:t>2004</w:t>
      </w:r>
      <w:r>
        <w:rPr>
          <w:spacing w:val="-2"/>
        </w:rPr>
        <w:t>年，任公司生产部经理；</w:t>
      </w:r>
      <w:r>
        <w:rPr>
          <w:rFonts w:ascii="宋体" w:hAnsi="宋体" w:cs="宋体" w:eastAsia="宋体" w:hint="default"/>
          <w:spacing w:val="-2"/>
        </w:rPr>
        <w:t>2004</w:t>
      </w:r>
      <w:r>
        <w:rPr>
          <w:spacing w:val="-2"/>
        </w:rPr>
        <w:t>年至</w:t>
      </w:r>
      <w:r>
        <w:rPr>
          <w:rFonts w:ascii="宋体" w:hAnsi="宋体" w:cs="宋体" w:eastAsia="宋体" w:hint="default"/>
          <w:spacing w:val="-2"/>
        </w:rPr>
        <w:t>2010</w:t>
      </w:r>
      <w:r>
        <w:rPr>
          <w:spacing w:val="-2"/>
        </w:rPr>
        <w:t>年，任永鑫包装副总经理、总经理；</w:t>
      </w:r>
      <w:r>
        <w:rPr>
          <w:rFonts w:ascii="宋体" w:hAnsi="宋体" w:cs="宋体" w:eastAsia="宋体" w:hint="default"/>
          <w:spacing w:val="-2"/>
        </w:rPr>
        <w:t>2010</w:t>
      </w:r>
      <w:r>
        <w:rPr>
          <w:spacing w:val="-2"/>
        </w:rPr>
        <w:t>年至今，历</w:t>
      </w:r>
      <w:r>
        <w:rPr>
          <w:spacing w:val="-11"/>
        </w:rPr>
        <w:t> </w:t>
      </w:r>
      <w:r>
        <w:rPr>
          <w:spacing w:val="-11"/>
        </w:rPr>
      </w:r>
      <w:r>
        <w:rPr/>
        <w:t>任公司总经理助理、副总经理，永鑫包装执行董事、永鑫包装董事长，天津环球董事、总经理；</w:t>
      </w:r>
      <w:r>
        <w:rPr>
          <w:rFonts w:ascii="宋体" w:hAnsi="宋体" w:cs="宋体" w:eastAsia="宋体" w:hint="default"/>
        </w:rPr>
        <w:t>2019</w:t>
      </w:r>
      <w:r>
        <w:rPr/>
        <w:t>年</w:t>
      </w:r>
      <w:r>
        <w:rPr>
          <w:rFonts w:ascii="宋体" w:hAnsi="宋体" w:cs="宋体" w:eastAsia="宋体" w:hint="default"/>
        </w:rPr>
        <w:t>4</w:t>
      </w:r>
      <w:r>
        <w:rPr>
          <w:rFonts w:ascii="宋体" w:hAnsi="宋体" w:cs="宋体" w:eastAsia="宋体" w:hint="default"/>
          <w:spacing w:val="-103"/>
        </w:rPr>
        <w:t> </w:t>
      </w:r>
      <w:r>
        <w:rPr/>
        <w:t>月至今，任西安德宝总经理。</w:t>
      </w:r>
    </w:p>
    <w:p>
      <w:pPr>
        <w:spacing w:line="240" w:lineRule="auto" w:before="10"/>
        <w:rPr>
          <w:rFonts w:ascii="宋体" w:hAnsi="宋体" w:cs="宋体" w:eastAsia="宋体" w:hint="default"/>
          <w:sz w:val="28"/>
          <w:szCs w:val="28"/>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在股东单位任职情况</w:t>
      </w:r>
    </w:p>
    <w:p>
      <w:pPr>
        <w:spacing w:line="343" w:lineRule="auto" w:before="115"/>
        <w:ind w:left="153" w:right="85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在其他单位任职情况</w:t>
      </w:r>
    </w:p>
    <w:p>
      <w:pPr>
        <w:spacing w:line="338" w:lineRule="auto" w:before="37"/>
        <w:ind w:left="153" w:right="29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公司现任及报告期内离任董事、监事和高级管理人员近三年证券监管机构处罚的情况</w:t>
      </w:r>
    </w:p>
    <w:p>
      <w:pPr>
        <w:spacing w:before="46"/>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2"/>
          <w:szCs w:val="22"/>
        </w:rPr>
      </w:pPr>
    </w:p>
    <w:p>
      <w:pPr>
        <w:pStyle w:val="Heading2"/>
        <w:spacing w:line="240" w:lineRule="auto"/>
        <w:ind w:right="0"/>
        <w:jc w:val="both"/>
        <w:rPr>
          <w:b w:val="0"/>
          <w:bCs w:val="0"/>
        </w:rPr>
      </w:pPr>
      <w:bookmarkStart w:name="四、董事、监事、高级管理人员报酬情况" w:id="133"/>
      <w:bookmarkEnd w:id="133"/>
      <w:r>
        <w:rPr>
          <w:b w:val="0"/>
          <w:bCs w:val="0"/>
        </w:rPr>
      </w:r>
      <w:r>
        <w:rPr/>
        <w:t>四、董事、监事、高级管理人员报酬情况</w:t>
      </w:r>
      <w:r>
        <w:rPr>
          <w:b w:val="0"/>
          <w:bCs w:val="0"/>
        </w:rPr>
      </w:r>
    </w:p>
    <w:p>
      <w:pPr>
        <w:spacing w:line="240" w:lineRule="auto" w:before="8"/>
        <w:rPr>
          <w:rFonts w:ascii="宋体" w:hAnsi="宋体" w:cs="宋体" w:eastAsia="宋体" w:hint="default"/>
          <w:b/>
          <w:bCs/>
          <w:sz w:val="25"/>
          <w:szCs w:val="25"/>
        </w:rPr>
      </w:pPr>
    </w:p>
    <w:p>
      <w:pPr>
        <w:spacing w:line="321" w:lineRule="auto" w:before="0"/>
        <w:ind w:left="633" w:right="0" w:hanging="480"/>
        <w:jc w:val="left"/>
        <w:rPr>
          <w:rFonts w:ascii="宋体" w:hAnsi="宋体" w:cs="宋体" w:eastAsia="宋体" w:hint="default"/>
          <w:sz w:val="21"/>
          <w:szCs w:val="21"/>
        </w:rPr>
      </w:pPr>
      <w:r>
        <w:rPr>
          <w:rFonts w:ascii="宋体" w:hAnsi="宋体" w:cs="宋体" w:eastAsia="宋体" w:hint="default"/>
          <w:b/>
          <w:bCs/>
          <w:sz w:val="21"/>
          <w:szCs w:val="21"/>
        </w:rPr>
        <w:t>董事、监事、高级管理人员报酬的决策程序、确定依据、实际支付情况</w:t>
      </w:r>
      <w:r>
        <w:rPr>
          <w:rFonts w:ascii="宋体" w:hAnsi="宋体" w:cs="宋体" w:eastAsia="宋体" w:hint="default"/>
          <w:b/>
          <w:bCs/>
          <w:w w:val="100"/>
          <w:sz w:val="21"/>
          <w:szCs w:val="21"/>
        </w:rPr>
        <w:t> </w:t>
      </w:r>
      <w:r>
        <w:rPr>
          <w:rFonts w:ascii="宋体" w:hAnsi="宋体" w:cs="宋体" w:eastAsia="宋体" w:hint="default"/>
          <w:spacing w:val="-1"/>
          <w:sz w:val="21"/>
          <w:szCs w:val="21"/>
        </w:rPr>
        <w:t>公司董事（非独立董事）、监事及高级管理人员的年度薪酬根据公司审议通过的绩效考核方案执行，</w:t>
      </w:r>
    </w:p>
    <w:p>
      <w:pPr>
        <w:pStyle w:val="BodyText"/>
        <w:spacing w:line="314" w:lineRule="auto" w:before="13"/>
        <w:ind w:right="1122"/>
        <w:jc w:val="both"/>
      </w:pPr>
      <w:r>
        <w:rPr>
          <w:spacing w:val="-2"/>
        </w:rPr>
        <w:t>结合年度经营业绩及个人考核情况进行核定。董事会薪酬与考核委员会对公司董事（非独立董事）及高级</w:t>
      </w:r>
      <w:r>
        <w:rPr>
          <w:spacing w:val="-33"/>
        </w:rPr>
        <w:t> </w:t>
      </w:r>
      <w:r>
        <w:rPr>
          <w:spacing w:val="-33"/>
        </w:rPr>
      </w:r>
      <w:r>
        <w:rPr>
          <w:spacing w:val="-2"/>
        </w:rPr>
        <w:t>管理人员的年度工作情况进行评定，年度考核采取工作汇报与综合评议的方式进行。</w:t>
      </w:r>
      <w:r>
        <w:rPr>
          <w:rFonts w:ascii="宋体" w:hAnsi="宋体" w:cs="宋体" w:eastAsia="宋体" w:hint="default"/>
          <w:spacing w:val="-2"/>
        </w:rPr>
        <w:t>2019</w:t>
      </w:r>
      <w:r>
        <w:rPr>
          <w:spacing w:val="-2"/>
        </w:rPr>
        <w:t>年度独立董事年</w:t>
      </w:r>
      <w:r>
        <w:rPr>
          <w:spacing w:val="-26"/>
        </w:rPr>
        <w:t> </w:t>
      </w:r>
      <w:r>
        <w:rPr>
          <w:spacing w:val="-26"/>
        </w:rPr>
      </w:r>
      <w:r>
        <w:rPr/>
        <w:t>薪标准为每人</w:t>
      </w:r>
      <w:r>
        <w:rPr>
          <w:rFonts w:ascii="宋体" w:hAnsi="宋体" w:cs="宋体" w:eastAsia="宋体" w:hint="default"/>
        </w:rPr>
        <w:t>5</w:t>
      </w:r>
      <w:r>
        <w:rPr/>
        <w:t>万元（含税）。</w:t>
      </w:r>
    </w:p>
    <w:p>
      <w:pPr>
        <w:pStyle w:val="Heading3"/>
        <w:spacing w:line="240" w:lineRule="auto" w:before="34"/>
        <w:ind w:right="0"/>
        <w:jc w:val="both"/>
        <w:rPr>
          <w:b w:val="0"/>
          <w:bCs w:val="0"/>
        </w:rPr>
      </w:pPr>
      <w:r>
        <w:rPr/>
        <w:t>公司报告期内董事、监事和高级管理人员报酬情况</w:t>
      </w:r>
      <w:r>
        <w:rPr>
          <w:b w:val="0"/>
          <w:bCs w:val="0"/>
        </w:rPr>
      </w:r>
    </w:p>
    <w:p>
      <w:pPr>
        <w:spacing w:before="10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369"/>
        <w:gridCol w:w="1604"/>
        <w:gridCol w:w="1133"/>
        <w:gridCol w:w="1364"/>
        <w:gridCol w:w="1368"/>
        <w:gridCol w:w="1369"/>
        <w:gridCol w:w="1369"/>
      </w:tblGrid>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31" w:right="46" w:hanging="183"/>
              <w:jc w:val="left"/>
              <w:rPr>
                <w:rFonts w:ascii="宋体" w:hAnsi="宋体" w:cs="宋体" w:eastAsia="宋体" w:hint="default"/>
                <w:sz w:val="18"/>
                <w:szCs w:val="18"/>
              </w:rPr>
            </w:pPr>
            <w:r>
              <w:rPr>
                <w:rFonts w:ascii="宋体" w:hAnsi="宋体" w:cs="宋体" w:eastAsia="宋体" w:hint="default"/>
                <w:spacing w:val="-3"/>
                <w:sz w:val="18"/>
                <w:szCs w:val="18"/>
              </w:rPr>
              <w:t>从公司获得的税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前报酬总额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30" w:right="46" w:hanging="183"/>
              <w:jc w:val="left"/>
              <w:rPr>
                <w:rFonts w:ascii="宋体" w:hAnsi="宋体" w:cs="宋体" w:eastAsia="宋体" w:hint="default"/>
                <w:sz w:val="18"/>
                <w:szCs w:val="18"/>
              </w:rPr>
            </w:pPr>
            <w:r>
              <w:rPr>
                <w:rFonts w:ascii="宋体" w:hAnsi="宋体" w:cs="宋体" w:eastAsia="宋体" w:hint="default"/>
                <w:spacing w:val="-3"/>
                <w:sz w:val="18"/>
                <w:szCs w:val="18"/>
              </w:rPr>
              <w:t>是否在公司关联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方获取报酬</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李移岭</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73.28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84"/>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孙学军</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73.09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84"/>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冯杰</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84"/>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郭青平</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84"/>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张明禹</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sz w:val="18"/>
              </w:rPr>
              <w:t>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84"/>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冯均科</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84"/>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宋林</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84"/>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张兴才</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84"/>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贾亚乐</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84"/>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赵坚</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84"/>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惠俊玉</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39.14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84"/>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夏顺伟</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执行总经理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84"/>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right"/>
        <w:rPr>
          <w:rFonts w:ascii="宋体" w:hAnsi="宋体" w:cs="宋体" w:eastAsia="宋体" w:hint="default"/>
          <w:sz w:val="18"/>
          <w:szCs w:val="18"/>
        </w:rPr>
        <w:sectPr>
          <w:pgSz w:w="11910" w:h="16840"/>
          <w:pgMar w:header="46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1369"/>
        <w:gridCol w:w="1604"/>
        <w:gridCol w:w="1133"/>
        <w:gridCol w:w="1364"/>
        <w:gridCol w:w="1368"/>
        <w:gridCol w:w="1369"/>
        <w:gridCol w:w="1369"/>
      </w:tblGrid>
      <w:tr>
        <w:trPr>
          <w:trHeight w:val="1027"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林蔚</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center"/>
              <w:rPr>
                <w:rFonts w:ascii="宋体" w:hAnsi="宋体" w:cs="宋体" w:eastAsia="宋体" w:hint="default"/>
                <w:sz w:val="18"/>
                <w:szCs w:val="18"/>
              </w:rPr>
            </w:pPr>
            <w:r>
              <w:rPr>
                <w:rFonts w:ascii="宋体" w:hAnsi="宋体" w:cs="宋体" w:eastAsia="宋体" w:hint="default"/>
                <w:spacing w:val="-11"/>
                <w:w w:val="101"/>
                <w:sz w:val="18"/>
                <w:szCs w:val="18"/>
              </w:rPr>
              <w:t>副总经理、董事会秘</w:t>
            </w:r>
            <w:r>
              <w:rPr>
                <w:rFonts w:ascii="宋体" w:hAnsi="宋体" w:cs="宋体" w:eastAsia="宋体" w:hint="default"/>
                <w:w w:val="101"/>
                <w:sz w:val="18"/>
                <w:szCs w:val="18"/>
              </w:rPr>
              <w:t> </w:t>
            </w:r>
            <w:r>
              <w:rPr>
                <w:rFonts w:ascii="宋体" w:hAnsi="宋体" w:cs="宋体" w:eastAsia="宋体" w:hint="default"/>
                <w:spacing w:val="-11"/>
                <w:sz w:val="18"/>
                <w:szCs w:val="18"/>
              </w:rPr>
              <w:t>书、总会计师（财务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负责人）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71"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90" w:right="0"/>
              <w:jc w:val="lef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赵建平</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71"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0" w:right="0"/>
              <w:jc w:val="lef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58.66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499"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619"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5"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5" w:right="0"/>
              <w:jc w:val="center"/>
              <w:rPr>
                <w:rFonts w:ascii="Times New Roman" w:hAnsi="Times New Roman" w:cs="Times New Roman" w:eastAsia="Times New Roman" w:hint="default"/>
                <w:sz w:val="18"/>
                <w:szCs w:val="18"/>
              </w:rPr>
            </w:pPr>
            <w:r>
              <w:rPr>
                <w:rFonts w:ascii="Times New Roman"/>
                <w:sz w:val="18"/>
              </w:rPr>
              <w:t>321.07</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公司董事、高级管理人员报告期内被授予的股权激励情况</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五、公司员工情况" w:id="134"/>
      <w:bookmarkEnd w:id="134"/>
      <w:r>
        <w:rPr>
          <w:b w:val="0"/>
          <w:bCs w:val="0"/>
        </w:rPr>
      </w:r>
      <w:r>
        <w:rPr/>
        <w:t>五、公司员工情况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员工数量、专业构成及教育程度" w:id="135"/>
      <w:bookmarkEnd w:id="135"/>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8"/>
        <w:gridCol w:w="4790"/>
      </w:tblGrid>
      <w:tr>
        <w:trPr>
          <w:trHeight w:val="404"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母公司在职员工的数量（人）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606</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pacing w:val="-3"/>
                <w:sz w:val="18"/>
                <w:szCs w:val="18"/>
              </w:rPr>
              <w:t>主要子公司在职员工的数量（人）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396</w:t>
            </w:r>
          </w:p>
        </w:tc>
      </w:tr>
      <w:tr>
        <w:trPr>
          <w:trHeight w:val="39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pacing w:val="-3"/>
                <w:sz w:val="18"/>
                <w:szCs w:val="18"/>
              </w:rPr>
              <w:t>在职员工的数量合计（人）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1,002</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当期领取薪酬员工总人数（人）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1,002</w:t>
            </w:r>
          </w:p>
        </w:tc>
      </w:tr>
      <w:tr>
        <w:trPr>
          <w:trHeight w:val="40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母公司及主要子公司需承担费用的离退休职工人数（人）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394"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7" w:right="0"/>
              <w:jc w:val="center"/>
              <w:rPr>
                <w:rFonts w:ascii="宋体" w:hAnsi="宋体" w:cs="宋体" w:eastAsia="宋体" w:hint="default"/>
                <w:sz w:val="18"/>
                <w:szCs w:val="18"/>
              </w:rPr>
            </w:pPr>
            <w:r>
              <w:rPr>
                <w:rFonts w:ascii="宋体" w:hAnsi="宋体" w:cs="宋体" w:eastAsia="宋体" w:hint="default"/>
                <w:spacing w:val="-3"/>
                <w:sz w:val="18"/>
                <w:szCs w:val="18"/>
              </w:rPr>
              <w:t>专业构成人数（人）</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563</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125</w:t>
            </w:r>
          </w:p>
        </w:tc>
      </w:tr>
      <w:tr>
        <w:trPr>
          <w:trHeight w:val="404"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196</w:t>
            </w:r>
          </w:p>
        </w:tc>
      </w:tr>
      <w:tr>
        <w:trPr>
          <w:trHeight w:val="39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sz w:val="18"/>
              </w:rPr>
              <w:t>34</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sz w:val="18"/>
              </w:rPr>
              <w:t>84</w:t>
            </w:r>
          </w:p>
        </w:tc>
      </w:tr>
      <w:tr>
        <w:trPr>
          <w:trHeight w:val="40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1,002</w:t>
            </w:r>
          </w:p>
        </w:tc>
      </w:tr>
      <w:tr>
        <w:trPr>
          <w:trHeight w:val="394"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硕士及以上</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pacing w:val="-3"/>
                <w:sz w:val="18"/>
                <w:szCs w:val="18"/>
              </w:rPr>
              <w:t>大学（含大专）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397</w:t>
            </w:r>
          </w:p>
        </w:tc>
      </w:tr>
      <w:tr>
        <w:trPr>
          <w:trHeight w:val="404" w:hRule="exact"/>
        </w:trPr>
        <w:tc>
          <w:tcPr>
            <w:tcW w:w="4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pacing w:val="-3"/>
                <w:sz w:val="18"/>
                <w:szCs w:val="18"/>
              </w:rPr>
              <w:t>高中或中专中技</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373</w:t>
            </w:r>
          </w:p>
        </w:tc>
      </w:tr>
      <w:tr>
        <w:trPr>
          <w:trHeight w:val="398" w:hRule="exact"/>
        </w:trPr>
        <w:tc>
          <w:tcPr>
            <w:tcW w:w="4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高中以下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227</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1,002</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薪酬政策" w:id="136"/>
      <w:bookmarkEnd w:id="136"/>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3"/>
        <w:rPr>
          <w:rFonts w:ascii="宋体" w:hAnsi="宋体" w:cs="宋体" w:eastAsia="宋体" w:hint="default"/>
          <w:b/>
          <w:bCs/>
          <w:sz w:val="26"/>
          <w:szCs w:val="26"/>
        </w:rPr>
      </w:pPr>
    </w:p>
    <w:p>
      <w:pPr>
        <w:pStyle w:val="BodyText"/>
        <w:spacing w:line="314" w:lineRule="auto" w:before="0"/>
        <w:ind w:right="0" w:firstLine="422"/>
        <w:jc w:val="left"/>
      </w:pPr>
      <w:r>
        <w:rPr>
          <w:spacing w:val="-2"/>
        </w:rPr>
        <w:t>公司实行以绩效为导向的薪酬与绩效管理制度，为充分调动员工工作积极性、提升员工工作技能、增</w:t>
      </w:r>
      <w:r>
        <w:rPr>
          <w:w w:val="100"/>
        </w:rPr>
        <w:t> </w:t>
      </w:r>
      <w:r>
        <w:rPr>
          <w:spacing w:val="-2"/>
        </w:rPr>
        <w:t>强员工凝聚力、向心力，公司制定了《公司领导班子成员薪酬绩效考核实施细则》、《中层管理人员薪酬</w:t>
      </w:r>
    </w:p>
    <w:p>
      <w:pPr>
        <w:spacing w:after="0" w:line="314" w:lineRule="auto"/>
        <w:jc w:val="left"/>
        <w:sectPr>
          <w:pgSz w:w="11910" w:h="16840"/>
          <w:pgMar w:header="460" w:footer="979" w:top="1100" w:bottom="1160" w:left="980" w:right="0"/>
        </w:sectPr>
      </w:pPr>
    </w:p>
    <w:p>
      <w:pPr>
        <w:spacing w:line="240" w:lineRule="auto" w:before="7"/>
        <w:rPr>
          <w:rFonts w:ascii="宋体" w:hAnsi="宋体" w:cs="宋体" w:eastAsia="宋体" w:hint="default"/>
          <w:sz w:val="22"/>
          <w:szCs w:val="22"/>
        </w:rPr>
      </w:pPr>
    </w:p>
    <w:p>
      <w:pPr>
        <w:pStyle w:val="BodyText"/>
        <w:spacing w:line="312" w:lineRule="auto" w:before="36"/>
        <w:ind w:right="1125"/>
        <w:jc w:val="both"/>
      </w:pPr>
      <w:r>
        <w:rPr>
          <w:spacing w:val="-7"/>
        </w:rPr>
        <w:t>与绩效管理办法》、《员工薪酬与绩效管理办法》，薪酬计发充分体现员工的岗位价值、技能水平。同时，</w:t>
      </w:r>
      <w:r>
        <w:rPr>
          <w:spacing w:val="-13"/>
        </w:rPr>
        <w:t> </w:t>
      </w:r>
      <w:r>
        <w:rPr>
          <w:spacing w:val="-13"/>
        </w:rPr>
      </w:r>
      <w:r>
        <w:rPr>
          <w:spacing w:val="-2"/>
        </w:rPr>
        <w:t>依照政策为员工提供五险一金、带薪休假和培训、福利用餐、住宿等待遇，并以行业市场为导向，结合地</w:t>
      </w:r>
      <w:r>
        <w:rPr>
          <w:spacing w:val="-38"/>
        </w:rPr>
        <w:t> </w:t>
      </w:r>
      <w:r>
        <w:rPr>
          <w:spacing w:val="-38"/>
        </w:rPr>
      </w:r>
      <w:r>
        <w:rPr>
          <w:spacing w:val="-2"/>
        </w:rPr>
        <w:t>区差异和物价水平的变化，对不同岗位员工的薪酬标准进行了调整，使企业薪酬结构与体系更趋合理，进</w:t>
      </w:r>
      <w:r>
        <w:rPr>
          <w:spacing w:val="-33"/>
        </w:rPr>
        <w:t> </w:t>
      </w:r>
      <w:r>
        <w:rPr>
          <w:spacing w:val="-33"/>
        </w:rPr>
      </w:r>
      <w:r>
        <w:rPr/>
        <w:t>一步完善了企业积极型薪酬政策。</w:t>
      </w:r>
    </w:p>
    <w:p>
      <w:pPr>
        <w:pStyle w:val="BodyText"/>
        <w:spacing w:line="314" w:lineRule="auto" w:before="65"/>
        <w:ind w:right="0" w:firstLine="422"/>
        <w:jc w:val="left"/>
      </w:pPr>
      <w:r>
        <w:rPr>
          <w:spacing w:val="-5"/>
        </w:rPr>
        <w:t>为建立和完善劳动者与所有者的利益共享机制，改善公司治理水平，提高员工的凝聚力和公司竞争力，</w:t>
      </w:r>
      <w:r>
        <w:rPr>
          <w:w w:val="100"/>
        </w:rPr>
        <w:t> </w:t>
      </w:r>
      <w:r>
        <w:rPr/>
        <w:t>吸引和保留优秀人才，促进公司长期、持续、健康发展，促进公司、股东和员工三方的利益最大化。报告</w:t>
      </w:r>
      <w:r>
        <w:rPr>
          <w:w w:val="100"/>
        </w:rPr>
        <w:t> </w:t>
      </w:r>
      <w:r>
        <w:rPr>
          <w:spacing w:val="-6"/>
        </w:rPr>
        <w:t>期内，公司实施了第一期员工持股计划，参与人数</w:t>
      </w:r>
      <w:r>
        <w:rPr>
          <w:rFonts w:ascii="Times New Roman" w:hAnsi="Times New Roman" w:cs="Times New Roman" w:eastAsia="Times New Roman" w:hint="default"/>
          <w:spacing w:val="-6"/>
        </w:rPr>
        <w:t>91</w:t>
      </w:r>
      <w:r>
        <w:rPr>
          <w:spacing w:val="-6"/>
        </w:rPr>
        <w:t>人，主要为公司中层以上管理人员及各岗位骨干员工。</w:t>
      </w:r>
    </w:p>
    <w:p>
      <w:pPr>
        <w:spacing w:line="240" w:lineRule="auto" w:before="5"/>
        <w:rPr>
          <w:rFonts w:ascii="宋体" w:hAnsi="宋体" w:cs="宋体" w:eastAsia="宋体" w:hint="default"/>
          <w:sz w:val="20"/>
          <w:szCs w:val="20"/>
        </w:rPr>
      </w:pPr>
    </w:p>
    <w:p>
      <w:pPr>
        <w:pStyle w:val="Heading3"/>
        <w:spacing w:line="240" w:lineRule="auto"/>
        <w:ind w:right="0"/>
        <w:jc w:val="both"/>
        <w:rPr>
          <w:b w:val="0"/>
          <w:bCs w:val="0"/>
        </w:rPr>
      </w:pPr>
      <w:bookmarkStart w:name="3、培训计划" w:id="137"/>
      <w:bookmarkEnd w:id="137"/>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4" w:lineRule="auto" w:before="0"/>
        <w:ind w:right="1124" w:firstLine="422"/>
        <w:jc w:val="both"/>
      </w:pPr>
      <w:r>
        <w:rPr>
          <w:spacing w:val="-2"/>
        </w:rPr>
        <w:t>公司一贯重视员工培训，认为培训是促进人才培养和绩效进步的重要途径，人力资源部按年度收集和</w:t>
      </w:r>
      <w:r>
        <w:rPr>
          <w:w w:val="100"/>
        </w:rPr>
        <w:t> </w:t>
      </w:r>
      <w:r>
        <w:rPr>
          <w:spacing w:val="-2"/>
        </w:rPr>
        <w:t>分析管理需求、制定和执行培训计划，从环境安全、管理改善、专业技术、企业文化、精益生产、特殊工</w:t>
      </w:r>
      <w:r>
        <w:rPr>
          <w:spacing w:val="-38"/>
        </w:rPr>
        <w:t> </w:t>
      </w:r>
      <w:r>
        <w:rPr>
          <w:spacing w:val="-38"/>
        </w:rPr>
      </w:r>
      <w:r>
        <w:rPr>
          <w:spacing w:val="-2"/>
        </w:rPr>
        <w:t>种技能、新员工应知应会等多个维度，合理筹划课程，多层次选择培训方式，以员工成长和企业发展并重</w:t>
      </w:r>
      <w:r>
        <w:rPr>
          <w:spacing w:val="-32"/>
        </w:rPr>
        <w:t> </w:t>
      </w:r>
      <w:r>
        <w:rPr>
          <w:spacing w:val="-32"/>
        </w:rPr>
      </w:r>
      <w:r>
        <w:rPr>
          <w:spacing w:val="-2"/>
        </w:rPr>
        <w:t>为落脚点，推动员工自我提升与团队绩效改善的有机结合，有力地促进了各岗位工作绩效和企业经营业绩</w:t>
      </w:r>
      <w:r>
        <w:rPr>
          <w:spacing w:val="-33"/>
        </w:rPr>
        <w:t> </w:t>
      </w:r>
      <w:r>
        <w:rPr>
          <w:spacing w:val="-33"/>
        </w:rPr>
      </w:r>
      <w:r>
        <w:rPr/>
        <w:t>的同步提升。</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bookmarkStart w:name="4、劳务外包情况" w:id="138"/>
      <w:bookmarkEnd w:id="138"/>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46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751" w:right="4724"/>
        <w:jc w:val="center"/>
        <w:rPr>
          <w:b w:val="0"/>
          <w:bCs w:val="0"/>
        </w:rPr>
      </w:pPr>
      <w:bookmarkStart w:name="第十节 公司治理" w:id="139"/>
      <w:bookmarkEnd w:id="139"/>
      <w:r>
        <w:rPr>
          <w:b w:val="0"/>
          <w:bCs w:val="0"/>
        </w:rPr>
      </w:r>
      <w:bookmarkStart w:name="_bookmark9" w:id="140"/>
      <w:bookmarkEnd w:id="140"/>
      <w:r>
        <w:rPr>
          <w:b w:val="0"/>
          <w:bCs w:val="0"/>
        </w:rPr>
      </w:r>
      <w:r>
        <w:rPr/>
        <w:t>第十节</w:t>
      </w:r>
      <w:r>
        <w:rPr>
          <w:spacing w:val="-1"/>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41"/>
      <w:bookmarkEnd w:id="141"/>
      <w:r>
        <w:rPr>
          <w:b w:val="0"/>
          <w:bCs w:val="0"/>
        </w:rPr>
      </w:r>
      <w:r>
        <w:rPr/>
        <w:t>一、公司治理的基本状况</w:t>
      </w:r>
      <w:r>
        <w:rPr>
          <w:b w:val="0"/>
          <w:bCs w:val="0"/>
        </w:rPr>
      </w:r>
    </w:p>
    <w:p>
      <w:pPr>
        <w:spacing w:line="240" w:lineRule="auto" w:before="1"/>
        <w:rPr>
          <w:rFonts w:ascii="宋体" w:hAnsi="宋体" w:cs="宋体" w:eastAsia="宋体" w:hint="default"/>
          <w:b/>
          <w:bCs/>
          <w:sz w:val="27"/>
          <w:szCs w:val="27"/>
        </w:rPr>
      </w:pPr>
    </w:p>
    <w:p>
      <w:pPr>
        <w:pStyle w:val="BodyText"/>
        <w:spacing w:line="314" w:lineRule="auto" w:before="0"/>
        <w:ind w:right="1123" w:firstLine="360"/>
        <w:jc w:val="both"/>
      </w:pPr>
      <w:r>
        <w:rPr>
          <w:spacing w:val="-2"/>
        </w:rPr>
        <w:t>报告期内，公司严格按照《公司法》、《证券法》、《上市公司治理准则》、《深圳证券交易所股票</w:t>
      </w:r>
      <w:r>
        <w:rPr>
          <w:w w:val="100"/>
        </w:rPr>
        <w:t> </w:t>
      </w:r>
      <w:r>
        <w:rPr>
          <w:spacing w:val="-2"/>
        </w:rPr>
        <w:t>上市规则》、《深圳证券交易所中小企业板上市公司规范运作指引》和中国证监会及深圳证券交易所其他</w:t>
      </w:r>
      <w:r>
        <w:rPr>
          <w:spacing w:val="-33"/>
        </w:rPr>
        <w:t> </w:t>
      </w:r>
      <w:r>
        <w:rPr>
          <w:spacing w:val="-33"/>
        </w:rPr>
      </w:r>
      <w:r>
        <w:rPr>
          <w:spacing w:val="-2"/>
        </w:rPr>
        <w:t>有关法律法规的要求，不断完善公司的法人治理结构，建立健全公司内控制度，股东大会、董事会和监事</w:t>
      </w:r>
      <w:r>
        <w:rPr>
          <w:spacing w:val="-31"/>
        </w:rPr>
        <w:t> </w:t>
      </w:r>
      <w:r>
        <w:rPr>
          <w:spacing w:val="-31"/>
        </w:rPr>
      </w:r>
      <w:r>
        <w:rPr>
          <w:spacing w:val="-2"/>
        </w:rPr>
        <w:t>会运作规范，独立董事、董事会各专门委员会各司其职，不断加强公司管理，控制防范风险，规范公司运</w:t>
      </w:r>
      <w:r>
        <w:rPr>
          <w:spacing w:val="-38"/>
        </w:rPr>
        <w:t> </w:t>
      </w:r>
      <w:r>
        <w:rPr>
          <w:spacing w:val="-38"/>
        </w:rPr>
      </w:r>
      <w:r>
        <w:rPr/>
        <w:t>作，提高运行效率。</w:t>
      </w:r>
    </w:p>
    <w:p>
      <w:pPr>
        <w:spacing w:line="314" w:lineRule="auto" w:before="15"/>
        <w:ind w:left="513" w:right="0" w:firstLine="0"/>
        <w:jc w:val="left"/>
        <w:rPr>
          <w:rFonts w:ascii="宋体" w:hAnsi="宋体" w:cs="宋体" w:eastAsia="宋体" w:hint="default"/>
          <w:sz w:val="21"/>
          <w:szCs w:val="21"/>
        </w:rPr>
      </w:pPr>
      <w:r>
        <w:rPr>
          <w:rFonts w:ascii="宋体" w:hAnsi="宋体" w:cs="宋体" w:eastAsia="宋体" w:hint="default"/>
          <w:b/>
          <w:bCs/>
          <w:sz w:val="21"/>
          <w:szCs w:val="21"/>
        </w:rPr>
        <w:t>（一）关于股东与股东大会</w:t>
      </w:r>
      <w:r>
        <w:rPr>
          <w:rFonts w:ascii="宋体" w:hAnsi="宋体" w:cs="宋体" w:eastAsia="宋体" w:hint="default"/>
          <w:b/>
          <w:bCs/>
          <w:spacing w:val="-102"/>
          <w:sz w:val="21"/>
          <w:szCs w:val="21"/>
        </w:rPr>
        <w:t> </w:t>
      </w:r>
      <w:r>
        <w:rPr>
          <w:rFonts w:ascii="宋体" w:hAnsi="宋体" w:cs="宋体" w:eastAsia="宋体" w:hint="default"/>
          <w:spacing w:val="-3"/>
          <w:sz w:val="21"/>
          <w:szCs w:val="21"/>
        </w:rPr>
        <w:t>报告期内，公司共召开</w:t>
      </w:r>
      <w:r>
        <w:rPr>
          <w:rFonts w:ascii="宋体" w:hAnsi="宋体" w:cs="宋体" w:eastAsia="宋体" w:hint="default"/>
          <w:spacing w:val="-3"/>
          <w:sz w:val="21"/>
          <w:szCs w:val="21"/>
        </w:rPr>
        <w:t>2</w:t>
      </w:r>
      <w:r>
        <w:rPr>
          <w:rFonts w:ascii="宋体" w:hAnsi="宋体" w:cs="宋体" w:eastAsia="宋体" w:hint="default"/>
          <w:spacing w:val="-3"/>
          <w:sz w:val="21"/>
          <w:szCs w:val="21"/>
        </w:rPr>
        <w:t>次股东大会。股东大会的召集召开程序、提案审议程序、决策程序均符合相关</w:t>
      </w:r>
    </w:p>
    <w:p>
      <w:pPr>
        <w:pStyle w:val="BodyText"/>
        <w:spacing w:line="312" w:lineRule="auto"/>
        <w:ind w:right="1125"/>
        <w:jc w:val="both"/>
      </w:pPr>
      <w:r>
        <w:rPr>
          <w:spacing w:val="-7"/>
        </w:rPr>
        <w:t>规定，保证全体股东，尤其是中小股东能按其所持股份享有平等权利，并能充分行使其相应的权利。同时，</w:t>
      </w:r>
      <w:r>
        <w:rPr>
          <w:spacing w:val="-12"/>
        </w:rPr>
        <w:t> </w:t>
      </w:r>
      <w:r>
        <w:rPr>
          <w:spacing w:val="-12"/>
        </w:rPr>
      </w:r>
      <w:r>
        <w:rPr>
          <w:spacing w:val="-2"/>
        </w:rPr>
        <w:t>公司严格执行《深圳证券交易所上市公司股东大会网络投票实施细则》，保证了全体股东对公司重大事项</w:t>
      </w:r>
      <w:r>
        <w:rPr>
          <w:spacing w:val="-33"/>
        </w:rPr>
        <w:t> </w:t>
      </w:r>
      <w:r>
        <w:rPr>
          <w:spacing w:val="-33"/>
        </w:rPr>
      </w:r>
      <w:r>
        <w:rPr/>
        <w:t>的知情权、参与权及表决权，切实维护了全体股东的合法权益，尤其是中小投资者的权益。</w:t>
      </w:r>
    </w:p>
    <w:p>
      <w:pPr>
        <w:spacing w:line="314" w:lineRule="auto" w:before="22"/>
        <w:ind w:left="513" w:right="0" w:firstLine="0"/>
        <w:jc w:val="left"/>
        <w:rPr>
          <w:rFonts w:ascii="宋体" w:hAnsi="宋体" w:cs="宋体" w:eastAsia="宋体" w:hint="default"/>
          <w:sz w:val="21"/>
          <w:szCs w:val="21"/>
        </w:rPr>
      </w:pPr>
      <w:r>
        <w:rPr>
          <w:rFonts w:ascii="宋体" w:hAnsi="宋体" w:cs="宋体" w:eastAsia="宋体" w:hint="default"/>
          <w:b/>
          <w:bCs/>
          <w:sz w:val="21"/>
          <w:szCs w:val="21"/>
        </w:rPr>
        <w:t>（二）关于控股股东与公司的关系</w:t>
      </w:r>
      <w:r>
        <w:rPr>
          <w:rFonts w:ascii="宋体" w:hAnsi="宋体" w:cs="宋体" w:eastAsia="宋体" w:hint="default"/>
          <w:b/>
          <w:bCs/>
          <w:spacing w:val="-101"/>
          <w:sz w:val="21"/>
          <w:szCs w:val="21"/>
        </w:rPr>
        <w:t> </w:t>
      </w:r>
      <w:r>
        <w:rPr>
          <w:rFonts w:ascii="宋体" w:hAnsi="宋体" w:cs="宋体" w:eastAsia="宋体" w:hint="default"/>
          <w:spacing w:val="-2"/>
          <w:sz w:val="21"/>
          <w:szCs w:val="21"/>
        </w:rPr>
        <w:t>公司拥有独立的业务和经营自主能力，在业务、人员、资产、机构、财务等方面与控股股东做到“五</w:t>
      </w:r>
    </w:p>
    <w:p>
      <w:pPr>
        <w:pStyle w:val="BodyText"/>
        <w:spacing w:line="309" w:lineRule="auto"/>
        <w:ind w:right="1123"/>
        <w:jc w:val="both"/>
      </w:pPr>
      <w:r>
        <w:rPr>
          <w:spacing w:val="-2"/>
        </w:rPr>
        <w:t>独立”。公司董事会、监事会和内部机构能够独立运作。报告期内，公司与控股股东及其他关联方不存在</w:t>
      </w:r>
      <w:r>
        <w:rPr>
          <w:spacing w:val="-30"/>
        </w:rPr>
        <w:t> </w:t>
      </w:r>
      <w:r>
        <w:rPr>
          <w:spacing w:val="-30"/>
        </w:rPr>
      </w:r>
      <w:r>
        <w:rPr/>
        <w:t>非经营性资金往来的情况，亦不存在控股股东及其他关联方以其他方式变相资金占用的情形。</w:t>
      </w:r>
    </w:p>
    <w:p>
      <w:pPr>
        <w:spacing w:line="314" w:lineRule="auto" w:before="24"/>
        <w:ind w:left="513" w:right="0" w:firstLine="0"/>
        <w:jc w:val="left"/>
        <w:rPr>
          <w:rFonts w:ascii="宋体" w:hAnsi="宋体" w:cs="宋体" w:eastAsia="宋体" w:hint="default"/>
          <w:sz w:val="21"/>
          <w:szCs w:val="21"/>
        </w:rPr>
      </w:pPr>
      <w:r>
        <w:rPr>
          <w:rFonts w:ascii="宋体" w:hAnsi="宋体" w:cs="宋体" w:eastAsia="宋体" w:hint="default"/>
          <w:b/>
          <w:bCs/>
          <w:sz w:val="21"/>
          <w:szCs w:val="21"/>
        </w:rPr>
        <w:t>（三）关于董事与董事会</w:t>
      </w:r>
      <w:r>
        <w:rPr>
          <w:rFonts w:ascii="宋体" w:hAnsi="宋体" w:cs="宋体" w:eastAsia="宋体" w:hint="default"/>
          <w:b/>
          <w:bCs/>
          <w:spacing w:val="-102"/>
          <w:sz w:val="21"/>
          <w:szCs w:val="21"/>
        </w:rPr>
        <w:t> </w:t>
      </w:r>
      <w:r>
        <w:rPr>
          <w:rFonts w:ascii="宋体" w:hAnsi="宋体" w:cs="宋体" w:eastAsia="宋体" w:hint="default"/>
          <w:spacing w:val="-3"/>
          <w:sz w:val="21"/>
          <w:szCs w:val="21"/>
        </w:rPr>
        <w:t>报告期内，公司共召开</w:t>
      </w:r>
      <w:r>
        <w:rPr>
          <w:rFonts w:ascii="宋体" w:hAnsi="宋体" w:cs="宋体" w:eastAsia="宋体" w:hint="default"/>
          <w:spacing w:val="-3"/>
          <w:sz w:val="21"/>
          <w:szCs w:val="21"/>
        </w:rPr>
        <w:t>8</w:t>
      </w:r>
      <w:r>
        <w:rPr>
          <w:rFonts w:ascii="宋体" w:hAnsi="宋体" w:cs="宋体" w:eastAsia="宋体" w:hint="default"/>
          <w:spacing w:val="-3"/>
          <w:sz w:val="21"/>
          <w:szCs w:val="21"/>
        </w:rPr>
        <w:t>次董事会会议。公司董事会人数和人员结构符合有关法律法规的要求。公司董</w:t>
      </w:r>
    </w:p>
    <w:p>
      <w:pPr>
        <w:pStyle w:val="BodyText"/>
        <w:spacing w:line="312" w:lineRule="auto"/>
        <w:ind w:right="1125"/>
        <w:jc w:val="both"/>
      </w:pPr>
      <w:r>
        <w:rPr>
          <w:spacing w:val="-2"/>
        </w:rPr>
        <w:t>事会能够按照《公司法》等法律法规及《公司章程》、《董事会议事规则》等内控制度的要求召集、召开</w:t>
      </w:r>
      <w:r>
        <w:rPr>
          <w:spacing w:val="-33"/>
        </w:rPr>
        <w:t> </w:t>
      </w:r>
      <w:r>
        <w:rPr>
          <w:spacing w:val="-33"/>
        </w:rPr>
      </w:r>
      <w:r>
        <w:rPr>
          <w:spacing w:val="-2"/>
        </w:rPr>
        <w:t>董事会。公司全体董事均能认真履行董事职责，诚实守信、勤勉尽责。公司独立董事独立履行职责，维护</w:t>
      </w:r>
      <w:r>
        <w:rPr>
          <w:spacing w:val="-38"/>
        </w:rPr>
        <w:t> </w:t>
      </w:r>
      <w:r>
        <w:rPr>
          <w:spacing w:val="-38"/>
        </w:rPr>
      </w:r>
      <w:r>
        <w:rPr/>
        <w:t>公司整体利益，尤其关注中小股东合法权益不受侵害，对重大及重要事项发表独立意见。</w:t>
      </w:r>
    </w:p>
    <w:p>
      <w:pPr>
        <w:spacing w:line="314" w:lineRule="auto" w:before="22"/>
        <w:ind w:left="513" w:right="0" w:firstLine="0"/>
        <w:jc w:val="left"/>
        <w:rPr>
          <w:rFonts w:ascii="宋体" w:hAnsi="宋体" w:cs="宋体" w:eastAsia="宋体" w:hint="default"/>
          <w:sz w:val="21"/>
          <w:szCs w:val="21"/>
        </w:rPr>
      </w:pPr>
      <w:r>
        <w:rPr>
          <w:rFonts w:ascii="宋体" w:hAnsi="宋体" w:cs="宋体" w:eastAsia="宋体" w:hint="default"/>
          <w:b/>
          <w:bCs/>
          <w:sz w:val="21"/>
          <w:szCs w:val="21"/>
        </w:rPr>
        <w:t>（四）关于监事和监事会</w:t>
      </w:r>
      <w:r>
        <w:rPr>
          <w:rFonts w:ascii="宋体" w:hAnsi="宋体" w:cs="宋体" w:eastAsia="宋体" w:hint="default"/>
          <w:b/>
          <w:bCs/>
          <w:spacing w:val="-102"/>
          <w:sz w:val="21"/>
          <w:szCs w:val="21"/>
        </w:rPr>
        <w:t> </w:t>
      </w:r>
      <w:r>
        <w:rPr>
          <w:rFonts w:ascii="宋体" w:hAnsi="宋体" w:cs="宋体" w:eastAsia="宋体" w:hint="default"/>
          <w:spacing w:val="-3"/>
          <w:sz w:val="21"/>
          <w:szCs w:val="21"/>
        </w:rPr>
        <w:t>报告期内，公司共召开</w:t>
      </w:r>
      <w:r>
        <w:rPr>
          <w:rFonts w:ascii="宋体" w:hAnsi="宋体" w:cs="宋体" w:eastAsia="宋体" w:hint="default"/>
          <w:spacing w:val="-3"/>
          <w:sz w:val="21"/>
          <w:szCs w:val="21"/>
        </w:rPr>
        <w:t>6</w:t>
      </w:r>
      <w:r>
        <w:rPr>
          <w:rFonts w:ascii="宋体" w:hAnsi="宋体" w:cs="宋体" w:eastAsia="宋体" w:hint="default"/>
          <w:spacing w:val="-3"/>
          <w:sz w:val="21"/>
          <w:szCs w:val="21"/>
        </w:rPr>
        <w:t>次监事会会议。公司监事会人数和人员结构符合有关法律法规的要求，公司全</w:t>
      </w:r>
    </w:p>
    <w:p>
      <w:pPr>
        <w:pStyle w:val="BodyText"/>
        <w:spacing w:line="314" w:lineRule="auto" w:before="16"/>
        <w:ind w:right="1125"/>
        <w:jc w:val="both"/>
      </w:pPr>
      <w:r>
        <w:rPr>
          <w:spacing w:val="-2"/>
        </w:rPr>
        <w:t>体监事严格按照《公司法》、《监事会议事规则》以及《公司章程》的相关规定，规范监事会的召集、召</w:t>
      </w:r>
      <w:r>
        <w:rPr>
          <w:spacing w:val="-33"/>
        </w:rPr>
        <w:t> </w:t>
      </w:r>
      <w:r>
        <w:rPr>
          <w:spacing w:val="-33"/>
        </w:rPr>
      </w:r>
      <w:r>
        <w:rPr>
          <w:spacing w:val="-2"/>
        </w:rPr>
        <w:t>开和表决。公司监事在日常工作中本着对股东负责的态度，勤勉尽责的履行监督职责，对公司的财务和公</w:t>
      </w:r>
      <w:r>
        <w:rPr>
          <w:spacing w:val="-33"/>
        </w:rPr>
        <w:t> </w:t>
      </w:r>
      <w:r>
        <w:rPr>
          <w:spacing w:val="-33"/>
        </w:rPr>
      </w:r>
      <w:r>
        <w:rPr/>
        <w:t>司董事、高级管理人员履行职责情况进行监督。</w:t>
      </w:r>
    </w:p>
    <w:p>
      <w:pPr>
        <w:pStyle w:val="BodyText"/>
        <w:spacing w:line="309" w:lineRule="auto"/>
        <w:ind w:left="513" w:right="0"/>
        <w:jc w:val="left"/>
      </w:pPr>
      <w:r>
        <w:rPr>
          <w:rFonts w:ascii="宋体" w:hAnsi="宋体" w:cs="宋体" w:eastAsia="宋体" w:hint="default"/>
          <w:b/>
          <w:bCs/>
        </w:rPr>
        <w:t>（五）关于利益相关者</w:t>
      </w:r>
      <w:r>
        <w:rPr>
          <w:rFonts w:ascii="宋体" w:hAnsi="宋体" w:cs="宋体" w:eastAsia="宋体" w:hint="default"/>
          <w:b/>
          <w:bCs/>
          <w:spacing w:val="-103"/>
        </w:rPr>
        <w:t> </w:t>
      </w:r>
      <w:r>
        <w:rPr>
          <w:spacing w:val="-6"/>
        </w:rPr>
        <w:t>公司能够充分尊重和维护相关利益者的合法权益，加强与各方的沟通、交流和合作，实现股东、员工、</w:t>
      </w:r>
    </w:p>
    <w:p>
      <w:pPr>
        <w:pStyle w:val="BodyText"/>
        <w:spacing w:line="240" w:lineRule="auto" w:before="24"/>
        <w:ind w:right="0"/>
        <w:jc w:val="both"/>
      </w:pPr>
      <w:r>
        <w:rPr/>
        <w:t>社会等各方利益的协调平衡，共同推动公司持续、稳定、健康地发展。</w:t>
      </w:r>
    </w:p>
    <w:p>
      <w:pPr>
        <w:pStyle w:val="BodyText"/>
        <w:spacing w:line="333" w:lineRule="auto" w:before="85"/>
        <w:ind w:right="0" w:firstLine="360"/>
        <w:jc w:val="left"/>
      </w:pPr>
      <w:r>
        <w:rPr>
          <w:rFonts w:ascii="宋体" w:hAnsi="宋体" w:cs="宋体" w:eastAsia="宋体" w:hint="default"/>
          <w:b/>
          <w:bCs/>
        </w:rPr>
        <w:t>（六）关于信息披露与透明度</w:t>
      </w:r>
      <w:r>
        <w:rPr>
          <w:rFonts w:ascii="宋体" w:hAnsi="宋体" w:cs="宋体" w:eastAsia="宋体" w:hint="default"/>
          <w:b/>
          <w:bCs/>
          <w:w w:val="100"/>
        </w:rPr>
        <w:t> </w:t>
      </w:r>
      <w:r>
        <w:rPr>
          <w:spacing w:val="-2"/>
        </w:rPr>
        <w:t>报告期内，公司严格按照有关法律法规的要求，公平对待所有股东，真实、准确、完整、及时地向股东提</w:t>
      </w:r>
      <w:r>
        <w:rPr>
          <w:spacing w:val="-33"/>
        </w:rPr>
        <w:t> </w:t>
      </w:r>
      <w:r>
        <w:rPr>
          <w:spacing w:val="-33"/>
        </w:rPr>
      </w:r>
      <w:r>
        <w:rPr/>
        <w:t>供相关信息，提高公司透明度，保障全体股东的合法权益。</w:t>
      </w:r>
    </w:p>
    <w:p>
      <w:pPr>
        <w:spacing w:line="240" w:lineRule="auto" w:before="0"/>
        <w:rPr>
          <w:rFonts w:ascii="宋体" w:hAnsi="宋体" w:cs="宋体" w:eastAsia="宋体" w:hint="default"/>
          <w:sz w:val="20"/>
          <w:szCs w:val="20"/>
        </w:rPr>
      </w:pPr>
    </w:p>
    <w:p>
      <w:pPr>
        <w:spacing w:before="132"/>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公司治理的实际状况与中国证监会发布的有关上市公司治理的规范性文件是否存在重大差异</w:t>
      </w:r>
    </w:p>
    <w:p>
      <w:pPr>
        <w:spacing w:before="115"/>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both"/>
        <w:rPr>
          <w:rFonts w:ascii="宋体" w:hAnsi="宋体" w:cs="宋体" w:eastAsia="宋体" w:hint="default"/>
          <w:sz w:val="18"/>
          <w:szCs w:val="18"/>
        </w:rPr>
        <w:sectPr>
          <w:pgSz w:w="11910" w:h="16840"/>
          <w:pgMar w:header="460" w:footer="979" w:top="1100" w:bottom="1160" w:left="980" w:right="0"/>
        </w:sectPr>
      </w:pPr>
    </w:p>
    <w:p>
      <w:pPr>
        <w:spacing w:line="240" w:lineRule="auto" w:before="3"/>
        <w:rPr>
          <w:rFonts w:ascii="宋体" w:hAnsi="宋体" w:cs="宋体" w:eastAsia="宋体" w:hint="default"/>
          <w:sz w:val="22"/>
          <w:szCs w:val="22"/>
        </w:rPr>
      </w:pPr>
    </w:p>
    <w:p>
      <w:pPr>
        <w:spacing w:before="46"/>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公司治理的实际状况与中国证监会发布的有关上市公司治理的规范性文件不存在重大差异。</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二、公司相对于控股股东在业务、人员、资产、机构、财务等方面的独立情况" w:id="142"/>
      <w:bookmarkEnd w:id="142"/>
      <w:r>
        <w:rPr>
          <w:b w:val="0"/>
          <w:bCs w:val="0"/>
        </w:rPr>
      </w:r>
      <w:r>
        <w:rPr/>
        <w:t>二、公司相对于控股股东在业务、人员、资产、机构、财务等方面的独立情况</w:t>
      </w:r>
      <w:r>
        <w:rPr>
          <w:b w:val="0"/>
          <w:bCs w:val="0"/>
        </w:rPr>
      </w:r>
    </w:p>
    <w:p>
      <w:pPr>
        <w:spacing w:line="240" w:lineRule="auto" w:before="2"/>
        <w:rPr>
          <w:rFonts w:ascii="宋体" w:hAnsi="宋体" w:cs="宋体" w:eastAsia="宋体" w:hint="default"/>
          <w:b/>
          <w:bCs/>
          <w:sz w:val="27"/>
          <w:szCs w:val="27"/>
        </w:rPr>
      </w:pPr>
    </w:p>
    <w:p>
      <w:pPr>
        <w:pStyle w:val="BodyText"/>
        <w:spacing w:line="314" w:lineRule="auto" w:before="0"/>
        <w:ind w:right="0" w:firstLine="360"/>
        <w:jc w:val="left"/>
      </w:pPr>
      <w:r>
        <w:rPr>
          <w:spacing w:val="-2"/>
        </w:rPr>
        <w:t>报告期内，公司在业务、人员、资产、机构、财务等方面均与控股股东保持独立，不存在不能保证独</w:t>
      </w:r>
      <w:r>
        <w:rPr>
          <w:w w:val="100"/>
        </w:rPr>
        <w:t> </w:t>
      </w:r>
      <w:r>
        <w:rPr/>
        <w:t>立性或不能保持自主经营能力的情况。</w:t>
      </w:r>
    </w:p>
    <w:p>
      <w:pPr>
        <w:pStyle w:val="BodyText"/>
        <w:spacing w:line="314" w:lineRule="auto"/>
        <w:ind w:left="513" w:right="0"/>
        <w:jc w:val="left"/>
      </w:pPr>
      <w:r>
        <w:rPr>
          <w:rFonts w:ascii="宋体" w:hAnsi="宋体" w:cs="宋体" w:eastAsia="宋体" w:hint="default"/>
          <w:b/>
          <w:bCs/>
        </w:rPr>
        <w:t>（一）业务独立情况</w:t>
      </w:r>
      <w:r>
        <w:rPr>
          <w:rFonts w:ascii="宋体" w:hAnsi="宋体" w:cs="宋体" w:eastAsia="宋体" w:hint="default"/>
          <w:b/>
          <w:bCs/>
          <w:spacing w:val="-103"/>
        </w:rPr>
        <w:t> </w:t>
      </w:r>
      <w:r>
        <w:rPr>
          <w:spacing w:val="-2"/>
        </w:rPr>
        <w:t>公司具备独立完整的业务，拥有独立的经营场所，独立对外签订合同，开展业务，不存在对股东单位</w:t>
      </w:r>
    </w:p>
    <w:p>
      <w:pPr>
        <w:pStyle w:val="BodyText"/>
        <w:spacing w:line="240" w:lineRule="auto" w:before="15"/>
        <w:ind w:right="0"/>
        <w:jc w:val="both"/>
      </w:pPr>
      <w:r>
        <w:rPr/>
        <w:t>及其他关联方的业务依赖。本公司控股股东和实际控制人均出具了避免同业竞争的承诺函。</w:t>
      </w:r>
    </w:p>
    <w:p>
      <w:pPr>
        <w:pStyle w:val="BodyText"/>
        <w:spacing w:line="314" w:lineRule="auto" w:before="85"/>
        <w:ind w:left="513" w:right="0"/>
        <w:jc w:val="left"/>
      </w:pPr>
      <w:r>
        <w:rPr>
          <w:rFonts w:ascii="宋体" w:hAnsi="宋体" w:cs="宋体" w:eastAsia="宋体" w:hint="default"/>
          <w:b/>
          <w:bCs/>
        </w:rPr>
        <w:t>（二）资产完整情况</w:t>
      </w:r>
      <w:r>
        <w:rPr>
          <w:rFonts w:ascii="宋体" w:hAnsi="宋体" w:cs="宋体" w:eastAsia="宋体" w:hint="default"/>
          <w:b/>
          <w:bCs/>
          <w:spacing w:val="-103"/>
        </w:rPr>
        <w:t> </w:t>
      </w:r>
      <w:r>
        <w:rPr>
          <w:spacing w:val="-2"/>
        </w:rPr>
        <w:t>公司拥有独立完整的房屋、土地、配套设施等经营性资产以及商标。公司对所有资产拥有完全的控制</w:t>
      </w:r>
    </w:p>
    <w:p>
      <w:pPr>
        <w:pStyle w:val="BodyText"/>
        <w:spacing w:line="240" w:lineRule="auto"/>
        <w:ind w:right="0"/>
        <w:jc w:val="both"/>
      </w:pPr>
      <w:r>
        <w:rPr/>
        <w:t>和支配权，报告期内，不存在资产、资金被股东占用而损害公司利益的情况。</w:t>
      </w:r>
    </w:p>
    <w:p>
      <w:pPr>
        <w:pStyle w:val="BodyText"/>
        <w:spacing w:line="314" w:lineRule="auto" w:before="80"/>
        <w:ind w:left="513" w:right="0"/>
        <w:jc w:val="left"/>
      </w:pPr>
      <w:r>
        <w:rPr>
          <w:rFonts w:ascii="宋体" w:hAnsi="宋体" w:cs="宋体" w:eastAsia="宋体" w:hint="default"/>
          <w:b/>
          <w:bCs/>
        </w:rPr>
        <w:t>（三）人员独立情况</w:t>
      </w:r>
      <w:r>
        <w:rPr>
          <w:rFonts w:ascii="宋体" w:hAnsi="宋体" w:cs="宋体" w:eastAsia="宋体" w:hint="default"/>
          <w:b/>
          <w:bCs/>
          <w:spacing w:val="-103"/>
        </w:rPr>
        <w:t> </w:t>
      </w:r>
      <w:r>
        <w:rPr>
          <w:spacing w:val="-2"/>
        </w:rPr>
        <w:t>公司设立了人力资源部门，有独立且完整的包括人事、劳动关系、培训、招聘、薪酬及绩效考核等在</w:t>
      </w:r>
    </w:p>
    <w:p>
      <w:pPr>
        <w:pStyle w:val="BodyText"/>
        <w:spacing w:line="312" w:lineRule="auto"/>
        <w:ind w:right="1125"/>
        <w:jc w:val="both"/>
      </w:pPr>
      <w:r>
        <w:rPr>
          <w:spacing w:val="-2"/>
        </w:rPr>
        <w:t>内的人力体系管理模块，完全独立于公司股东。公司董事、监事及高级管理人员的选任均严格按照《公司</w:t>
      </w:r>
      <w:r>
        <w:rPr>
          <w:spacing w:val="-33"/>
        </w:rPr>
        <w:t> </w:t>
      </w:r>
      <w:r>
        <w:rPr>
          <w:spacing w:val="-33"/>
        </w:rPr>
      </w:r>
      <w:r>
        <w:rPr>
          <w:spacing w:val="-7"/>
          <w:w w:val="100"/>
        </w:rPr>
        <w:t>法》、《公司章程》及其他相关法律法规规定的程序，不存在超越公司股东大会和董事会的人事任免决定。</w:t>
      </w:r>
      <w:r>
        <w:rPr>
          <w:spacing w:val="-63"/>
          <w:w w:val="100"/>
        </w:rPr>
        <w:t> </w:t>
      </w:r>
      <w:r>
        <w:rPr>
          <w:spacing w:val="-63"/>
          <w:w w:val="100"/>
        </w:rPr>
      </w:r>
      <w:r>
        <w:rPr>
          <w:spacing w:val="-2"/>
        </w:rPr>
        <w:t>公司总经理、副总经理、财务负责人、董事会秘书等高级管理人员和核心技术人员均没有在与本公司业务</w:t>
      </w:r>
      <w:r>
        <w:rPr>
          <w:spacing w:val="-33"/>
        </w:rPr>
        <w:t> </w:t>
      </w:r>
      <w:r>
        <w:rPr>
          <w:spacing w:val="-33"/>
        </w:rPr>
      </w:r>
      <w:r>
        <w:rPr/>
        <w:t>相同或相近的其他企业任职。</w:t>
      </w:r>
    </w:p>
    <w:p>
      <w:pPr>
        <w:pStyle w:val="BodyText"/>
        <w:spacing w:line="314" w:lineRule="auto" w:before="22"/>
        <w:ind w:left="513" w:right="0"/>
        <w:jc w:val="left"/>
      </w:pPr>
      <w:r>
        <w:rPr>
          <w:rFonts w:ascii="宋体" w:hAnsi="宋体" w:cs="宋体" w:eastAsia="宋体" w:hint="default"/>
          <w:b/>
          <w:bCs/>
        </w:rPr>
        <w:t>（四）机构独立情况</w:t>
      </w:r>
      <w:r>
        <w:rPr>
          <w:rFonts w:ascii="宋体" w:hAnsi="宋体" w:cs="宋体" w:eastAsia="宋体" w:hint="default"/>
          <w:b/>
          <w:bCs/>
          <w:spacing w:val="-103"/>
        </w:rPr>
        <w:t> </w:t>
      </w:r>
      <w:r>
        <w:rPr>
          <w:spacing w:val="-5"/>
        </w:rPr>
        <w:t>公司机构设置方案不存在受控股股东及其他任何单位或个人干预的情形。公司按照《公司法》的要求，</w:t>
      </w:r>
    </w:p>
    <w:p>
      <w:pPr>
        <w:pStyle w:val="BodyText"/>
        <w:spacing w:line="314" w:lineRule="auto" w:before="15"/>
        <w:ind w:right="0"/>
        <w:jc w:val="left"/>
      </w:pPr>
      <w:r>
        <w:rPr>
          <w:spacing w:val="-2"/>
        </w:rPr>
        <w:t>建立健全了股东大会、董事会、监事会和经营管理层的组织结构体系，与关联企业在机构上完全独立。股</w:t>
      </w:r>
      <w:r>
        <w:rPr>
          <w:spacing w:val="-33"/>
        </w:rPr>
        <w:t> </w:t>
      </w:r>
      <w:r>
        <w:rPr>
          <w:spacing w:val="-33"/>
        </w:rPr>
      </w:r>
      <w:r>
        <w:rPr>
          <w:spacing w:val="-7"/>
        </w:rPr>
        <w:t>东依照《公司法》和公司章程的规定提名董事、监事参与公司的管理，并不直接干预公司的生产经营活动。</w:t>
      </w:r>
    </w:p>
    <w:p>
      <w:pPr>
        <w:pStyle w:val="BodyText"/>
        <w:spacing w:line="326" w:lineRule="auto"/>
        <w:ind w:right="0" w:firstLine="360"/>
        <w:jc w:val="left"/>
      </w:pPr>
      <w:r>
        <w:rPr>
          <w:rFonts w:ascii="宋体" w:hAnsi="宋体" w:cs="宋体" w:eastAsia="宋体" w:hint="default"/>
          <w:b/>
          <w:bCs/>
        </w:rPr>
        <w:t>（五）财务独立情况</w:t>
      </w:r>
      <w:r>
        <w:rPr>
          <w:rFonts w:ascii="宋体" w:hAnsi="宋体" w:cs="宋体" w:eastAsia="宋体" w:hint="default"/>
          <w:b/>
          <w:bCs/>
          <w:w w:val="100"/>
        </w:rPr>
        <w:t> </w:t>
      </w:r>
      <w:r>
        <w:rPr>
          <w:spacing w:val="-2"/>
        </w:rPr>
        <w:t>公司开设了独立的银行账户。公司作为独立的纳税人，依法独立纳税。公司设有独立的财务会计部门，制</w:t>
      </w:r>
      <w:r>
        <w:rPr>
          <w:spacing w:val="-33"/>
        </w:rPr>
        <w:t> </w:t>
      </w:r>
      <w:r>
        <w:rPr>
          <w:spacing w:val="-33"/>
        </w:rPr>
      </w:r>
      <w:r>
        <w:rPr>
          <w:spacing w:val="-2"/>
        </w:rPr>
        <w:t>定了《财务管理制度》等规章制度，建立了独立的财务核算体系及规范、独立的财务会计制度，独立进行</w:t>
      </w:r>
      <w:r>
        <w:rPr>
          <w:spacing w:val="-38"/>
        </w:rPr>
        <w:t> </w:t>
      </w:r>
      <w:r>
        <w:rPr>
          <w:spacing w:val="-38"/>
        </w:rPr>
      </w:r>
      <w:r>
        <w:rPr/>
        <w:t>财务决策，财务人员无兼职情况。</w:t>
      </w:r>
    </w:p>
    <w:p>
      <w:pPr>
        <w:spacing w:line="240" w:lineRule="auto" w:before="0"/>
        <w:rPr>
          <w:rFonts w:ascii="宋体" w:hAnsi="宋体" w:cs="宋体" w:eastAsia="宋体" w:hint="default"/>
          <w:sz w:val="19"/>
          <w:szCs w:val="19"/>
        </w:rPr>
      </w:pPr>
    </w:p>
    <w:p>
      <w:pPr>
        <w:pStyle w:val="Heading2"/>
        <w:spacing w:line="240" w:lineRule="auto"/>
        <w:ind w:right="0"/>
        <w:jc w:val="both"/>
        <w:rPr>
          <w:b w:val="0"/>
          <w:bCs w:val="0"/>
        </w:rPr>
      </w:pPr>
      <w:bookmarkStart w:name="三、同业竞争情况" w:id="143"/>
      <w:bookmarkEnd w:id="143"/>
      <w:r>
        <w:rPr>
          <w:b w:val="0"/>
          <w:bCs w:val="0"/>
        </w:rPr>
      </w:r>
      <w:r>
        <w:rPr/>
        <w:t>三、同业竞争情况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right="0"/>
        <w:jc w:val="both"/>
        <w:rPr>
          <w:b w:val="0"/>
          <w:bCs w:val="0"/>
        </w:rPr>
      </w:pPr>
      <w:bookmarkStart w:name="四、报告期内召开的年度股东大会和临时股东大会的有关情况" w:id="144"/>
      <w:bookmarkEnd w:id="144"/>
      <w:r>
        <w:rPr>
          <w:b w:val="0"/>
          <w:bCs w:val="0"/>
        </w:rPr>
      </w:r>
      <w:r>
        <w:rPr/>
        <w:t>四、报告期内召开的年度股东大会和临时股东大会的有关情况</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both"/>
        <w:rPr>
          <w:b w:val="0"/>
          <w:bCs w:val="0"/>
        </w:rPr>
      </w:pPr>
      <w:bookmarkStart w:name="1、本报告期股东大会情况" w:id="145"/>
      <w:bookmarkEnd w:id="145"/>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765"/>
      </w:tblGrid>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3"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460" w:footer="979"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777"/>
      </w:tblGrid>
      <w:tr>
        <w:trPr>
          <w:trHeight w:val="196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509"/>
              <w:jc w:val="right"/>
              <w:rPr>
                <w:rFonts w:ascii="Times New Roman" w:hAnsi="Times New Roman" w:cs="Times New Roman" w:eastAsia="Times New Roman" w:hint="default"/>
                <w:sz w:val="18"/>
                <w:szCs w:val="18"/>
              </w:rPr>
            </w:pPr>
            <w:r>
              <w:rPr>
                <w:rFonts w:ascii="Times New Roman"/>
                <w:spacing w:val="-1"/>
                <w:sz w:val="18"/>
              </w:rPr>
              <w:t>74.54%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7" w:lineRule="auto" w:before="71"/>
              <w:ind w:left="23" w:right="17" w:hanging="7"/>
              <w:jc w:val="center"/>
              <w:rPr>
                <w:rFonts w:ascii="宋体" w:hAnsi="宋体" w:cs="宋体" w:eastAsia="宋体" w:hint="default"/>
                <w:sz w:val="18"/>
                <w:szCs w:val="18"/>
              </w:rPr>
            </w:pPr>
            <w:r>
              <w:rPr>
                <w:rFonts w:ascii="宋体" w:hAnsi="宋体" w:cs="宋体" w:eastAsia="宋体" w:hint="default"/>
                <w:spacing w:val="-3"/>
                <w:sz w:val="18"/>
                <w:szCs w:val="18"/>
              </w:rPr>
              <w:t>（</w:t>
            </w:r>
            <w:hyperlink r:id="rId22">
              <w:r>
                <w:rPr>
                  <w:rFonts w:ascii="Times New Roman" w:hAnsi="Times New Roman" w:cs="Times New Roman" w:eastAsia="Times New Roman" w:hint="default"/>
                  <w:spacing w:val="-3"/>
                  <w:sz w:val="18"/>
                  <w:szCs w:val="18"/>
                </w:rPr>
                <w:t>http://www.cninfo.co</w:t>
              </w:r>
            </w:hyperlink>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pacing w:val="-25"/>
                <w:sz w:val="18"/>
                <w:szCs w:val="18"/>
              </w:rPr>
            </w:r>
            <w:r>
              <w:rPr>
                <w:rFonts w:ascii="Times New Roman" w:hAnsi="Times New Roman" w:cs="Times New Roman" w:eastAsia="Times New Roman" w:hint="default"/>
                <w:spacing w:val="-12"/>
                <w:w w:val="101"/>
                <w:sz w:val="18"/>
                <w:szCs w:val="18"/>
              </w:rPr>
              <w:t>m.cn/</w:t>
            </w:r>
            <w:r>
              <w:rPr>
                <w:rFonts w:ascii="宋体" w:hAnsi="宋体" w:cs="宋体" w:eastAsia="宋体" w:hint="default"/>
                <w:spacing w:val="-12"/>
                <w:w w:val="101"/>
                <w:sz w:val="18"/>
                <w:szCs w:val="18"/>
              </w:rPr>
              <w:t>）《西安环球印务</w:t>
            </w:r>
            <w:r>
              <w:rPr>
                <w:rFonts w:ascii="宋体" w:hAnsi="宋体" w:cs="宋体" w:eastAsia="宋体" w:hint="default"/>
                <w:w w:val="101"/>
                <w:sz w:val="18"/>
                <w:szCs w:val="18"/>
              </w:rPr>
              <w:t> </w:t>
            </w:r>
            <w:r>
              <w:rPr>
                <w:rFonts w:ascii="宋体" w:hAnsi="宋体" w:cs="宋体" w:eastAsia="宋体" w:hint="default"/>
                <w:sz w:val="18"/>
                <w:szCs w:val="18"/>
              </w:rPr>
              <w:t>股份有限公司关于</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年度股东大会决</w:t>
            </w:r>
            <w:r>
              <w:rPr>
                <w:rFonts w:ascii="宋体" w:hAnsi="宋体" w:cs="宋体" w:eastAsia="宋体" w:hint="default"/>
                <w:w w:val="101"/>
                <w:sz w:val="18"/>
                <w:szCs w:val="18"/>
              </w:rPr>
              <w:t> </w:t>
            </w:r>
            <w:r>
              <w:rPr>
                <w:rFonts w:ascii="宋体" w:hAnsi="宋体" w:cs="宋体" w:eastAsia="宋体" w:hint="default"/>
                <w:spacing w:val="-8"/>
                <w:w w:val="101"/>
                <w:sz w:val="18"/>
                <w:szCs w:val="18"/>
              </w:rPr>
              <w:t>议公告》（</w:t>
            </w:r>
            <w:r>
              <w:rPr>
                <w:rFonts w:ascii="Times New Roman" w:hAnsi="Times New Roman" w:cs="Times New Roman" w:eastAsia="Times New Roman" w:hint="default"/>
                <w:spacing w:val="-8"/>
                <w:w w:val="101"/>
                <w:sz w:val="18"/>
                <w:szCs w:val="18"/>
              </w:rPr>
              <w:t>2019-033</w:t>
            </w:r>
            <w:r>
              <w:rPr>
                <w:rFonts w:ascii="宋体" w:hAnsi="宋体" w:cs="宋体" w:eastAsia="宋体" w:hint="default"/>
                <w:spacing w:val="-8"/>
                <w:w w:val="101"/>
                <w:sz w:val="18"/>
                <w:szCs w:val="18"/>
              </w:rPr>
              <w:t>）</w:t>
            </w:r>
            <w:r>
              <w:rPr>
                <w:rFonts w:ascii="宋体" w:hAnsi="宋体" w:cs="宋体" w:eastAsia="宋体" w:hint="default"/>
                <w:spacing w:val="-8"/>
                <w:sz w:val="18"/>
                <w:szCs w:val="18"/>
              </w:rPr>
            </w:r>
          </w:p>
        </w:tc>
      </w:tr>
      <w:tr>
        <w:trPr>
          <w:trHeight w:val="227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4" w:lineRule="auto" w:before="125"/>
              <w:ind w:left="432" w:right="46" w:hanging="38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年第一次临时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509"/>
              <w:jc w:val="right"/>
              <w:rPr>
                <w:rFonts w:ascii="Times New Roman" w:hAnsi="Times New Roman" w:cs="Times New Roman" w:eastAsia="Times New Roman" w:hint="default"/>
                <w:sz w:val="18"/>
                <w:szCs w:val="18"/>
              </w:rPr>
            </w:pPr>
            <w:r>
              <w:rPr>
                <w:rFonts w:ascii="Times New Roman"/>
                <w:spacing w:val="-1"/>
                <w:sz w:val="18"/>
              </w:rPr>
              <w:t>73.45%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4" w:lineRule="auto" w:before="71"/>
              <w:ind w:left="23" w:right="17" w:hanging="7"/>
              <w:jc w:val="center"/>
              <w:rPr>
                <w:rFonts w:ascii="宋体" w:hAnsi="宋体" w:cs="宋体" w:eastAsia="宋体" w:hint="default"/>
                <w:sz w:val="18"/>
                <w:szCs w:val="18"/>
              </w:rPr>
            </w:pPr>
            <w:r>
              <w:rPr>
                <w:rFonts w:ascii="宋体" w:hAnsi="宋体" w:cs="宋体" w:eastAsia="宋体" w:hint="default"/>
                <w:spacing w:val="-3"/>
                <w:sz w:val="18"/>
                <w:szCs w:val="18"/>
              </w:rPr>
              <w:t>（</w:t>
            </w:r>
            <w:hyperlink r:id="rId22">
              <w:r>
                <w:rPr>
                  <w:rFonts w:ascii="Times New Roman" w:hAnsi="Times New Roman" w:cs="Times New Roman" w:eastAsia="Times New Roman" w:hint="default"/>
                  <w:spacing w:val="-3"/>
                  <w:sz w:val="18"/>
                  <w:szCs w:val="18"/>
                </w:rPr>
                <w:t>http://www.cninfo.co</w:t>
              </w:r>
            </w:hyperlink>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pacing w:val="-25"/>
                <w:sz w:val="18"/>
                <w:szCs w:val="18"/>
              </w:rPr>
            </w:r>
            <w:r>
              <w:rPr>
                <w:rFonts w:ascii="Times New Roman" w:hAnsi="Times New Roman" w:cs="Times New Roman" w:eastAsia="Times New Roman" w:hint="default"/>
                <w:spacing w:val="-12"/>
                <w:w w:val="101"/>
                <w:sz w:val="18"/>
                <w:szCs w:val="18"/>
              </w:rPr>
              <w:t>m.cn/</w:t>
            </w:r>
            <w:r>
              <w:rPr>
                <w:rFonts w:ascii="宋体" w:hAnsi="宋体" w:cs="宋体" w:eastAsia="宋体" w:hint="default"/>
                <w:spacing w:val="-12"/>
                <w:w w:val="101"/>
                <w:sz w:val="18"/>
                <w:szCs w:val="18"/>
              </w:rPr>
              <w:t>）《西安环球印务</w:t>
            </w:r>
            <w:r>
              <w:rPr>
                <w:rFonts w:ascii="宋体" w:hAnsi="宋体" w:cs="宋体" w:eastAsia="宋体" w:hint="default"/>
                <w:w w:val="101"/>
                <w:sz w:val="18"/>
                <w:szCs w:val="18"/>
              </w:rPr>
              <w:t> </w:t>
            </w:r>
            <w:r>
              <w:rPr>
                <w:rFonts w:ascii="宋体" w:hAnsi="宋体" w:cs="宋体" w:eastAsia="宋体" w:hint="default"/>
                <w:sz w:val="18"/>
                <w:szCs w:val="18"/>
              </w:rPr>
              <w:t>股份有限公司关于</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第一次临时股东</w:t>
            </w:r>
            <w:r>
              <w:rPr>
                <w:rFonts w:ascii="宋体" w:hAnsi="宋体" w:cs="宋体" w:eastAsia="宋体" w:hint="default"/>
                <w:w w:val="101"/>
                <w:sz w:val="18"/>
                <w:szCs w:val="18"/>
              </w:rPr>
              <w:t> </w:t>
            </w:r>
            <w:r>
              <w:rPr>
                <w:rFonts w:ascii="宋体" w:hAnsi="宋体" w:cs="宋体" w:eastAsia="宋体" w:hint="default"/>
                <w:sz w:val="18"/>
                <w:szCs w:val="18"/>
              </w:rPr>
              <w:t>大会决议公告》</w:t>
            </w:r>
          </w:p>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2019-060</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表决权恢复的优先股股东请求召开临时股东大会" w:id="146"/>
      <w:bookmarkEnd w:id="146"/>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五、报告期内独立董事履行职责的情况" w:id="147"/>
      <w:bookmarkEnd w:id="147"/>
      <w:r>
        <w:rPr>
          <w:b w:val="0"/>
          <w:bCs w:val="0"/>
        </w:rPr>
      </w:r>
      <w:r>
        <w:rPr/>
        <w:t>五、报告期内独立董事履行职责的情况</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left"/>
        <w:rPr>
          <w:b w:val="0"/>
          <w:bCs w:val="0"/>
        </w:rPr>
      </w:pPr>
      <w:bookmarkStart w:name="1、独立董事出席董事会及股东大会的情况" w:id="148"/>
      <w:bookmarkEnd w:id="148"/>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6"/>
        <w:gridCol w:w="1167"/>
        <w:gridCol w:w="1162"/>
        <w:gridCol w:w="1167"/>
        <w:gridCol w:w="1162"/>
        <w:gridCol w:w="1162"/>
        <w:gridCol w:w="1162"/>
        <w:gridCol w:w="1167"/>
      </w:tblGrid>
      <w:tr>
        <w:trPr>
          <w:trHeight w:val="403"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独立董事出席董事会及股东大会的情况</w:t>
            </w:r>
          </w:p>
        </w:tc>
      </w:tr>
      <w:tr>
        <w:trPr>
          <w:trHeight w:val="102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本报告期应参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现场出席董事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以通讯方式参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委托出席董事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489" w:right="27" w:hanging="452"/>
              <w:jc w:val="left"/>
              <w:rPr>
                <w:rFonts w:ascii="宋体" w:hAnsi="宋体" w:cs="宋体" w:eastAsia="宋体" w:hint="default"/>
                <w:sz w:val="18"/>
                <w:szCs w:val="18"/>
              </w:rPr>
            </w:pPr>
            <w:r>
              <w:rPr>
                <w:rFonts w:ascii="宋体" w:hAnsi="宋体" w:cs="宋体" w:eastAsia="宋体" w:hint="default"/>
                <w:spacing w:val="-2"/>
                <w:sz w:val="18"/>
                <w:szCs w:val="18"/>
              </w:rPr>
              <w:t>缺席董事会次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8" w:right="27"/>
              <w:jc w:val="center"/>
              <w:rPr>
                <w:rFonts w:ascii="宋体" w:hAnsi="宋体" w:cs="宋体" w:eastAsia="宋体" w:hint="default"/>
                <w:sz w:val="18"/>
                <w:szCs w:val="18"/>
              </w:rPr>
            </w:pPr>
            <w:r>
              <w:rPr>
                <w:rFonts w:ascii="宋体" w:hAnsi="宋体" w:cs="宋体" w:eastAsia="宋体" w:hint="default"/>
                <w:spacing w:val="-2"/>
                <w:sz w:val="18"/>
                <w:szCs w:val="18"/>
              </w:rPr>
              <w:t>是否连续两次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未亲自参加董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事会会议</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403" w:right="26" w:hanging="360"/>
              <w:jc w:val="left"/>
              <w:rPr>
                <w:rFonts w:ascii="宋体" w:hAnsi="宋体" w:cs="宋体" w:eastAsia="宋体" w:hint="default"/>
                <w:sz w:val="18"/>
                <w:szCs w:val="18"/>
              </w:rPr>
            </w:pPr>
            <w:r>
              <w:rPr>
                <w:rFonts w:ascii="宋体" w:hAnsi="宋体" w:cs="宋体" w:eastAsia="宋体" w:hint="default"/>
                <w:spacing w:val="-2"/>
                <w:sz w:val="18"/>
                <w:szCs w:val="18"/>
              </w:rPr>
              <w:t>出席股东大会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次数</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张明禹</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冯均科</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40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宋林</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bl>
    <w:p>
      <w:pPr>
        <w:spacing w:line="357" w:lineRule="auto" w:before="53"/>
        <w:ind w:left="153" w:right="4340" w:firstLine="0"/>
        <w:jc w:val="left"/>
        <w:rPr>
          <w:rFonts w:ascii="宋体" w:hAnsi="宋体" w:cs="宋体" w:eastAsia="宋体" w:hint="default"/>
          <w:sz w:val="18"/>
          <w:szCs w:val="18"/>
        </w:rPr>
      </w:pPr>
      <w:r>
        <w:rPr>
          <w:rFonts w:ascii="宋体" w:hAnsi="宋体" w:cs="宋体" w:eastAsia="宋体" w:hint="default"/>
          <w:spacing w:val="-3"/>
          <w:sz w:val="18"/>
          <w:szCs w:val="18"/>
        </w:rPr>
        <w:t>连续两次未亲自出席董事会的说明</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报告期内，公司不存在独立董事连续两次未亲自出席董事会的情形。</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2、独立董事对公司有关事项提出异议的情况" w:id="149"/>
      <w:bookmarkEnd w:id="149"/>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独立董事对公司有关事项是否提出异议</w:t>
      </w:r>
    </w:p>
    <w:p>
      <w:pPr>
        <w:spacing w:line="338" w:lineRule="auto" w:before="115"/>
        <w:ind w:left="153" w:right="66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报告期内独立董事对公司有关事项未提出异议。</w:t>
      </w: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3、独立董事履行职责的其他说明" w:id="150"/>
      <w:bookmarkEnd w:id="150"/>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独立董事对公司有关建议是否被采纳</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460" w:footer="979" w:top="1100" w:bottom="1160" w:left="980" w:right="0"/>
        </w:sectPr>
      </w:pPr>
    </w:p>
    <w:p>
      <w:pPr>
        <w:spacing w:line="240" w:lineRule="auto" w:before="11"/>
        <w:rPr>
          <w:rFonts w:ascii="宋体" w:hAnsi="宋体" w:cs="宋体" w:eastAsia="宋体" w:hint="default"/>
          <w:sz w:val="22"/>
          <w:szCs w:val="22"/>
        </w:rPr>
      </w:pPr>
    </w:p>
    <w:p>
      <w:pPr>
        <w:pStyle w:val="BodyText"/>
        <w:spacing w:line="343" w:lineRule="auto" w:before="36"/>
        <w:ind w:left="513" w:right="0" w:hanging="360"/>
        <w:jc w:val="left"/>
      </w:pPr>
      <w:r>
        <w:rPr/>
        <w:t>独立董事对公司有关建议被采纳或未被采纳的说明</w:t>
      </w:r>
      <w:r>
        <w:rPr>
          <w:w w:val="100"/>
        </w:rPr>
        <w:t> </w:t>
      </w:r>
      <w:r>
        <w:rPr>
          <w:spacing w:val="-2"/>
        </w:rPr>
        <w:t>报告期内，公司独立董事积极出席相关会议，认真审阅各项议案，客观地发表自己的看法和观点，了</w:t>
      </w:r>
    </w:p>
    <w:p>
      <w:pPr>
        <w:pStyle w:val="BodyText"/>
        <w:spacing w:line="314" w:lineRule="auto" w:before="0"/>
        <w:ind w:right="1125"/>
        <w:jc w:val="both"/>
      </w:pPr>
      <w:r>
        <w:rPr>
          <w:spacing w:val="-2"/>
        </w:rPr>
        <w:t>解公司运营、经营状况、内部控制以及董事会决议和股东大会决议的执行情况。公司独立董事利用自己的</w:t>
      </w:r>
      <w:r>
        <w:rPr>
          <w:spacing w:val="-33"/>
        </w:rPr>
        <w:t> </w:t>
      </w:r>
      <w:r>
        <w:rPr>
          <w:spacing w:val="-33"/>
        </w:rPr>
      </w:r>
      <w:r>
        <w:rPr>
          <w:spacing w:val="-2"/>
        </w:rPr>
        <w:t>专业知识，积极地向公司提出了许多有建设性的宝贵意见和建议。公司董事会、高管团队认真听取了独立</w:t>
      </w:r>
      <w:r>
        <w:rPr>
          <w:spacing w:val="-33"/>
        </w:rPr>
        <w:t> </w:t>
      </w:r>
      <w:r>
        <w:rPr>
          <w:spacing w:val="-33"/>
        </w:rPr>
      </w:r>
      <w:r>
        <w:rPr>
          <w:spacing w:val="-2"/>
        </w:rPr>
        <w:t>董事的意见，不断优化公司管理结构、明确部门职能、优化业务流程，深入开展公司治理、加大公司内部</w:t>
      </w:r>
      <w:r>
        <w:rPr>
          <w:spacing w:val="-38"/>
        </w:rPr>
        <w:t> </w:t>
      </w:r>
      <w:r>
        <w:rPr>
          <w:spacing w:val="-38"/>
        </w:rPr>
      </w:r>
      <w:r>
        <w:rPr>
          <w:spacing w:val="-2"/>
        </w:rPr>
        <w:t>审核力度和内控建设，加强对公司产业链的研究和布局，构建合理的产业拓展布局，不断提高公司的管理</w:t>
      </w:r>
      <w:r>
        <w:rPr>
          <w:spacing w:val="-33"/>
        </w:rPr>
        <w:t> </w:t>
      </w:r>
      <w:r>
        <w:rPr>
          <w:spacing w:val="-33"/>
        </w:rPr>
      </w:r>
      <w:r>
        <w:rPr/>
        <w:t>水平。</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51"/>
      <w:bookmarkEnd w:id="151"/>
      <w:r>
        <w:rPr>
          <w:b w:val="0"/>
          <w:bCs w:val="0"/>
        </w:rPr>
      </w:r>
      <w:r>
        <w:rPr/>
        <w:t>六、董事会下设专门委员会在报告期内履行职责情况</w:t>
      </w:r>
      <w:r>
        <w:rPr>
          <w:b w:val="0"/>
          <w:bCs w:val="0"/>
        </w:rPr>
      </w:r>
    </w:p>
    <w:p>
      <w:pPr>
        <w:spacing w:line="240" w:lineRule="auto" w:before="10"/>
        <w:rPr>
          <w:rFonts w:ascii="宋体" w:hAnsi="宋体" w:cs="宋体" w:eastAsia="宋体" w:hint="default"/>
          <w:b/>
          <w:bCs/>
          <w:sz w:val="26"/>
          <w:szCs w:val="26"/>
        </w:rPr>
      </w:pPr>
    </w:p>
    <w:p>
      <w:pPr>
        <w:pStyle w:val="BodyText"/>
        <w:spacing w:line="312" w:lineRule="auto" w:before="0"/>
        <w:ind w:right="1125" w:firstLine="360"/>
        <w:jc w:val="both"/>
      </w:pPr>
      <w:r>
        <w:rPr>
          <w:spacing w:val="-6"/>
        </w:rPr>
        <w:t>公司董事会下设四个专门委员会，分别为战略委员会、提名委员会、审计委员会、薪酬与考核委员会。</w:t>
      </w:r>
      <w:r>
        <w:rPr>
          <w:w w:val="100"/>
        </w:rPr>
        <w:t> </w:t>
      </w:r>
      <w:r>
        <w:rPr>
          <w:rFonts w:ascii="宋体" w:hAnsi="宋体" w:cs="宋体" w:eastAsia="宋体" w:hint="default"/>
          <w:spacing w:val="-2"/>
        </w:rPr>
        <w:t>2019</w:t>
      </w:r>
      <w:r>
        <w:rPr>
          <w:spacing w:val="-2"/>
        </w:rPr>
        <w:t>年各专门委员会本着勤勉尽职的原则，按照有关法律法规、规范性文件及公司各专门委员会工作制度</w:t>
      </w:r>
      <w:r>
        <w:rPr>
          <w:spacing w:val="-29"/>
        </w:rPr>
        <w:t> </w:t>
      </w:r>
      <w:r>
        <w:rPr>
          <w:spacing w:val="-29"/>
        </w:rPr>
      </w:r>
      <w:r>
        <w:rPr/>
        <w:t>的有关规定开展相关工作。报告期内，各专门委员会履职情况如下：</w:t>
      </w:r>
    </w:p>
    <w:p>
      <w:pPr>
        <w:spacing w:line="240" w:lineRule="auto" w:before="3"/>
        <w:rPr>
          <w:rFonts w:ascii="宋体" w:hAnsi="宋体" w:cs="宋体" w:eastAsia="宋体" w:hint="default"/>
          <w:sz w:val="29"/>
          <w:szCs w:val="29"/>
        </w:rPr>
      </w:pPr>
    </w:p>
    <w:p>
      <w:pPr>
        <w:pStyle w:val="BodyText"/>
        <w:spacing w:line="314" w:lineRule="auto" w:before="0"/>
        <w:ind w:left="527" w:right="0" w:hanging="15"/>
        <w:jc w:val="left"/>
      </w:pPr>
      <w:r>
        <w:rPr>
          <w:rFonts w:ascii="宋体" w:hAnsi="宋体" w:cs="宋体" w:eastAsia="宋体" w:hint="default"/>
          <w:b/>
          <w:bCs/>
        </w:rPr>
        <w:t>（一）战略委员会</w:t>
      </w:r>
      <w:r>
        <w:rPr>
          <w:rFonts w:ascii="宋体" w:hAnsi="宋体" w:cs="宋体" w:eastAsia="宋体" w:hint="default"/>
          <w:b/>
          <w:bCs/>
          <w:spacing w:val="-103"/>
        </w:rPr>
        <w:t> </w:t>
      </w:r>
      <w:r>
        <w:rPr>
          <w:spacing w:val="-2"/>
        </w:rPr>
        <w:t>报告期内，战略委员会根据《董事会各专门委员会工作制度》及其他有关规定积极开展工作，认真履</w:t>
      </w:r>
    </w:p>
    <w:p>
      <w:pPr>
        <w:pStyle w:val="BodyText"/>
        <w:spacing w:line="314" w:lineRule="auto" w:before="15"/>
        <w:ind w:right="0"/>
        <w:jc w:val="left"/>
      </w:pPr>
      <w:r>
        <w:rPr/>
        <w:t>行职责。报告期内，战略委员会按规定召开了</w:t>
      </w:r>
      <w:r>
        <w:rPr>
          <w:rFonts w:ascii="宋体" w:hAnsi="宋体" w:cs="宋体" w:eastAsia="宋体" w:hint="default"/>
        </w:rPr>
        <w:t>5</w:t>
      </w:r>
      <w:r>
        <w:rPr/>
        <w:t>次会议。为满足公司经营发展要求，</w:t>
      </w:r>
      <w:r>
        <w:rPr>
          <w:rFonts w:ascii="宋体" w:hAnsi="宋体" w:cs="宋体" w:eastAsia="宋体" w:hint="default"/>
        </w:rPr>
        <w:t>2019</w:t>
      </w:r>
      <w:r>
        <w:rPr/>
        <w:t>年度战略委员会</w:t>
      </w:r>
      <w:r>
        <w:rPr>
          <w:w w:val="100"/>
        </w:rPr>
        <w:t> </w:t>
      </w:r>
      <w:r>
        <w:rPr/>
        <w:t>对公司对外投资事项、未来三年股东回报规划的修订、公司收购北京金印联</w:t>
      </w:r>
      <w:r>
        <w:rPr>
          <w:rFonts w:ascii="宋体" w:hAnsi="宋体" w:cs="宋体" w:eastAsia="宋体" w:hint="default"/>
        </w:rPr>
        <w:t>70%</w:t>
      </w:r>
      <w:r>
        <w:rPr/>
        <w:t>股权事项、子公司西安易</w:t>
      </w:r>
      <w:r>
        <w:rPr>
          <w:w w:val="100"/>
        </w:rPr>
        <w:t> </w:t>
      </w:r>
      <w:r>
        <w:rPr/>
        <w:t>诺和创科技发展有限公司变更公司名称及经营范围并进行增资扩股事宜以及关于公司调整对外投资设立</w:t>
      </w:r>
      <w:r>
        <w:rPr>
          <w:w w:val="100"/>
        </w:rPr>
        <w:t> </w:t>
      </w:r>
      <w:r>
        <w:rPr>
          <w:spacing w:val="-2"/>
        </w:rPr>
        <w:t>控股子公司等事宜，给出了具有前瞻性的专业意见，并同意上述议案提交董事会审议，为公司持续、稳健</w:t>
      </w:r>
      <w:r>
        <w:rPr>
          <w:spacing w:val="-33"/>
        </w:rPr>
        <w:t> </w:t>
      </w:r>
      <w:r>
        <w:rPr>
          <w:spacing w:val="-33"/>
        </w:rPr>
      </w:r>
      <w:r>
        <w:rPr/>
        <w:t>发展提供了科学的战略决策及战略层面的支持。</w:t>
      </w:r>
    </w:p>
    <w:p>
      <w:pPr>
        <w:spacing w:line="240" w:lineRule="auto" w:before="1"/>
        <w:rPr>
          <w:rFonts w:ascii="宋体" w:hAnsi="宋体" w:cs="宋体" w:eastAsia="宋体" w:hint="default"/>
          <w:sz w:val="29"/>
          <w:szCs w:val="29"/>
        </w:rPr>
      </w:pPr>
    </w:p>
    <w:p>
      <w:pPr>
        <w:pStyle w:val="BodyText"/>
        <w:spacing w:line="314" w:lineRule="auto" w:before="0"/>
        <w:ind w:left="422" w:right="0" w:firstLine="91"/>
        <w:jc w:val="left"/>
      </w:pPr>
      <w:r>
        <w:rPr>
          <w:rFonts w:ascii="宋体" w:hAnsi="宋体" w:cs="宋体" w:eastAsia="宋体" w:hint="default"/>
          <w:b/>
          <w:bCs/>
        </w:rPr>
        <w:t>（二）提名委员会</w:t>
      </w:r>
      <w:r>
        <w:rPr>
          <w:rFonts w:ascii="宋体" w:hAnsi="宋体" w:cs="宋体" w:eastAsia="宋体" w:hint="default"/>
          <w:b/>
          <w:bCs/>
          <w:w w:val="100"/>
        </w:rPr>
        <w:t> </w:t>
      </w:r>
      <w:r>
        <w:rPr>
          <w:spacing w:val="-3"/>
        </w:rPr>
        <w:t>报告期内，提名委员会根据《公司章程》、《董事会各专门委员会工作制度》及其他有关规定积极开展</w:t>
      </w:r>
    </w:p>
    <w:p>
      <w:pPr>
        <w:pStyle w:val="BodyText"/>
        <w:spacing w:line="314" w:lineRule="auto" w:before="15"/>
        <w:ind w:right="0"/>
        <w:jc w:val="left"/>
      </w:pPr>
      <w:r>
        <w:rPr/>
        <w:t>工作，认真履行职责。报告期内，提名委员会按规定召开了</w:t>
      </w:r>
      <w:r>
        <w:rPr>
          <w:rFonts w:ascii="宋体" w:hAnsi="宋体" w:cs="宋体" w:eastAsia="宋体" w:hint="default"/>
        </w:rPr>
        <w:t>2</w:t>
      </w:r>
      <w:r>
        <w:rPr/>
        <w:t>次会议，会议审议了《关于调整公司部分高</w:t>
      </w:r>
      <w:r>
        <w:rPr>
          <w:w w:val="100"/>
        </w:rPr>
        <w:t> </w:t>
      </w:r>
      <w:r>
        <w:rPr>
          <w:spacing w:val="-2"/>
        </w:rPr>
        <w:t>管工作职责的议案》、《选聘林蔚担任公司副总经理的议案》、《关于选举郭青平先生为公司董事并冯杰</w:t>
      </w:r>
      <w:r>
        <w:rPr>
          <w:spacing w:val="-31"/>
        </w:rPr>
        <w:t> </w:t>
      </w:r>
      <w:r>
        <w:rPr>
          <w:spacing w:val="-31"/>
        </w:rPr>
      </w:r>
      <w:r>
        <w:rPr/>
        <w:t>先生不再担任公司董事的议案》，并同意将上述议案提交董事会审议。</w:t>
      </w:r>
    </w:p>
    <w:p>
      <w:pPr>
        <w:spacing w:line="240" w:lineRule="auto" w:before="9"/>
        <w:rPr>
          <w:rFonts w:ascii="宋体" w:hAnsi="宋体" w:cs="宋体" w:eastAsia="宋体" w:hint="default"/>
          <w:sz w:val="28"/>
          <w:szCs w:val="28"/>
        </w:rPr>
      </w:pPr>
    </w:p>
    <w:p>
      <w:pPr>
        <w:pStyle w:val="BodyText"/>
        <w:spacing w:line="314" w:lineRule="auto" w:before="0"/>
        <w:ind w:left="513" w:right="0"/>
        <w:jc w:val="left"/>
      </w:pPr>
      <w:r>
        <w:rPr>
          <w:rFonts w:ascii="宋体" w:hAnsi="宋体" w:cs="宋体" w:eastAsia="宋体" w:hint="default"/>
          <w:b/>
          <w:bCs/>
        </w:rPr>
        <w:t>（三）审计委员会</w:t>
      </w:r>
      <w:r>
        <w:rPr>
          <w:rFonts w:ascii="宋体" w:hAnsi="宋体" w:cs="宋体" w:eastAsia="宋体" w:hint="default"/>
          <w:b/>
          <w:bCs/>
          <w:spacing w:val="-103"/>
        </w:rPr>
        <w:t> </w:t>
      </w:r>
      <w:r>
        <w:rPr>
          <w:spacing w:val="-2"/>
        </w:rPr>
        <w:t>报告期内，审计委员会根据《董事会各专门委员会工作制度》及其他有关规定积极开展工作，认真履</w:t>
      </w:r>
    </w:p>
    <w:p>
      <w:pPr>
        <w:pStyle w:val="BodyText"/>
        <w:spacing w:line="314" w:lineRule="auto"/>
        <w:ind w:right="0"/>
        <w:jc w:val="left"/>
      </w:pPr>
      <w:r>
        <w:rPr/>
        <w:t>行职责。</w:t>
      </w:r>
      <w:r>
        <w:rPr>
          <w:rFonts w:ascii="宋体" w:hAnsi="宋体" w:cs="宋体" w:eastAsia="宋体" w:hint="default"/>
        </w:rPr>
        <w:t>2019</w:t>
      </w:r>
      <w:r>
        <w:rPr/>
        <w:t>年，审计委员会共召开了</w:t>
      </w:r>
      <w:r>
        <w:rPr>
          <w:rFonts w:ascii="宋体" w:hAnsi="宋体" w:cs="宋体" w:eastAsia="宋体" w:hint="default"/>
        </w:rPr>
        <w:t>5</w:t>
      </w:r>
      <w:r>
        <w:rPr/>
        <w:t>次会议，审议了公司的审计报告、日常关联交易、一季度报告、</w:t>
      </w:r>
      <w:r>
        <w:rPr>
          <w:w w:val="100"/>
        </w:rPr>
        <w:t> </w:t>
      </w:r>
      <w:r>
        <w:rPr>
          <w:spacing w:val="-2"/>
        </w:rPr>
        <w:t>半年度报告及三季度报告等相关议案，定期了解公司财务状况和经营情况，督促和指导公司内审部对公司</w:t>
      </w:r>
      <w:r>
        <w:rPr>
          <w:spacing w:val="-30"/>
        </w:rPr>
        <w:t> </w:t>
      </w:r>
      <w:r>
        <w:rPr>
          <w:spacing w:val="-30"/>
        </w:rPr>
      </w:r>
      <w:r>
        <w:rPr>
          <w:spacing w:val="-2"/>
        </w:rPr>
        <w:t>财务管理运行情况进行定期和不定期的检查和评估；审查了公司内部控制制度及执行情况，审核了公司所</w:t>
      </w:r>
      <w:r>
        <w:rPr>
          <w:spacing w:val="-33"/>
        </w:rPr>
        <w:t> </w:t>
      </w:r>
      <w:r>
        <w:rPr>
          <w:spacing w:val="-33"/>
        </w:rPr>
      </w:r>
      <w:r>
        <w:rPr>
          <w:spacing w:val="-2"/>
        </w:rPr>
        <w:t>有重要的会计政策，委员会认为公司内控制度体系符合法律、法规及《公司章程》的要求，适应当前生产</w:t>
      </w:r>
      <w:r>
        <w:rPr>
          <w:spacing w:val="-38"/>
        </w:rPr>
        <w:t> </w:t>
      </w:r>
      <w:r>
        <w:rPr>
          <w:spacing w:val="-38"/>
        </w:rPr>
      </w:r>
      <w:r>
        <w:rPr/>
        <w:t>经营实际情况的需要。</w:t>
      </w:r>
    </w:p>
    <w:p>
      <w:pPr>
        <w:spacing w:line="240" w:lineRule="auto" w:before="9"/>
        <w:rPr>
          <w:rFonts w:ascii="宋体" w:hAnsi="宋体" w:cs="宋体" w:eastAsia="宋体" w:hint="default"/>
          <w:sz w:val="28"/>
          <w:szCs w:val="28"/>
        </w:rPr>
      </w:pPr>
    </w:p>
    <w:p>
      <w:pPr>
        <w:spacing w:line="314" w:lineRule="auto" w:before="0"/>
        <w:ind w:left="513" w:right="0" w:firstLine="0"/>
        <w:jc w:val="left"/>
        <w:rPr>
          <w:rFonts w:ascii="宋体" w:hAnsi="宋体" w:cs="宋体" w:eastAsia="宋体" w:hint="default"/>
          <w:sz w:val="21"/>
          <w:szCs w:val="21"/>
        </w:rPr>
      </w:pPr>
      <w:r>
        <w:rPr>
          <w:rFonts w:ascii="宋体" w:hAnsi="宋体" w:cs="宋体" w:eastAsia="宋体" w:hint="default"/>
          <w:b/>
          <w:bCs/>
          <w:sz w:val="21"/>
          <w:szCs w:val="21"/>
        </w:rPr>
        <w:t>（四）薪酬与考核委员会</w:t>
      </w:r>
      <w:r>
        <w:rPr>
          <w:rFonts w:ascii="宋体" w:hAnsi="宋体" w:cs="宋体" w:eastAsia="宋体" w:hint="default"/>
          <w:b/>
          <w:bCs/>
          <w:spacing w:val="-102"/>
          <w:sz w:val="21"/>
          <w:szCs w:val="21"/>
        </w:rPr>
        <w:t> </w:t>
      </w:r>
      <w:r>
        <w:rPr>
          <w:rFonts w:ascii="宋体" w:hAnsi="宋体" w:cs="宋体" w:eastAsia="宋体" w:hint="default"/>
          <w:spacing w:val="-2"/>
          <w:sz w:val="21"/>
          <w:szCs w:val="21"/>
        </w:rPr>
        <w:t>报告期内，薪酬与考核委员会根据《董事会各专门委员会工作制度》及其他有关规定积极开展工作，</w:t>
      </w:r>
    </w:p>
    <w:p>
      <w:pPr>
        <w:pStyle w:val="BodyText"/>
        <w:spacing w:line="240" w:lineRule="auto"/>
        <w:ind w:right="0"/>
        <w:jc w:val="left"/>
      </w:pPr>
      <w:r>
        <w:rPr/>
        <w:t>认真履行职责，按规定累计召开了</w:t>
      </w:r>
      <w:r>
        <w:rPr>
          <w:rFonts w:ascii="宋体" w:hAnsi="宋体" w:cs="宋体" w:eastAsia="宋体" w:hint="default"/>
        </w:rPr>
        <w:t>1</w:t>
      </w:r>
      <w:r>
        <w:rPr/>
        <w:t>次会议。根据中国证监会、深交所有关法律、法规和公司内部控制制</w:t>
      </w:r>
    </w:p>
    <w:p>
      <w:pPr>
        <w:spacing w:after="0" w:line="240" w:lineRule="auto"/>
        <w:jc w:val="left"/>
        <w:sectPr>
          <w:pgSz w:w="11910" w:h="16840"/>
          <w:pgMar w:header="460" w:footer="979" w:top="1100" w:bottom="1160" w:left="980" w:right="0"/>
        </w:sectPr>
      </w:pPr>
    </w:p>
    <w:p>
      <w:pPr>
        <w:spacing w:line="240" w:lineRule="auto" w:before="7"/>
        <w:rPr>
          <w:rFonts w:ascii="宋体" w:hAnsi="宋体" w:cs="宋体" w:eastAsia="宋体" w:hint="default"/>
          <w:sz w:val="22"/>
          <w:szCs w:val="22"/>
        </w:rPr>
      </w:pPr>
    </w:p>
    <w:p>
      <w:pPr>
        <w:pStyle w:val="BodyText"/>
        <w:spacing w:line="312" w:lineRule="auto" w:before="36"/>
        <w:ind w:right="1122"/>
        <w:jc w:val="both"/>
      </w:pPr>
      <w:r>
        <w:rPr>
          <w:spacing w:val="-2"/>
        </w:rPr>
        <w:t>度，公司董事会薪酬与考核委员会对公司经营管理层人员的</w:t>
      </w:r>
      <w:r>
        <w:rPr>
          <w:rFonts w:ascii="宋体" w:hAnsi="宋体" w:cs="宋体" w:eastAsia="宋体" w:hint="default"/>
          <w:spacing w:val="-2"/>
        </w:rPr>
        <w:t>2018</w:t>
      </w:r>
      <w:r>
        <w:rPr>
          <w:spacing w:val="-2"/>
        </w:rPr>
        <w:t>年奖金分配方案进行了审核，认为公司披</w:t>
      </w:r>
      <w:r>
        <w:rPr>
          <w:spacing w:val="-27"/>
        </w:rPr>
        <w:t> </w:t>
      </w:r>
      <w:r>
        <w:rPr>
          <w:spacing w:val="-27"/>
        </w:rPr>
      </w:r>
      <w:r>
        <w:rPr>
          <w:spacing w:val="-2"/>
        </w:rPr>
        <w:t>露的考核指标及完成情况是真实的、符合实际的，高级管理人员奖金分配金额是合理的，并同意将</w:t>
      </w:r>
      <w:r>
        <w:rPr>
          <w:rFonts w:ascii="宋体" w:hAnsi="宋体" w:cs="宋体" w:eastAsia="宋体" w:hint="default"/>
          <w:spacing w:val="-2"/>
        </w:rPr>
        <w:t>2018</w:t>
      </w:r>
      <w:r>
        <w:rPr>
          <w:spacing w:val="-2"/>
        </w:rPr>
        <w:t>年</w:t>
      </w:r>
      <w:r>
        <w:rPr>
          <w:spacing w:val="-26"/>
        </w:rPr>
        <w:t> </w:t>
      </w:r>
      <w:r>
        <w:rPr/>
        <w:t>奖金分配方案提交董事会审议。</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2"/>
        <w:spacing w:line="240" w:lineRule="auto"/>
        <w:ind w:right="0"/>
        <w:jc w:val="both"/>
        <w:rPr>
          <w:b w:val="0"/>
          <w:bCs w:val="0"/>
        </w:rPr>
      </w:pPr>
      <w:bookmarkStart w:name="七、监事会工作情况" w:id="152"/>
      <w:bookmarkEnd w:id="152"/>
      <w:r>
        <w:rPr>
          <w:b w:val="0"/>
          <w:bCs w:val="0"/>
        </w:rPr>
      </w:r>
      <w:r>
        <w:rPr/>
        <w:t>七、监事会工作情况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监事会在报告期内的监督活动中发现公司是否存在风险</w:t>
      </w:r>
    </w:p>
    <w:p>
      <w:pPr>
        <w:spacing w:line="338" w:lineRule="auto" w:before="115"/>
        <w:ind w:left="153" w:right="763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监事会对报告期内的监督事项无异议。</w:t>
      </w:r>
    </w:p>
    <w:p>
      <w:pPr>
        <w:spacing w:line="240" w:lineRule="auto" w:before="9"/>
        <w:rPr>
          <w:rFonts w:ascii="宋体" w:hAnsi="宋体" w:cs="宋体" w:eastAsia="宋体" w:hint="default"/>
          <w:sz w:val="18"/>
          <w:szCs w:val="18"/>
        </w:rPr>
      </w:pPr>
    </w:p>
    <w:p>
      <w:pPr>
        <w:pStyle w:val="Heading2"/>
        <w:spacing w:line="240" w:lineRule="auto"/>
        <w:ind w:right="0"/>
        <w:jc w:val="both"/>
        <w:rPr>
          <w:b w:val="0"/>
          <w:bCs w:val="0"/>
        </w:rPr>
      </w:pPr>
      <w:bookmarkStart w:name="八、高级管理人员的考评及激励情况" w:id="153"/>
      <w:bookmarkEnd w:id="153"/>
      <w:r>
        <w:rPr>
          <w:b w:val="0"/>
          <w:bCs w:val="0"/>
        </w:rPr>
      </w:r>
      <w:r>
        <w:rPr/>
        <w:t>八、高级管理人员的考评及激励情况</w:t>
      </w:r>
      <w:r>
        <w:rPr>
          <w:b w:val="0"/>
          <w:bCs w:val="0"/>
        </w:rPr>
      </w:r>
    </w:p>
    <w:p>
      <w:pPr>
        <w:spacing w:line="240" w:lineRule="auto" w:before="10"/>
        <w:rPr>
          <w:rFonts w:ascii="宋体" w:hAnsi="宋体" w:cs="宋体" w:eastAsia="宋体" w:hint="default"/>
          <w:b/>
          <w:bCs/>
          <w:sz w:val="26"/>
          <w:szCs w:val="26"/>
        </w:rPr>
      </w:pPr>
    </w:p>
    <w:p>
      <w:pPr>
        <w:pStyle w:val="BodyText"/>
        <w:spacing w:line="314" w:lineRule="auto" w:before="0"/>
        <w:ind w:right="1122" w:firstLine="360"/>
        <w:jc w:val="both"/>
      </w:pPr>
      <w:r>
        <w:rPr>
          <w:spacing w:val="-2"/>
        </w:rPr>
        <w:t>公司董事（非独立董事）及高级管理人员的年度薪酬根据公司审议通过的绩效考核方案执行，结合年</w:t>
      </w:r>
      <w:r>
        <w:rPr>
          <w:w w:val="100"/>
        </w:rPr>
        <w:t> </w:t>
      </w:r>
      <w:r>
        <w:rPr>
          <w:spacing w:val="-2"/>
        </w:rPr>
        <w:t>度经营业绩及个人考核情况进行核定。董事会薪酬与考核委员会对公司董事（非独立董事）及高级管理人</w:t>
      </w:r>
      <w:r>
        <w:rPr>
          <w:spacing w:val="-33"/>
        </w:rPr>
        <w:t> </w:t>
      </w:r>
      <w:r>
        <w:rPr>
          <w:spacing w:val="-33"/>
        </w:rPr>
      </w:r>
      <w:r>
        <w:rPr>
          <w:spacing w:val="-2"/>
        </w:rPr>
        <w:t>员的年度工作情况进行评定，年度考核采取工作汇报与综合评议的方式进行。</w:t>
      </w:r>
      <w:r>
        <w:rPr>
          <w:rFonts w:ascii="宋体" w:hAnsi="宋体" w:cs="宋体" w:eastAsia="宋体" w:hint="default"/>
          <w:spacing w:val="-2"/>
        </w:rPr>
        <w:t>2019</w:t>
      </w:r>
      <w:r>
        <w:rPr>
          <w:spacing w:val="-2"/>
        </w:rPr>
        <w:t>年度独立董事年薪标准</w:t>
      </w:r>
      <w:r>
        <w:rPr>
          <w:spacing w:val="-26"/>
        </w:rPr>
        <w:t> </w:t>
      </w:r>
      <w:r>
        <w:rPr>
          <w:spacing w:val="-26"/>
        </w:rPr>
      </w:r>
      <w:r>
        <w:rPr/>
        <w:t>为每人</w:t>
      </w:r>
      <w:r>
        <w:rPr>
          <w:rFonts w:ascii="宋体" w:hAnsi="宋体" w:cs="宋体" w:eastAsia="宋体" w:hint="default"/>
        </w:rPr>
        <w:t>5</w:t>
      </w:r>
      <w:r>
        <w:rPr/>
        <w:t>万元（含税）。</w:t>
      </w:r>
    </w:p>
    <w:p>
      <w:pPr>
        <w:pStyle w:val="BodyText"/>
        <w:spacing w:line="314" w:lineRule="auto" w:before="15"/>
        <w:ind w:right="1164" w:firstLine="360"/>
        <w:jc w:val="both"/>
      </w:pPr>
      <w:r>
        <w:rPr>
          <w:spacing w:val="-2"/>
        </w:rPr>
        <w:t>为促进公司长期、持续、健康发展，促进公司、股东和员工三方的利益最大化，报告期内，公司已完</w:t>
      </w:r>
      <w:r>
        <w:rPr>
          <w:w w:val="100"/>
        </w:rPr>
        <w:t> </w:t>
      </w:r>
      <w:r>
        <w:rPr>
          <w:spacing w:val="-2"/>
        </w:rPr>
        <w:t>成第一期员工持股计划的股票购买工作，其中参与认购的董事、高管</w:t>
      </w:r>
      <w:r>
        <w:rPr>
          <w:rFonts w:ascii="宋体" w:hAnsi="宋体" w:cs="宋体" w:eastAsia="宋体" w:hint="default"/>
          <w:spacing w:val="-2"/>
        </w:rPr>
        <w:t>3</w:t>
      </w:r>
      <w:r>
        <w:rPr>
          <w:spacing w:val="-2"/>
        </w:rPr>
        <w:t>人，认购金额</w:t>
      </w:r>
      <w:r>
        <w:rPr>
          <w:rFonts w:ascii="宋体" w:hAnsi="宋体" w:cs="宋体" w:eastAsia="宋体" w:hint="default"/>
          <w:spacing w:val="-2"/>
        </w:rPr>
        <w:t>700</w:t>
      </w:r>
      <w:r>
        <w:rPr>
          <w:spacing w:val="-2"/>
        </w:rPr>
        <w:t>万元，占比</w:t>
      </w:r>
      <w:r>
        <w:rPr>
          <w:rFonts w:ascii="宋体" w:hAnsi="宋体" w:cs="宋体" w:eastAsia="宋体" w:hint="default"/>
          <w:spacing w:val="-2"/>
        </w:rPr>
        <w:t>40%</w:t>
      </w:r>
      <w:r>
        <w:rPr>
          <w:spacing w:val="-2"/>
        </w:rPr>
        <w:t>。</w:t>
      </w:r>
    </w:p>
    <w:p>
      <w:pPr>
        <w:spacing w:line="240" w:lineRule="auto" w:before="7"/>
        <w:rPr>
          <w:rFonts w:ascii="宋体" w:hAnsi="宋体" w:cs="宋体" w:eastAsia="宋体" w:hint="default"/>
          <w:sz w:val="20"/>
          <w:szCs w:val="20"/>
        </w:rPr>
      </w:pPr>
    </w:p>
    <w:p>
      <w:pPr>
        <w:pStyle w:val="Heading2"/>
        <w:spacing w:line="240" w:lineRule="auto"/>
        <w:ind w:right="0"/>
        <w:jc w:val="both"/>
        <w:rPr>
          <w:b w:val="0"/>
          <w:bCs w:val="0"/>
        </w:rPr>
      </w:pPr>
      <w:bookmarkStart w:name="九、内部控制评价报告" w:id="154"/>
      <w:bookmarkEnd w:id="154"/>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报告期内发现的内部控制重大缺陷的具体情况" w:id="155"/>
      <w:bookmarkEnd w:id="155"/>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5"/>
          <w:szCs w:val="25"/>
        </w:rPr>
      </w:pPr>
    </w:p>
    <w:p>
      <w:pPr>
        <w:pStyle w:val="Heading3"/>
        <w:spacing w:line="240" w:lineRule="auto"/>
        <w:ind w:right="0"/>
        <w:jc w:val="both"/>
        <w:rPr>
          <w:b w:val="0"/>
          <w:bCs w:val="0"/>
        </w:rPr>
      </w:pPr>
      <w:bookmarkStart w:name="2、内控自我评价报告" w:id="156"/>
      <w:bookmarkEnd w:id="156"/>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933"/>
        <w:gridCol w:w="3576"/>
        <w:gridCol w:w="3232"/>
      </w:tblGrid>
      <w:tr>
        <w:trPr>
          <w:trHeight w:val="404" w:hRule="exact"/>
        </w:trPr>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680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3" w:hRule="exact"/>
        </w:trPr>
        <w:tc>
          <w:tcPr>
            <w:tcW w:w="29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8" w:type="dxa"/>
            <w:gridSpan w:val="2"/>
            <w:vMerge w:val="restart"/>
            <w:tcBorders>
              <w:top w:val="single" w:sz="4" w:space="0" w:color="000000"/>
              <w:left w:val="single" w:sz="10" w:space="0" w:color="D2D2D2"/>
              <w:right w:val="single" w:sz="4" w:space="0" w:color="000000"/>
            </w:tcBorders>
          </w:tcPr>
          <w:p>
            <w:pPr>
              <w:pStyle w:val="TableParagraph"/>
              <w:spacing w:line="300" w:lineRule="auto" w:before="53"/>
              <w:ind w:left="15" w:right="65"/>
              <w:jc w:val="left"/>
              <w:rPr>
                <w:rFonts w:ascii="宋体" w:hAnsi="宋体" w:cs="宋体" w:eastAsia="宋体" w:hint="default"/>
                <w:sz w:val="18"/>
                <w:szCs w:val="18"/>
              </w:rPr>
            </w:pPr>
            <w:r>
              <w:rPr>
                <w:rFonts w:ascii="宋体" w:hAnsi="宋体" w:cs="宋体" w:eastAsia="宋体" w:hint="default"/>
                <w:spacing w:val="-4"/>
                <w:w w:val="101"/>
                <w:sz w:val="18"/>
                <w:szCs w:val="18"/>
              </w:rPr>
              <w:t>巨潮资讯网（</w:t>
            </w:r>
            <w:hyperlink r:id="rId11">
              <w:r>
                <w:rPr>
                  <w:rFonts w:ascii="Times New Roman" w:hAnsi="Times New Roman" w:cs="Times New Roman" w:eastAsia="Times New Roman" w:hint="default"/>
                  <w:spacing w:val="-4"/>
                  <w:w w:val="101"/>
                  <w:sz w:val="18"/>
                  <w:szCs w:val="18"/>
                </w:rPr>
                <w:t>http://www.cninfo.com.cn/</w:t>
              </w:r>
            </w:hyperlink>
            <w:r>
              <w:rPr>
                <w:rFonts w:ascii="宋体" w:hAnsi="宋体" w:cs="宋体" w:eastAsia="宋体" w:hint="default"/>
                <w:spacing w:val="-4"/>
                <w:w w:val="101"/>
                <w:sz w:val="18"/>
                <w:szCs w:val="18"/>
              </w:rPr>
              <w:t>）《西安环球印务股份有限公司内部控制自我评</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价报告》</w:t>
            </w:r>
          </w:p>
        </w:tc>
      </w:tr>
      <w:tr>
        <w:trPr>
          <w:trHeight w:val="389" w:hRule="exact"/>
        </w:trPr>
        <w:tc>
          <w:tcPr>
            <w:tcW w:w="29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内部控制评价报告全文披露索引</w:t>
            </w:r>
          </w:p>
        </w:tc>
        <w:tc>
          <w:tcPr>
            <w:tcW w:w="6808" w:type="dxa"/>
            <w:gridSpan w:val="2"/>
            <w:vMerge/>
            <w:tcBorders>
              <w:left w:val="single" w:sz="10" w:space="0" w:color="D2D2D2"/>
              <w:right w:val="single" w:sz="4" w:space="0" w:color="000000"/>
            </w:tcBorders>
          </w:tcPr>
          <w:p>
            <w:pPr/>
          </w:p>
        </w:tc>
      </w:tr>
      <w:tr>
        <w:trPr>
          <w:trHeight w:val="163" w:hRule="exact"/>
        </w:trPr>
        <w:tc>
          <w:tcPr>
            <w:tcW w:w="29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8" w:type="dxa"/>
            <w:gridSpan w:val="2"/>
            <w:vMerge/>
            <w:tcBorders>
              <w:left w:val="single" w:sz="10" w:space="0" w:color="D2D2D2"/>
              <w:bottom w:val="single" w:sz="4" w:space="0" w:color="000000"/>
              <w:right w:val="single" w:sz="4" w:space="0" w:color="000000"/>
            </w:tcBorders>
          </w:tcPr>
          <w:p>
            <w:pPr/>
          </w:p>
        </w:tc>
      </w:tr>
      <w:tr>
        <w:trPr>
          <w:trHeight w:val="710" w:hRule="exact"/>
        </w:trPr>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23"/>
              <w:jc w:val="left"/>
              <w:rPr>
                <w:rFonts w:ascii="宋体" w:hAnsi="宋体" w:cs="宋体" w:eastAsia="宋体" w:hint="default"/>
                <w:sz w:val="18"/>
                <w:szCs w:val="18"/>
              </w:rPr>
            </w:pPr>
            <w:r>
              <w:rPr>
                <w:rFonts w:ascii="宋体" w:hAnsi="宋体" w:cs="宋体" w:eastAsia="宋体" w:hint="default"/>
                <w:spacing w:val="-3"/>
                <w:sz w:val="18"/>
                <w:szCs w:val="18"/>
              </w:rPr>
              <w:t>纳入评价范围单位资产总额占公司合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并财务报表资产总额的比例</w:t>
            </w:r>
          </w:p>
        </w:tc>
        <w:tc>
          <w:tcPr>
            <w:tcW w:w="680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100.00%</w:t>
            </w:r>
          </w:p>
        </w:tc>
      </w:tr>
      <w:tr>
        <w:trPr>
          <w:trHeight w:val="716" w:hRule="exact"/>
        </w:trPr>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11" w:right="23"/>
              <w:jc w:val="left"/>
              <w:rPr>
                <w:rFonts w:ascii="宋体" w:hAnsi="宋体" w:cs="宋体" w:eastAsia="宋体" w:hint="default"/>
                <w:sz w:val="18"/>
                <w:szCs w:val="18"/>
              </w:rPr>
            </w:pPr>
            <w:r>
              <w:rPr>
                <w:rFonts w:ascii="宋体" w:hAnsi="宋体" w:cs="宋体" w:eastAsia="宋体" w:hint="default"/>
                <w:spacing w:val="-3"/>
                <w:sz w:val="18"/>
                <w:szCs w:val="18"/>
              </w:rPr>
              <w:t>纳入评价范围单位营业收入占公司合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并财务报表营业收入的比例</w:t>
            </w:r>
          </w:p>
        </w:tc>
        <w:tc>
          <w:tcPr>
            <w:tcW w:w="680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100.00%</w:t>
            </w:r>
          </w:p>
        </w:tc>
      </w:tr>
      <w:tr>
        <w:trPr>
          <w:trHeight w:val="398" w:hRule="exact"/>
        </w:trPr>
        <w:tc>
          <w:tcPr>
            <w:tcW w:w="974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6"/>
              <w:jc w:val="center"/>
              <w:rPr>
                <w:rFonts w:ascii="宋体" w:hAnsi="宋体" w:cs="宋体" w:eastAsia="宋体" w:hint="default"/>
                <w:sz w:val="18"/>
                <w:szCs w:val="18"/>
              </w:rPr>
            </w:pPr>
            <w:r>
              <w:rPr>
                <w:rFonts w:ascii="宋体" w:hAnsi="宋体" w:cs="宋体" w:eastAsia="宋体" w:hint="default"/>
                <w:sz w:val="18"/>
                <w:szCs w:val="18"/>
              </w:rPr>
              <w:t>类别</w:t>
            </w:r>
          </w:p>
        </w:tc>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bl>
    <w:p>
      <w:pPr>
        <w:spacing w:after="0" w:line="240" w:lineRule="auto"/>
        <w:jc w:val="center"/>
        <w:rPr>
          <w:rFonts w:ascii="宋体" w:hAnsi="宋体" w:cs="宋体" w:eastAsia="宋体" w:hint="default"/>
          <w:sz w:val="18"/>
          <w:szCs w:val="18"/>
        </w:rPr>
        <w:sectPr>
          <w:pgSz w:w="11910" w:h="16840"/>
          <w:pgMar w:header="460" w:footer="979" w:top="1100" w:bottom="1160" w:left="980" w:right="0"/>
        </w:sectPr>
      </w:pPr>
    </w:p>
    <w:p>
      <w:pPr>
        <w:spacing w:line="240" w:lineRule="auto" w:before="8"/>
        <w:rPr>
          <w:rFonts w:ascii="宋体" w:hAnsi="宋体" w:cs="宋体" w:eastAsia="宋体" w:hint="default"/>
          <w:b/>
          <w:bCs/>
          <w:sz w:val="24"/>
          <w:szCs w:val="24"/>
        </w:rPr>
      </w:pPr>
      <w:r>
        <w:rPr/>
        <w:pict>
          <v:shape style="position:absolute;margin-left:376.92865pt;margin-top:400.915985pt;width:167.15pt;height:85.75pt;mso-position-horizontal-relative:page;mso-position-vertical-relative:page;z-index:-9573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382.940002pt;margin-top:400.915985pt;width:161.15pt;height:85.75pt;mso-position-horizontal-relative:page;mso-position-vertical-relative:page;z-index:-957304" coordorigin="7659,8018" coordsize="3223,1715">
            <v:shape style="position:absolute;left:7659;top:8018;width:3223;height:1715" coordorigin="7659,8018" coordsize="3223,1715" path="m7659,9732l10881,9732,10881,8018,7659,8018,7659,9732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2943"/>
        <w:gridCol w:w="3577"/>
        <w:gridCol w:w="3232"/>
      </w:tblGrid>
      <w:tr>
        <w:trPr>
          <w:trHeight w:val="383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pacing w:val="-7"/>
                <w:w w:val="101"/>
                <w:sz w:val="18"/>
                <w:szCs w:val="18"/>
              </w:rPr>
              <w:t>财务报告相关重大缺陷的迹象包括：①控制环</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pacing w:val="-7"/>
                <w:sz w:val="18"/>
                <w:szCs w:val="18"/>
              </w:rPr>
              <w:t>境无效；②公司董事、监事和高级管理人员的</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7"/>
                <w:w w:val="101"/>
                <w:sz w:val="18"/>
                <w:szCs w:val="18"/>
              </w:rPr>
              <w:t>舞弊行为；③未被公司内部控制识别的当期财</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7"/>
                <w:w w:val="101"/>
                <w:sz w:val="18"/>
                <w:szCs w:val="18"/>
              </w:rPr>
              <w:t>务报告中的重大错报；④审计委员会和审计部</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pacing w:val="-3"/>
                <w:sz w:val="18"/>
                <w:szCs w:val="18"/>
              </w:rPr>
              <w:t>门对公司的对外财务报告和财务报告内部控</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制监督无效。</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47"/>
              <w:jc w:val="left"/>
              <w:rPr>
                <w:rFonts w:ascii="宋体" w:hAnsi="宋体" w:cs="宋体" w:eastAsia="宋体" w:hint="default"/>
                <w:sz w:val="18"/>
                <w:szCs w:val="18"/>
              </w:rPr>
            </w:pPr>
            <w:r>
              <w:rPr>
                <w:rFonts w:ascii="宋体" w:hAnsi="宋体" w:cs="宋体" w:eastAsia="宋体" w:hint="default"/>
                <w:spacing w:val="-3"/>
                <w:sz w:val="18"/>
                <w:szCs w:val="18"/>
              </w:rPr>
              <w:t>非财务报告相关内部控制缺陷的认定主</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要以缺陷对业务流程有效性的影响程度、</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发生的可能性作判定。如果缺陷发生的可</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6"/>
                <w:sz w:val="18"/>
                <w:szCs w:val="18"/>
              </w:rPr>
              <w:t>能性较小，会降低工作效率或效果、或加</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6"/>
                <w:w w:val="101"/>
                <w:sz w:val="18"/>
                <w:szCs w:val="18"/>
              </w:rPr>
              <w:t>大效果的不确定性、或使之偏离预期目标</w:t>
            </w:r>
            <w:r>
              <w:rPr>
                <w:rFonts w:ascii="宋体" w:hAnsi="宋体" w:cs="宋体" w:eastAsia="宋体" w:hint="default"/>
                <w:w w:val="101"/>
                <w:sz w:val="18"/>
                <w:szCs w:val="18"/>
              </w:rPr>
              <w:t> </w:t>
            </w:r>
            <w:r>
              <w:rPr>
                <w:rFonts w:ascii="宋体" w:hAnsi="宋体" w:cs="宋体" w:eastAsia="宋体" w:hint="default"/>
                <w:spacing w:val="-3"/>
                <w:sz w:val="18"/>
                <w:szCs w:val="18"/>
              </w:rPr>
              <w:t>为一般缺陷；如果缺陷发生的可能性较</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高，会显著降低工作效率或效果、或显著</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6"/>
                <w:sz w:val="18"/>
                <w:szCs w:val="18"/>
              </w:rPr>
              <w:t>加大效果的不确定性、或使之显著偏离预</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6"/>
                <w:w w:val="101"/>
                <w:sz w:val="18"/>
                <w:szCs w:val="18"/>
              </w:rPr>
              <w:t>期目标为重要缺陷；如果缺陷发生的可能</w:t>
            </w:r>
            <w:r>
              <w:rPr>
                <w:rFonts w:ascii="宋体" w:hAnsi="宋体" w:cs="宋体" w:eastAsia="宋体" w:hint="default"/>
                <w:w w:val="101"/>
                <w:sz w:val="18"/>
                <w:szCs w:val="18"/>
              </w:rPr>
              <w:t> </w:t>
            </w:r>
            <w:r>
              <w:rPr>
                <w:rFonts w:ascii="宋体" w:hAnsi="宋体" w:cs="宋体" w:eastAsia="宋体" w:hint="default"/>
                <w:spacing w:val="-6"/>
                <w:sz w:val="18"/>
                <w:szCs w:val="18"/>
              </w:rPr>
              <w:t>性高，会严重降低工作效率或效果、或严</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6"/>
                <w:w w:val="101"/>
                <w:sz w:val="18"/>
                <w:szCs w:val="18"/>
              </w:rPr>
              <w:t>重加大效果的不确定性、或使之严重偏离</w:t>
            </w:r>
            <w:r>
              <w:rPr>
                <w:rFonts w:ascii="宋体" w:hAnsi="宋体" w:cs="宋体" w:eastAsia="宋体" w:hint="default"/>
                <w:w w:val="101"/>
                <w:sz w:val="18"/>
                <w:szCs w:val="18"/>
              </w:rPr>
              <w:t> </w:t>
            </w:r>
            <w:r>
              <w:rPr>
                <w:rFonts w:ascii="宋体" w:hAnsi="宋体" w:cs="宋体" w:eastAsia="宋体" w:hint="default"/>
                <w:sz w:val="18"/>
                <w:szCs w:val="18"/>
              </w:rPr>
              <w:t>预期目标为重大缺陷。</w:t>
            </w:r>
          </w:p>
        </w:tc>
      </w:tr>
      <w:tr>
        <w:trPr>
          <w:trHeight w:val="445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定量标准以营业收入、资产总额作为衡量指</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7"/>
                <w:w w:val="101"/>
                <w:sz w:val="18"/>
                <w:szCs w:val="18"/>
              </w:rPr>
              <w:t>标。①内部控制缺陷可能导致或导致的损失与</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7"/>
                <w:sz w:val="18"/>
                <w:szCs w:val="18"/>
              </w:rPr>
              <w:t>利润表相关的，以营业收入指标衡量。如果该</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3"/>
                <w:sz w:val="18"/>
                <w:szCs w:val="18"/>
              </w:rPr>
              <w:t>缺陷单独或连同其他缺陷可能导致的财务报</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告错报金额小于营业收入的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，则认定为一</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般缺陷；如果超过营业收入的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但小于</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，则为重要缺陷；如果超过营业收入的</w:t>
            </w:r>
          </w:p>
          <w:p>
            <w:pPr>
              <w:pStyle w:val="TableParagraph"/>
              <w:spacing w:line="309" w:lineRule="auto" w:before="3"/>
              <w:ind w:left="23" w:right="1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，则认定为重大缺陷；②内部控制缺陷</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7"/>
                <w:w w:val="101"/>
                <w:sz w:val="18"/>
                <w:szCs w:val="18"/>
              </w:rPr>
              <w:t>可能导致或导致的损失与资产管理相关的，以</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7"/>
                <w:w w:val="101"/>
                <w:sz w:val="18"/>
                <w:szCs w:val="18"/>
              </w:rPr>
              <w:t>资产总额指标衡量。如果该缺陷单独或连同其</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3"/>
                <w:sz w:val="18"/>
                <w:szCs w:val="18"/>
              </w:rPr>
              <w:t>他缺陷可能导致的财务报告错报金额小于资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产总额的</w:t>
            </w:r>
            <w:r>
              <w:rPr>
                <w:rFonts w:ascii="宋体" w:hAnsi="宋体" w:cs="宋体" w:eastAsia="宋体" w:hint="default"/>
                <w:spacing w:val="-23"/>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，则认定为一般缺陷；如果超</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过资产总额的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认定为重要缺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1"/>
                <w:w w:val="101"/>
                <w:sz w:val="18"/>
                <w:szCs w:val="18"/>
              </w:rPr>
              <w:t>陷；如果超过资产总额的</w:t>
            </w:r>
            <w:r>
              <w:rPr>
                <w:rFonts w:ascii="宋体" w:hAnsi="宋体" w:cs="宋体" w:eastAsia="宋体" w:hint="default"/>
                <w:spacing w:val="-41"/>
                <w:w w:val="101"/>
                <w:sz w:val="18"/>
                <w:szCs w:val="18"/>
              </w:rPr>
              <w:t> </w:t>
            </w:r>
            <w:r>
              <w:rPr>
                <w:rFonts w:ascii="Times New Roman" w:hAnsi="Times New Roman" w:cs="Times New Roman" w:eastAsia="Times New Roman" w:hint="default"/>
                <w:spacing w:val="-3"/>
                <w:w w:val="101"/>
                <w:sz w:val="18"/>
                <w:szCs w:val="18"/>
              </w:rPr>
              <w:t>1%</w:t>
            </w:r>
            <w:r>
              <w:rPr>
                <w:rFonts w:ascii="宋体" w:hAnsi="宋体" w:cs="宋体" w:eastAsia="宋体" w:hint="default"/>
                <w:spacing w:val="-3"/>
                <w:w w:val="101"/>
                <w:sz w:val="18"/>
                <w:szCs w:val="18"/>
              </w:rPr>
              <w:t>认定为重大缺陷</w:t>
            </w:r>
            <w:r>
              <w:rPr>
                <w:rFonts w:ascii="宋体" w:hAnsi="宋体" w:cs="宋体" w:eastAsia="宋体" w:hint="default"/>
                <w:spacing w:val="-3"/>
                <w:sz w:val="18"/>
                <w:szCs w:val="18"/>
              </w:rPr>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21" w:lineRule="auto" w:before="119"/>
              <w:ind w:left="23" w:right="133"/>
              <w:jc w:val="both"/>
              <w:rPr>
                <w:rFonts w:ascii="宋体" w:hAnsi="宋体" w:cs="宋体" w:eastAsia="宋体" w:hint="default"/>
                <w:sz w:val="18"/>
                <w:szCs w:val="18"/>
              </w:rPr>
            </w:pPr>
            <w:r>
              <w:rPr>
                <w:rFonts w:ascii="宋体" w:hAnsi="宋体" w:cs="宋体" w:eastAsia="宋体" w:hint="default"/>
                <w:spacing w:val="-3"/>
                <w:sz w:val="18"/>
                <w:szCs w:val="18"/>
              </w:rPr>
              <w:t>非财务报告相关内部控制缺陷评价的定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量标准参照财务报告内部控制缺陷评价</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的定量标准执行。</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财务报告重大缺陷数量（个）</w:t>
            </w:r>
          </w:p>
        </w:tc>
        <w:tc>
          <w:tcPr>
            <w:tcW w:w="68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非财务报告重大缺陷数量（个）</w:t>
            </w:r>
          </w:p>
        </w:tc>
        <w:tc>
          <w:tcPr>
            <w:tcW w:w="68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财务报告重要缺陷数量（个）</w:t>
            </w:r>
          </w:p>
        </w:tc>
        <w:tc>
          <w:tcPr>
            <w:tcW w:w="68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非财务报告重要缺陷数量（个）</w:t>
            </w:r>
          </w:p>
        </w:tc>
        <w:tc>
          <w:tcPr>
            <w:tcW w:w="68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5"/>
          <w:szCs w:val="25"/>
        </w:rPr>
      </w:pPr>
    </w:p>
    <w:p>
      <w:pPr>
        <w:pStyle w:val="Heading2"/>
        <w:spacing w:line="240" w:lineRule="auto" w:before="26"/>
        <w:ind w:right="0"/>
        <w:jc w:val="left"/>
        <w:rPr>
          <w:b w:val="0"/>
          <w:bCs w:val="0"/>
        </w:rPr>
      </w:pPr>
      <w:bookmarkStart w:name="十、内部控制审计报告或鉴证报告" w:id="157"/>
      <w:bookmarkEnd w:id="157"/>
      <w:r>
        <w:rPr>
          <w:b w:val="0"/>
          <w:bCs w:val="0"/>
        </w:rPr>
      </w:r>
      <w:r>
        <w:rPr/>
        <w:t>十、内部控制审计报告或鉴证报告</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after="0"/>
        <w:jc w:val="left"/>
        <w:rPr>
          <w:rFonts w:ascii="宋体" w:hAnsi="宋体" w:cs="宋体" w:eastAsia="宋体" w:hint="default"/>
          <w:sz w:val="18"/>
          <w:szCs w:val="18"/>
        </w:rPr>
        <w:sectPr>
          <w:pgSz w:w="11910" w:h="16840"/>
          <w:pgMar w:header="46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内部控制鉴证报告中的审议意见段</w:t>
            </w:r>
          </w:p>
        </w:tc>
      </w:tr>
      <w:tr>
        <w:trPr>
          <w:trHeight w:val="11970"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470" w:lineRule="exact" w:before="8"/>
              <w:ind w:left="446" w:right="12" w:hanging="423"/>
              <w:jc w:val="left"/>
              <w:rPr>
                <w:rFonts w:ascii="宋体" w:hAnsi="宋体" w:cs="宋体" w:eastAsia="宋体" w:hint="default"/>
                <w:sz w:val="21"/>
                <w:szCs w:val="21"/>
              </w:rPr>
            </w:pPr>
            <w:r>
              <w:rPr>
                <w:rFonts w:ascii="宋体" w:hAnsi="宋体" w:cs="宋体" w:eastAsia="宋体" w:hint="default"/>
                <w:b/>
                <w:bCs/>
                <w:sz w:val="21"/>
                <w:szCs w:val="21"/>
              </w:rPr>
              <w:t>西安环球印务股份有限公司全体股东</w:t>
            </w:r>
            <w:r>
              <w:rPr>
                <w:rFonts w:ascii="宋体" w:hAnsi="宋体" w:cs="宋体" w:eastAsia="宋体" w:hint="default"/>
                <w:sz w:val="21"/>
                <w:szCs w:val="21"/>
              </w:rPr>
              <w:t>：</w:t>
            </w:r>
            <w:r>
              <w:rPr>
                <w:rFonts w:ascii="宋体" w:hAnsi="宋体" w:cs="宋体" w:eastAsia="宋体" w:hint="default"/>
                <w:spacing w:val="-97"/>
                <w:sz w:val="21"/>
                <w:szCs w:val="21"/>
              </w:rPr>
              <w:t> </w:t>
            </w:r>
            <w:r>
              <w:rPr>
                <w:rFonts w:ascii="宋体" w:hAnsi="宋体" w:cs="宋体" w:eastAsia="宋体" w:hint="default"/>
                <w:spacing w:val="-5"/>
                <w:w w:val="100"/>
                <w:sz w:val="21"/>
                <w:szCs w:val="21"/>
              </w:rPr>
              <w:t>我们接受委托，审核了后附的西安环球印务股份有限公司（以下简称“贵公司”）管理层按照财政部</w:t>
            </w:r>
          </w:p>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颁发的《企业内部控制基本规范</w:t>
            </w:r>
            <w:r>
              <w:rPr>
                <w:rFonts w:ascii="宋体" w:hAnsi="宋体" w:cs="宋体" w:eastAsia="宋体" w:hint="default"/>
                <w:spacing w:val="-106"/>
                <w:w w:val="100"/>
                <w:sz w:val="21"/>
                <w:szCs w:val="21"/>
              </w:rPr>
              <w:t>》</w:t>
            </w:r>
            <w:r>
              <w:rPr>
                <w:rFonts w:ascii="宋体" w:hAnsi="宋体" w:cs="宋体" w:eastAsia="宋体" w:hint="default"/>
                <w:w w:val="100"/>
                <w:sz w:val="21"/>
                <w:szCs w:val="21"/>
              </w:rPr>
              <w:t>（财会</w:t>
            </w:r>
            <w:r>
              <w:rPr>
                <w:rFonts w:ascii="宋体" w:hAnsi="宋体" w:cs="宋体" w:eastAsia="宋体" w:hint="default"/>
                <w:w w:val="100"/>
                <w:sz w:val="21"/>
                <w:szCs w:val="21"/>
              </w:rPr>
              <w:t>[2008]7</w:t>
            </w:r>
            <w:r>
              <w:rPr>
                <w:rFonts w:ascii="宋体" w:hAnsi="宋体" w:cs="宋体" w:eastAsia="宋体" w:hint="default"/>
                <w:w w:val="100"/>
                <w:sz w:val="21"/>
                <w:szCs w:val="21"/>
              </w:rPr>
              <w:t>号</w:t>
            </w:r>
            <w:r>
              <w:rPr>
                <w:rFonts w:ascii="宋体" w:hAnsi="宋体" w:cs="宋体" w:eastAsia="宋体" w:hint="default"/>
                <w:spacing w:val="5"/>
                <w:w w:val="100"/>
                <w:sz w:val="21"/>
                <w:szCs w:val="21"/>
              </w:rPr>
              <w:t>）</w:t>
            </w:r>
            <w:r>
              <w:rPr>
                <w:rFonts w:ascii="宋体" w:hAnsi="宋体" w:cs="宋体" w:eastAsia="宋体" w:hint="default"/>
                <w:w w:val="100"/>
                <w:sz w:val="21"/>
                <w:szCs w:val="21"/>
              </w:rPr>
              <w:t>及相关规定对</w:t>
            </w:r>
            <w:r>
              <w:rPr>
                <w:rFonts w:ascii="宋体" w:hAnsi="宋体" w:cs="宋体" w:eastAsia="宋体" w:hint="default"/>
                <w:w w:val="100"/>
                <w:sz w:val="21"/>
                <w:szCs w:val="21"/>
              </w:rPr>
              <w:t>2019</w:t>
            </w:r>
            <w:r>
              <w:rPr>
                <w:rFonts w:ascii="宋体" w:hAnsi="宋体" w:cs="宋体" w:eastAsia="宋体" w:hint="default"/>
                <w:w w:val="100"/>
                <w:sz w:val="21"/>
                <w:szCs w:val="21"/>
              </w:rPr>
              <w:t>年</w:t>
            </w:r>
            <w:r>
              <w:rPr>
                <w:rFonts w:ascii="宋体" w:hAnsi="宋体" w:cs="宋体" w:eastAsia="宋体" w:hint="default"/>
                <w:w w:val="100"/>
                <w:sz w:val="21"/>
                <w:szCs w:val="21"/>
              </w:rPr>
              <w:t>12</w:t>
            </w:r>
            <w:r>
              <w:rPr>
                <w:rFonts w:ascii="宋体" w:hAnsi="宋体" w:cs="宋体" w:eastAsia="宋体" w:hint="default"/>
                <w:w w:val="100"/>
                <w:sz w:val="21"/>
                <w:szCs w:val="21"/>
              </w:rPr>
              <w:t>月</w:t>
            </w:r>
            <w:r>
              <w:rPr>
                <w:rFonts w:ascii="宋体" w:hAnsi="宋体" w:cs="宋体" w:eastAsia="宋体" w:hint="default"/>
                <w:w w:val="100"/>
                <w:sz w:val="21"/>
                <w:szCs w:val="21"/>
              </w:rPr>
              <w:t>31</w:t>
            </w:r>
            <w:r>
              <w:rPr>
                <w:rFonts w:ascii="宋体" w:hAnsi="宋体" w:cs="宋体" w:eastAsia="宋体" w:hint="default"/>
                <w:w w:val="100"/>
                <w:sz w:val="21"/>
                <w:szCs w:val="21"/>
              </w:rPr>
              <w:t>日与财务报表相关的内</w:t>
            </w:r>
          </w:p>
          <w:p>
            <w:pPr>
              <w:pStyle w:val="TableParagraph"/>
              <w:spacing w:line="405" w:lineRule="auto" w:before="42"/>
              <w:ind w:left="446" w:right="6169" w:hanging="423"/>
              <w:jc w:val="left"/>
              <w:rPr>
                <w:rFonts w:ascii="宋体" w:hAnsi="宋体" w:cs="宋体" w:eastAsia="宋体" w:hint="default"/>
                <w:sz w:val="21"/>
                <w:szCs w:val="21"/>
              </w:rPr>
            </w:pPr>
            <w:r>
              <w:rPr>
                <w:rFonts w:ascii="宋体" w:hAnsi="宋体" w:cs="宋体" w:eastAsia="宋体" w:hint="default"/>
                <w:spacing w:val="-1"/>
                <w:sz w:val="21"/>
                <w:szCs w:val="21"/>
              </w:rPr>
              <w:t>部控制有效性认定的自我评价报告。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b/>
                <w:bCs/>
                <w:sz w:val="21"/>
                <w:szCs w:val="21"/>
              </w:rPr>
              <w:t>一、管理层对内部控制的责任</w:t>
            </w:r>
            <w:r>
              <w:rPr>
                <w:rFonts w:ascii="宋体" w:hAnsi="宋体" w:cs="宋体" w:eastAsia="宋体" w:hint="default"/>
                <w:sz w:val="21"/>
                <w:szCs w:val="21"/>
              </w:rPr>
            </w:r>
          </w:p>
          <w:p>
            <w:pPr>
              <w:pStyle w:val="TableParagraph"/>
              <w:spacing w:line="273" w:lineRule="auto" w:before="51"/>
              <w:ind w:left="24" w:right="18" w:firstLine="845"/>
              <w:jc w:val="both"/>
              <w:rPr>
                <w:rFonts w:ascii="宋体" w:hAnsi="宋体" w:cs="宋体" w:eastAsia="宋体" w:hint="default"/>
                <w:sz w:val="21"/>
                <w:szCs w:val="21"/>
              </w:rPr>
            </w:pPr>
            <w:r>
              <w:rPr>
                <w:rFonts w:ascii="宋体" w:hAnsi="宋体" w:cs="宋体" w:eastAsia="宋体" w:hint="default"/>
                <w:sz w:val="21"/>
                <w:szCs w:val="21"/>
              </w:rPr>
              <w:t>按照财政部颁布的《企业内部控制基本规范》及相关具体规范和有关法律法规的规定，设计、</w:t>
            </w:r>
            <w:r>
              <w:rPr>
                <w:rFonts w:ascii="宋体" w:hAnsi="宋体" w:cs="宋体" w:eastAsia="宋体" w:hint="default"/>
                <w:w w:val="100"/>
                <w:sz w:val="21"/>
                <w:szCs w:val="21"/>
              </w:rPr>
              <w:t> </w:t>
            </w:r>
            <w:r>
              <w:rPr>
                <w:rFonts w:ascii="宋体" w:hAnsi="宋体" w:cs="宋体" w:eastAsia="宋体" w:hint="default"/>
                <w:spacing w:val="-3"/>
                <w:sz w:val="21"/>
                <w:szCs w:val="21"/>
              </w:rPr>
              <w:t>实施和维护有效性的内部控制，对</w:t>
            </w:r>
            <w:r>
              <w:rPr>
                <w:rFonts w:ascii="宋体" w:hAnsi="宋体" w:cs="宋体" w:eastAsia="宋体" w:hint="default"/>
                <w:spacing w:val="-44"/>
                <w:sz w:val="21"/>
                <w:szCs w:val="21"/>
              </w:rPr>
              <w:t> </w:t>
            </w:r>
            <w:r>
              <w:rPr>
                <w:rFonts w:ascii="宋体" w:hAnsi="宋体" w:cs="宋体" w:eastAsia="宋体" w:hint="default"/>
                <w:sz w:val="21"/>
                <w:szCs w:val="21"/>
              </w:rPr>
              <w:t>2019</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pacing w:val="-3"/>
                <w:sz w:val="21"/>
                <w:szCs w:val="21"/>
              </w:rPr>
              <w:t>12</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31</w:t>
            </w:r>
            <w:r>
              <w:rPr>
                <w:rFonts w:ascii="宋体" w:hAnsi="宋体" w:cs="宋体" w:eastAsia="宋体" w:hint="default"/>
                <w:spacing w:val="-45"/>
                <w:sz w:val="21"/>
                <w:szCs w:val="21"/>
              </w:rPr>
              <w:t> </w:t>
            </w:r>
            <w:r>
              <w:rPr>
                <w:rFonts w:ascii="宋体" w:hAnsi="宋体" w:cs="宋体" w:eastAsia="宋体" w:hint="default"/>
                <w:spacing w:val="-3"/>
                <w:sz w:val="21"/>
                <w:szCs w:val="21"/>
              </w:rPr>
              <w:t>日与财务报表相关的内部控制有效性作出认定，并对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上述认定负责，是贵公司管理层的责任。</w:t>
            </w:r>
          </w:p>
          <w:p>
            <w:pPr>
              <w:pStyle w:val="TableParagraph"/>
              <w:spacing w:line="470" w:lineRule="exact" w:before="30"/>
              <w:ind w:left="446" w:right="24"/>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spacing w:val="-103"/>
                <w:sz w:val="21"/>
                <w:szCs w:val="21"/>
              </w:rPr>
              <w:t> </w:t>
            </w:r>
            <w:r>
              <w:rPr>
                <w:rFonts w:ascii="宋体" w:hAnsi="宋体" w:cs="宋体" w:eastAsia="宋体" w:hint="default"/>
                <w:sz w:val="21"/>
                <w:szCs w:val="21"/>
              </w:rPr>
              <w:t>我们的责任是在实施鉴证工作的基础上对内部控制有效性认定发表鉴证意见。我们按照《中国注册</w:t>
            </w:r>
          </w:p>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会计师其他鉴证业务准则第 </w:t>
            </w:r>
            <w:r>
              <w:rPr>
                <w:rFonts w:ascii="宋体" w:hAnsi="宋体" w:cs="宋体" w:eastAsia="宋体" w:hint="default"/>
                <w:sz w:val="21"/>
                <w:szCs w:val="21"/>
              </w:rPr>
              <w:t>3101</w:t>
            </w:r>
            <w:r>
              <w:rPr>
                <w:rFonts w:ascii="宋体" w:hAnsi="宋体" w:cs="宋体" w:eastAsia="宋体" w:hint="default"/>
                <w:spacing w:val="-44"/>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历史财务信息或审阅以外的鉴证业务》的规定执行鉴证业务。该准</w:t>
            </w:r>
          </w:p>
          <w:p>
            <w:pPr>
              <w:pStyle w:val="TableParagraph"/>
              <w:spacing w:line="276" w:lineRule="auto" w:before="37"/>
              <w:ind w:left="24" w:right="23"/>
              <w:jc w:val="left"/>
              <w:rPr>
                <w:rFonts w:ascii="宋体" w:hAnsi="宋体" w:cs="宋体" w:eastAsia="宋体" w:hint="default"/>
                <w:sz w:val="21"/>
                <w:szCs w:val="21"/>
              </w:rPr>
            </w:pPr>
            <w:r>
              <w:rPr>
                <w:rFonts w:ascii="宋体" w:hAnsi="宋体" w:cs="宋体" w:eastAsia="宋体" w:hint="default"/>
                <w:sz w:val="21"/>
                <w:szCs w:val="21"/>
              </w:rPr>
              <w:t>则要求我们遵守中国注册会计师职业道德守则，计划和实施鉴证工作，以对鉴证对象信息是否不存在重</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大错报获得合理保证。</w:t>
            </w:r>
          </w:p>
          <w:p>
            <w:pPr>
              <w:pStyle w:val="TableParagraph"/>
              <w:spacing w:line="276" w:lineRule="auto" w:before="39"/>
              <w:ind w:left="24" w:right="25" w:firstLine="422"/>
              <w:jc w:val="left"/>
              <w:rPr>
                <w:rFonts w:ascii="宋体" w:hAnsi="宋体" w:cs="宋体" w:eastAsia="宋体" w:hint="default"/>
                <w:sz w:val="21"/>
                <w:szCs w:val="21"/>
              </w:rPr>
            </w:pPr>
            <w:r>
              <w:rPr>
                <w:rFonts w:ascii="宋体" w:hAnsi="宋体" w:cs="宋体" w:eastAsia="宋体" w:hint="default"/>
                <w:sz w:val="21"/>
                <w:szCs w:val="21"/>
              </w:rPr>
              <w:t>在鉴证过程中，我们实施了包括内部控制的了解，评估重大缺陷存在的风险，根据评估的风险测试</w:t>
            </w:r>
            <w:r>
              <w:rPr>
                <w:rFonts w:ascii="宋体" w:hAnsi="宋体" w:cs="宋体" w:eastAsia="宋体" w:hint="default"/>
                <w:w w:val="100"/>
                <w:sz w:val="21"/>
                <w:szCs w:val="21"/>
              </w:rPr>
              <w:t> </w:t>
            </w:r>
            <w:r>
              <w:rPr>
                <w:rFonts w:ascii="宋体" w:hAnsi="宋体" w:cs="宋体" w:eastAsia="宋体" w:hint="default"/>
                <w:sz w:val="21"/>
                <w:szCs w:val="21"/>
              </w:rPr>
              <w:t>和评价内部控制设计的合理性和运行的有效性，以及我们认为的其他必要程序。</w:t>
            </w:r>
          </w:p>
          <w:p>
            <w:pPr>
              <w:pStyle w:val="TableParagraph"/>
              <w:spacing w:line="408" w:lineRule="auto" w:before="44"/>
              <w:ind w:left="489" w:right="1715" w:hanging="44"/>
              <w:jc w:val="left"/>
              <w:rPr>
                <w:rFonts w:ascii="宋体" w:hAnsi="宋体" w:cs="宋体" w:eastAsia="宋体" w:hint="default"/>
                <w:sz w:val="21"/>
                <w:szCs w:val="21"/>
              </w:rPr>
            </w:pPr>
            <w:r>
              <w:rPr>
                <w:rFonts w:ascii="宋体" w:hAnsi="宋体" w:cs="宋体" w:eastAsia="宋体" w:hint="default"/>
                <w:sz w:val="21"/>
                <w:szCs w:val="21"/>
              </w:rPr>
              <w:t>我们相信，我们获取的证据是充分、适当的，为发表鉴证意见提供了基础。</w:t>
            </w:r>
            <w:r>
              <w:rPr>
                <w:rFonts w:ascii="宋体" w:hAnsi="宋体" w:cs="宋体" w:eastAsia="宋体" w:hint="default"/>
                <w:w w:val="100"/>
                <w:sz w:val="21"/>
                <w:szCs w:val="21"/>
              </w:rPr>
              <w:t> </w:t>
            </w:r>
            <w:r>
              <w:rPr>
                <w:rFonts w:ascii="宋体" w:hAnsi="宋体" w:cs="宋体" w:eastAsia="宋体" w:hint="default"/>
                <w:b/>
                <w:bCs/>
                <w:sz w:val="21"/>
                <w:szCs w:val="21"/>
              </w:rPr>
              <w:t>三、内部控制的固有局限性</w:t>
            </w:r>
            <w:r>
              <w:rPr>
                <w:rFonts w:ascii="宋体" w:hAnsi="宋体" w:cs="宋体" w:eastAsia="宋体" w:hint="default"/>
                <w:b/>
                <w:bCs/>
                <w:w w:val="100"/>
                <w:sz w:val="21"/>
                <w:szCs w:val="21"/>
              </w:rPr>
              <w:t> </w:t>
            </w:r>
            <w:r>
              <w:rPr>
                <w:rFonts w:ascii="宋体" w:hAnsi="宋体" w:cs="宋体" w:eastAsia="宋体" w:hint="default"/>
                <w:spacing w:val="-2"/>
                <w:sz w:val="21"/>
                <w:szCs w:val="21"/>
              </w:rPr>
              <w:t>内部控制固有的局限性，存在错误或舞弊而导致的错报未被发现的可能性。此外</w:t>
            </w:r>
          </w:p>
          <w:p>
            <w:pPr>
              <w:pStyle w:val="TableParagraph"/>
              <w:spacing w:line="273" w:lineRule="auto" w:before="48"/>
              <w:ind w:left="24" w:right="25"/>
              <w:jc w:val="left"/>
              <w:rPr>
                <w:rFonts w:ascii="宋体" w:hAnsi="宋体" w:cs="宋体" w:eastAsia="宋体" w:hint="default"/>
                <w:sz w:val="21"/>
                <w:szCs w:val="21"/>
              </w:rPr>
            </w:pPr>
            <w:r>
              <w:rPr>
                <w:rFonts w:ascii="宋体" w:hAnsi="宋体" w:cs="宋体" w:eastAsia="宋体" w:hint="default"/>
                <w:sz w:val="21"/>
                <w:szCs w:val="21"/>
              </w:rPr>
              <w:t>由于情况的变化可能导致内部控制变得不恰当，或降低对控制政策、程序遵循的程度，根据内部控制评</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价结果推测未来内部控制有效性具有一定的风险。</w:t>
            </w:r>
          </w:p>
          <w:p>
            <w:pPr>
              <w:pStyle w:val="TableParagraph"/>
              <w:spacing w:line="240" w:lineRule="auto" w:before="161"/>
              <w:ind w:left="446" w:right="0"/>
              <w:jc w:val="left"/>
              <w:rPr>
                <w:rFonts w:ascii="宋体" w:hAnsi="宋体" w:cs="宋体" w:eastAsia="宋体" w:hint="default"/>
                <w:sz w:val="21"/>
                <w:szCs w:val="21"/>
              </w:rPr>
            </w:pPr>
            <w:r>
              <w:rPr>
                <w:rFonts w:ascii="宋体" w:hAnsi="宋体" w:cs="宋体" w:eastAsia="宋体" w:hint="default"/>
                <w:b/>
                <w:bCs/>
                <w:sz w:val="21"/>
                <w:szCs w:val="21"/>
              </w:rPr>
              <w:t>四、鉴证结论</w:t>
            </w:r>
            <w:r>
              <w:rPr>
                <w:rFonts w:ascii="宋体" w:hAnsi="宋体" w:cs="宋体" w:eastAsia="宋体" w:hint="default"/>
                <w:sz w:val="21"/>
                <w:szCs w:val="21"/>
              </w:rPr>
            </w: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我们认为，贵公司按照财政部颁布的《企业内部控制基本规范》及相关具体规范，于</w:t>
            </w:r>
            <w:r>
              <w:rPr>
                <w:rFonts w:ascii="宋体" w:hAnsi="宋体" w:cs="宋体" w:eastAsia="宋体" w:hint="default"/>
                <w:spacing w:val="-38"/>
                <w:sz w:val="21"/>
                <w:szCs w:val="21"/>
              </w:rPr>
              <w:t> </w:t>
            </w:r>
            <w:r>
              <w:rPr>
                <w:rFonts w:ascii="宋体" w:hAnsi="宋体" w:cs="宋体" w:eastAsia="宋体" w:hint="default"/>
                <w:sz w:val="21"/>
                <w:szCs w:val="21"/>
              </w:rPr>
              <w:t>2019</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12</w:t>
            </w:r>
            <w:r>
              <w:rPr>
                <w:rFonts w:ascii="宋体" w:hAnsi="宋体" w:cs="宋体" w:eastAsia="宋体" w:hint="default"/>
                <w:spacing w:val="-36"/>
                <w:sz w:val="21"/>
                <w:szCs w:val="21"/>
              </w:rPr>
              <w:t> </w:t>
            </w:r>
            <w:r>
              <w:rPr>
                <w:rFonts w:ascii="宋体" w:hAnsi="宋体" w:cs="宋体" w:eastAsia="宋体" w:hint="default"/>
                <w:sz w:val="21"/>
                <w:szCs w:val="21"/>
              </w:rPr>
              <w:t>月</w:t>
            </w:r>
          </w:p>
          <w:p>
            <w:pPr>
              <w:pStyle w:val="TableParagraph"/>
              <w:spacing w:line="307" w:lineRule="auto" w:before="37"/>
              <w:ind w:left="446" w:right="3179" w:hanging="423"/>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日在所有重大方面保持了与财务报表编制相关的有效的内部控制。</w:t>
            </w:r>
            <w:r>
              <w:rPr>
                <w:rFonts w:ascii="宋体" w:hAnsi="宋体" w:cs="宋体" w:eastAsia="宋体" w:hint="default"/>
                <w:w w:val="100"/>
                <w:sz w:val="21"/>
                <w:szCs w:val="21"/>
              </w:rPr>
              <w:t> </w:t>
            </w:r>
            <w:r>
              <w:rPr>
                <w:rFonts w:ascii="宋体" w:hAnsi="宋体" w:cs="宋体" w:eastAsia="宋体" w:hint="default"/>
                <w:sz w:val="21"/>
                <w:szCs w:val="21"/>
              </w:rPr>
              <w:t>本结论是在受到鉴证报告中指出的固有限制的条件下形成的。</w:t>
            </w:r>
          </w:p>
          <w:p>
            <w:pPr>
              <w:pStyle w:val="TableParagraph"/>
              <w:spacing w:line="436" w:lineRule="exact" w:before="33"/>
              <w:ind w:left="446" w:right="24"/>
              <w:jc w:val="left"/>
              <w:rPr>
                <w:rFonts w:ascii="宋体" w:hAnsi="宋体" w:cs="宋体" w:eastAsia="宋体" w:hint="default"/>
                <w:sz w:val="21"/>
                <w:szCs w:val="21"/>
              </w:rPr>
            </w:pPr>
            <w:r>
              <w:rPr>
                <w:rFonts w:ascii="宋体" w:hAnsi="宋体" w:cs="宋体" w:eastAsia="宋体" w:hint="default"/>
                <w:b/>
                <w:bCs/>
                <w:sz w:val="21"/>
                <w:szCs w:val="21"/>
              </w:rPr>
              <w:t>五、对报告使用者和使用目的的限制</w:t>
            </w:r>
            <w:r>
              <w:rPr>
                <w:rFonts w:ascii="宋体" w:hAnsi="宋体" w:cs="宋体" w:eastAsia="宋体" w:hint="default"/>
                <w:b/>
                <w:bCs/>
                <w:spacing w:val="-100"/>
                <w:sz w:val="21"/>
                <w:szCs w:val="21"/>
              </w:rPr>
              <w:t> </w:t>
            </w:r>
            <w:r>
              <w:rPr>
                <w:rFonts w:ascii="宋体" w:hAnsi="宋体" w:cs="宋体" w:eastAsia="宋体" w:hint="default"/>
                <w:sz w:val="21"/>
                <w:szCs w:val="21"/>
              </w:rPr>
              <w:t>本鉴证报告仅供贵公司年度报告披露时使用，不得用作任何其他目的。我们同意本鉴证报告作为贵</w:t>
            </w:r>
          </w:p>
          <w:p>
            <w:pPr>
              <w:pStyle w:val="TableParagraph"/>
              <w:spacing w:line="216"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公司年度报告的必备文件，随同其他文件一起报送并对外披露。</w:t>
            </w: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420" w:lineRule="auto"/>
              <w:ind w:left="6395" w:right="13" w:hanging="423"/>
              <w:jc w:val="right"/>
              <w:rPr>
                <w:rFonts w:ascii="宋体" w:hAnsi="宋体" w:cs="宋体" w:eastAsia="宋体" w:hint="default"/>
                <w:sz w:val="21"/>
                <w:szCs w:val="21"/>
              </w:rPr>
            </w:pPr>
            <w:r>
              <w:rPr>
                <w:rFonts w:ascii="宋体" w:hAnsi="宋体" w:cs="宋体" w:eastAsia="宋体" w:hint="default"/>
                <w:spacing w:val="-2"/>
                <w:sz w:val="21"/>
                <w:szCs w:val="21"/>
              </w:rPr>
              <w:t>希格玛会计师事务所（特殊普通合伙）</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中国注册会计师：杨树杰、卞薄海</w:t>
            </w:r>
          </w:p>
          <w:p>
            <w:pPr>
              <w:pStyle w:val="TableParagraph"/>
              <w:spacing w:line="240" w:lineRule="auto" w:before="28"/>
              <w:ind w:right="555"/>
              <w:jc w:val="right"/>
              <w:rPr>
                <w:rFonts w:ascii="宋体" w:hAnsi="宋体" w:cs="宋体" w:eastAsia="宋体" w:hint="default"/>
                <w:sz w:val="21"/>
                <w:szCs w:val="21"/>
              </w:rPr>
            </w:pPr>
            <w:r>
              <w:rPr>
                <w:rFonts w:ascii="宋体" w:hAnsi="宋体" w:cs="宋体" w:eastAsia="宋体" w:hint="default"/>
                <w:spacing w:val="-1"/>
                <w:sz w:val="21"/>
                <w:szCs w:val="21"/>
              </w:rPr>
              <w:t>二零二零年四月九日</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内部控制鉴证报告全文披露日期</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46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830"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内部控制鉴证报告全文披露索引</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巨潮资讯（</w:t>
            </w:r>
            <w:hyperlink r:id="rId23">
              <w:r>
                <w:rPr>
                  <w:rFonts w:ascii="宋体" w:hAnsi="宋体" w:cs="宋体" w:eastAsia="宋体" w:hint="default"/>
                  <w:color w:val="0462C1"/>
                  <w:sz w:val="18"/>
                  <w:szCs w:val="18"/>
                </w:rPr>
                <w:t>http://www.cninfo.com.cn/</w:t>
              </w:r>
              <w:r>
                <w:rPr>
                  <w:rFonts w:ascii="宋体" w:hAnsi="宋体" w:cs="宋体" w:eastAsia="宋体" w:hint="default"/>
                  <w:color w:val="0462C1"/>
                  <w:sz w:val="18"/>
                  <w:szCs w:val="18"/>
                </w:rPr>
                <w:t>）</w:t>
              </w:r>
              <w:r>
                <w:rPr>
                  <w:rFonts w:ascii="宋体" w:hAnsi="宋体" w:cs="宋体" w:eastAsia="宋体" w:hint="default"/>
                  <w:sz w:val="18"/>
                  <w:szCs w:val="18"/>
                </w:rPr>
              </w:r>
            </w:hyperlink>
          </w:p>
          <w:p>
            <w:pPr>
              <w:pStyle w:val="TableParagraph"/>
              <w:spacing w:line="20" w:lineRule="exact"/>
              <w:ind w:left="922"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30.85pt;height:.5pt;mso-position-horizontal-relative:char;mso-position-vertical-relative:line" coordorigin="0,0" coordsize="2617,10">
                  <v:group style="position:absolute;left:5;top:5;width:2608;height:2" coordorigin="5,5" coordsize="2608,2">
                    <v:shape style="position:absolute;left:5;top:5;width:2608;height:2" coordorigin="5,5" coordsize="2608,0" path="m5,5l2612,5e" filled="false" stroked="true" strokeweight=".48pt" strokecolor="#0462c1">
                      <v:path arrowok="t"/>
                    </v:shape>
                  </v:group>
                </v:group>
              </w:pict>
            </w:r>
            <w:r>
              <w:rPr>
                <w:rFonts w:ascii="Times New Roman" w:hAnsi="Times New Roman" w:cs="Times New Roman" w:eastAsia="Times New Roman" w:hint="default"/>
                <w:sz w:val="2"/>
                <w:szCs w:val="2"/>
              </w:rPr>
            </w:r>
          </w:p>
          <w:p>
            <w:pPr>
              <w:pStyle w:val="TableParagraph"/>
              <w:spacing w:line="240" w:lineRule="auto" w:before="13"/>
              <w:ind w:left="23" w:right="13"/>
              <w:jc w:val="left"/>
              <w:rPr>
                <w:rFonts w:ascii="宋体" w:hAnsi="宋体" w:cs="宋体" w:eastAsia="宋体" w:hint="default"/>
                <w:sz w:val="18"/>
                <w:szCs w:val="18"/>
              </w:rPr>
            </w:pPr>
            <w:r>
              <w:rPr>
                <w:rFonts w:ascii="宋体" w:hAnsi="宋体" w:cs="宋体" w:eastAsia="宋体" w:hint="default"/>
                <w:spacing w:val="-3"/>
                <w:sz w:val="18"/>
                <w:szCs w:val="18"/>
              </w:rPr>
              <w:t>《希格玛会计师事务所（特殊普通合伙）关于西安环球印务股份有限公司内部控制鉴证</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7"/>
                <w:w w:val="101"/>
                <w:sz w:val="18"/>
                <w:szCs w:val="18"/>
              </w:rPr>
              <w:t>报告》（希会其字</w:t>
            </w:r>
            <w:r>
              <w:rPr>
                <w:rFonts w:ascii="宋体" w:hAnsi="宋体" w:cs="宋体" w:eastAsia="宋体" w:hint="default"/>
                <w:spacing w:val="-7"/>
                <w:w w:val="101"/>
                <w:sz w:val="18"/>
                <w:szCs w:val="18"/>
              </w:rPr>
              <w:t>(2020)0067</w:t>
            </w:r>
            <w:r>
              <w:rPr>
                <w:rFonts w:ascii="宋体" w:hAnsi="宋体" w:cs="宋体" w:eastAsia="宋体" w:hint="default"/>
                <w:spacing w:val="-39"/>
                <w:w w:val="101"/>
                <w:sz w:val="18"/>
                <w:szCs w:val="18"/>
              </w:rPr>
              <w:t> </w:t>
            </w:r>
            <w:r>
              <w:rPr>
                <w:rFonts w:ascii="宋体" w:hAnsi="宋体" w:cs="宋体" w:eastAsia="宋体" w:hint="default"/>
                <w:spacing w:val="-3"/>
                <w:w w:val="101"/>
                <w:sz w:val="18"/>
                <w:szCs w:val="18"/>
              </w:rPr>
              <w:t>号）</w:t>
            </w:r>
            <w:r>
              <w:rPr>
                <w:rFonts w:ascii="宋体" w:hAnsi="宋体" w:cs="宋体" w:eastAsia="宋体" w:hint="default"/>
                <w:spacing w:val="-3"/>
                <w:sz w:val="18"/>
                <w:szCs w:val="18"/>
              </w:rPr>
            </w: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标准无保留意见</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非财务报告是否存在重大缺陷</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会计师事务所是否出具非标准意见的内部控制鉴证报告</w:t>
      </w:r>
    </w:p>
    <w:p>
      <w:pPr>
        <w:spacing w:line="343" w:lineRule="auto" w:before="115"/>
        <w:ind w:left="153" w:right="43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会计师事务所出具的内部控制鉴证报告与董事会的自我评价报告意见是否一致</w:t>
      </w:r>
    </w:p>
    <w:p>
      <w:pPr>
        <w:spacing w:before="38"/>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46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right="0"/>
        <w:jc w:val="left"/>
        <w:rPr>
          <w:b w:val="0"/>
          <w:bCs w:val="0"/>
        </w:rPr>
      </w:pPr>
      <w:bookmarkStart w:name="第十一节 公司债券相关情况" w:id="158"/>
      <w:bookmarkEnd w:id="158"/>
      <w:r>
        <w:rPr>
          <w:b w:val="0"/>
          <w:bCs w:val="0"/>
        </w:rPr>
      </w:r>
      <w:bookmarkStart w:name="_bookmark10" w:id="159"/>
      <w:bookmarkEnd w:id="159"/>
      <w:r>
        <w:rPr>
          <w:b w:val="0"/>
          <w:bCs w:val="0"/>
        </w:rPr>
      </w:r>
      <w:r>
        <w:rPr/>
        <w:t>第十一节</w:t>
      </w:r>
      <w:r>
        <w:rPr>
          <w:spacing w:val="1"/>
        </w:rPr>
        <w:t> </w:t>
      </w:r>
      <w:r>
        <w:rPr/>
        <w:t>公司债券相关情况</w:t>
      </w:r>
      <w:r>
        <w:rPr>
          <w:b w:val="0"/>
          <w:bCs w:val="0"/>
        </w:rPr>
      </w:r>
    </w:p>
    <w:p>
      <w:pPr>
        <w:spacing w:line="240" w:lineRule="auto" w:before="12"/>
        <w:rPr>
          <w:rFonts w:ascii="宋体" w:hAnsi="宋体" w:cs="宋体" w:eastAsia="宋体" w:hint="default"/>
          <w:b/>
          <w:bCs/>
          <w:sz w:val="42"/>
          <w:szCs w:val="42"/>
        </w:rPr>
      </w:pPr>
    </w:p>
    <w:p>
      <w:pPr>
        <w:spacing w:line="357" w:lineRule="auto" w:before="0"/>
        <w:ind w:left="153" w:right="2115" w:firstLine="0"/>
        <w:jc w:val="left"/>
        <w:rPr>
          <w:rFonts w:ascii="宋体" w:hAnsi="宋体" w:cs="宋体" w:eastAsia="宋体" w:hint="default"/>
          <w:sz w:val="18"/>
          <w:szCs w:val="18"/>
        </w:rPr>
      </w:pPr>
      <w:r>
        <w:rPr>
          <w:rFonts w:ascii="宋体" w:hAnsi="宋体" w:cs="宋体" w:eastAsia="宋体" w:hint="default"/>
          <w:spacing w:val="-3"/>
          <w:sz w:val="18"/>
          <w:szCs w:val="18"/>
        </w:rPr>
        <w:t>公司是否存在公开发行并在证券交易所上市，且在年度报告批准报出日未到期或到期未能全额兑付的公司债券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否</w:t>
      </w:r>
    </w:p>
    <w:p>
      <w:pPr>
        <w:spacing w:after="0" w:line="357" w:lineRule="auto"/>
        <w:jc w:val="left"/>
        <w:rPr>
          <w:rFonts w:ascii="宋体" w:hAnsi="宋体" w:cs="宋体" w:eastAsia="宋体" w:hint="default"/>
          <w:sz w:val="18"/>
          <w:szCs w:val="18"/>
        </w:rPr>
        <w:sectPr>
          <w:pgSz w:w="11910" w:h="16840"/>
          <w:pgMar w:header="46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606" w:right="0"/>
        <w:jc w:val="left"/>
        <w:rPr>
          <w:b w:val="0"/>
          <w:bCs w:val="0"/>
        </w:rPr>
      </w:pPr>
      <w:bookmarkStart w:name="第十二节 财务报告" w:id="160"/>
      <w:bookmarkEnd w:id="160"/>
      <w:r>
        <w:rPr>
          <w:b w:val="0"/>
          <w:bCs w:val="0"/>
        </w:rPr>
      </w:r>
      <w:bookmarkStart w:name="_bookmark11" w:id="161"/>
      <w:bookmarkEnd w:id="161"/>
      <w:r>
        <w:rPr>
          <w:b w:val="0"/>
          <w:bCs w:val="0"/>
        </w:rPr>
      </w:r>
      <w:r>
        <w:rPr/>
        <w:t>第十二节</w:t>
      </w:r>
      <w:r>
        <w:rPr>
          <w:spacing w:val="-1"/>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62"/>
      <w:bookmarkEnd w:id="162"/>
      <w:r>
        <w:rPr>
          <w:b w:val="0"/>
          <w:bCs w:val="0"/>
        </w:rPr>
      </w:r>
      <w:r>
        <w:rPr/>
        <w:t>一、审计报告</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希格玛会计师事务所（特殊普通合伙）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希会审字</w:t>
            </w:r>
            <w:r>
              <w:rPr>
                <w:rFonts w:ascii="Times New Roman" w:hAnsi="Times New Roman" w:cs="Times New Roman" w:eastAsia="Times New Roman" w:hint="default"/>
                <w:sz w:val="18"/>
                <w:szCs w:val="18"/>
              </w:rPr>
              <w:t>(2020)1652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杨树杰、卞薄海</w:t>
            </w:r>
          </w:p>
        </w:tc>
      </w:tr>
    </w:tbl>
    <w:p>
      <w:pPr>
        <w:pStyle w:val="Heading2"/>
        <w:spacing w:line="240" w:lineRule="auto" w:before="79"/>
        <w:ind w:right="0"/>
        <w:jc w:val="both"/>
        <w:rPr>
          <w:b w:val="0"/>
          <w:bCs w:val="0"/>
        </w:rPr>
      </w:pPr>
      <w:r>
        <w:rPr/>
        <w:t>西安环球印务股份有限公司全体股东：</w:t>
      </w:r>
      <w:r>
        <w:rPr>
          <w:b w:val="0"/>
          <w:bCs w:val="0"/>
        </w:rPr>
      </w:r>
    </w:p>
    <w:p>
      <w:pPr>
        <w:pStyle w:val="BodyText"/>
        <w:spacing w:line="480" w:lineRule="exact" w:before="29"/>
        <w:ind w:left="633" w:right="0" w:firstLine="81"/>
        <w:jc w:val="left"/>
      </w:pPr>
      <w:r>
        <w:rPr>
          <w:rFonts w:ascii="宋体" w:hAnsi="宋体" w:cs="宋体" w:eastAsia="宋体" w:hint="default"/>
          <w:b/>
          <w:bCs/>
        </w:rPr>
        <w:t>一、审计意见</w:t>
      </w:r>
      <w:r>
        <w:rPr>
          <w:rFonts w:ascii="宋体" w:hAnsi="宋体" w:cs="宋体" w:eastAsia="宋体" w:hint="default"/>
          <w:b/>
          <w:bCs/>
          <w:w w:val="100"/>
        </w:rPr>
        <w:t> </w:t>
      </w:r>
      <w:r>
        <w:rPr>
          <w:spacing w:val="-3"/>
        </w:rPr>
        <w:t>我们审计了西安环球股份有限公司（以下简称贵公司）财务报表，包括</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日的合并及母公</w:t>
      </w:r>
    </w:p>
    <w:p>
      <w:pPr>
        <w:pStyle w:val="BodyText"/>
        <w:spacing w:line="297" w:lineRule="auto" w:before="18"/>
        <w:ind w:right="1125"/>
        <w:jc w:val="both"/>
      </w:pPr>
      <w:r>
        <w:rPr>
          <w:spacing w:val="-2"/>
        </w:rPr>
        <w:t>司资产负债表，</w:t>
      </w:r>
      <w:r>
        <w:rPr>
          <w:rFonts w:ascii="Times New Roman" w:hAnsi="Times New Roman" w:cs="Times New Roman" w:eastAsia="Times New Roman" w:hint="default"/>
          <w:spacing w:val="-2"/>
        </w:rPr>
        <w:t>2019</w:t>
      </w:r>
      <w:r>
        <w:rPr>
          <w:spacing w:val="-2"/>
        </w:rPr>
        <w:t>年度的合并及母公司利润表、合并及母公司现金流量表、合并及母公司股东权益变动</w:t>
      </w:r>
      <w:r>
        <w:rPr>
          <w:spacing w:val="-29"/>
        </w:rPr>
        <w:t> </w:t>
      </w:r>
      <w:r>
        <w:rPr>
          <w:spacing w:val="-29"/>
        </w:rPr>
      </w:r>
      <w:r>
        <w:rPr/>
        <w:t>表以及相关财务报表附注。</w:t>
      </w:r>
    </w:p>
    <w:p>
      <w:pPr>
        <w:pStyle w:val="BodyText"/>
        <w:spacing w:line="297" w:lineRule="auto" w:before="30"/>
        <w:ind w:right="0" w:firstLine="480"/>
        <w:jc w:val="left"/>
      </w:pPr>
      <w:r>
        <w:rPr>
          <w:spacing w:val="-2"/>
        </w:rPr>
        <w:t>我们认为，后附的财务报表在所有重大方面按照企业会计准则的规定编制，公允反映了贵公司</w:t>
      </w:r>
      <w:r>
        <w:rPr>
          <w:rFonts w:ascii="Times New Roman" w:hAnsi="Times New Roman" w:cs="Times New Roman" w:eastAsia="Times New Roman" w:hint="default"/>
          <w:spacing w:val="-2"/>
        </w:rPr>
        <w:t>2019</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2019</w:t>
      </w:r>
      <w:r>
        <w:rPr/>
        <w:t>年度的合并及母公司经营成果和现金流量。</w:t>
      </w:r>
    </w:p>
    <w:p>
      <w:pPr>
        <w:pStyle w:val="Heading3"/>
        <w:spacing w:line="240" w:lineRule="auto" w:before="133"/>
        <w:ind w:left="714" w:right="0"/>
        <w:jc w:val="left"/>
        <w:rPr>
          <w:b w:val="0"/>
          <w:bCs w:val="0"/>
        </w:rPr>
      </w:pPr>
      <w:r>
        <w:rPr/>
        <w:t>二、形成审计意见的基础</w:t>
      </w:r>
      <w:r>
        <w:rPr>
          <w:b w:val="0"/>
          <w:bCs w:val="0"/>
        </w:rPr>
      </w:r>
    </w:p>
    <w:p>
      <w:pPr>
        <w:spacing w:line="240" w:lineRule="auto" w:before="9"/>
        <w:rPr>
          <w:rFonts w:ascii="宋体" w:hAnsi="宋体" w:cs="宋体" w:eastAsia="宋体" w:hint="default"/>
          <w:b/>
          <w:bCs/>
          <w:sz w:val="15"/>
          <w:szCs w:val="15"/>
        </w:rPr>
      </w:pPr>
    </w:p>
    <w:p>
      <w:pPr>
        <w:pStyle w:val="BodyText"/>
        <w:spacing w:line="302" w:lineRule="auto" w:before="0"/>
        <w:ind w:right="1130" w:firstLine="480"/>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w:t>
      </w:r>
      <w:r>
        <w:rPr>
          <w:w w:val="100"/>
        </w:rPr>
        <w:t> </w:t>
      </w:r>
      <w:r>
        <w:rPr/>
        <w:t>的责任</w:t>
      </w:r>
      <w:r>
        <w:rPr>
          <w:rFonts w:ascii="Times New Roman" w:hAnsi="Times New Roman" w:cs="Times New Roman" w:eastAsia="Times New Roman" w:hint="default"/>
        </w:rPr>
        <w:t>”</w:t>
      </w:r>
      <w:r>
        <w:rPr/>
        <w:t>部分进一步阐述了我们在这些准则下的责任。按照中国注册会计师职业道德守则，我们独立于贵</w:t>
      </w:r>
      <w:r>
        <w:rPr>
          <w:w w:val="100"/>
        </w:rPr>
        <w:t> </w:t>
      </w:r>
      <w:r>
        <w:rPr>
          <w:spacing w:val="-2"/>
        </w:rPr>
        <w:t>公司，并履行了职业道德方面的其他责任。我们相信，我们获取的审计证据是充分、适当的，为发表审计</w:t>
      </w:r>
      <w:r>
        <w:rPr>
          <w:spacing w:val="-38"/>
        </w:rPr>
        <w:t> </w:t>
      </w:r>
      <w:r>
        <w:rPr>
          <w:spacing w:val="-38"/>
        </w:rPr>
      </w:r>
      <w:r>
        <w:rPr/>
        <w:t>意见提供了基础。</w:t>
      </w:r>
    </w:p>
    <w:p>
      <w:pPr>
        <w:pStyle w:val="BodyText"/>
        <w:spacing w:line="476" w:lineRule="exact" w:before="15"/>
        <w:ind w:left="633" w:right="0" w:firstLine="81"/>
        <w:jc w:val="left"/>
      </w:pPr>
      <w:r>
        <w:rPr>
          <w:rFonts w:ascii="宋体" w:hAnsi="宋体" w:cs="宋体" w:eastAsia="宋体" w:hint="default"/>
          <w:b/>
          <w:bCs/>
        </w:rPr>
        <w:t>三、关键审计事项</w:t>
      </w:r>
      <w:r>
        <w:rPr>
          <w:rFonts w:ascii="宋体" w:hAnsi="宋体" w:cs="宋体" w:eastAsia="宋体" w:hint="default"/>
          <w:b/>
          <w:bCs/>
          <w:w w:val="100"/>
        </w:rPr>
        <w:t> </w:t>
      </w:r>
      <w:r>
        <w:rPr>
          <w:spacing w:val="-4"/>
        </w:rPr>
        <w:t>关键审计事项是我们根据职业判断，认为对本期财务报表审计最为重要的事项。这些事项的应对以对</w:t>
      </w:r>
    </w:p>
    <w:p>
      <w:pPr>
        <w:pStyle w:val="BodyText"/>
        <w:spacing w:line="309" w:lineRule="auto" w:before="19"/>
        <w:ind w:right="1125"/>
        <w:jc w:val="both"/>
      </w:pPr>
      <w:r>
        <w:rPr>
          <w:spacing w:val="-2"/>
        </w:rPr>
        <w:t>财务报表整体进行审计并形成审计意见为背景，我们不对这些事项单独发表意见。我们对下述每一事项在</w:t>
      </w:r>
      <w:r>
        <w:rPr>
          <w:spacing w:val="-33"/>
        </w:rPr>
        <w:t> </w:t>
      </w:r>
      <w:r>
        <w:rPr>
          <w:spacing w:val="-33"/>
        </w:rPr>
      </w:r>
      <w:r>
        <w:rPr>
          <w:spacing w:val="-2"/>
        </w:rPr>
        <w:t>审计中是如何应对的描述也以此为背景。我们已经履行了本报告</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w:t>
      </w:r>
      <w:r>
        <w:rPr>
          <w:spacing w:val="-14"/>
        </w:rPr>
        <w:t> </w:t>
      </w:r>
      <w:r>
        <w:rPr>
          <w:spacing w:val="-2"/>
        </w:rPr>
        <w:t>阐述的责任，包括与这些关键审计事项相关的责任。相应地，我们的审计工作包括执行为应对评估的财务</w:t>
      </w:r>
      <w:r>
        <w:rPr>
          <w:spacing w:val="-33"/>
        </w:rPr>
        <w:t> </w:t>
      </w:r>
      <w:r>
        <w:rPr>
          <w:spacing w:val="-33"/>
        </w:rPr>
      </w:r>
      <w:r>
        <w:rPr>
          <w:spacing w:val="-2"/>
        </w:rPr>
        <w:t>报表重大错报风险而设计的审计程序。我们执行审计程序的结果，包括应对下述关键审计事项所执行的程</w:t>
      </w:r>
      <w:r>
        <w:rPr>
          <w:spacing w:val="-33"/>
        </w:rPr>
        <w:t> </w:t>
      </w:r>
      <w:r>
        <w:rPr>
          <w:spacing w:val="-33"/>
        </w:rPr>
      </w:r>
      <w:r>
        <w:rPr/>
        <w:t>序，为财务报表整体发表审计意见提供了基础。</w:t>
      </w:r>
    </w:p>
    <w:p>
      <w:pPr>
        <w:pStyle w:val="Heading3"/>
        <w:spacing w:line="240" w:lineRule="auto" w:before="144"/>
        <w:ind w:left="714" w:right="0"/>
        <w:jc w:val="left"/>
        <w:rPr>
          <w:b w:val="0"/>
          <w:bCs w:val="0"/>
        </w:rPr>
      </w:pPr>
      <w:r>
        <w:rPr/>
        <w:t>商誉减值</w:t>
      </w:r>
      <w:r>
        <w:rPr>
          <w:b w:val="0"/>
          <w:bCs w:val="0"/>
        </w:rPr>
      </w:r>
    </w:p>
    <w:p>
      <w:pPr>
        <w:pStyle w:val="BodyText"/>
        <w:spacing w:line="476" w:lineRule="exact" w:before="69"/>
        <w:ind w:left="633" w:right="0"/>
        <w:jc w:val="left"/>
        <w:rPr>
          <w:rFonts w:ascii="Times New Roman" w:hAnsi="Times New Roman" w:cs="Times New Roman" w:eastAsia="Times New Roman" w:hint="default"/>
        </w:rPr>
      </w:pPr>
      <w:r>
        <w:rPr/>
        <w:t>（一）事项描述</w:t>
      </w:r>
      <w:r>
        <w:rPr>
          <w:spacing w:val="-102"/>
        </w:rPr>
        <w:t> </w:t>
      </w:r>
      <w:r>
        <w:rPr>
          <w:spacing w:val="-102"/>
        </w:rPr>
      </w:r>
      <w:r>
        <w:rPr>
          <w:spacing w:val="-10"/>
          <w:w w:val="100"/>
        </w:rPr>
        <w:t>如贵公司财务报表附注</w:t>
      </w:r>
      <w:r>
        <w:rPr>
          <w:rFonts w:ascii="Times New Roman" w:hAnsi="Times New Roman" w:cs="Times New Roman" w:eastAsia="Times New Roman" w:hint="default"/>
          <w:spacing w:val="-10"/>
          <w:w w:val="100"/>
        </w:rPr>
        <w:t>“</w:t>
      </w:r>
      <w:r>
        <w:rPr>
          <w:spacing w:val="-10"/>
          <w:w w:val="100"/>
        </w:rPr>
        <w:t>五、（十三）商誉</w:t>
      </w:r>
      <w:r>
        <w:rPr>
          <w:rFonts w:ascii="Times New Roman" w:hAnsi="Times New Roman" w:cs="Times New Roman" w:eastAsia="Times New Roman" w:hint="default"/>
          <w:spacing w:val="-10"/>
          <w:w w:val="100"/>
        </w:rPr>
        <w:t>”</w:t>
      </w:r>
      <w:r>
        <w:rPr>
          <w:spacing w:val="-10"/>
          <w:w w:val="100"/>
        </w:rPr>
        <w:t>所述，截止</w:t>
      </w:r>
      <w:r>
        <w:rPr>
          <w:rFonts w:ascii="Times New Roman" w:hAnsi="Times New Roman" w:cs="Times New Roman" w:eastAsia="Times New Roman" w:hint="default"/>
          <w:spacing w:val="-10"/>
          <w:w w:val="100"/>
        </w:rPr>
        <w:t>2019</w:t>
      </w:r>
      <w:r>
        <w:rPr>
          <w:spacing w:val="-10"/>
          <w:w w:val="100"/>
        </w:rPr>
        <w:t>年</w:t>
      </w:r>
      <w:r>
        <w:rPr>
          <w:rFonts w:ascii="Times New Roman" w:hAnsi="Times New Roman" w:cs="Times New Roman" w:eastAsia="Times New Roman" w:hint="default"/>
          <w:spacing w:val="-10"/>
          <w:w w:val="100"/>
        </w:rPr>
        <w:t>12</w:t>
      </w:r>
      <w:r>
        <w:rPr>
          <w:spacing w:val="-10"/>
          <w:w w:val="100"/>
        </w:rPr>
        <w:t>月</w:t>
      </w:r>
      <w:r>
        <w:rPr>
          <w:rFonts w:ascii="Times New Roman" w:hAnsi="Times New Roman" w:cs="Times New Roman" w:eastAsia="Times New Roman" w:hint="default"/>
          <w:spacing w:val="-10"/>
          <w:w w:val="100"/>
        </w:rPr>
        <w:t>31</w:t>
      </w:r>
      <w:r>
        <w:rPr>
          <w:spacing w:val="-10"/>
          <w:w w:val="100"/>
        </w:rPr>
        <w:t>日，贵公司商誉列报金额为</w:t>
      </w:r>
      <w:r>
        <w:rPr>
          <w:rFonts w:ascii="Times New Roman" w:hAnsi="Times New Roman" w:cs="Times New Roman" w:eastAsia="Times New Roman" w:hint="default"/>
          <w:spacing w:val="-10"/>
          <w:w w:val="100"/>
        </w:rPr>
        <w:t>18,061.67</w:t>
      </w:r>
    </w:p>
    <w:p>
      <w:pPr>
        <w:pStyle w:val="BodyText"/>
        <w:spacing w:line="297" w:lineRule="auto" w:before="19"/>
        <w:ind w:right="1128"/>
        <w:jc w:val="both"/>
      </w:pPr>
      <w:r>
        <w:rPr>
          <w:spacing w:val="-1"/>
        </w:rPr>
        <w:t>万元，较上年金额增加</w:t>
      </w:r>
      <w:r>
        <w:rPr>
          <w:rFonts w:ascii="Times New Roman" w:hAnsi="Times New Roman" w:cs="Times New Roman" w:eastAsia="Times New Roman" w:hint="default"/>
          <w:spacing w:val="-1"/>
        </w:rPr>
        <w:t>7,233.74</w:t>
      </w:r>
      <w:r>
        <w:rPr>
          <w:spacing w:val="-1"/>
        </w:rPr>
        <w:t>万元</w:t>
      </w:r>
      <w:r>
        <w:rPr>
          <w:rFonts w:ascii="Times New Roman" w:hAnsi="Times New Roman" w:cs="Times New Roman" w:eastAsia="Times New Roman" w:hint="default"/>
          <w:spacing w:val="-1"/>
        </w:rPr>
        <w:t>,</w:t>
      </w:r>
      <w:r>
        <w:rPr>
          <w:spacing w:val="-1"/>
        </w:rPr>
        <w:t>为贵公司</w:t>
      </w:r>
      <w:r>
        <w:rPr>
          <w:rFonts w:ascii="Times New Roman" w:hAnsi="Times New Roman" w:cs="Times New Roman" w:eastAsia="Times New Roman" w:hint="default"/>
          <w:spacing w:val="-1"/>
        </w:rPr>
        <w:t>2019</w:t>
      </w:r>
      <w:r>
        <w:rPr>
          <w:spacing w:val="-1"/>
        </w:rPr>
        <w:t>年收购北京金印联国际供应链管理有限公司股权确认的</w:t>
      </w:r>
      <w:r>
        <w:rPr>
          <w:spacing w:val="-23"/>
        </w:rPr>
        <w:t> </w:t>
      </w:r>
      <w:r>
        <w:rPr>
          <w:spacing w:val="-23"/>
        </w:rPr>
      </w:r>
      <w:r>
        <w:rPr/>
        <w:t>商誉，减值准备为</w:t>
      </w:r>
      <w:r>
        <w:rPr>
          <w:rFonts w:ascii="Times New Roman" w:hAnsi="Times New Roman" w:cs="Times New Roman" w:eastAsia="Times New Roman" w:hint="default"/>
        </w:rPr>
        <w:t>0</w:t>
      </w:r>
      <w:r>
        <w:rPr/>
        <w:t>元。根据企业会计准则，贵公司管理层在每年年度终了对商誉进行减值测试，并根据</w:t>
      </w:r>
    </w:p>
    <w:p>
      <w:pPr>
        <w:spacing w:after="0" w:line="297" w:lineRule="auto"/>
        <w:jc w:val="both"/>
        <w:sectPr>
          <w:pgSz w:w="11910" w:h="16840"/>
          <w:pgMar w:header="460" w:footer="979" w:top="1100" w:bottom="1160" w:left="980" w:right="0"/>
        </w:sectPr>
      </w:pPr>
    </w:p>
    <w:p>
      <w:pPr>
        <w:spacing w:line="240" w:lineRule="auto" w:before="7"/>
        <w:rPr>
          <w:rFonts w:ascii="宋体" w:hAnsi="宋体" w:cs="宋体" w:eastAsia="宋体" w:hint="default"/>
          <w:sz w:val="22"/>
          <w:szCs w:val="22"/>
        </w:rPr>
      </w:pPr>
    </w:p>
    <w:p>
      <w:pPr>
        <w:pStyle w:val="BodyText"/>
        <w:spacing w:line="312" w:lineRule="auto" w:before="36"/>
        <w:ind w:right="1125"/>
        <w:jc w:val="both"/>
      </w:pPr>
      <w:r>
        <w:rPr>
          <w:spacing w:val="-2"/>
        </w:rPr>
        <w:t>减值测试的结果调整商誉的账面价值。因为商誉减值测试的评估需要依赖管理层的判断，减值评估的过程</w:t>
      </w:r>
      <w:r>
        <w:rPr>
          <w:spacing w:val="-33"/>
        </w:rPr>
        <w:t> </w:t>
      </w:r>
      <w:r>
        <w:rPr>
          <w:spacing w:val="-33"/>
        </w:rPr>
      </w:r>
      <w:r>
        <w:rPr>
          <w:spacing w:val="-2"/>
        </w:rPr>
        <w:t>复杂，涉及确定折现率、未来期间销售增长率、毛利率等相关参数。商誉账面价值较大，对财务报表影响</w:t>
      </w:r>
      <w:r>
        <w:rPr>
          <w:spacing w:val="-38"/>
        </w:rPr>
        <w:t> </w:t>
      </w:r>
      <w:r>
        <w:rPr>
          <w:spacing w:val="-38"/>
        </w:rPr>
      </w:r>
      <w:r>
        <w:rPr/>
        <w:t>重大，并且涉及到重大的管理层判断，因此，我们将该事项确定为关键审计事项。</w:t>
      </w:r>
    </w:p>
    <w:p>
      <w:pPr>
        <w:pStyle w:val="BodyText"/>
        <w:spacing w:line="420" w:lineRule="auto" w:before="142"/>
        <w:ind w:left="633" w:right="2990"/>
        <w:jc w:val="left"/>
      </w:pPr>
      <w:r>
        <w:rPr/>
        <w:t>（二）审计应对</w:t>
      </w:r>
      <w:r>
        <w:rPr>
          <w:spacing w:val="-102"/>
        </w:rPr>
        <w:t> </w:t>
      </w:r>
      <w:r>
        <w:rPr>
          <w:spacing w:val="-102"/>
        </w:rPr>
      </w:r>
      <w:r>
        <w:rPr>
          <w:spacing w:val="-2"/>
        </w:rPr>
        <w:t>我们实施的商誉减值相关的重大错报风险的审计程序包括但不限于：</w:t>
      </w:r>
    </w:p>
    <w:p>
      <w:pPr>
        <w:pStyle w:val="BodyText"/>
        <w:spacing w:line="292" w:lineRule="auto" w:before="47"/>
        <w:ind w:right="1004" w:firstLine="480"/>
        <w:jc w:val="left"/>
      </w:pPr>
      <w:r>
        <w:rPr>
          <w:rFonts w:ascii="Times New Roman" w:hAnsi="Times New Roman" w:cs="Times New Roman" w:eastAsia="Times New Roman" w:hint="default"/>
          <w:spacing w:val="-2"/>
        </w:rPr>
        <w:t>1.</w:t>
      </w:r>
      <w:r>
        <w:rPr>
          <w:spacing w:val="-2"/>
        </w:rPr>
        <w:t>我们了解与商誉减值相关的关键内部控制，评价设计和执行的有效性，并测试相关内部控制运行的</w:t>
      </w:r>
      <w:r>
        <w:rPr>
          <w:w w:val="100"/>
        </w:rPr>
        <w:t> </w:t>
      </w:r>
      <w:r>
        <w:rPr/>
        <w:t>有效性；</w:t>
      </w:r>
    </w:p>
    <w:p>
      <w:pPr>
        <w:pStyle w:val="BodyText"/>
        <w:spacing w:line="240" w:lineRule="auto" w:before="159"/>
        <w:ind w:left="633" w:right="0"/>
        <w:jc w:val="left"/>
      </w:pPr>
      <w:r>
        <w:rPr>
          <w:rFonts w:ascii="Times New Roman" w:hAnsi="Times New Roman" w:cs="Times New Roman" w:eastAsia="Times New Roman" w:hint="default"/>
        </w:rPr>
        <w:t>2.</w:t>
      </w:r>
      <w:r>
        <w:rPr/>
        <w:t>评价管理层聘请的外部评估专家的胜任能力、专业素质和客观性；</w:t>
      </w:r>
    </w:p>
    <w:p>
      <w:pPr>
        <w:pStyle w:val="BodyText"/>
        <w:spacing w:line="297" w:lineRule="auto" w:before="189"/>
        <w:ind w:right="0" w:firstLine="480"/>
        <w:jc w:val="left"/>
      </w:pPr>
      <w:r>
        <w:rPr>
          <w:rFonts w:ascii="Times New Roman" w:hAnsi="Times New Roman" w:cs="Times New Roman" w:eastAsia="Times New Roman" w:hint="default"/>
          <w:spacing w:val="-2"/>
        </w:rPr>
        <w:t>3.</w:t>
      </w:r>
      <w:r>
        <w:rPr>
          <w:spacing w:val="-2"/>
        </w:rPr>
        <w:t>复核管理层、外部评估专家商誉减值测试时使用的方法、关键性假设，评价使用的方法、关键性假</w:t>
      </w:r>
      <w:r>
        <w:rPr>
          <w:w w:val="100"/>
        </w:rPr>
        <w:t> </w:t>
      </w:r>
      <w:r>
        <w:rPr/>
        <w:t>设的合理性；复核外部评估专家出具的评估报告；</w:t>
      </w:r>
    </w:p>
    <w:p>
      <w:pPr>
        <w:pStyle w:val="BodyText"/>
        <w:spacing w:line="396" w:lineRule="auto" w:before="150"/>
        <w:ind w:left="633" w:right="2990"/>
        <w:jc w:val="left"/>
        <w:rPr>
          <w:rFonts w:ascii="宋体" w:hAnsi="宋体" w:cs="宋体" w:eastAsia="宋体" w:hint="default"/>
        </w:rPr>
      </w:pPr>
      <w:r>
        <w:rPr>
          <w:rFonts w:ascii="Times New Roman" w:hAnsi="Times New Roman" w:cs="Times New Roman" w:eastAsia="Times New Roman" w:hint="default"/>
          <w:spacing w:val="-2"/>
        </w:rPr>
        <w:t>4.</w:t>
      </w:r>
      <w:r>
        <w:rPr>
          <w:spacing w:val="-2"/>
        </w:rPr>
        <w:t>检查与商誉减值相关的信息是否已在财务报表中作出恰当列报和披露。</w:t>
      </w:r>
      <w:r>
        <w:rPr>
          <w:spacing w:val="-36"/>
        </w:rPr>
        <w:t> </w:t>
      </w:r>
      <w:r>
        <w:rPr>
          <w:spacing w:val="-36"/>
        </w:rPr>
      </w:r>
      <w:r>
        <w:rPr>
          <w:rFonts w:ascii="宋体" w:hAnsi="宋体" w:cs="宋体" w:eastAsia="宋体" w:hint="default"/>
          <w:b/>
          <w:bCs/>
        </w:rPr>
        <w:t>四、其他信息</w:t>
      </w:r>
      <w:r>
        <w:rPr>
          <w:rFonts w:ascii="宋体" w:hAnsi="宋体" w:cs="宋体" w:eastAsia="宋体" w:hint="default"/>
        </w:rPr>
      </w:r>
    </w:p>
    <w:p>
      <w:pPr>
        <w:pStyle w:val="BodyText"/>
        <w:spacing w:line="297" w:lineRule="auto" w:before="68"/>
        <w:ind w:right="0" w:firstLine="480"/>
        <w:jc w:val="left"/>
      </w:pPr>
      <w:r>
        <w:rPr>
          <w:spacing w:val="-3"/>
        </w:rPr>
        <w:t>贵公司管理层（以下简称</w:t>
      </w:r>
      <w:r>
        <w:rPr>
          <w:rFonts w:ascii="Times New Roman" w:hAnsi="Times New Roman" w:cs="Times New Roman" w:eastAsia="Times New Roman" w:hint="default"/>
          <w:spacing w:val="-3"/>
        </w:rPr>
        <w:t>“</w:t>
      </w:r>
      <w:r>
        <w:rPr>
          <w:spacing w:val="-3"/>
        </w:rPr>
        <w:t>管理层</w:t>
      </w:r>
      <w:r>
        <w:rPr>
          <w:rFonts w:ascii="Times New Roman" w:hAnsi="Times New Roman" w:cs="Times New Roman" w:eastAsia="Times New Roman" w:hint="default"/>
          <w:spacing w:val="-3"/>
        </w:rPr>
        <w:t>”</w:t>
      </w:r>
      <w:r>
        <w:rPr>
          <w:spacing w:val="-3"/>
        </w:rPr>
        <w:t>）对其他信息负责。其他信息包括年度报告中涵盖的信息，但不包</w:t>
      </w:r>
      <w:r>
        <w:rPr>
          <w:w w:val="100"/>
        </w:rPr>
        <w:t> </w:t>
      </w:r>
      <w:r>
        <w:rPr/>
        <w:t>括财务报表和我们的审计报告。</w:t>
      </w:r>
    </w:p>
    <w:p>
      <w:pPr>
        <w:pStyle w:val="BodyText"/>
        <w:spacing w:line="480" w:lineRule="exact" w:before="11"/>
        <w:ind w:left="633" w:right="0"/>
        <w:jc w:val="left"/>
      </w:pPr>
      <w:r>
        <w:rPr/>
        <w:t>我们对财务报表发表的审计意见不涵盖其他信息，我们也不对其他信息发表任何形式的鉴证结论。</w:t>
      </w:r>
      <w:r>
        <w:rPr>
          <w:w w:val="100"/>
        </w:rPr>
        <w:t> </w:t>
      </w:r>
      <w:r>
        <w:rPr>
          <w:spacing w:val="-4"/>
        </w:rPr>
        <w:t>结合我们对财务报表的审计，我们的责任是阅读其他信息，在此过程中，考虑其他信息是否与财务报</w:t>
      </w:r>
    </w:p>
    <w:p>
      <w:pPr>
        <w:pStyle w:val="BodyText"/>
        <w:spacing w:line="240" w:lineRule="auto" w:before="18"/>
        <w:ind w:right="0"/>
        <w:jc w:val="both"/>
      </w:pPr>
      <w:r>
        <w:rPr/>
        <w:t>表或我们在审计过程中了解到的情况存在重大不一致或者似乎存在重大错报。</w:t>
      </w:r>
    </w:p>
    <w:p>
      <w:pPr>
        <w:spacing w:line="240" w:lineRule="auto" w:before="9"/>
        <w:rPr>
          <w:rFonts w:ascii="宋体" w:hAnsi="宋体" w:cs="宋体" w:eastAsia="宋体" w:hint="default"/>
          <w:sz w:val="15"/>
          <w:szCs w:val="15"/>
        </w:rPr>
      </w:pPr>
    </w:p>
    <w:p>
      <w:pPr>
        <w:pStyle w:val="BodyText"/>
        <w:spacing w:line="309" w:lineRule="auto" w:before="0"/>
        <w:ind w:right="0" w:firstLine="480"/>
        <w:jc w:val="left"/>
      </w:pPr>
      <w:r>
        <w:rPr>
          <w:spacing w:val="-4"/>
        </w:rPr>
        <w:t>基于我们已执行的工作，如果我们确定其他信息存在重大错报，我们应当报告该事实。在这方面，我</w:t>
      </w:r>
      <w:r>
        <w:rPr>
          <w:w w:val="100"/>
        </w:rPr>
        <w:t> </w:t>
      </w:r>
      <w:r>
        <w:rPr/>
        <w:t>们无任何事项需要报告。</w:t>
      </w:r>
    </w:p>
    <w:p>
      <w:pPr>
        <w:spacing w:line="480" w:lineRule="exact" w:before="5"/>
        <w:ind w:left="633" w:right="0" w:firstLine="81"/>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1"/>
          <w:sz w:val="21"/>
          <w:szCs w:val="21"/>
        </w:rPr>
        <w:t>贵公司管理层（以下简称管理层）负责按照企业会计准则的规定编制财务报表，使其实现公允反映，</w:t>
      </w:r>
    </w:p>
    <w:p>
      <w:pPr>
        <w:pStyle w:val="BodyText"/>
        <w:spacing w:line="309" w:lineRule="auto" w:before="18"/>
        <w:ind w:left="633" w:right="0" w:hanging="480"/>
        <w:jc w:val="left"/>
      </w:pPr>
      <w:r>
        <w:rPr/>
        <w:t>并设计、执行和维护必要的内部控制，以使财务报表不存在由于舞弊或错误导致的重大错报。</w:t>
      </w:r>
      <w:r>
        <w:rPr>
          <w:w w:val="100"/>
        </w:rPr>
        <w:t> </w:t>
      </w:r>
      <w:r>
        <w:rPr>
          <w:spacing w:val="-8"/>
        </w:rPr>
        <w:t>在编制财务报表时，管理层负责评估贵公司的持续经营能力，披露与持续经营相关的事项（如适用），</w:t>
      </w:r>
    </w:p>
    <w:p>
      <w:pPr>
        <w:pStyle w:val="BodyText"/>
        <w:spacing w:line="314" w:lineRule="auto" w:before="24"/>
        <w:ind w:left="633" w:right="0" w:hanging="480"/>
        <w:jc w:val="left"/>
      </w:pPr>
      <w:r>
        <w:rPr>
          <w:spacing w:val="-2"/>
        </w:rPr>
        <w:t>并运用持续经营假设，除非管理层计划清算贵公司、终止运营或别无其他现实的选择。</w:t>
      </w:r>
      <w:r>
        <w:rPr>
          <w:spacing w:val="-29"/>
        </w:rPr>
        <w:t> </w:t>
      </w:r>
      <w:r>
        <w:rPr>
          <w:spacing w:val="-29"/>
        </w:rPr>
      </w:r>
      <w:r>
        <w:rPr/>
        <w:t>治理层负责监督贵公司的财务报告过程。</w:t>
      </w:r>
    </w:p>
    <w:p>
      <w:pPr>
        <w:spacing w:line="476" w:lineRule="exact" w:before="4"/>
        <w:ind w:left="633" w:right="0" w:firstLine="81"/>
        <w:jc w:val="left"/>
        <w:rPr>
          <w:rFonts w:ascii="宋体" w:hAnsi="宋体" w:cs="宋体" w:eastAsia="宋体" w:hint="default"/>
          <w:sz w:val="21"/>
          <w:szCs w:val="21"/>
        </w:rPr>
      </w:pPr>
      <w:r>
        <w:rPr>
          <w:rFonts w:ascii="宋体" w:hAnsi="宋体" w:cs="宋体" w:eastAsia="宋体" w:hint="default"/>
          <w:b/>
          <w:bCs/>
          <w:sz w:val="21"/>
          <w:szCs w:val="21"/>
        </w:rPr>
        <w:t>六、注册会计师对财务报表审计的责任</w:t>
      </w:r>
      <w:r>
        <w:rPr>
          <w:rFonts w:ascii="宋体" w:hAnsi="宋体" w:cs="宋体" w:eastAsia="宋体" w:hint="default"/>
          <w:b/>
          <w:bCs/>
          <w:w w:val="100"/>
          <w:sz w:val="21"/>
          <w:szCs w:val="21"/>
        </w:rPr>
        <w:t> </w:t>
      </w:r>
      <w:r>
        <w:rPr>
          <w:rFonts w:ascii="宋体" w:hAnsi="宋体" w:cs="宋体" w:eastAsia="宋体" w:hint="default"/>
          <w:spacing w:val="-3"/>
          <w:sz w:val="21"/>
          <w:szCs w:val="21"/>
        </w:rPr>
        <w:t>我们的目标是对财务报表整体是否不存在由于舞弊或错误导致的重大错报获取合理保证，并出具包含</w:t>
      </w:r>
    </w:p>
    <w:p>
      <w:pPr>
        <w:pStyle w:val="BodyText"/>
        <w:spacing w:line="314" w:lineRule="auto" w:before="19"/>
        <w:ind w:right="1125"/>
        <w:jc w:val="both"/>
      </w:pPr>
      <w:r>
        <w:rPr>
          <w:spacing w:val="-2"/>
        </w:rPr>
        <w:t>审计意见的审计报告。合理保证是高水平的保证，但并不能保证按照审计准则执行的审计在某一重大错报</w:t>
      </w:r>
      <w:r>
        <w:rPr>
          <w:spacing w:val="-33"/>
        </w:rPr>
        <w:t> </w:t>
      </w:r>
      <w:r>
        <w:rPr>
          <w:spacing w:val="-33"/>
        </w:rPr>
      </w:r>
      <w:r>
        <w:rPr>
          <w:spacing w:val="-2"/>
        </w:rPr>
        <w:t>存在时总能发现。错报可能由于舞弊或错误导致，如果合理预期错报单独或汇总起来可能影响财务报表使</w:t>
      </w:r>
      <w:r>
        <w:rPr>
          <w:spacing w:val="-33"/>
        </w:rPr>
        <w:t> </w:t>
      </w:r>
      <w:r>
        <w:rPr>
          <w:spacing w:val="-33"/>
        </w:rPr>
      </w:r>
      <w:r>
        <w:rPr/>
        <w:t>用者依据财务报表作出的经济决策，则通常认为错报是重大的。</w:t>
      </w:r>
    </w:p>
    <w:p>
      <w:pPr>
        <w:pStyle w:val="BodyText"/>
        <w:spacing w:line="314" w:lineRule="auto" w:before="136"/>
        <w:ind w:right="1004" w:firstLine="480"/>
        <w:jc w:val="left"/>
      </w:pPr>
      <w:r>
        <w:rPr>
          <w:spacing w:val="-4"/>
        </w:rPr>
        <w:t>在按照审计准则执行审计工作的过程中，我们运用职业判断，并保持职业怀疑。同时，我们也执行以</w:t>
      </w:r>
      <w:r>
        <w:rPr>
          <w:w w:val="100"/>
        </w:rPr>
        <w:t> </w:t>
      </w:r>
      <w:r>
        <w:rPr/>
        <w:t>下工作：</w:t>
      </w:r>
    </w:p>
    <w:p>
      <w:pPr>
        <w:pStyle w:val="BodyText"/>
        <w:spacing w:line="240" w:lineRule="auto" w:before="140"/>
        <w:ind w:left="633" w:right="0"/>
        <w:jc w:val="left"/>
      </w:pPr>
      <w:r>
        <w:rPr>
          <w:spacing w:val="-4"/>
        </w:rPr>
        <w:t>（一）识别和评估由于舞弊或错误导致的财务报表重大错报风险，设计和实施审计程序以应对这些风</w:t>
      </w:r>
    </w:p>
    <w:p>
      <w:pPr>
        <w:spacing w:after="0" w:line="240" w:lineRule="auto"/>
        <w:jc w:val="left"/>
        <w:sectPr>
          <w:pgSz w:w="11910" w:h="16840"/>
          <w:pgMar w:header="460" w:footer="979" w:top="1100" w:bottom="1160" w:left="980" w:right="0"/>
        </w:sectPr>
      </w:pPr>
    </w:p>
    <w:p>
      <w:pPr>
        <w:spacing w:line="240" w:lineRule="auto" w:before="7"/>
        <w:rPr>
          <w:rFonts w:ascii="宋体" w:hAnsi="宋体" w:cs="宋体" w:eastAsia="宋体" w:hint="default"/>
          <w:sz w:val="22"/>
          <w:szCs w:val="22"/>
        </w:rPr>
      </w:pPr>
    </w:p>
    <w:p>
      <w:pPr>
        <w:pStyle w:val="BodyText"/>
        <w:spacing w:line="312" w:lineRule="auto" w:before="36"/>
        <w:ind w:right="1126"/>
        <w:jc w:val="both"/>
      </w:pPr>
      <w:r>
        <w:rPr>
          <w:spacing w:val="-7"/>
        </w:rPr>
        <w:t>险，并获取充分、适当的审计证据，作为发表审计意见的基础。由于舞弊可能涉及串通、伪造、故意遗漏、</w:t>
      </w:r>
      <w:r>
        <w:rPr>
          <w:spacing w:val="-14"/>
        </w:rPr>
        <w:t> </w:t>
      </w:r>
      <w:r>
        <w:rPr>
          <w:spacing w:val="-14"/>
        </w:rPr>
      </w:r>
      <w:r>
        <w:rPr>
          <w:spacing w:val="-2"/>
        </w:rPr>
        <w:t>虚假陈述或凌驾于内部控制之上，未能发现由于舞弊导致的重大错报的风险高于未能发现由于错误导致的</w:t>
      </w:r>
      <w:r>
        <w:rPr>
          <w:spacing w:val="-33"/>
        </w:rPr>
        <w:t> </w:t>
      </w:r>
      <w:r>
        <w:rPr>
          <w:spacing w:val="-33"/>
        </w:rPr>
      </w:r>
      <w:r>
        <w:rPr/>
        <w:t>重大错报的风险。</w:t>
      </w:r>
    </w:p>
    <w:p>
      <w:pPr>
        <w:spacing w:line="240" w:lineRule="auto" w:before="2"/>
        <w:rPr>
          <w:rFonts w:ascii="宋体" w:hAnsi="宋体" w:cs="宋体" w:eastAsia="宋体" w:hint="default"/>
          <w:sz w:val="8"/>
          <w:szCs w:val="8"/>
        </w:rPr>
      </w:pPr>
    </w:p>
    <w:p>
      <w:pPr>
        <w:pStyle w:val="BodyText"/>
        <w:spacing w:line="240" w:lineRule="auto" w:before="36"/>
        <w:ind w:left="633" w:right="0"/>
        <w:jc w:val="left"/>
      </w:pPr>
      <w:r>
        <w:rPr/>
        <w:t>（二）了解与审计相关的内部控制，以设计恰当的审计程序</w:t>
      </w:r>
      <w:r>
        <w:rPr>
          <w:rFonts w:ascii="Times New Roman" w:hAnsi="Times New Roman" w:cs="Times New Roman" w:eastAsia="Times New Roman" w:hint="default"/>
        </w:rPr>
        <w:t>,</w:t>
      </w:r>
      <w:r>
        <w:rPr/>
        <w:t>但目的并非对内部控制的有效性发表意</w:t>
      </w:r>
    </w:p>
    <w:p>
      <w:pPr>
        <w:pStyle w:val="BodyText"/>
        <w:spacing w:line="240" w:lineRule="auto" w:before="69"/>
        <w:ind w:right="0"/>
        <w:jc w:val="left"/>
      </w:pPr>
      <w:r>
        <w:rPr/>
        <w:t>见。</w:t>
      </w:r>
    </w:p>
    <w:p>
      <w:pPr>
        <w:spacing w:line="240" w:lineRule="auto" w:before="12"/>
        <w:rPr>
          <w:rFonts w:ascii="宋体" w:hAnsi="宋体" w:cs="宋体" w:eastAsia="宋体" w:hint="default"/>
          <w:sz w:val="12"/>
          <w:szCs w:val="12"/>
        </w:rPr>
      </w:pPr>
    </w:p>
    <w:p>
      <w:pPr>
        <w:pStyle w:val="BodyText"/>
        <w:spacing w:line="240" w:lineRule="auto" w:before="36"/>
        <w:ind w:left="633" w:right="0"/>
        <w:jc w:val="left"/>
      </w:pPr>
      <w:r>
        <w:rPr/>
        <w:t>（三）评价管理层选用会计政策的恰当性和作出会计估计及相关披露的合理性。</w:t>
      </w:r>
    </w:p>
    <w:p>
      <w:pPr>
        <w:spacing w:line="240" w:lineRule="auto" w:before="4"/>
        <w:rPr>
          <w:rFonts w:ascii="宋体" w:hAnsi="宋体" w:cs="宋体" w:eastAsia="宋体" w:hint="default"/>
          <w:sz w:val="15"/>
          <w:szCs w:val="15"/>
        </w:rPr>
      </w:pPr>
    </w:p>
    <w:p>
      <w:pPr>
        <w:pStyle w:val="BodyText"/>
        <w:spacing w:line="314" w:lineRule="auto" w:before="0"/>
        <w:ind w:right="1125" w:firstLine="480"/>
        <w:jc w:val="both"/>
      </w:pPr>
      <w:r>
        <w:rPr>
          <w:spacing w:val="-4"/>
        </w:rPr>
        <w:t>（四）对管理层使用持续经营假设的恰当性得出结论。同时，根据获取的审计证据，就可能导致对贵</w:t>
      </w:r>
      <w:r>
        <w:rPr>
          <w:w w:val="100"/>
        </w:rPr>
        <w:t> </w:t>
      </w:r>
      <w:r>
        <w:rPr>
          <w:spacing w:val="-2"/>
        </w:rPr>
        <w:t>公司持续经营能力产生重大疑虑的事项或情况是否存在重大不确定性得出结论。如果我们得出结论认为存</w:t>
      </w:r>
      <w:r>
        <w:rPr>
          <w:spacing w:val="-33"/>
        </w:rPr>
        <w:t> </w:t>
      </w:r>
      <w:r>
        <w:rPr>
          <w:spacing w:val="-33"/>
        </w:rPr>
      </w:r>
      <w:r>
        <w:rPr>
          <w:spacing w:val="-2"/>
        </w:rPr>
        <w:t>在重大不确定性，审计准则要求我们在审计报告中提请报表使用者注意财务报表中的相关披露；如果披露</w:t>
      </w:r>
      <w:r>
        <w:rPr>
          <w:spacing w:val="-33"/>
        </w:rPr>
        <w:t> </w:t>
      </w:r>
      <w:r>
        <w:rPr>
          <w:spacing w:val="-33"/>
        </w:rPr>
      </w:r>
      <w:r>
        <w:rPr>
          <w:spacing w:val="-2"/>
        </w:rPr>
        <w:t>不充分，我们应当发表非无保留意见。我们的结论基于截至审计报告日可获得的信息。然而，未来的事项</w:t>
      </w:r>
      <w:r>
        <w:rPr>
          <w:spacing w:val="-33"/>
        </w:rPr>
        <w:t> </w:t>
      </w:r>
      <w:r>
        <w:rPr>
          <w:spacing w:val="-33"/>
        </w:rPr>
      </w:r>
      <w:r>
        <w:rPr/>
        <w:t>或情况可能导致贵公司不能持续经营。</w:t>
      </w:r>
    </w:p>
    <w:p>
      <w:pPr>
        <w:pStyle w:val="BodyText"/>
        <w:spacing w:line="314" w:lineRule="auto" w:before="140"/>
        <w:ind w:right="1124" w:firstLine="480"/>
        <w:jc w:val="both"/>
      </w:pPr>
      <w:r>
        <w:rPr>
          <w:spacing w:val="-4"/>
        </w:rPr>
        <w:t>（五）评价财务报表的总体列报、结构和内容（包括披露），并评价财务报表是否公允反映相关交易</w:t>
      </w:r>
      <w:r>
        <w:rPr>
          <w:w w:val="100"/>
        </w:rPr>
        <w:t> </w:t>
      </w:r>
      <w:r>
        <w:rPr/>
        <w:t>和事项。</w:t>
      </w:r>
    </w:p>
    <w:p>
      <w:pPr>
        <w:pStyle w:val="BodyText"/>
        <w:spacing w:line="309" w:lineRule="auto" w:before="140"/>
        <w:ind w:right="1130" w:firstLine="480"/>
        <w:jc w:val="both"/>
      </w:pPr>
      <w:r>
        <w:rPr>
          <w:spacing w:val="-4"/>
        </w:rPr>
        <w:t>（六）就贵公司中实体或业务活动的财务信息获取充分、适当的审计证据，以对财务报表发表审计意</w:t>
      </w:r>
      <w:r>
        <w:rPr>
          <w:w w:val="100"/>
        </w:rPr>
        <w:t> </w:t>
      </w:r>
      <w:r>
        <w:rPr/>
        <w:t>见。我们负责指导、监督和执行集团审计，并对审计意见承担全部责任。</w:t>
      </w:r>
    </w:p>
    <w:p>
      <w:pPr>
        <w:pStyle w:val="BodyText"/>
        <w:spacing w:line="314" w:lineRule="auto" w:before="144"/>
        <w:ind w:right="1126" w:firstLine="480"/>
        <w:jc w:val="both"/>
      </w:pPr>
      <w:r>
        <w:rPr>
          <w:spacing w:val="-4"/>
        </w:rPr>
        <w:t>我们与治理层就计划的审计范围、时间安排和重大审计发现等事项进行沟通，包括沟通我们在审计中</w:t>
      </w:r>
      <w:r>
        <w:rPr>
          <w:w w:val="100"/>
        </w:rPr>
        <w:t> </w:t>
      </w:r>
      <w:r>
        <w:rPr/>
        <w:t>识别出的值得关注的内部控制缺陷。</w:t>
      </w:r>
    </w:p>
    <w:p>
      <w:pPr>
        <w:pStyle w:val="BodyText"/>
        <w:spacing w:line="309" w:lineRule="auto" w:before="140"/>
        <w:ind w:right="1126" w:firstLine="480"/>
        <w:jc w:val="both"/>
      </w:pPr>
      <w:r>
        <w:rPr>
          <w:spacing w:val="-3"/>
        </w:rPr>
        <w:t>我们还就已遵守与独立性相关的职业道德要求向治理层提供声明，并与治理层沟通可能被合理认为影</w:t>
      </w:r>
      <w:r>
        <w:rPr>
          <w:w w:val="100"/>
        </w:rPr>
        <w:t> </w:t>
      </w:r>
      <w:r>
        <w:rPr/>
        <w:t>响我们独立性的所有关系和其他事项，以及相关的防范措施（如适用）。</w:t>
      </w:r>
    </w:p>
    <w:p>
      <w:pPr>
        <w:pStyle w:val="BodyText"/>
        <w:spacing w:line="312" w:lineRule="auto" w:before="144"/>
        <w:ind w:right="1125" w:firstLine="480"/>
        <w:jc w:val="both"/>
      </w:pPr>
      <w:r>
        <w:rPr>
          <w:spacing w:val="-4"/>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33"/>
        </w:rPr>
        <w:t> </w:t>
      </w:r>
      <w:r>
        <w:rPr>
          <w:spacing w:val="-33"/>
        </w:rPr>
      </w:r>
      <w:r>
        <w:rPr>
          <w:spacing w:val="-2"/>
        </w:rPr>
        <w:t>理预期在审计报告中沟通某事项造成的负面后果超过在公众利益方面产生的益处，我们确定不应在审计报</w:t>
      </w:r>
      <w:r>
        <w:rPr>
          <w:spacing w:val="-33"/>
        </w:rPr>
        <w:t> </w:t>
      </w:r>
      <w:r>
        <w:rPr>
          <w:spacing w:val="-33"/>
        </w:rPr>
      </w:r>
      <w:r>
        <w:rPr/>
        <w:t>告中沟通该事项。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420" w:lineRule="auto" w:before="0"/>
        <w:ind w:left="5435" w:right="0" w:hanging="250"/>
        <w:jc w:val="left"/>
      </w:pPr>
      <w:r>
        <w:rPr>
          <w:spacing w:val="-2"/>
        </w:rPr>
        <w:t>希格玛会计师事务所（特殊普通合伙）</w:t>
      </w:r>
      <w:r>
        <w:rPr>
          <w:spacing w:val="-71"/>
        </w:rPr>
        <w:t> </w:t>
      </w:r>
      <w:r>
        <w:rPr>
          <w:spacing w:val="-71"/>
        </w:rPr>
      </w:r>
      <w:r>
        <w:rPr/>
        <w:t>中国注册会计师：杨树杰、卞薄海</w:t>
      </w:r>
    </w:p>
    <w:p>
      <w:pPr>
        <w:spacing w:before="49"/>
        <w:ind w:left="0" w:right="1122" w:firstLine="0"/>
        <w:jc w:val="right"/>
        <w:rPr>
          <w:rFonts w:ascii="宋体" w:hAnsi="宋体" w:cs="宋体" w:eastAsia="宋体" w:hint="default"/>
          <w:sz w:val="18"/>
          <w:szCs w:val="18"/>
        </w:rPr>
      </w:pPr>
      <w:r>
        <w:rPr>
          <w:rFonts w:ascii="宋体" w:hAnsi="宋体" w:cs="宋体" w:eastAsia="宋体" w:hint="default"/>
          <w:spacing w:val="-3"/>
          <w:sz w:val="18"/>
          <w:szCs w:val="18"/>
        </w:rPr>
        <w:t>二零二零年四月九日</w:t>
      </w:r>
    </w:p>
    <w:p>
      <w:pPr>
        <w:spacing w:line="240" w:lineRule="auto" w:before="5"/>
        <w:rPr>
          <w:rFonts w:ascii="宋体" w:hAnsi="宋体" w:cs="宋体" w:eastAsia="宋体" w:hint="default"/>
          <w:sz w:val="24"/>
          <w:szCs w:val="24"/>
        </w:rPr>
      </w:pPr>
    </w:p>
    <w:p>
      <w:pPr>
        <w:pStyle w:val="Heading2"/>
        <w:spacing w:line="240" w:lineRule="auto"/>
        <w:ind w:right="0"/>
        <w:jc w:val="left"/>
        <w:rPr>
          <w:b w:val="0"/>
          <w:bCs w:val="0"/>
        </w:rPr>
      </w:pPr>
      <w:bookmarkStart w:name="二、财务报表" w:id="163"/>
      <w:bookmarkEnd w:id="163"/>
      <w:r>
        <w:rPr>
          <w:b w:val="0"/>
          <w:bCs w:val="0"/>
        </w:rPr>
      </w:r>
      <w:r>
        <w:rPr/>
        <w:t>二、财务报表</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财务附注中报表的单位为：元</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64"/>
      <w:bookmarkEnd w:id="164"/>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7"/>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编制单位：西安环球印务股份有限公司</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after="0"/>
        <w:jc w:val="right"/>
        <w:rPr>
          <w:rFonts w:ascii="宋体" w:hAnsi="宋体" w:cs="宋体" w:eastAsia="宋体" w:hint="default"/>
          <w:sz w:val="18"/>
          <w:szCs w:val="18"/>
        </w:rPr>
        <w:sectPr>
          <w:pgSz w:w="11910" w:h="16840"/>
          <w:pgMar w:header="46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236,329,124.78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154,833,478.74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27,734,060.89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54,868,744.11</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289,612,772.81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156,727,389.92</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112,809,111.00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27,833,550.02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10,887,953.10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1,645,343.25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80,689,138.70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74,774,130.50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6,937,391.07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1,936,688.21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764,999,552.35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472,619,324.75</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78,154,995.08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71,907,638.55</w:t>
            </w:r>
          </w:p>
        </w:tc>
      </w:tr>
    </w:tbl>
    <w:p>
      <w:pPr>
        <w:spacing w:after="0" w:line="240" w:lineRule="auto"/>
        <w:jc w:val="right"/>
        <w:rPr>
          <w:rFonts w:ascii="Times New Roman" w:hAnsi="Times New Roman" w:cs="Times New Roman" w:eastAsia="Times New Roman" w:hint="default"/>
          <w:sz w:val="18"/>
          <w:szCs w:val="18"/>
        </w:rPr>
        <w:sectPr>
          <w:pgSz w:w="11910" w:h="16840"/>
          <w:pgMar w:header="46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39"/>
              <w:jc w:val="righ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279,827,383.40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274,538,573.54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29,368,196.51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16,807,534.38</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33,462,497.28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29,594,974.30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6,141,509.20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180,616,731.32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108,279,350.96</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6,246,709.88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5,631,556.49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5,535,363.00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2,995,735.42</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613,211,876.47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515,896,872.84</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1,378,211,428.82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988,516,197.59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170,568,635.79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110,258,679.54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195,062,783.58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77,730,656.60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133,728,970.10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91,084,771.04</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6,389,136.44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3,132,964.25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939"/>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39"/>
              <w:jc w:val="righ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13,827,108.56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10,532,309.94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11,807,369.23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6,795,575.72</w:t>
            </w:r>
          </w:p>
        </w:tc>
      </w:tr>
    </w:tbl>
    <w:p>
      <w:pPr>
        <w:spacing w:after="0" w:line="240" w:lineRule="auto"/>
        <w:jc w:val="right"/>
        <w:rPr>
          <w:rFonts w:ascii="Times New Roman" w:hAnsi="Times New Roman" w:cs="Times New Roman" w:eastAsia="Times New Roman" w:hint="default"/>
          <w:sz w:val="18"/>
          <w:szCs w:val="18"/>
        </w:rPr>
        <w:sectPr>
          <w:pgSz w:w="11910" w:h="16840"/>
          <w:pgMar w:header="46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113,573,727.48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121,504,332.99</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401,152.80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949,697.37</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23,502,077.29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12,811,639.24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644,957,731.18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421,039,290.08</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63,660,000.00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1,710,125.00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116,000.00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7,112.40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65,370,125.00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123,112.40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710,327,856.18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421,162,402.48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148,690,803.28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148,360,803.28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34,662,590.39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33,252,946.03</w:t>
            </w:r>
          </w:p>
        </w:tc>
      </w:tr>
    </w:tbl>
    <w:p>
      <w:pPr>
        <w:spacing w:after="0" w:line="240" w:lineRule="auto"/>
        <w:jc w:val="right"/>
        <w:rPr>
          <w:rFonts w:ascii="Times New Roman" w:hAnsi="Times New Roman" w:cs="Times New Roman" w:eastAsia="Times New Roman" w:hint="default"/>
          <w:sz w:val="18"/>
          <w:szCs w:val="18"/>
        </w:rPr>
        <w:sectPr>
          <w:pgSz w:w="11910" w:h="16840"/>
          <w:pgMar w:header="46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271,464,575.43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212,084,749.89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604,817,969.10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543,698,499.20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63,065,603.54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23,655,295.91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667,883,572.64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567,353,795.11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1,378,211,428.82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988,516,197.59</w:t>
            </w:r>
          </w:p>
        </w:tc>
      </w:tr>
    </w:tbl>
    <w:p>
      <w:pPr>
        <w:spacing w:line="240" w:lineRule="auto" w:before="2"/>
        <w:rPr>
          <w:rFonts w:ascii="Times New Roman" w:hAnsi="Times New Roman" w:cs="Times New Roman" w:eastAsia="Times New Roman" w:hint="default"/>
          <w:sz w:val="23"/>
          <w:szCs w:val="23"/>
        </w:rPr>
      </w:pPr>
    </w:p>
    <w:p>
      <w:pPr>
        <w:tabs>
          <w:tab w:pos="3515" w:val="left" w:leader="none"/>
          <w:tab w:pos="7567" w:val="left" w:leader="none"/>
        </w:tabs>
        <w:spacing w:before="46"/>
        <w:ind w:left="0" w:right="1218" w:firstLine="0"/>
        <w:jc w:val="right"/>
        <w:rPr>
          <w:rFonts w:ascii="宋体" w:hAnsi="宋体" w:cs="宋体" w:eastAsia="宋体" w:hint="default"/>
          <w:sz w:val="18"/>
          <w:szCs w:val="18"/>
        </w:rPr>
      </w:pPr>
      <w:r>
        <w:rPr>
          <w:rFonts w:ascii="宋体" w:hAnsi="宋体" w:cs="宋体" w:eastAsia="宋体" w:hint="default"/>
          <w:spacing w:val="-3"/>
          <w:sz w:val="18"/>
          <w:szCs w:val="18"/>
        </w:rPr>
        <w:t>法定代表人：李移岭</w:t>
        <w:tab/>
        <w:t>主管会计工作负责人：林蔚</w:t>
        <w:tab/>
        <w:t>会计机构负责人：夏美莹</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65"/>
      <w:bookmarkEnd w:id="165"/>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138,939,314.86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99,711,569.66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17,494,898.66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50,470,224.02</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102,279,438.60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113,911,410.03</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10,566,470.15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10,979,221.03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36,521,706.36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7,878,303.13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1,846,194.45</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25,985,937.84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39,382,739.96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589,523.16</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332,377,289.63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322,333,467.83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6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528,998,448.52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402,736,464.93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106,308,361.12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110,029,782.92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13,580,820.94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8,962,084.66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11,445,449.52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12,024,656.97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4,314,435.55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4,115,438.19</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995,383.36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977,192.64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665,642,899.01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538,845,620.31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998,020,188.64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861,179,088.14</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113,858,658.06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93,826,679.54</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182,083,848.64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72,000,000.00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49,509,470.87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56,149,392.11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1,137,793.40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1,407,061.15</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8,654,347.85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5,736,706.87</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1,803,399.55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2,295,133.57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44,256,251.55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105,884,139.75</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286,152.78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883,208.60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6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401,303,769.92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337,299,112.99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63,660,000.00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63,660,000.00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464,963,769.92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337,299,112.99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148,270,922.48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147,940,922.48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34,662,590.39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33,252,946.03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200,122,905.85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192,686,106.64</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533,056,418.72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523,879,975.15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998,020,188.64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861,179,088.14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3、合并利润表" w:id="166"/>
      <w:bookmarkEnd w:id="166"/>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after="0"/>
        <w:jc w:val="right"/>
        <w:rPr>
          <w:rFonts w:ascii="宋体" w:hAnsi="宋体" w:cs="宋体" w:eastAsia="宋体" w:hint="default"/>
          <w:sz w:val="18"/>
          <w:szCs w:val="18"/>
        </w:rPr>
        <w:sectPr>
          <w:pgSz w:w="11910" w:h="16840"/>
          <w:pgMar w:header="460" w:footer="979"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211.029999pt;margin-top:657.190002pt;width:158.950pt;height:20.65pt;mso-position-horizontal-relative:page;mso-position-vertical-relative:page;z-index:-957256" coordorigin="4221,13144" coordsize="3179,413">
            <v:group style="position:absolute;left:4233;top:13156;width:2;height:389" coordorigin="4233,13156" coordsize="2,389">
              <v:shape style="position:absolute;left:4233;top:13156;width:2;height:389" coordorigin="4233,13156" coordsize="0,389" path="m4233,13156l4233,13545e" filled="false" stroked="true" strokeweight="1.2pt" strokecolor="#ffffff">
                <v:path arrowok="t"/>
              </v:shape>
            </v:group>
            <v:group style="position:absolute;left:4245;top:13156;width:3155;height:389" coordorigin="4245,13156" coordsize="3155,389">
              <v:shape style="position:absolute;left:4245;top:13156;width:3155;height:389" coordorigin="4245,13156" coordsize="3155,389" path="m4245,13545l7400,13545,7400,13156,4245,13156,4245,13545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059"/>
        <w:gridCol w:w="3220"/>
        <w:gridCol w:w="3279"/>
      </w:tblGrid>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1,247,341,573.24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555,124,332.86</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1,247,341,573.24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555,124,332.86</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1,154,260,765.08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524,989,616.79</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1,038,483,594.28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440,101,797.23</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提取保险责任合同准备金</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14"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6,596,105.01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6,223,830.96</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38,452,756.05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30,806,363.88</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32,667,220.86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23,329,108.21</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14" w:right="0"/>
              <w:jc w:val="left"/>
              <w:rPr>
                <w:rFonts w:ascii="宋体" w:hAnsi="宋体" w:cs="宋体" w:eastAsia="宋体" w:hint="default"/>
                <w:sz w:val="18"/>
                <w:szCs w:val="18"/>
              </w:rPr>
            </w:pPr>
            <w:r>
              <w:rPr>
                <w:rFonts w:ascii="宋体" w:hAnsi="宋体" w:cs="宋体" w:eastAsia="宋体" w:hint="default"/>
                <w:spacing w:val="-3"/>
                <w:sz w:val="18"/>
                <w:szCs w:val="18"/>
              </w:rPr>
              <w:t>研发费用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24,238,893.78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16,112,860.63</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13,822,195.10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8,415,655.88</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14,008,628.79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9,494,720.51</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4"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1,072,018.50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1,152,080.54</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5,538,115.95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1,934,200.00</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6,314,021.08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5,774,558.30</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firstLine="720"/>
              <w:jc w:val="left"/>
              <w:rPr>
                <w:rFonts w:ascii="宋体" w:hAnsi="宋体" w:cs="宋体" w:eastAsia="宋体" w:hint="default"/>
                <w:sz w:val="18"/>
                <w:szCs w:val="18"/>
              </w:rPr>
            </w:pPr>
            <w:r>
              <w:rPr>
                <w:rFonts w:ascii="宋体" w:hAnsi="宋体" w:cs="宋体" w:eastAsia="宋体" w:hint="default"/>
                <w:spacing w:val="-5"/>
                <w:sz w:val="18"/>
                <w:szCs w:val="18"/>
              </w:rPr>
              <w:t>其中：对联营企业和合营企业</w:t>
            </w:r>
            <w:r>
              <w:rPr>
                <w:rFonts w:ascii="宋体" w:hAnsi="宋体" w:cs="宋体" w:eastAsia="宋体" w:hint="default"/>
                <w:w w:val="101"/>
                <w:sz w:val="18"/>
                <w:szCs w:val="18"/>
              </w:rPr>
              <w:t> </w:t>
            </w:r>
            <w:r>
              <w:rPr>
                <w:rFonts w:ascii="宋体" w:hAnsi="宋体" w:cs="宋体" w:eastAsia="宋体" w:hint="default"/>
                <w:sz w:val="18"/>
                <w:szCs w:val="18"/>
              </w:rPr>
              <w:t>的投资收益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6,273,351.39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5,774,558.30</w:t>
            </w: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149" w:firstLine="108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spacing w:val="-3"/>
                <w:sz w:val="18"/>
                <w:szCs w:val="18"/>
              </w:rPr>
              <w:t>汇兑收益（损失以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5" w:firstLine="720"/>
              <w:jc w:val="left"/>
              <w:rPr>
                <w:rFonts w:ascii="宋体" w:hAnsi="宋体" w:cs="宋体" w:eastAsia="宋体" w:hint="default"/>
                <w:sz w:val="18"/>
                <w:szCs w:val="18"/>
              </w:rPr>
            </w:pPr>
            <w:r>
              <w:rPr>
                <w:rFonts w:ascii="宋体" w:hAnsi="宋体" w:cs="宋体" w:eastAsia="宋体" w:hint="default"/>
                <w:spacing w:val="-4"/>
                <w:sz w:val="18"/>
                <w:szCs w:val="18"/>
              </w:rPr>
              <w:t>净敞口套期收益（损失以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60" w:footer="979"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211.029999pt;margin-top:239.469986pt;width:158.950pt;height:20.65pt;mso-position-horizontal-relative:page;mso-position-vertical-relative:page;z-index:-957232" coordorigin="4221,4789" coordsize="3179,413">
            <v:group style="position:absolute;left:4233;top:4801;width:2;height:389" coordorigin="4233,4801" coordsize="2,389">
              <v:shape style="position:absolute;left:4233;top:4801;width:2;height:389" coordorigin="4233,4801" coordsize="0,389" path="m4233,4801l4233,5190e" filled="false" stroked="true" strokeweight="1.2pt" strokecolor="#ffffff">
                <v:path arrowok="t"/>
              </v:shape>
            </v:group>
            <v:group style="position:absolute;left:4245;top:4801;width:3155;height:389" coordorigin="4245,4801" coordsize="3155,389">
              <v:shape style="position:absolute;left:4245;top:4801;width:3155;height:389" coordorigin="4245,4801" coordsize="3155,389" path="m4245,5190l7400,5190,7400,4801,4245,4801,4245,5190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059"/>
        <w:gridCol w:w="1119"/>
        <w:gridCol w:w="2101"/>
        <w:gridCol w:w="3279"/>
      </w:tblGrid>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w w:val="101"/>
                <w:sz w:val="18"/>
                <w:szCs w:val="18"/>
              </w:rPr>
              <w:t>信</w:t>
            </w:r>
            <w:r>
              <w:rPr>
                <w:rFonts w:ascii="宋体" w:hAnsi="宋体" w:cs="宋体" w:eastAsia="宋体" w:hint="default"/>
                <w:spacing w:val="-5"/>
                <w:w w:val="101"/>
                <w:sz w:val="18"/>
                <w:szCs w:val="18"/>
              </w:rPr>
              <w:t>用</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损</w:t>
            </w:r>
            <w:r>
              <w:rPr>
                <w:rFonts w:ascii="宋体" w:hAnsi="宋体" w:cs="宋体" w:eastAsia="宋体" w:hint="default"/>
                <w:spacing w:val="-77"/>
                <w:w w:val="101"/>
                <w:sz w:val="18"/>
                <w:szCs w:val="18"/>
              </w:rPr>
              <w:t>失</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088" w:right="0"/>
              <w:jc w:val="left"/>
              <w:rPr>
                <w:rFonts w:ascii="Times New Roman" w:hAnsi="Times New Roman" w:cs="Times New Roman" w:eastAsia="Times New Roman" w:hint="default"/>
                <w:sz w:val="18"/>
                <w:szCs w:val="18"/>
              </w:rPr>
            </w:pPr>
            <w:r>
              <w:rPr>
                <w:rFonts w:ascii="Times New Roman"/>
                <w:sz w:val="18"/>
              </w:rPr>
              <w:t>-11,786,355.30</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损</w:t>
            </w:r>
            <w:r>
              <w:rPr>
                <w:rFonts w:ascii="宋体" w:hAnsi="宋体" w:cs="宋体" w:eastAsia="宋体" w:hint="default"/>
                <w:spacing w:val="-77"/>
                <w:w w:val="101"/>
                <w:sz w:val="18"/>
                <w:szCs w:val="18"/>
              </w:rPr>
              <w:t>失</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-455,833.90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-2,300,513.50</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处</w:t>
            </w:r>
            <w:r>
              <w:rPr>
                <w:rFonts w:ascii="宋体" w:hAnsi="宋体" w:cs="宋体" w:eastAsia="宋体" w:hint="default"/>
                <w:spacing w:val="-5"/>
                <w:w w:val="101"/>
                <w:sz w:val="18"/>
                <w:szCs w:val="18"/>
              </w:rPr>
              <w:t>置</w:t>
            </w:r>
            <w:r>
              <w:rPr>
                <w:rFonts w:ascii="宋体" w:hAnsi="宋体" w:cs="宋体" w:eastAsia="宋体" w:hint="default"/>
                <w:w w:val="101"/>
                <w:sz w:val="18"/>
                <w:szCs w:val="18"/>
              </w:rPr>
              <w:t>收</w:t>
            </w:r>
            <w:r>
              <w:rPr>
                <w:rFonts w:ascii="宋体" w:hAnsi="宋体" w:cs="宋体" w:eastAsia="宋体" w:hint="default"/>
                <w:spacing w:val="-77"/>
                <w:w w:val="101"/>
                <w:sz w:val="18"/>
                <w:szCs w:val="18"/>
              </w:rPr>
              <w:t>益</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-232,223.39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-648,732.03</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92,458,532.60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34,894,228.84</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26,857.16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95,961.41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979,326.50</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9"/>
                <w:sz w:val="18"/>
                <w:szCs w:val="18"/>
              </w:rPr>
              <w:t>四、利润总额（亏损总额以</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号填列</w:t>
            </w:r>
          </w:p>
        </w:tc>
        <w:tc>
          <w:tcPr>
            <w:tcW w:w="111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8"/>
              <w:ind w:left="-12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039" w:right="0"/>
              <w:jc w:val="left"/>
              <w:rPr>
                <w:rFonts w:ascii="Times New Roman" w:hAnsi="Times New Roman" w:cs="Times New Roman" w:eastAsia="Times New Roman" w:hint="default"/>
                <w:sz w:val="18"/>
                <w:szCs w:val="18"/>
              </w:rPr>
            </w:pPr>
            <w:r>
              <w:rPr>
                <w:rFonts w:ascii="Times New Roman"/>
                <w:sz w:val="18"/>
              </w:rPr>
              <w:t>92,389,428.35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34,714,902.34</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7,370,892.43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3,663,889.68</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五、净利润（净亏损以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85,018,535.92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31,051,012.66</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pacing w:val="-3"/>
                <w:sz w:val="18"/>
                <w:szCs w:val="18"/>
              </w:rPr>
              <w:t>（一）按经营持续性分类</w:t>
            </w:r>
          </w:p>
        </w:tc>
        <w:tc>
          <w:tcPr>
            <w:tcW w:w="322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持续经营净利润（净亏损以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85,018,535.92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31,051,012.66</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终止经营净利润（净亏损以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pacing w:val="-3"/>
                <w:sz w:val="18"/>
                <w:szCs w:val="18"/>
              </w:rPr>
              <w:t>（二）按所有权归属分类</w:t>
            </w:r>
          </w:p>
        </w:tc>
        <w:tc>
          <w:tcPr>
            <w:tcW w:w="322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归属于母公司所有者的净利润</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66,562,444.36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28,112,269.71</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少数股东损益</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18,456,091.56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2,938,742.95</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9" w:firstLine="182"/>
              <w:jc w:val="left"/>
              <w:rPr>
                <w:rFonts w:ascii="宋体" w:hAnsi="宋体" w:cs="宋体" w:eastAsia="宋体" w:hint="default"/>
                <w:sz w:val="18"/>
                <w:szCs w:val="18"/>
              </w:rPr>
            </w:pPr>
            <w:r>
              <w:rPr>
                <w:rFonts w:ascii="宋体" w:hAnsi="宋体" w:cs="宋体" w:eastAsia="宋体" w:hint="default"/>
                <w:spacing w:val="-3"/>
                <w:sz w:val="18"/>
                <w:szCs w:val="18"/>
              </w:rPr>
              <w:t>归属母公司所有者的其他综合收益</w:t>
            </w:r>
            <w:r>
              <w:rPr>
                <w:rFonts w:ascii="宋体" w:hAnsi="宋体" w:cs="宋体" w:eastAsia="宋体" w:hint="default"/>
                <w:w w:val="101"/>
                <w:sz w:val="18"/>
                <w:szCs w:val="18"/>
              </w:rPr>
              <w:t> </w:t>
            </w:r>
            <w:r>
              <w:rPr>
                <w:rFonts w:ascii="宋体" w:hAnsi="宋体" w:cs="宋体" w:eastAsia="宋体" w:hint="default"/>
                <w:sz w:val="18"/>
                <w:szCs w:val="18"/>
              </w:rPr>
              <w:t>的税后净额</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firstLine="345"/>
              <w:jc w:val="left"/>
              <w:rPr>
                <w:rFonts w:ascii="宋体" w:hAnsi="宋体" w:cs="宋体" w:eastAsia="宋体" w:hint="default"/>
                <w:sz w:val="18"/>
                <w:szCs w:val="18"/>
              </w:rPr>
            </w:pPr>
            <w:r>
              <w:rPr>
                <w:rFonts w:ascii="宋体" w:hAnsi="宋体" w:cs="宋体" w:eastAsia="宋体" w:hint="default"/>
                <w:spacing w:val="-4"/>
                <w:sz w:val="18"/>
                <w:szCs w:val="18"/>
              </w:rPr>
              <w:t>（一）不能重分类进损益的其他综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重新计量设定受益计划变</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权益法下不能转损益的其</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其他权益工具投资公允价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企业自身信用风险公允价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5" w:firstLine="345"/>
              <w:jc w:val="left"/>
              <w:rPr>
                <w:rFonts w:ascii="宋体" w:hAnsi="宋体" w:cs="宋体" w:eastAsia="宋体" w:hint="default"/>
                <w:sz w:val="18"/>
                <w:szCs w:val="18"/>
              </w:rPr>
            </w:pPr>
            <w:r>
              <w:rPr>
                <w:rFonts w:ascii="宋体" w:hAnsi="宋体" w:cs="宋体" w:eastAsia="宋体" w:hint="default"/>
                <w:spacing w:val="-4"/>
                <w:sz w:val="18"/>
                <w:szCs w:val="18"/>
              </w:rPr>
              <w:t>（二）将重分类进损益的其他综合</w:t>
            </w:r>
            <w:r>
              <w:rPr>
                <w:rFonts w:ascii="宋体" w:hAnsi="宋体" w:cs="宋体" w:eastAsia="宋体" w:hint="default"/>
                <w:w w:val="101"/>
                <w:sz w:val="18"/>
                <w:szCs w:val="18"/>
              </w:rPr>
              <w:t> </w:t>
            </w:r>
            <w:r>
              <w:rPr>
                <w:rFonts w:ascii="宋体" w:hAnsi="宋体" w:cs="宋体" w:eastAsia="宋体" w:hint="default"/>
                <w:sz w:val="18"/>
                <w:szCs w:val="18"/>
              </w:rPr>
              <w:t>收益</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6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59"/>
        <w:gridCol w:w="3220"/>
        <w:gridCol w:w="3279"/>
      </w:tblGrid>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权益法下可转损益的其他</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其他债权投资公允价值变</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w w:val="101"/>
                <w:sz w:val="18"/>
                <w:szCs w:val="18"/>
              </w:rPr>
              <w:t>动</w:t>
            </w:r>
            <w:r>
              <w:rPr>
                <w:rFonts w:ascii="宋体" w:hAnsi="宋体" w:cs="宋体" w:eastAsia="宋体" w:hint="default"/>
                <w:sz w:val="18"/>
                <w:szCs w:val="18"/>
              </w:rPr>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14"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金融资产重分类计入其他</w:t>
            </w:r>
            <w:r>
              <w:rPr>
                <w:rFonts w:ascii="宋体" w:hAnsi="宋体" w:cs="宋体" w:eastAsia="宋体" w:hint="default"/>
                <w:w w:val="101"/>
                <w:sz w:val="18"/>
                <w:szCs w:val="18"/>
              </w:rPr>
              <w:t> </w:t>
            </w:r>
            <w:r>
              <w:rPr>
                <w:rFonts w:ascii="宋体" w:hAnsi="宋体" w:cs="宋体" w:eastAsia="宋体" w:hint="default"/>
                <w:spacing w:val="-3"/>
                <w:sz w:val="18"/>
                <w:szCs w:val="18"/>
              </w:rPr>
              <w:t>综合收益的金额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4"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持有至到期投资重分类为</w:t>
            </w:r>
            <w:r>
              <w:rPr>
                <w:rFonts w:ascii="宋体" w:hAnsi="宋体" w:cs="宋体" w:eastAsia="宋体" w:hint="default"/>
                <w:w w:val="101"/>
                <w:sz w:val="18"/>
                <w:szCs w:val="18"/>
              </w:rPr>
              <w:t> </w:t>
            </w:r>
            <w:r>
              <w:rPr>
                <w:rFonts w:ascii="宋体" w:hAnsi="宋体" w:cs="宋体" w:eastAsia="宋体" w:hint="default"/>
                <w:sz w:val="18"/>
                <w:szCs w:val="18"/>
              </w:rPr>
              <w:t>可供出售金融资产损益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其他债权投资信用减值准</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w w:val="101"/>
                <w:sz w:val="18"/>
                <w:szCs w:val="18"/>
              </w:rPr>
              <w:t>备</w:t>
            </w:r>
            <w:r>
              <w:rPr>
                <w:rFonts w:ascii="宋体" w:hAnsi="宋体" w:cs="宋体" w:eastAsia="宋体" w:hint="default"/>
                <w:sz w:val="18"/>
                <w:szCs w:val="18"/>
              </w:rPr>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2"/>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外币财务报表折算差额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9" w:firstLine="182"/>
              <w:jc w:val="left"/>
              <w:rPr>
                <w:rFonts w:ascii="宋体" w:hAnsi="宋体" w:cs="宋体" w:eastAsia="宋体" w:hint="default"/>
                <w:sz w:val="18"/>
                <w:szCs w:val="18"/>
              </w:rPr>
            </w:pPr>
            <w:r>
              <w:rPr>
                <w:rFonts w:ascii="宋体" w:hAnsi="宋体" w:cs="宋体" w:eastAsia="宋体" w:hint="default"/>
                <w:spacing w:val="-3"/>
                <w:sz w:val="18"/>
                <w:szCs w:val="18"/>
              </w:rPr>
              <w:t>归属于少数股东的其他综合收益的</w:t>
            </w:r>
            <w:r>
              <w:rPr>
                <w:rFonts w:ascii="宋体" w:hAnsi="宋体" w:cs="宋体" w:eastAsia="宋体" w:hint="default"/>
                <w:w w:val="101"/>
                <w:sz w:val="18"/>
                <w:szCs w:val="18"/>
              </w:rPr>
              <w:t> </w:t>
            </w:r>
            <w:r>
              <w:rPr>
                <w:rFonts w:ascii="宋体" w:hAnsi="宋体" w:cs="宋体" w:eastAsia="宋体" w:hint="default"/>
                <w:sz w:val="18"/>
                <w:szCs w:val="18"/>
              </w:rPr>
              <w:t>税后净额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85,018,535.92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31,051,012.66</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49" w:firstLine="36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66,562,444.36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28,112,269.71</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9"/>
              <w:jc w:val="righ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18,456,091.56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2,938,742.95</w:t>
            </w: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0.44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0.19</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0.44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0.19</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本期未发生同一控制下企业合并。</w:t>
      </w:r>
    </w:p>
    <w:p>
      <w:pPr>
        <w:spacing w:line="240" w:lineRule="auto" w:before="0"/>
        <w:rPr>
          <w:rFonts w:ascii="宋体" w:hAnsi="宋体" w:cs="宋体" w:eastAsia="宋体" w:hint="default"/>
          <w:sz w:val="18"/>
          <w:szCs w:val="18"/>
        </w:rPr>
      </w:pPr>
    </w:p>
    <w:p>
      <w:pPr>
        <w:tabs>
          <w:tab w:pos="3668" w:val="left" w:leader="none"/>
          <w:tab w:pos="7720" w:val="left" w:leader="none"/>
        </w:tabs>
        <w:spacing w:before="14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法定代表人：李移岭</w:t>
        <w:tab/>
        <w:t>主管会计工作负责人：林蔚</w:t>
        <w:tab/>
        <w:t>会计机构负责人：夏美莹</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4、母公司利润表" w:id="167"/>
      <w:bookmarkEnd w:id="167"/>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284"/>
              <w:jc w:val="right"/>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366,081,514.55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384,377,246.21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295,139,444.29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305,362,074.22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99"/>
              <w:jc w:val="right"/>
              <w:rPr>
                <w:rFonts w:ascii="宋体" w:hAnsi="宋体" w:cs="宋体" w:eastAsia="宋体" w:hint="default"/>
                <w:sz w:val="18"/>
                <w:szCs w:val="18"/>
              </w:rPr>
            </w:pPr>
            <w:r>
              <w:rPr>
                <w:rFonts w:ascii="宋体" w:hAnsi="宋体" w:cs="宋体" w:eastAsia="宋体" w:hint="default"/>
                <w:spacing w:val="-2"/>
                <w:sz w:val="18"/>
                <w:szCs w:val="18"/>
              </w:rPr>
              <w:t>税金及附加</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3,347,135.15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3,854,686.46</w:t>
            </w: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22,979,430.63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24,096,744.89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15,232,489.76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15,596,488.53</w:t>
            </w:r>
          </w:p>
        </w:tc>
      </w:tr>
    </w:tbl>
    <w:p>
      <w:pPr>
        <w:spacing w:after="0" w:line="240" w:lineRule="auto"/>
        <w:jc w:val="right"/>
        <w:rPr>
          <w:rFonts w:ascii="Times New Roman" w:hAnsi="Times New Roman" w:cs="Times New Roman" w:eastAsia="Times New Roman" w:hint="default"/>
          <w:sz w:val="18"/>
          <w:szCs w:val="18"/>
        </w:rPr>
        <w:sectPr>
          <w:pgSz w:w="11910" w:h="16840"/>
          <w:pgMar w:header="46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13,106,103.74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11,130,648.12</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8,640,710.96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4,967,530.77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6"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10,268,010.14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4,225,187.99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6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2,514,872.01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742,342.78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600,200.00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945,200.00</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6,070,105.58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5,774,558.30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4" w:right="46"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6,070,105.58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5,774,558.30</w:t>
            </w:r>
          </w:p>
        </w:tc>
      </w:tr>
      <w:tr>
        <w:trPr>
          <w:trHeight w:val="10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6" w:firstLine="108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8"/>
                <w:sz w:val="18"/>
                <w:szCs w:val="18"/>
              </w:rPr>
              <w:t> </w:t>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44" w:right="0"/>
              <w:jc w:val="left"/>
              <w:rPr>
                <w:rFonts w:ascii="宋体" w:hAnsi="宋体" w:cs="宋体" w:eastAsia="宋体" w:hint="default"/>
                <w:sz w:val="18"/>
                <w:szCs w:val="18"/>
              </w:rPr>
            </w:pPr>
            <w:r>
              <w:rPr>
                <w:rFonts w:ascii="宋体" w:hAnsi="宋体" w:cs="宋体" w:eastAsia="宋体" w:hint="default"/>
                <w:spacing w:val="-3"/>
                <w:sz w:val="18"/>
                <w:szCs w:val="18"/>
              </w:rPr>
              <w:t>信用减值损失（损失以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334,561.57</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-455,833.90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-784,382.01</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资产处置收益（损失以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-68,021.64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-491,264.17</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14,117,211.63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24,813,185.34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38,958.78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12,000.00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65"/>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6"/>
                <w:sz w:val="18"/>
                <w:szCs w:val="18"/>
              </w:rPr>
              <w:t> </w:t>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14,078,252.85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24,801,185.34</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-18,190.72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1,633,325.23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四、净利润（净亏损以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14,096,443.57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23,167,860.11</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（一）持续经营净利润（净亏损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14,096,443.57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23,167,860.11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（二）终止经营净利润（净亏损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6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权益法下不能转损益的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可供出售金融资产公允</w:t>
            </w:r>
            <w:r>
              <w:rPr>
                <w:rFonts w:ascii="宋体" w:hAnsi="宋体" w:cs="宋体" w:eastAsia="宋体" w:hint="default"/>
                <w:w w:val="101"/>
                <w:sz w:val="18"/>
                <w:szCs w:val="18"/>
              </w:rPr>
              <w:t> </w:t>
            </w:r>
            <w:r>
              <w:rPr>
                <w:rFonts w:ascii="宋体" w:hAnsi="宋体" w:cs="宋体" w:eastAsia="宋体" w:hint="default"/>
                <w:sz w:val="18"/>
                <w:szCs w:val="18"/>
              </w:rPr>
              <w:t>价值变动损益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金融资产重分类计入其</w:t>
            </w:r>
            <w:r>
              <w:rPr>
                <w:rFonts w:ascii="宋体" w:hAnsi="宋体" w:cs="宋体" w:eastAsia="宋体" w:hint="default"/>
                <w:w w:val="101"/>
                <w:sz w:val="18"/>
                <w:szCs w:val="18"/>
              </w:rPr>
              <w:t> </w:t>
            </w:r>
            <w:r>
              <w:rPr>
                <w:rFonts w:ascii="宋体" w:hAnsi="宋体" w:cs="宋体" w:eastAsia="宋体" w:hint="default"/>
                <w:sz w:val="18"/>
                <w:szCs w:val="18"/>
              </w:rPr>
              <w:t>他综合收益的金额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14,096,443.57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23,167,860.11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0.15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0.15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5、合并现金流量表" w:id="168"/>
      <w:bookmarkEnd w:id="168"/>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5"/>
        <w:gridCol w:w="3304"/>
        <w:gridCol w:w="3289"/>
      </w:tblGrid>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9"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004" w:right="0"/>
              <w:jc w:val="left"/>
              <w:rPr>
                <w:rFonts w:ascii="Times New Roman" w:hAnsi="Times New Roman" w:cs="Times New Roman" w:eastAsia="Times New Roman" w:hint="default"/>
                <w:sz w:val="18"/>
                <w:szCs w:val="18"/>
              </w:rPr>
            </w:pPr>
            <w:r>
              <w:rPr>
                <w:rFonts w:ascii="Times New Roman"/>
                <w:sz w:val="18"/>
              </w:rPr>
              <w:t>1,243,143,382.93</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46" w:right="0"/>
              <w:jc w:val="left"/>
              <w:rPr>
                <w:rFonts w:ascii="Times New Roman" w:hAnsi="Times New Roman" w:cs="Times New Roman" w:eastAsia="Times New Roman" w:hint="default"/>
                <w:sz w:val="18"/>
                <w:szCs w:val="18"/>
              </w:rPr>
            </w:pPr>
            <w:r>
              <w:rPr>
                <w:rFonts w:ascii="Times New Roman"/>
                <w:spacing w:val="-1"/>
                <w:sz w:val="18"/>
              </w:rPr>
              <w:t>520,840,083.19</w:t>
            </w:r>
          </w:p>
        </w:tc>
      </w:tr>
    </w:tbl>
    <w:p>
      <w:pPr>
        <w:spacing w:after="0" w:line="240" w:lineRule="auto"/>
        <w:jc w:val="left"/>
        <w:rPr>
          <w:rFonts w:ascii="Times New Roman" w:hAnsi="Times New Roman" w:cs="Times New Roman" w:eastAsia="Times New Roman" w:hint="default"/>
          <w:sz w:val="18"/>
          <w:szCs w:val="18"/>
        </w:rPr>
        <w:sectPr>
          <w:pgSz w:w="11910" w:h="16840"/>
          <w:pgMar w:header="46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收取利息、手续费及佣金的现金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代理买卖证券收到的现金净额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160,508.40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56,142,477.41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14,040,515.16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1,299,446,368.74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534,880,598.35</w:t>
            </w: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981,538,035.55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313,059,386.72</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存放中央银行和同业款项净增加</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支付利息、手续费及佣金的现金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86,310,331.19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81,973,007.04</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59,188,396.96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32,046,200.62</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32,496,220.98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22,248,569.25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1,159,532,984.68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449,327,163.63</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139,913,384.06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85,553,434.72</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42,650,000.00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1,456,691.68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2,210,308.58</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3"/>
                <w:sz w:val="18"/>
              </w:rPr>
              <w:t>111,630.10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1,320,330.47</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6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44,218,321.78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3,530,639.05</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31,072,743.49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37,350,082.24</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37,950,000.00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108,673,221.41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59,911,575.93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177,695,964.90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97,261,658.17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-133,477,643.12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-93,731,019.12</w:t>
            </w: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w:t>
            </w:r>
            <w:r>
              <w:rPr>
                <w:rFonts w:ascii="宋体" w:hAnsi="宋体" w:cs="宋体" w:eastAsia="宋体" w:hint="default"/>
                <w:w w:val="101"/>
                <w:sz w:val="18"/>
                <w:szCs w:val="18"/>
              </w:rPr>
              <w:t> </w:t>
            </w:r>
            <w:r>
              <w:rPr>
                <w:rFonts w:ascii="宋体" w:hAnsi="宋体" w:cs="宋体" w:eastAsia="宋体" w:hint="default"/>
                <w:sz w:val="18"/>
                <w:szCs w:val="18"/>
              </w:rPr>
              <w:t>收到的现金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305,036,454.03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148,707,679.54</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305,036,454.03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198,707,679.54</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159,217,000.00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160,441,465.89</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18,759,930.66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14,600,730.68</w:t>
            </w:r>
          </w:p>
        </w:tc>
      </w:tr>
      <w:tr>
        <w:trPr>
          <w:trHeight w:val="7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其中：子公司支付给少数股东的</w:t>
            </w:r>
            <w:r>
              <w:rPr>
                <w:rFonts w:ascii="宋体" w:hAnsi="宋体" w:cs="宋体" w:eastAsia="宋体" w:hint="default"/>
                <w:w w:val="101"/>
                <w:sz w:val="18"/>
                <w:szCs w:val="18"/>
              </w:rPr>
              <w:t> </w:t>
            </w:r>
            <w:r>
              <w:rPr>
                <w:rFonts w:ascii="宋体" w:hAnsi="宋体" w:cs="宋体" w:eastAsia="宋体" w:hint="default"/>
                <w:sz w:val="18"/>
                <w:szCs w:val="18"/>
              </w:rPr>
              <w:t>股利、利润</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52,800,000.00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230,776,930.66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175,042,196.57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74,259,523.37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23,665,482.97</w:t>
            </w:r>
          </w:p>
        </w:tc>
      </w:tr>
      <w:tr>
        <w:trPr>
          <w:trHeight w:val="7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80,695,264.31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15,487,898.57</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148,262,381.21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132,774,482.64</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228,957,645.52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148,262,381.21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6、母公司现金流量表" w:id="169"/>
      <w:bookmarkEnd w:id="169"/>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46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39"/>
        <w:gridCol w:w="3321"/>
        <w:gridCol w:w="3299"/>
      </w:tblGrid>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368,341,556.51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286,449,679.43</w:t>
            </w: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1,703,379.14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1,990,070.09</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370,044,935.65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288,439,749.52</w:t>
            </w: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127,604,188.03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122,858,091.73</w:t>
            </w:r>
          </w:p>
        </w:tc>
      </w:tr>
      <w:tr>
        <w:trPr>
          <w:trHeight w:val="716"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55,637,176.59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53,766,355.24</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35,261,542.02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23,359,229.32</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32,656,736.33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11,649,200.87</w:t>
            </w: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251,159,642.97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211,632,877.16</w:t>
            </w: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118,885,292.68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76,806,872.36</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1,416,021.99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2,210,308.58</w:t>
            </w:r>
          </w:p>
        </w:tc>
      </w:tr>
      <w:tr>
        <w:trPr>
          <w:trHeight w:val="716"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59,945.00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1,165,589.18</w:t>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1,475,966.99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3,375,897.76</w:t>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10,730,942.62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13,261,898.75</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115,936,600.00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126,667,542.62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93,261,898.75</w:t>
            </w: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-125,191,575.63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-89,886,000.99</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171,541,476.30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103,826,679.54</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171,541,476.30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153,826,679.54</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120,098,146.15</w:t>
            </w:r>
          </w:p>
        </w:tc>
      </w:tr>
    </w:tbl>
    <w:p>
      <w:pPr>
        <w:spacing w:after="0" w:line="240" w:lineRule="auto"/>
        <w:jc w:val="right"/>
        <w:rPr>
          <w:rFonts w:ascii="Times New Roman" w:hAnsi="Times New Roman" w:cs="Times New Roman" w:eastAsia="Times New Roman" w:hint="default"/>
          <w:sz w:val="18"/>
          <w:szCs w:val="18"/>
        </w:rPr>
        <w:sectPr>
          <w:pgSz w:w="11910" w:h="16840"/>
          <w:pgMar w:header="46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15,258,810.41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4,784,651.86</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127,258,810.41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124,882,798.01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44,282,665.89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28,943,881.53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37,976,382.94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15,864,752.90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94,511,569.66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78,646,816.76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132,487,952.60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94,511,569.66</w:t>
            </w:r>
          </w:p>
        </w:tc>
      </w:tr>
    </w:tbl>
    <w:p>
      <w:pPr>
        <w:spacing w:after="0" w:line="240" w:lineRule="auto"/>
        <w:jc w:val="right"/>
        <w:rPr>
          <w:rFonts w:ascii="Times New Roman" w:hAnsi="Times New Roman" w:cs="Times New Roman" w:eastAsia="Times New Roman" w:hint="default"/>
          <w:sz w:val="18"/>
          <w:szCs w:val="18"/>
        </w:rPr>
        <w:sectPr>
          <w:footerReference w:type="default" r:id="rId24"/>
          <w:pgSz w:w="11910" w:h="16840"/>
          <w:pgMar w:footer="979" w:header="460" w:top="1100" w:bottom="1160" w:left="980" w:right="0"/>
        </w:sectPr>
      </w:pPr>
    </w:p>
    <w:p>
      <w:pPr>
        <w:spacing w:line="240" w:lineRule="auto" w:before="6"/>
        <w:rPr>
          <w:rFonts w:ascii="Times New Roman" w:hAnsi="Times New Roman" w:cs="Times New Roman" w:eastAsia="Times New Roman" w:hint="default"/>
          <w:sz w:val="2"/>
          <w:szCs w:val="2"/>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5pt;height:.75pt;mso-position-horizontal-relative:char;mso-position-vertical-relative:line" coordorigin="0,0" coordsize="14035,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40" w:right="0"/>
        <w:jc w:val="left"/>
        <w:rPr>
          <w:b w:val="0"/>
          <w:bCs w:val="0"/>
        </w:rPr>
      </w:pPr>
      <w:bookmarkStart w:name="7、合并所有者权益变动表" w:id="170"/>
      <w:bookmarkEnd w:id="170"/>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7"/>
        <w:rPr>
          <w:rFonts w:ascii="宋体" w:hAnsi="宋体" w:cs="宋体" w:eastAsia="宋体" w:hint="default"/>
          <w:b/>
          <w:bCs/>
          <w:sz w:val="23"/>
          <w:szCs w:val="23"/>
        </w:rPr>
      </w:pPr>
    </w:p>
    <w:p>
      <w:pPr>
        <w:spacing w:before="46"/>
        <w:ind w:left="140" w:right="0" w:firstLine="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p>
      <w:pPr>
        <w:spacing w:before="115"/>
        <w:ind w:left="0" w:right="244"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954"/>
        <w:gridCol w:w="1193"/>
        <w:gridCol w:w="403"/>
        <w:gridCol w:w="398"/>
        <w:gridCol w:w="317"/>
        <w:gridCol w:w="1181"/>
        <w:gridCol w:w="662"/>
        <w:gridCol w:w="644"/>
        <w:gridCol w:w="485"/>
        <w:gridCol w:w="1090"/>
        <w:gridCol w:w="643"/>
        <w:gridCol w:w="1181"/>
        <w:gridCol w:w="322"/>
        <w:gridCol w:w="1181"/>
        <w:gridCol w:w="1109"/>
        <w:gridCol w:w="1244"/>
      </w:tblGrid>
      <w:tr>
        <w:trPr>
          <w:trHeight w:val="401" w:hRule="exact"/>
        </w:trPr>
        <w:tc>
          <w:tcPr>
            <w:tcW w:w="1954" w:type="dxa"/>
            <w:vMerge w:val="restart"/>
            <w:tcBorders>
              <w:top w:val="single" w:sz="4" w:space="0" w:color="000000"/>
              <w:left w:val="single" w:sz="4" w:space="0" w:color="000000"/>
              <w:right w:val="single" w:sz="4" w:space="0" w:color="000000"/>
            </w:tcBorders>
            <w:shd w:val="clear" w:color="auto" w:fill="D2D2D2"/>
          </w:tcPr>
          <w:p>
            <w:pPr/>
          </w:p>
        </w:tc>
        <w:tc>
          <w:tcPr>
            <w:tcW w:w="12054"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1" w:hRule="exact"/>
        </w:trPr>
        <w:tc>
          <w:tcPr>
            <w:tcW w:w="1954" w:type="dxa"/>
            <w:vMerge/>
            <w:tcBorders>
              <w:left w:val="single" w:sz="4" w:space="0" w:color="000000"/>
              <w:right w:val="single" w:sz="4" w:space="0" w:color="000000"/>
            </w:tcBorders>
            <w:shd w:val="clear" w:color="auto" w:fill="D2D2D2"/>
          </w:tcPr>
          <w:p>
            <w:pPr/>
          </w:p>
        </w:tc>
        <w:tc>
          <w:tcPr>
            <w:tcW w:w="970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16"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1109" w:type="dxa"/>
            <w:vMerge w:val="restart"/>
            <w:tcBorders>
              <w:top w:val="single" w:sz="4" w:space="0" w:color="000000"/>
              <w:left w:val="single" w:sz="4" w:space="0" w:color="000000"/>
              <w:right w:val="single" w:sz="4" w:space="0" w:color="000000"/>
            </w:tcBorders>
            <w:shd w:val="clear" w:color="auto" w:fill="D2D2D2"/>
          </w:tcPr>
          <w:p>
            <w:pPr/>
          </w:p>
        </w:tc>
        <w:tc>
          <w:tcPr>
            <w:tcW w:w="1244" w:type="dxa"/>
            <w:vMerge w:val="restart"/>
            <w:tcBorders>
              <w:top w:val="single" w:sz="4" w:space="0" w:color="000000"/>
              <w:left w:val="single" w:sz="4" w:space="0" w:color="000000"/>
              <w:right w:val="single" w:sz="4" w:space="0" w:color="000000"/>
            </w:tcBorders>
            <w:shd w:val="clear" w:color="auto" w:fill="D2D2D2"/>
          </w:tcPr>
          <w:p>
            <w:pPr/>
          </w:p>
        </w:tc>
      </w:tr>
      <w:tr>
        <w:trPr>
          <w:trHeight w:val="295" w:hRule="exact"/>
        </w:trPr>
        <w:tc>
          <w:tcPr>
            <w:tcW w:w="1954"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111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63"/>
              <w:ind w:left="465" w:right="98" w:hanging="360"/>
              <w:jc w:val="left"/>
              <w:rPr>
                <w:rFonts w:ascii="宋体" w:hAnsi="宋体" w:cs="宋体" w:eastAsia="宋体" w:hint="default"/>
                <w:sz w:val="18"/>
                <w:szCs w:val="18"/>
              </w:rPr>
            </w:pPr>
            <w:r>
              <w:rPr>
                <w:rFonts w:ascii="宋体" w:hAnsi="宋体" w:cs="宋体" w:eastAsia="宋体" w:hint="default"/>
                <w:spacing w:val="-2"/>
                <w:sz w:val="18"/>
                <w:szCs w:val="18"/>
              </w:rPr>
              <w:t>其他权益工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662" w:type="dxa"/>
            <w:vMerge w:val="restart"/>
            <w:tcBorders>
              <w:top w:val="single" w:sz="4" w:space="0" w:color="000000"/>
              <w:left w:val="single" w:sz="4" w:space="0" w:color="000000"/>
              <w:right w:val="single" w:sz="4" w:space="0" w:color="000000"/>
            </w:tcBorders>
            <w:shd w:val="clear" w:color="auto" w:fill="D2D2D2"/>
          </w:tcPr>
          <w:p>
            <w:pPr/>
          </w:p>
        </w:tc>
        <w:tc>
          <w:tcPr>
            <w:tcW w:w="644" w:type="dxa"/>
            <w:vMerge w:val="restart"/>
            <w:tcBorders>
              <w:top w:val="single" w:sz="4" w:space="0" w:color="000000"/>
              <w:left w:val="single" w:sz="4" w:space="0" w:color="000000"/>
              <w:right w:val="single" w:sz="4" w:space="0" w:color="000000"/>
            </w:tcBorders>
            <w:shd w:val="clear" w:color="auto" w:fill="D2D2D2"/>
          </w:tcPr>
          <w:p>
            <w:pPr/>
          </w:p>
        </w:tc>
        <w:tc>
          <w:tcPr>
            <w:tcW w:w="485" w:type="dxa"/>
            <w:vMerge w:val="restart"/>
            <w:tcBorders>
              <w:top w:val="single" w:sz="4" w:space="0" w:color="000000"/>
              <w:left w:val="single" w:sz="4" w:space="0" w:color="000000"/>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643"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322" w:type="dxa"/>
            <w:vMerge w:val="restart"/>
            <w:tcBorders>
              <w:top w:val="single" w:sz="4" w:space="0" w:color="000000"/>
              <w:left w:val="single" w:sz="4" w:space="0" w:color="000000"/>
              <w:right w:val="single" w:sz="4" w:space="0" w:color="FFFFFF"/>
            </w:tcBorders>
            <w:shd w:val="clear" w:color="auto" w:fill="D2D2D2"/>
          </w:tcPr>
          <w:p>
            <w:pPr/>
          </w:p>
        </w:tc>
        <w:tc>
          <w:tcPr>
            <w:tcW w:w="1181" w:type="dxa"/>
            <w:vMerge w:val="restart"/>
            <w:tcBorders>
              <w:top w:val="single" w:sz="4" w:space="0" w:color="000000"/>
              <w:left w:val="single" w:sz="4" w:space="0" w:color="FFFFFF"/>
              <w:right w:val="single" w:sz="4" w:space="0" w:color="000000"/>
            </w:tcBorders>
            <w:shd w:val="clear" w:color="auto" w:fill="D2D2D2"/>
          </w:tcPr>
          <w:p>
            <w:pPr/>
          </w:p>
        </w:tc>
        <w:tc>
          <w:tcPr>
            <w:tcW w:w="1109" w:type="dxa"/>
            <w:vMerge/>
            <w:tcBorders>
              <w:left w:val="single" w:sz="4" w:space="0" w:color="000000"/>
              <w:bottom w:val="nil" w:sz="6" w:space="0" w:color="auto"/>
              <w:right w:val="single" w:sz="4" w:space="0" w:color="000000"/>
            </w:tcBorders>
            <w:shd w:val="clear" w:color="auto" w:fill="D2D2D2"/>
          </w:tcPr>
          <w:p>
            <w:pPr/>
          </w:p>
        </w:tc>
        <w:tc>
          <w:tcPr>
            <w:tcW w:w="1244" w:type="dxa"/>
            <w:vMerge/>
            <w:tcBorders>
              <w:left w:val="single" w:sz="4" w:space="0" w:color="000000"/>
              <w:bottom w:val="nil" w:sz="6" w:space="0" w:color="auto"/>
              <w:right w:val="single" w:sz="4" w:space="0" w:color="000000"/>
            </w:tcBorders>
            <w:shd w:val="clear" w:color="auto" w:fill="D2D2D2"/>
          </w:tcPr>
          <w:p>
            <w:pPr/>
          </w:p>
        </w:tc>
      </w:tr>
      <w:tr>
        <w:trPr>
          <w:trHeight w:val="223" w:hRule="exact"/>
        </w:trPr>
        <w:tc>
          <w:tcPr>
            <w:tcW w:w="19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tcBorders>
              <w:left w:val="single" w:sz="4" w:space="0" w:color="000000"/>
              <w:right w:val="single" w:sz="4" w:space="0" w:color="000000"/>
            </w:tcBorders>
            <w:shd w:val="clear" w:color="auto" w:fill="D2D2D2"/>
          </w:tcPr>
          <w:p>
            <w:pPr/>
          </w:p>
        </w:tc>
        <w:tc>
          <w:tcPr>
            <w:tcW w:w="1118" w:type="dxa"/>
            <w:gridSpan w:val="3"/>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44" w:type="dxa"/>
            <w:vMerge/>
            <w:tcBorders>
              <w:left w:val="single" w:sz="4" w:space="0" w:color="000000"/>
              <w:bottom w:val="nil" w:sz="6" w:space="0" w:color="auto"/>
              <w:right w:val="single" w:sz="4" w:space="0" w:color="000000"/>
            </w:tcBorders>
            <w:shd w:val="clear" w:color="auto" w:fill="D2D2D2"/>
          </w:tcPr>
          <w:p>
            <w:pPr/>
          </w:p>
        </w:tc>
        <w:tc>
          <w:tcPr>
            <w:tcW w:w="485"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643"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322" w:type="dxa"/>
            <w:vMerge/>
            <w:tcBorders>
              <w:left w:val="single" w:sz="4" w:space="0" w:color="000000"/>
              <w:bottom w:val="nil" w:sz="6" w:space="0" w:color="auto"/>
              <w:right w:val="single" w:sz="4" w:space="0" w:color="FFFFFF"/>
            </w:tcBorders>
            <w:shd w:val="clear" w:color="auto" w:fill="D2D2D2"/>
          </w:tcPr>
          <w:p>
            <w:pPr/>
          </w:p>
        </w:tc>
        <w:tc>
          <w:tcPr>
            <w:tcW w:w="1181" w:type="dxa"/>
            <w:vMerge/>
            <w:tcBorders>
              <w:left w:val="single" w:sz="4" w:space="0" w:color="FFFFFF"/>
              <w:right w:val="single" w:sz="4" w:space="0" w:color="000000"/>
            </w:tcBorders>
            <w:shd w:val="clear" w:color="auto" w:fill="D2D2D2"/>
          </w:tcPr>
          <w:p>
            <w:pPr/>
          </w:p>
        </w:tc>
        <w:tc>
          <w:tcPr>
            <w:tcW w:w="1109"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85"/>
              <w:ind w:left="456" w:right="98" w:hanging="360"/>
              <w:jc w:val="left"/>
              <w:rPr>
                <w:rFonts w:ascii="宋体" w:hAnsi="宋体" w:cs="宋体" w:eastAsia="宋体" w:hint="default"/>
                <w:sz w:val="18"/>
                <w:szCs w:val="18"/>
              </w:rPr>
            </w:pPr>
            <w:r>
              <w:rPr>
                <w:rFonts w:ascii="宋体" w:hAnsi="宋体" w:cs="宋体" w:eastAsia="宋体" w:hint="default"/>
                <w:spacing w:val="-2"/>
                <w:sz w:val="18"/>
                <w:szCs w:val="18"/>
              </w:rPr>
              <w:t>少数股东权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益</w:t>
            </w:r>
          </w:p>
        </w:tc>
        <w:tc>
          <w:tcPr>
            <w:tcW w:w="1244"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85"/>
              <w:ind w:left="528" w:right="70" w:hanging="452"/>
              <w:jc w:val="left"/>
              <w:rPr>
                <w:rFonts w:ascii="宋体" w:hAnsi="宋体" w:cs="宋体" w:eastAsia="宋体" w:hint="default"/>
                <w:sz w:val="18"/>
                <w:szCs w:val="18"/>
              </w:rPr>
            </w:pPr>
            <w:r>
              <w:rPr>
                <w:rFonts w:ascii="宋体" w:hAnsi="宋体" w:cs="宋体" w:eastAsia="宋体" w:hint="default"/>
                <w:spacing w:val="-2"/>
                <w:sz w:val="18"/>
                <w:szCs w:val="18"/>
              </w:rPr>
              <w:t>所有者权益合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计</w:t>
            </w:r>
          </w:p>
        </w:tc>
      </w:tr>
      <w:tr>
        <w:trPr>
          <w:trHeight w:val="154" w:hRule="exact"/>
        </w:trPr>
        <w:tc>
          <w:tcPr>
            <w:tcW w:w="1954" w:type="dxa"/>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118"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3"/>
              <w:ind w:left="143" w:right="50" w:hanging="87"/>
              <w:jc w:val="left"/>
              <w:rPr>
                <w:rFonts w:ascii="宋体" w:hAnsi="宋体" w:cs="宋体" w:eastAsia="宋体" w:hint="default"/>
                <w:sz w:val="18"/>
                <w:szCs w:val="18"/>
              </w:rPr>
            </w:pPr>
            <w:r>
              <w:rPr>
                <w:rFonts w:ascii="宋体" w:hAnsi="宋体" w:cs="宋体" w:eastAsia="宋体" w:hint="default"/>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64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3"/>
              <w:ind w:left="48" w:right="41"/>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4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3"/>
              <w:ind w:left="57" w:right="50"/>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1090" w:type="dxa"/>
            <w:vMerge/>
            <w:tcBorders>
              <w:left w:val="single" w:sz="4" w:space="0" w:color="000000"/>
              <w:bottom w:val="nil" w:sz="6" w:space="0" w:color="auto"/>
              <w:right w:val="single" w:sz="4" w:space="0" w:color="000000"/>
            </w:tcBorders>
            <w:shd w:val="clear" w:color="auto" w:fill="D2D2D2"/>
          </w:tcPr>
          <w:p>
            <w:pPr/>
          </w:p>
        </w:tc>
        <w:tc>
          <w:tcPr>
            <w:tcW w:w="64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3"/>
              <w:ind w:left="47" w:right="41"/>
              <w:jc w:val="left"/>
              <w:rPr>
                <w:rFonts w:ascii="宋体" w:hAnsi="宋体" w:cs="宋体" w:eastAsia="宋体" w:hint="default"/>
                <w:sz w:val="18"/>
                <w:szCs w:val="18"/>
              </w:rPr>
            </w:pPr>
            <w:r>
              <w:rPr>
                <w:rFonts w:ascii="宋体" w:hAnsi="宋体" w:cs="宋体" w:eastAsia="宋体" w:hint="default"/>
                <w:sz w:val="18"/>
                <w:szCs w:val="18"/>
              </w:rPr>
              <w:t>一般风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险准备</w:t>
            </w:r>
          </w:p>
        </w:tc>
        <w:tc>
          <w:tcPr>
            <w:tcW w:w="1181" w:type="dxa"/>
            <w:vMerge/>
            <w:tcBorders>
              <w:left w:val="single" w:sz="4" w:space="0" w:color="000000"/>
              <w:bottom w:val="nil" w:sz="6" w:space="0" w:color="auto"/>
              <w:right w:val="single" w:sz="4" w:space="0" w:color="000000"/>
            </w:tcBorders>
            <w:shd w:val="clear" w:color="auto" w:fill="D2D2D2"/>
          </w:tcPr>
          <w:p>
            <w:pPr/>
          </w:p>
        </w:tc>
        <w:tc>
          <w:tcPr>
            <w:tcW w:w="322" w:type="dxa"/>
            <w:vMerge w:val="restart"/>
            <w:tcBorders>
              <w:top w:val="nil" w:sz="6" w:space="0" w:color="auto"/>
              <w:left w:val="single" w:sz="4" w:space="0" w:color="000000"/>
              <w:right w:val="single" w:sz="4" w:space="0" w:color="FFFFFF"/>
            </w:tcBorders>
            <w:shd w:val="clear" w:color="auto" w:fill="D2D2D2"/>
          </w:tcPr>
          <w:p>
            <w:pPr>
              <w:pStyle w:val="TableParagraph"/>
              <w:spacing w:line="316" w:lineRule="auto" w:before="63"/>
              <w:ind w:left="67" w:right="6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p>
        </w:tc>
        <w:tc>
          <w:tcPr>
            <w:tcW w:w="1181" w:type="dxa"/>
            <w:vMerge/>
            <w:tcBorders>
              <w:left w:val="single" w:sz="4" w:space="0" w:color="FFFFFF"/>
              <w:bottom w:val="nil" w:sz="6" w:space="0" w:color="auto"/>
              <w:right w:val="single" w:sz="4" w:space="0" w:color="000000"/>
            </w:tcBorders>
            <w:shd w:val="clear" w:color="auto" w:fill="D2D2D2"/>
          </w:tcPr>
          <w:p>
            <w:pPr/>
          </w:p>
        </w:tc>
        <w:tc>
          <w:tcPr>
            <w:tcW w:w="1109" w:type="dxa"/>
            <w:vMerge/>
            <w:tcBorders>
              <w:left w:val="single" w:sz="4" w:space="0" w:color="000000"/>
              <w:right w:val="single" w:sz="4" w:space="0" w:color="000000"/>
            </w:tcBorders>
            <w:shd w:val="clear" w:color="auto" w:fill="D2D2D2"/>
          </w:tcPr>
          <w:p>
            <w:pPr/>
          </w:p>
        </w:tc>
        <w:tc>
          <w:tcPr>
            <w:tcW w:w="1244" w:type="dxa"/>
            <w:vMerge/>
            <w:tcBorders>
              <w:left w:val="single" w:sz="4" w:space="0" w:color="000000"/>
              <w:right w:val="single" w:sz="4" w:space="0" w:color="000000"/>
            </w:tcBorders>
            <w:shd w:val="clear" w:color="auto" w:fill="D2D2D2"/>
          </w:tcPr>
          <w:p>
            <w:pPr/>
          </w:p>
        </w:tc>
      </w:tr>
      <w:tr>
        <w:trPr>
          <w:trHeight w:val="203" w:hRule="exact"/>
        </w:trPr>
        <w:tc>
          <w:tcPr>
            <w:tcW w:w="1954" w:type="dxa"/>
            <w:vMerge w:val="restart"/>
            <w:tcBorders>
              <w:top w:val="nil" w:sz="6" w:space="0" w:color="auto"/>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8"/>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0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6"/>
              <w:ind w:left="105" w:right="103"/>
              <w:jc w:val="both"/>
              <w:rPr>
                <w:rFonts w:ascii="宋体" w:hAnsi="宋体" w:cs="宋体" w:eastAsia="宋体" w:hint="default"/>
                <w:sz w:val="18"/>
                <w:szCs w:val="18"/>
              </w:rPr>
            </w:pPr>
            <w:r>
              <w:rPr>
                <w:rFonts w:ascii="宋体" w:hAnsi="宋体" w:cs="宋体" w:eastAsia="宋体" w:hint="default"/>
                <w:sz w:val="18"/>
                <w:szCs w:val="18"/>
              </w:rPr>
              <w:t>优</w:t>
            </w:r>
            <w:r>
              <w:rPr>
                <w:rFonts w:ascii="宋体" w:hAnsi="宋体" w:cs="宋体" w:eastAsia="宋体" w:hint="default"/>
                <w:spacing w:val="-88"/>
                <w:sz w:val="18"/>
                <w:szCs w:val="18"/>
              </w:rPr>
              <w:t> </w:t>
            </w:r>
            <w:r>
              <w:rPr>
                <w:rFonts w:ascii="宋体" w:hAnsi="宋体" w:cs="宋体" w:eastAsia="宋体" w:hint="default"/>
                <w:sz w:val="18"/>
                <w:szCs w:val="18"/>
              </w:rPr>
              <w:t>先</w:t>
            </w:r>
            <w:r>
              <w:rPr>
                <w:rFonts w:ascii="宋体" w:hAnsi="宋体" w:cs="宋体" w:eastAsia="宋体" w:hint="default"/>
                <w:spacing w:val="-88"/>
                <w:sz w:val="18"/>
                <w:szCs w:val="18"/>
              </w:rPr>
              <w:t> </w:t>
            </w:r>
            <w:r>
              <w:rPr>
                <w:rFonts w:ascii="宋体" w:hAnsi="宋体" w:cs="宋体" w:eastAsia="宋体" w:hint="default"/>
                <w:sz w:val="18"/>
                <w:szCs w:val="18"/>
              </w:rPr>
              <w:t>股</w:t>
            </w:r>
          </w:p>
        </w:tc>
        <w:tc>
          <w:tcPr>
            <w:tcW w:w="3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6"/>
              <w:ind w:left="100" w:right="103"/>
              <w:jc w:val="both"/>
              <w:rPr>
                <w:rFonts w:ascii="宋体" w:hAnsi="宋体" w:cs="宋体" w:eastAsia="宋体" w:hint="default"/>
                <w:sz w:val="18"/>
                <w:szCs w:val="18"/>
              </w:rPr>
            </w:pPr>
            <w:r>
              <w:rPr>
                <w:rFonts w:ascii="宋体" w:hAnsi="宋体" w:cs="宋体" w:eastAsia="宋体" w:hint="default"/>
                <w:sz w:val="18"/>
                <w:szCs w:val="18"/>
              </w:rPr>
              <w:t>永</w:t>
            </w:r>
            <w:r>
              <w:rPr>
                <w:rFonts w:ascii="宋体" w:hAnsi="宋体" w:cs="宋体" w:eastAsia="宋体" w:hint="default"/>
                <w:spacing w:val="-88"/>
                <w:sz w:val="18"/>
                <w:szCs w:val="18"/>
              </w:rPr>
              <w:t> </w:t>
            </w:r>
            <w:r>
              <w:rPr>
                <w:rFonts w:ascii="宋体" w:hAnsi="宋体" w:cs="宋体" w:eastAsia="宋体" w:hint="default"/>
                <w:sz w:val="18"/>
                <w:szCs w:val="18"/>
              </w:rPr>
              <w:t>续</w:t>
            </w:r>
            <w:r>
              <w:rPr>
                <w:rFonts w:ascii="宋体" w:hAnsi="宋体" w:cs="宋体" w:eastAsia="宋体" w:hint="default"/>
                <w:spacing w:val="-88"/>
                <w:sz w:val="18"/>
                <w:szCs w:val="18"/>
              </w:rPr>
              <w:t> </w:t>
            </w:r>
            <w:r>
              <w:rPr>
                <w:rFonts w:ascii="宋体" w:hAnsi="宋体" w:cs="宋体" w:eastAsia="宋体" w:hint="default"/>
                <w:sz w:val="18"/>
                <w:szCs w:val="18"/>
              </w:rPr>
              <w:t>债</w:t>
            </w:r>
          </w:p>
        </w:tc>
        <w:tc>
          <w:tcPr>
            <w:tcW w:w="3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8"/>
              <w:ind w:left="22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62" w:type="dxa"/>
            <w:vMerge/>
            <w:tcBorders>
              <w:left w:val="single" w:sz="4" w:space="0" w:color="000000"/>
              <w:right w:val="single" w:sz="4" w:space="0" w:color="000000"/>
            </w:tcBorders>
            <w:shd w:val="clear" w:color="auto" w:fill="D2D2D2"/>
          </w:tcPr>
          <w:p>
            <w:pPr/>
          </w:p>
        </w:tc>
        <w:tc>
          <w:tcPr>
            <w:tcW w:w="644" w:type="dxa"/>
            <w:vMerge/>
            <w:tcBorders>
              <w:left w:val="single" w:sz="4" w:space="0" w:color="000000"/>
              <w:right w:val="single" w:sz="4" w:space="0" w:color="000000"/>
            </w:tcBorders>
            <w:shd w:val="clear" w:color="auto" w:fill="D2D2D2"/>
          </w:tcPr>
          <w:p>
            <w:pPr/>
          </w:p>
        </w:tc>
        <w:tc>
          <w:tcPr>
            <w:tcW w:w="485"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5"/>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43"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4"/>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22" w:type="dxa"/>
            <w:vMerge/>
            <w:tcBorders>
              <w:left w:val="single" w:sz="4" w:space="0" w:color="000000"/>
              <w:right w:val="single" w:sz="4" w:space="0" w:color="FFFFFF"/>
            </w:tcBorders>
            <w:shd w:val="clear" w:color="auto" w:fill="D2D2D2"/>
          </w:tcPr>
          <w:p>
            <w:pPr/>
          </w:p>
        </w:tc>
        <w:tc>
          <w:tcPr>
            <w:tcW w:w="1181" w:type="dxa"/>
            <w:vMerge w:val="restart"/>
            <w:tcBorders>
              <w:top w:val="nil" w:sz="6" w:space="0" w:color="auto"/>
              <w:left w:val="single" w:sz="4" w:space="0" w:color="FFFFFF"/>
              <w:right w:val="single" w:sz="4" w:space="0" w:color="000000"/>
            </w:tcBorders>
            <w:shd w:val="clear" w:color="auto" w:fill="D2D2D2"/>
          </w:tcPr>
          <w:p>
            <w:pPr>
              <w:pStyle w:val="TableParagraph"/>
              <w:spacing w:line="240" w:lineRule="auto" w:before="64"/>
              <w:ind w:right="9"/>
              <w:jc w:val="center"/>
              <w:rPr>
                <w:rFonts w:ascii="宋体" w:hAnsi="宋体" w:cs="宋体" w:eastAsia="宋体" w:hint="default"/>
                <w:sz w:val="18"/>
                <w:szCs w:val="18"/>
              </w:rPr>
            </w:pPr>
            <w:r>
              <w:rPr>
                <w:rFonts w:ascii="宋体" w:hAnsi="宋体" w:cs="宋体" w:eastAsia="宋体" w:hint="default"/>
                <w:sz w:val="18"/>
                <w:szCs w:val="18"/>
              </w:rPr>
              <w:t>小计</w:t>
            </w:r>
          </w:p>
        </w:tc>
        <w:tc>
          <w:tcPr>
            <w:tcW w:w="1109" w:type="dxa"/>
            <w:vMerge/>
            <w:tcBorders>
              <w:left w:val="single" w:sz="4" w:space="0" w:color="000000"/>
              <w:right w:val="single" w:sz="4" w:space="0" w:color="000000"/>
            </w:tcBorders>
            <w:shd w:val="clear" w:color="auto" w:fill="D2D2D2"/>
          </w:tcPr>
          <w:p>
            <w:pPr/>
          </w:p>
        </w:tc>
        <w:tc>
          <w:tcPr>
            <w:tcW w:w="1244" w:type="dxa"/>
            <w:vMerge/>
            <w:tcBorders>
              <w:left w:val="single" w:sz="4" w:space="0" w:color="000000"/>
              <w:right w:val="single" w:sz="4" w:space="0" w:color="000000"/>
            </w:tcBorders>
            <w:shd w:val="clear" w:color="auto" w:fill="D2D2D2"/>
          </w:tcPr>
          <w:p>
            <w:pPr/>
          </w:p>
        </w:tc>
      </w:tr>
      <w:tr>
        <w:trPr>
          <w:trHeight w:val="166" w:hRule="exact"/>
        </w:trPr>
        <w:tc>
          <w:tcPr>
            <w:tcW w:w="195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403" w:type="dxa"/>
            <w:vMerge/>
            <w:tcBorders>
              <w:left w:val="single" w:sz="4" w:space="0" w:color="000000"/>
              <w:right w:val="single" w:sz="4" w:space="0" w:color="000000"/>
            </w:tcBorders>
            <w:shd w:val="clear" w:color="auto" w:fill="D2D2D2"/>
          </w:tcPr>
          <w:p>
            <w:pPr/>
          </w:p>
        </w:tc>
        <w:tc>
          <w:tcPr>
            <w:tcW w:w="398" w:type="dxa"/>
            <w:vMerge/>
            <w:tcBorders>
              <w:left w:val="single" w:sz="4" w:space="0" w:color="000000"/>
              <w:right w:val="single" w:sz="4" w:space="0" w:color="000000"/>
            </w:tcBorders>
            <w:shd w:val="clear" w:color="auto" w:fill="D2D2D2"/>
          </w:tcPr>
          <w:p>
            <w:pPr/>
          </w:p>
        </w:tc>
        <w:tc>
          <w:tcPr>
            <w:tcW w:w="31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3"/>
              <w:ind w:left="67" w:right="55"/>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44" w:type="dxa"/>
            <w:vMerge/>
            <w:tcBorders>
              <w:left w:val="single" w:sz="4" w:space="0" w:color="000000"/>
              <w:right w:val="single" w:sz="4" w:space="0" w:color="000000"/>
            </w:tcBorders>
            <w:shd w:val="clear" w:color="auto" w:fill="D2D2D2"/>
          </w:tcPr>
          <w:p>
            <w:pPr/>
          </w:p>
        </w:tc>
        <w:tc>
          <w:tcPr>
            <w:tcW w:w="485"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643"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322" w:type="dxa"/>
            <w:vMerge/>
            <w:tcBorders>
              <w:left w:val="single" w:sz="4" w:space="0" w:color="000000"/>
              <w:right w:val="single" w:sz="4" w:space="0" w:color="FFFFFF"/>
            </w:tcBorders>
            <w:shd w:val="clear" w:color="auto" w:fill="D2D2D2"/>
          </w:tcPr>
          <w:p>
            <w:pPr/>
          </w:p>
        </w:tc>
        <w:tc>
          <w:tcPr>
            <w:tcW w:w="1181" w:type="dxa"/>
            <w:vMerge/>
            <w:tcBorders>
              <w:left w:val="single" w:sz="4" w:space="0" w:color="FFFFFF"/>
              <w:bottom w:val="nil" w:sz="6" w:space="0" w:color="auto"/>
              <w:right w:val="single" w:sz="4" w:space="0" w:color="000000"/>
            </w:tcBorders>
            <w:shd w:val="clear" w:color="auto" w:fill="D2D2D2"/>
          </w:tcPr>
          <w:p>
            <w:pPr/>
          </w:p>
        </w:tc>
        <w:tc>
          <w:tcPr>
            <w:tcW w:w="1109" w:type="dxa"/>
            <w:vMerge/>
            <w:tcBorders>
              <w:left w:val="single" w:sz="4" w:space="0" w:color="000000"/>
              <w:bottom w:val="nil" w:sz="6" w:space="0" w:color="auto"/>
              <w:right w:val="single" w:sz="4" w:space="0" w:color="000000"/>
            </w:tcBorders>
            <w:shd w:val="clear" w:color="auto" w:fill="D2D2D2"/>
          </w:tcPr>
          <w:p>
            <w:pPr/>
          </w:p>
        </w:tc>
        <w:tc>
          <w:tcPr>
            <w:tcW w:w="1244"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1954"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403" w:type="dxa"/>
            <w:vMerge/>
            <w:tcBorders>
              <w:left w:val="single" w:sz="4" w:space="0" w:color="000000"/>
              <w:right w:val="single" w:sz="4" w:space="0" w:color="000000"/>
            </w:tcBorders>
            <w:shd w:val="clear" w:color="auto" w:fill="D2D2D2"/>
          </w:tcPr>
          <w:p>
            <w:pPr/>
          </w:p>
        </w:tc>
        <w:tc>
          <w:tcPr>
            <w:tcW w:w="398" w:type="dxa"/>
            <w:vMerge/>
            <w:tcBorders>
              <w:left w:val="single" w:sz="4" w:space="0" w:color="000000"/>
              <w:right w:val="single" w:sz="4" w:space="0" w:color="000000"/>
            </w:tcBorders>
            <w:shd w:val="clear" w:color="auto" w:fill="D2D2D2"/>
          </w:tcPr>
          <w:p>
            <w:pPr/>
          </w:p>
        </w:tc>
        <w:tc>
          <w:tcPr>
            <w:tcW w:w="317"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44" w:type="dxa"/>
            <w:vMerge/>
            <w:tcBorders>
              <w:left w:val="single" w:sz="4" w:space="0" w:color="000000"/>
              <w:bottom w:val="nil" w:sz="6" w:space="0" w:color="auto"/>
              <w:right w:val="single" w:sz="4" w:space="0" w:color="000000"/>
            </w:tcBorders>
            <w:shd w:val="clear" w:color="auto" w:fill="D2D2D2"/>
          </w:tcPr>
          <w:p>
            <w:pPr/>
          </w:p>
        </w:tc>
        <w:tc>
          <w:tcPr>
            <w:tcW w:w="485" w:type="dxa"/>
            <w:vMerge/>
            <w:tcBorders>
              <w:left w:val="single" w:sz="4" w:space="0" w:color="000000"/>
              <w:bottom w:val="nil" w:sz="6" w:space="0" w:color="auto"/>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643"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322" w:type="dxa"/>
            <w:vMerge/>
            <w:tcBorders>
              <w:left w:val="single" w:sz="4" w:space="0" w:color="000000"/>
              <w:bottom w:val="nil" w:sz="6" w:space="0" w:color="auto"/>
              <w:right w:val="single" w:sz="4" w:space="0" w:color="FFFFFF"/>
            </w:tcBorders>
            <w:shd w:val="clear" w:color="auto" w:fill="D2D2D2"/>
          </w:tcPr>
          <w:p>
            <w:pPr/>
          </w:p>
        </w:tc>
        <w:tc>
          <w:tcPr>
            <w:tcW w:w="1181" w:type="dxa"/>
            <w:vMerge w:val="restart"/>
            <w:tcBorders>
              <w:top w:val="nil" w:sz="6" w:space="0" w:color="auto"/>
              <w:left w:val="single" w:sz="4" w:space="0" w:color="FFFFFF"/>
              <w:right w:val="single" w:sz="4" w:space="0" w:color="000000"/>
            </w:tcBorders>
            <w:shd w:val="clear" w:color="auto" w:fill="D2D2D2"/>
          </w:tcPr>
          <w:p>
            <w:pPr/>
          </w:p>
        </w:tc>
        <w:tc>
          <w:tcPr>
            <w:tcW w:w="1109" w:type="dxa"/>
            <w:vMerge w:val="restart"/>
            <w:tcBorders>
              <w:top w:val="nil" w:sz="6" w:space="0" w:color="auto"/>
              <w:left w:val="single" w:sz="4" w:space="0" w:color="000000"/>
              <w:right w:val="single" w:sz="4" w:space="0" w:color="000000"/>
            </w:tcBorders>
            <w:shd w:val="clear" w:color="auto" w:fill="D2D2D2"/>
          </w:tcPr>
          <w:p>
            <w:pPr/>
          </w:p>
        </w:tc>
        <w:tc>
          <w:tcPr>
            <w:tcW w:w="1244" w:type="dxa"/>
            <w:vMerge w:val="restart"/>
            <w:tcBorders>
              <w:top w:val="nil" w:sz="6" w:space="0" w:color="auto"/>
              <w:left w:val="single" w:sz="4" w:space="0" w:color="000000"/>
              <w:right w:val="single" w:sz="4" w:space="0" w:color="000000"/>
            </w:tcBorders>
            <w:shd w:val="clear" w:color="auto" w:fill="D2D2D2"/>
          </w:tcPr>
          <w:p>
            <w:pPr/>
          </w:p>
        </w:tc>
      </w:tr>
      <w:tr>
        <w:trPr>
          <w:trHeight w:val="355" w:hRule="exact"/>
        </w:trPr>
        <w:tc>
          <w:tcPr>
            <w:tcW w:w="195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403" w:type="dxa"/>
            <w:vMerge/>
            <w:tcBorders>
              <w:left w:val="single" w:sz="4" w:space="0" w:color="000000"/>
              <w:right w:val="single" w:sz="4" w:space="0" w:color="000000"/>
            </w:tcBorders>
            <w:shd w:val="clear" w:color="auto" w:fill="D2D2D2"/>
          </w:tcPr>
          <w:p>
            <w:pPr/>
          </w:p>
        </w:tc>
        <w:tc>
          <w:tcPr>
            <w:tcW w:w="398" w:type="dxa"/>
            <w:vMerge/>
            <w:tcBorders>
              <w:left w:val="single" w:sz="4" w:space="0" w:color="000000"/>
              <w:right w:val="single" w:sz="4" w:space="0" w:color="000000"/>
            </w:tcBorders>
            <w:shd w:val="clear" w:color="auto" w:fill="D2D2D2"/>
          </w:tcPr>
          <w:p>
            <w:pPr/>
          </w:p>
        </w:tc>
        <w:tc>
          <w:tcPr>
            <w:tcW w:w="317"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
        </w:tc>
        <w:tc>
          <w:tcPr>
            <w:tcW w:w="644" w:type="dxa"/>
            <w:vMerge w:val="restart"/>
            <w:tcBorders>
              <w:top w:val="nil" w:sz="6" w:space="0" w:color="auto"/>
              <w:left w:val="single" w:sz="4" w:space="0" w:color="000000"/>
              <w:right w:val="single" w:sz="4" w:space="0" w:color="000000"/>
            </w:tcBorders>
            <w:shd w:val="clear" w:color="auto" w:fill="D2D2D2"/>
          </w:tcPr>
          <w:p>
            <w:pPr/>
          </w:p>
        </w:tc>
        <w:tc>
          <w:tcPr>
            <w:tcW w:w="485" w:type="dxa"/>
            <w:vMerge w:val="restart"/>
            <w:tcBorders>
              <w:top w:val="nil" w:sz="6" w:space="0" w:color="auto"/>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643" w:type="dxa"/>
            <w:vMerge w:val="restart"/>
            <w:tcBorders>
              <w:top w:val="nil" w:sz="6" w:space="0" w:color="auto"/>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322" w:type="dxa"/>
            <w:vMerge w:val="restart"/>
            <w:tcBorders>
              <w:top w:val="nil" w:sz="6" w:space="0" w:color="auto"/>
              <w:left w:val="single" w:sz="4" w:space="0" w:color="000000"/>
              <w:right w:val="single" w:sz="4" w:space="0" w:color="FFFFFF"/>
            </w:tcBorders>
            <w:shd w:val="clear" w:color="auto" w:fill="D2D2D2"/>
          </w:tcPr>
          <w:p>
            <w:pPr/>
          </w:p>
        </w:tc>
        <w:tc>
          <w:tcPr>
            <w:tcW w:w="1181" w:type="dxa"/>
            <w:vMerge/>
            <w:tcBorders>
              <w:left w:val="single" w:sz="4" w:space="0" w:color="FFFFFF"/>
              <w:right w:val="single" w:sz="4" w:space="0" w:color="000000"/>
            </w:tcBorders>
            <w:shd w:val="clear" w:color="auto" w:fill="D2D2D2"/>
          </w:tcPr>
          <w:p>
            <w:pPr/>
          </w:p>
        </w:tc>
        <w:tc>
          <w:tcPr>
            <w:tcW w:w="1109" w:type="dxa"/>
            <w:vMerge/>
            <w:tcBorders>
              <w:left w:val="single" w:sz="4" w:space="0" w:color="000000"/>
              <w:right w:val="single" w:sz="4" w:space="0" w:color="000000"/>
            </w:tcBorders>
            <w:shd w:val="clear" w:color="auto" w:fill="D2D2D2"/>
          </w:tcPr>
          <w:p>
            <w:pPr/>
          </w:p>
        </w:tc>
        <w:tc>
          <w:tcPr>
            <w:tcW w:w="1244" w:type="dxa"/>
            <w:vMerge/>
            <w:tcBorders>
              <w:left w:val="single" w:sz="4" w:space="0" w:color="000000"/>
              <w:right w:val="single" w:sz="4" w:space="0" w:color="000000"/>
            </w:tcBorders>
            <w:shd w:val="clear" w:color="auto" w:fill="D2D2D2"/>
          </w:tcPr>
          <w:p>
            <w:pPr/>
          </w:p>
        </w:tc>
      </w:tr>
      <w:tr>
        <w:trPr>
          <w:trHeight w:val="163" w:hRule="exact"/>
        </w:trPr>
        <w:tc>
          <w:tcPr>
            <w:tcW w:w="1954"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403" w:type="dxa"/>
            <w:vMerge/>
            <w:tcBorders>
              <w:left w:val="single" w:sz="4" w:space="0" w:color="000000"/>
              <w:bottom w:val="single" w:sz="4" w:space="0" w:color="000000"/>
              <w:right w:val="single" w:sz="4" w:space="0" w:color="000000"/>
            </w:tcBorders>
            <w:shd w:val="clear" w:color="auto" w:fill="D2D2D2"/>
          </w:tcPr>
          <w:p>
            <w:pPr/>
          </w:p>
        </w:tc>
        <w:tc>
          <w:tcPr>
            <w:tcW w:w="398" w:type="dxa"/>
            <w:vMerge/>
            <w:tcBorders>
              <w:left w:val="single" w:sz="4" w:space="0" w:color="000000"/>
              <w:bottom w:val="single" w:sz="4" w:space="0" w:color="000000"/>
              <w:right w:val="single" w:sz="4" w:space="0" w:color="000000"/>
            </w:tcBorders>
            <w:shd w:val="clear" w:color="auto" w:fill="D2D2D2"/>
          </w:tcPr>
          <w:p>
            <w:pPr/>
          </w:p>
        </w:tc>
        <w:tc>
          <w:tcPr>
            <w:tcW w:w="3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c>
          <w:tcPr>
            <w:tcW w:w="485"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643"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322" w:type="dxa"/>
            <w:vMerge/>
            <w:tcBorders>
              <w:left w:val="single" w:sz="4" w:space="0" w:color="000000"/>
              <w:bottom w:val="single" w:sz="4" w:space="0" w:color="000000"/>
              <w:right w:val="single" w:sz="4" w:space="0" w:color="FFFFFF"/>
            </w:tcBorders>
            <w:shd w:val="clear" w:color="auto" w:fill="D2D2D2"/>
          </w:tcPr>
          <w:p>
            <w:pPr/>
          </w:p>
        </w:tc>
        <w:tc>
          <w:tcPr>
            <w:tcW w:w="1181" w:type="dxa"/>
            <w:vMerge/>
            <w:tcBorders>
              <w:left w:val="single" w:sz="4" w:space="0" w:color="FFFFFF"/>
              <w:bottom w:val="single" w:sz="4" w:space="0" w:color="000000"/>
              <w:right w:val="single" w:sz="4" w:space="0" w:color="000000"/>
            </w:tcBorders>
            <w:shd w:val="clear" w:color="auto" w:fill="D2D2D2"/>
          </w:tcPr>
          <w:p>
            <w:pPr/>
          </w:p>
        </w:tc>
        <w:tc>
          <w:tcPr>
            <w:tcW w:w="1109" w:type="dxa"/>
            <w:vMerge/>
            <w:tcBorders>
              <w:left w:val="single" w:sz="4" w:space="0" w:color="000000"/>
              <w:bottom w:val="single" w:sz="4" w:space="0" w:color="000000"/>
              <w:right w:val="single" w:sz="4" w:space="0" w:color="000000"/>
            </w:tcBorders>
            <w:shd w:val="clear" w:color="auto" w:fill="D2D2D2"/>
          </w:tcPr>
          <w:p>
            <w:pPr/>
          </w:p>
        </w:tc>
        <w:tc>
          <w:tcPr>
            <w:tcW w:w="1244"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150,000,000.00</w:t>
            </w:r>
          </w:p>
        </w:tc>
        <w:tc>
          <w:tcPr>
            <w:tcW w:w="403"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148,360,803.28</w:t>
            </w:r>
          </w:p>
        </w:tc>
        <w:tc>
          <w:tcPr>
            <w:tcW w:w="66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33,252,946.03</w:t>
            </w:r>
          </w:p>
        </w:tc>
        <w:tc>
          <w:tcPr>
            <w:tcW w:w="64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212,084,749.89</w:t>
            </w:r>
          </w:p>
        </w:tc>
        <w:tc>
          <w:tcPr>
            <w:tcW w:w="322" w:type="dxa"/>
            <w:tcBorders>
              <w:top w:val="single" w:sz="4" w:space="0" w:color="000000"/>
              <w:left w:val="single" w:sz="4" w:space="0" w:color="000000"/>
              <w:bottom w:val="single" w:sz="4" w:space="0" w:color="000000"/>
              <w:right w:val="single" w:sz="4" w:space="0" w:color="FFFFFF"/>
            </w:tcBorders>
          </w:tcPr>
          <w:p>
            <w:pPr/>
          </w:p>
        </w:tc>
        <w:tc>
          <w:tcPr>
            <w:tcW w:w="118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543,698,499.20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23,655,295.91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
                <w:sz w:val="18"/>
              </w:rPr>
              <w:t>567,353,795.11</w:t>
            </w:r>
          </w:p>
        </w:tc>
      </w:tr>
      <w:tr>
        <w:trPr>
          <w:trHeight w:val="404" w:hRule="exact"/>
        </w:trPr>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125"/>
              <w:jc w:val="right"/>
              <w:rPr>
                <w:rFonts w:ascii="宋体" w:hAnsi="宋体" w:cs="宋体" w:eastAsia="宋体" w:hint="default"/>
                <w:sz w:val="18"/>
                <w:szCs w:val="18"/>
              </w:rPr>
            </w:pPr>
            <w:r>
              <w:rPr>
                <w:rFonts w:ascii="宋体" w:hAnsi="宋体" w:cs="宋体" w:eastAsia="宋体" w:hint="default"/>
                <w:spacing w:val="-2"/>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FFFFFF"/>
            </w:tcBorders>
          </w:tcPr>
          <w:p>
            <w:pPr/>
          </w:p>
        </w:tc>
        <w:tc>
          <w:tcPr>
            <w:tcW w:w="1181" w:type="dxa"/>
            <w:tcBorders>
              <w:top w:val="single" w:sz="4" w:space="0" w:color="000000"/>
              <w:left w:val="single" w:sz="4" w:space="0" w:color="FFFFFF"/>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25"/>
              <w:jc w:val="right"/>
              <w:rPr>
                <w:rFonts w:ascii="宋体" w:hAnsi="宋体" w:cs="宋体" w:eastAsia="宋体" w:hint="default"/>
                <w:sz w:val="18"/>
                <w:szCs w:val="18"/>
              </w:rPr>
            </w:pPr>
            <w:r>
              <w:rPr>
                <w:rFonts w:ascii="宋体" w:hAnsi="宋体" w:cs="宋体" w:eastAsia="宋体" w:hint="default"/>
                <w:spacing w:val="-2"/>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FFFFFF"/>
            </w:tcBorders>
          </w:tcPr>
          <w:p>
            <w:pPr/>
          </w:p>
        </w:tc>
        <w:tc>
          <w:tcPr>
            <w:tcW w:w="1181" w:type="dxa"/>
            <w:tcBorders>
              <w:top w:val="single" w:sz="4" w:space="0" w:color="000000"/>
              <w:left w:val="single" w:sz="4" w:space="0" w:color="FFFFFF"/>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31"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FFFFFF"/>
            </w:tcBorders>
          </w:tcPr>
          <w:p>
            <w:pPr/>
          </w:p>
        </w:tc>
        <w:tc>
          <w:tcPr>
            <w:tcW w:w="1181" w:type="dxa"/>
            <w:tcBorders>
              <w:top w:val="single" w:sz="4" w:space="0" w:color="000000"/>
              <w:left w:val="single" w:sz="4" w:space="0" w:color="FFFFFF"/>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13"/>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FFFFFF"/>
            </w:tcBorders>
          </w:tcPr>
          <w:p>
            <w:pPr/>
          </w:p>
        </w:tc>
        <w:tc>
          <w:tcPr>
            <w:tcW w:w="1181" w:type="dxa"/>
            <w:tcBorders>
              <w:top w:val="single" w:sz="4" w:space="0" w:color="000000"/>
              <w:left w:val="single" w:sz="4" w:space="0" w:color="FFFFFF"/>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150,000,000.00</w:t>
            </w:r>
          </w:p>
        </w:tc>
        <w:tc>
          <w:tcPr>
            <w:tcW w:w="403"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148,360,803.28</w:t>
            </w:r>
          </w:p>
        </w:tc>
        <w:tc>
          <w:tcPr>
            <w:tcW w:w="66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33,252,946.03</w:t>
            </w:r>
          </w:p>
        </w:tc>
        <w:tc>
          <w:tcPr>
            <w:tcW w:w="64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212,084,749.89</w:t>
            </w:r>
          </w:p>
        </w:tc>
        <w:tc>
          <w:tcPr>
            <w:tcW w:w="322" w:type="dxa"/>
            <w:tcBorders>
              <w:top w:val="single" w:sz="4" w:space="0" w:color="000000"/>
              <w:left w:val="single" w:sz="4" w:space="0" w:color="000000"/>
              <w:bottom w:val="single" w:sz="4" w:space="0" w:color="000000"/>
              <w:right w:val="single" w:sz="4" w:space="0" w:color="FFFFFF"/>
            </w:tcBorders>
          </w:tcPr>
          <w:p>
            <w:pPr/>
          </w:p>
        </w:tc>
        <w:tc>
          <w:tcPr>
            <w:tcW w:w="118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spacing w:val="-1"/>
                <w:sz w:val="18"/>
              </w:rPr>
              <w:t>543,698,499.20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23,655,295.91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2"/>
                <w:sz w:val="18"/>
              </w:rPr>
              <w:t>567,353,795.11</w:t>
            </w:r>
          </w:p>
        </w:tc>
      </w:tr>
      <w:tr>
        <w:trPr>
          <w:trHeight w:val="716" w:hRule="exact"/>
        </w:trPr>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82"/>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330,000.00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1,409,644.36</w:t>
            </w:r>
          </w:p>
        </w:tc>
        <w:tc>
          <w:tcPr>
            <w:tcW w:w="64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59,379,825.54</w:t>
            </w:r>
          </w:p>
        </w:tc>
        <w:tc>
          <w:tcPr>
            <w:tcW w:w="322" w:type="dxa"/>
            <w:tcBorders>
              <w:top w:val="single" w:sz="4" w:space="0" w:color="000000"/>
              <w:left w:val="single" w:sz="4" w:space="0" w:color="000000"/>
              <w:bottom w:val="single" w:sz="4" w:space="0" w:color="000000"/>
              <w:right w:val="single" w:sz="4" w:space="0" w:color="FFFFFF"/>
            </w:tcBorders>
          </w:tcPr>
          <w:p>
            <w:pPr/>
          </w:p>
        </w:tc>
        <w:tc>
          <w:tcPr>
            <w:tcW w:w="118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61,119,469.90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39,410,307.63</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100,529,777.53</w:t>
            </w:r>
          </w:p>
        </w:tc>
      </w:tr>
      <w:tr>
        <w:trPr>
          <w:trHeight w:val="403" w:hRule="exact"/>
        </w:trPr>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pacing w:val="-3"/>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66,562,444.36</w:t>
            </w:r>
          </w:p>
        </w:tc>
        <w:tc>
          <w:tcPr>
            <w:tcW w:w="322" w:type="dxa"/>
            <w:tcBorders>
              <w:top w:val="single" w:sz="4" w:space="0" w:color="000000"/>
              <w:left w:val="single" w:sz="4" w:space="0" w:color="000000"/>
              <w:bottom w:val="single" w:sz="4" w:space="0" w:color="000000"/>
              <w:right w:val="single" w:sz="4" w:space="0" w:color="FFFFFF"/>
            </w:tcBorders>
          </w:tcPr>
          <w:p>
            <w:pPr/>
          </w:p>
        </w:tc>
        <w:tc>
          <w:tcPr>
            <w:tcW w:w="118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66,562,444.36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18,456,091.56</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85,018,535.92</w:t>
            </w:r>
          </w:p>
        </w:tc>
      </w:tr>
      <w:tr>
        <w:trPr>
          <w:trHeight w:val="711" w:hRule="exact"/>
        </w:trPr>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11" w:right="5"/>
              <w:jc w:val="left"/>
              <w:rPr>
                <w:rFonts w:ascii="宋体" w:hAnsi="宋体" w:cs="宋体" w:eastAsia="宋体" w:hint="default"/>
                <w:sz w:val="18"/>
                <w:szCs w:val="18"/>
              </w:rPr>
            </w:pPr>
            <w:r>
              <w:rPr>
                <w:rFonts w:ascii="宋体" w:hAnsi="宋体" w:cs="宋体" w:eastAsia="宋体" w:hint="default"/>
                <w:spacing w:val="-8"/>
                <w:sz w:val="18"/>
                <w:szCs w:val="18"/>
              </w:rPr>
              <w:t>（二）所有者投入和减少</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330,000.00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-522,974.46</w:t>
            </w:r>
          </w:p>
        </w:tc>
        <w:tc>
          <w:tcPr>
            <w:tcW w:w="322" w:type="dxa"/>
            <w:tcBorders>
              <w:top w:val="single" w:sz="4" w:space="0" w:color="000000"/>
              <w:left w:val="single" w:sz="4" w:space="0" w:color="000000"/>
              <w:bottom w:val="single" w:sz="4" w:space="0" w:color="000000"/>
              <w:right w:val="single" w:sz="4" w:space="0" w:color="FFFFFF"/>
            </w:tcBorders>
          </w:tcPr>
          <w:p>
            <w:pPr/>
          </w:p>
        </w:tc>
        <w:tc>
          <w:tcPr>
            <w:tcW w:w="118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-192,974.46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20,954,216.07</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20,761,241.61</w:t>
            </w:r>
          </w:p>
        </w:tc>
      </w:tr>
      <w:tr>
        <w:trPr>
          <w:trHeight w:val="403" w:hRule="exact"/>
        </w:trPr>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FFFFFF"/>
            </w:tcBorders>
          </w:tcPr>
          <w:p>
            <w:pPr/>
          </w:p>
        </w:tc>
        <w:tc>
          <w:tcPr>
            <w:tcW w:w="1181" w:type="dxa"/>
            <w:tcBorders>
              <w:top w:val="single" w:sz="4" w:space="0" w:color="000000"/>
              <w:left w:val="single" w:sz="4" w:space="0" w:color="FFFFFF"/>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63"/>
              <w:ind w:left="11" w:right="3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．其他权益工具持有者</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投入资本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FFFFFF"/>
            </w:tcBorders>
          </w:tcPr>
          <w:p>
            <w:pPr/>
          </w:p>
        </w:tc>
        <w:tc>
          <w:tcPr>
            <w:tcW w:w="1181" w:type="dxa"/>
            <w:tcBorders>
              <w:top w:val="single" w:sz="4" w:space="0" w:color="000000"/>
              <w:left w:val="single" w:sz="4" w:space="0" w:color="FFFFFF"/>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5"/>
          <w:footerReference w:type="default" r:id="rId26"/>
          <w:pgSz w:w="16840" w:h="11910" w:orient="landscape"/>
          <w:pgMar w:header="460" w:footer="974" w:top="1060" w:bottom="1220" w:left="1300" w:right="1280"/>
          <w:pgNumType w:start="101"/>
        </w:sectPr>
      </w:pPr>
    </w:p>
    <w:tbl>
      <w:tblPr>
        <w:tblW w:w="0" w:type="auto"/>
        <w:jc w:val="left"/>
        <w:tblInd w:w="106" w:type="dxa"/>
        <w:tblLayout w:type="fixed"/>
        <w:tblCellMar>
          <w:top w:w="0" w:type="dxa"/>
          <w:left w:w="0" w:type="dxa"/>
          <w:bottom w:w="0" w:type="dxa"/>
          <w:right w:w="0" w:type="dxa"/>
        </w:tblCellMar>
        <w:tblLook w:val="01E0"/>
      </w:tblPr>
      <w:tblGrid>
        <w:gridCol w:w="1966"/>
        <w:gridCol w:w="1193"/>
        <w:gridCol w:w="403"/>
        <w:gridCol w:w="398"/>
        <w:gridCol w:w="317"/>
        <w:gridCol w:w="1181"/>
        <w:gridCol w:w="662"/>
        <w:gridCol w:w="644"/>
        <w:gridCol w:w="485"/>
        <w:gridCol w:w="1090"/>
        <w:gridCol w:w="643"/>
        <w:gridCol w:w="1181"/>
        <w:gridCol w:w="322"/>
        <w:gridCol w:w="1181"/>
        <w:gridCol w:w="1109"/>
        <w:gridCol w:w="1244"/>
      </w:tblGrid>
      <w:tr>
        <w:trPr>
          <w:trHeight w:val="730" w:hRule="exact"/>
        </w:trPr>
        <w:tc>
          <w:tcPr>
            <w:tcW w:w="196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3" w:right="3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．股份支付计入所有者</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权益的金额</w:t>
            </w:r>
          </w:p>
        </w:tc>
        <w:tc>
          <w:tcPr>
            <w:tcW w:w="1193" w:type="dxa"/>
            <w:tcBorders>
              <w:top w:val="single" w:sz="15" w:space="0" w:color="000000"/>
              <w:left w:val="single" w:sz="13" w:space="0" w:color="D2D2D2"/>
              <w:bottom w:val="single" w:sz="4" w:space="0" w:color="000000"/>
              <w:right w:val="single" w:sz="4" w:space="0" w:color="000000"/>
            </w:tcBorders>
          </w:tcPr>
          <w:p>
            <w:pPr/>
          </w:p>
        </w:tc>
        <w:tc>
          <w:tcPr>
            <w:tcW w:w="403" w:type="dxa"/>
            <w:tcBorders>
              <w:top w:val="single" w:sz="15" w:space="0" w:color="000000"/>
              <w:left w:val="single" w:sz="4" w:space="0" w:color="000000"/>
              <w:bottom w:val="single" w:sz="4" w:space="0" w:color="000000"/>
              <w:right w:val="single" w:sz="4" w:space="0" w:color="000000"/>
            </w:tcBorders>
          </w:tcPr>
          <w:p>
            <w:pPr/>
          </w:p>
        </w:tc>
        <w:tc>
          <w:tcPr>
            <w:tcW w:w="398" w:type="dxa"/>
            <w:tcBorders>
              <w:top w:val="single" w:sz="15" w:space="0" w:color="000000"/>
              <w:left w:val="single" w:sz="4" w:space="0" w:color="000000"/>
              <w:bottom w:val="single" w:sz="4" w:space="0" w:color="000000"/>
              <w:right w:val="single" w:sz="4" w:space="0" w:color="000000"/>
            </w:tcBorders>
          </w:tcPr>
          <w:p>
            <w:pPr/>
          </w:p>
        </w:tc>
        <w:tc>
          <w:tcPr>
            <w:tcW w:w="317"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662" w:type="dxa"/>
            <w:tcBorders>
              <w:top w:val="single" w:sz="15" w:space="0" w:color="000000"/>
              <w:left w:val="single" w:sz="4" w:space="0" w:color="000000"/>
              <w:bottom w:val="single" w:sz="4" w:space="0" w:color="000000"/>
              <w:right w:val="single" w:sz="4" w:space="0" w:color="000000"/>
            </w:tcBorders>
          </w:tcPr>
          <w:p>
            <w:pPr/>
          </w:p>
        </w:tc>
        <w:tc>
          <w:tcPr>
            <w:tcW w:w="644" w:type="dxa"/>
            <w:tcBorders>
              <w:top w:val="single" w:sz="15" w:space="0" w:color="000000"/>
              <w:left w:val="single" w:sz="4" w:space="0" w:color="000000"/>
              <w:bottom w:val="single" w:sz="4" w:space="0" w:color="000000"/>
              <w:right w:val="single" w:sz="4" w:space="0" w:color="000000"/>
            </w:tcBorders>
          </w:tcPr>
          <w:p>
            <w:pPr/>
          </w:p>
        </w:tc>
        <w:tc>
          <w:tcPr>
            <w:tcW w:w="485"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643"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322"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09" w:type="dxa"/>
            <w:tcBorders>
              <w:top w:val="single" w:sz="15" w:space="0" w:color="000000"/>
              <w:left w:val="single" w:sz="4" w:space="0" w:color="000000"/>
              <w:bottom w:val="single" w:sz="4" w:space="0" w:color="000000"/>
              <w:right w:val="single" w:sz="4" w:space="0" w:color="000000"/>
            </w:tcBorders>
          </w:tcPr>
          <w:p>
            <w:pPr/>
          </w:p>
        </w:tc>
        <w:tc>
          <w:tcPr>
            <w:tcW w:w="1244" w:type="dxa"/>
            <w:tcBorders>
              <w:top w:val="single" w:sz="15" w:space="0" w:color="000000"/>
              <w:left w:val="single" w:sz="4" w:space="0" w:color="000000"/>
              <w:bottom w:val="single" w:sz="4" w:space="0" w:color="000000"/>
              <w:right w:val="single" w:sz="4" w:space="0" w:color="000000"/>
            </w:tcBorders>
          </w:tcPr>
          <w:p>
            <w:pPr/>
          </w:p>
        </w:tc>
      </w:tr>
      <w:tr>
        <w:trPr>
          <w:trHeight w:val="404" w:hRule="exact"/>
        </w:trPr>
        <w:tc>
          <w:tcPr>
            <w:tcW w:w="1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6" w:right="0"/>
              <w:jc w:val="left"/>
              <w:rPr>
                <w:rFonts w:ascii="Times New Roman" w:hAnsi="Times New Roman" w:cs="Times New Roman" w:eastAsia="Times New Roman" w:hint="default"/>
                <w:sz w:val="18"/>
                <w:szCs w:val="18"/>
              </w:rPr>
            </w:pPr>
            <w:r>
              <w:rPr>
                <w:rFonts w:ascii="Times New Roman"/>
                <w:sz w:val="18"/>
              </w:rPr>
              <w:t>330,000.00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-522,974.46</w:t>
            </w:r>
          </w:p>
        </w:tc>
        <w:tc>
          <w:tcPr>
            <w:tcW w:w="3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-192,974.46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20,954,216.07</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20,761,241.61</w:t>
            </w:r>
          </w:p>
        </w:tc>
      </w:tr>
      <w:tr>
        <w:trPr>
          <w:trHeight w:val="398" w:hRule="exact"/>
        </w:trPr>
        <w:tc>
          <w:tcPr>
            <w:tcW w:w="1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1,409,644.36</w:t>
            </w:r>
          </w:p>
        </w:tc>
        <w:tc>
          <w:tcPr>
            <w:tcW w:w="64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-6,659,644.36</w:t>
            </w:r>
          </w:p>
        </w:tc>
        <w:tc>
          <w:tcPr>
            <w:tcW w:w="3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-5,250,000.00</w:t>
            </w:r>
          </w:p>
        </w:tc>
        <w:tc>
          <w:tcPr>
            <w:tcW w:w="110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-5,250,000.00</w:t>
            </w:r>
          </w:p>
        </w:tc>
      </w:tr>
      <w:tr>
        <w:trPr>
          <w:trHeight w:val="403" w:hRule="exact"/>
        </w:trPr>
        <w:tc>
          <w:tcPr>
            <w:tcW w:w="1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1,409,644.36</w:t>
            </w:r>
          </w:p>
        </w:tc>
        <w:tc>
          <w:tcPr>
            <w:tcW w:w="64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-1,409,644.36</w:t>
            </w:r>
          </w:p>
        </w:tc>
        <w:tc>
          <w:tcPr>
            <w:tcW w:w="3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 w:right="3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．对所有者（或股东）</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的分配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-5,250,000.00</w:t>
            </w:r>
          </w:p>
        </w:tc>
        <w:tc>
          <w:tcPr>
            <w:tcW w:w="3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-5,250,000.00</w:t>
            </w:r>
          </w:p>
        </w:tc>
        <w:tc>
          <w:tcPr>
            <w:tcW w:w="110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-5,250,000.00</w:t>
            </w:r>
          </w:p>
        </w:tc>
      </w:tr>
      <w:tr>
        <w:trPr>
          <w:trHeight w:val="399" w:hRule="exact"/>
        </w:trPr>
        <w:tc>
          <w:tcPr>
            <w:tcW w:w="1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3" w:right="5"/>
              <w:jc w:val="left"/>
              <w:rPr>
                <w:rFonts w:ascii="宋体" w:hAnsi="宋体" w:cs="宋体" w:eastAsia="宋体" w:hint="default"/>
                <w:sz w:val="18"/>
                <w:szCs w:val="18"/>
              </w:rPr>
            </w:pPr>
            <w:r>
              <w:rPr>
                <w:rFonts w:ascii="宋体" w:hAnsi="宋体" w:cs="宋体" w:eastAsia="宋体" w:hint="default"/>
                <w:spacing w:val="-8"/>
                <w:sz w:val="18"/>
                <w:szCs w:val="18"/>
              </w:rPr>
              <w:t>（四）所有者权益内部结</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3" w:right="5"/>
              <w:jc w:val="left"/>
              <w:rPr>
                <w:rFonts w:ascii="宋体" w:hAnsi="宋体" w:cs="宋体" w:eastAsia="宋体" w:hint="default"/>
                <w:sz w:val="18"/>
                <w:szCs w:val="18"/>
              </w:rPr>
            </w:pPr>
            <w:r>
              <w:rPr>
                <w:rFonts w:ascii="Times New Roman" w:hAnsi="Times New Roman" w:cs="Times New Roman" w:eastAsia="Times New Roman" w:hint="default"/>
                <w:spacing w:val="-15"/>
                <w:w w:val="101"/>
                <w:sz w:val="18"/>
                <w:szCs w:val="18"/>
              </w:rPr>
              <w:t>1</w:t>
            </w:r>
            <w:r>
              <w:rPr>
                <w:rFonts w:ascii="宋体" w:hAnsi="宋体" w:cs="宋体" w:eastAsia="宋体" w:hint="default"/>
                <w:spacing w:val="-15"/>
                <w:w w:val="101"/>
                <w:sz w:val="18"/>
                <w:szCs w:val="18"/>
              </w:rPr>
              <w:t>．资本公积转增资本（或</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股本）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 w:right="5"/>
              <w:jc w:val="left"/>
              <w:rPr>
                <w:rFonts w:ascii="宋体" w:hAnsi="宋体" w:cs="宋体" w:eastAsia="宋体" w:hint="default"/>
                <w:sz w:val="18"/>
                <w:szCs w:val="18"/>
              </w:rPr>
            </w:pPr>
            <w:r>
              <w:rPr>
                <w:rFonts w:ascii="Times New Roman" w:hAnsi="Times New Roman" w:cs="Times New Roman" w:eastAsia="Times New Roman" w:hint="default"/>
                <w:spacing w:val="-15"/>
                <w:w w:val="101"/>
                <w:sz w:val="18"/>
                <w:szCs w:val="18"/>
              </w:rPr>
              <w:t>2</w:t>
            </w:r>
            <w:r>
              <w:rPr>
                <w:rFonts w:ascii="宋体" w:hAnsi="宋体" w:cs="宋体" w:eastAsia="宋体" w:hint="default"/>
                <w:spacing w:val="-15"/>
                <w:w w:val="101"/>
                <w:sz w:val="18"/>
                <w:szCs w:val="18"/>
              </w:rPr>
              <w:t>．盈余公积转增资本（或</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股本）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3" w:right="3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．设定受益计划变动额</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结转留存收益</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3" w:right="3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．其他综合收益结转留</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存收益</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460" w:footer="974" w:top="1100" w:bottom="1160" w:left="1300" w:right="1280"/>
        </w:sectPr>
      </w:pPr>
    </w:p>
    <w:p>
      <w:pPr>
        <w:spacing w:line="240" w:lineRule="auto" w:before="3"/>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966"/>
        <w:gridCol w:w="1193"/>
        <w:gridCol w:w="403"/>
        <w:gridCol w:w="398"/>
        <w:gridCol w:w="317"/>
        <w:gridCol w:w="1181"/>
        <w:gridCol w:w="662"/>
        <w:gridCol w:w="644"/>
        <w:gridCol w:w="485"/>
        <w:gridCol w:w="1090"/>
        <w:gridCol w:w="643"/>
        <w:gridCol w:w="1181"/>
        <w:gridCol w:w="322"/>
        <w:gridCol w:w="1181"/>
        <w:gridCol w:w="1109"/>
        <w:gridCol w:w="1244"/>
      </w:tblGrid>
      <w:tr>
        <w:trPr>
          <w:trHeight w:val="418" w:hRule="exact"/>
        </w:trPr>
        <w:tc>
          <w:tcPr>
            <w:tcW w:w="196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3" w:type="dxa"/>
            <w:tcBorders>
              <w:top w:val="single" w:sz="15" w:space="0" w:color="000000"/>
              <w:left w:val="single" w:sz="13" w:space="0" w:color="D2D2D2"/>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150,000,000.00</w:t>
            </w:r>
          </w:p>
        </w:tc>
        <w:tc>
          <w:tcPr>
            <w:tcW w:w="403" w:type="dxa"/>
            <w:tcBorders>
              <w:top w:val="single" w:sz="15" w:space="0" w:color="000000"/>
              <w:left w:val="single" w:sz="4" w:space="0" w:color="000000"/>
              <w:bottom w:val="single" w:sz="4" w:space="0" w:color="000000"/>
              <w:right w:val="single" w:sz="4" w:space="0" w:color="000000"/>
            </w:tcBorders>
          </w:tcPr>
          <w:p>
            <w:pPr/>
          </w:p>
        </w:tc>
        <w:tc>
          <w:tcPr>
            <w:tcW w:w="398" w:type="dxa"/>
            <w:tcBorders>
              <w:top w:val="single" w:sz="15" w:space="0" w:color="000000"/>
              <w:left w:val="single" w:sz="4" w:space="0" w:color="000000"/>
              <w:bottom w:val="single" w:sz="4" w:space="0" w:color="000000"/>
              <w:right w:val="single" w:sz="4" w:space="0" w:color="000000"/>
            </w:tcBorders>
          </w:tcPr>
          <w:p>
            <w:pPr/>
          </w:p>
        </w:tc>
        <w:tc>
          <w:tcPr>
            <w:tcW w:w="317"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148,690,803.28</w:t>
            </w:r>
          </w:p>
        </w:tc>
        <w:tc>
          <w:tcPr>
            <w:tcW w:w="662" w:type="dxa"/>
            <w:tcBorders>
              <w:top w:val="single" w:sz="15" w:space="0" w:color="000000"/>
              <w:left w:val="single" w:sz="4" w:space="0" w:color="000000"/>
              <w:bottom w:val="single" w:sz="4" w:space="0" w:color="000000"/>
              <w:right w:val="single" w:sz="4" w:space="0" w:color="000000"/>
            </w:tcBorders>
          </w:tcPr>
          <w:p>
            <w:pPr/>
          </w:p>
        </w:tc>
        <w:tc>
          <w:tcPr>
            <w:tcW w:w="644" w:type="dxa"/>
            <w:tcBorders>
              <w:top w:val="single" w:sz="15" w:space="0" w:color="000000"/>
              <w:left w:val="single" w:sz="4" w:space="0" w:color="000000"/>
              <w:bottom w:val="single" w:sz="4" w:space="0" w:color="000000"/>
              <w:right w:val="single" w:sz="4" w:space="0" w:color="000000"/>
            </w:tcBorders>
          </w:tcPr>
          <w:p>
            <w:pPr/>
          </w:p>
        </w:tc>
        <w:tc>
          <w:tcPr>
            <w:tcW w:w="485"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34,662,590.39</w:t>
            </w:r>
          </w:p>
        </w:tc>
        <w:tc>
          <w:tcPr>
            <w:tcW w:w="643"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271,464,575.43</w:t>
            </w:r>
          </w:p>
        </w:tc>
        <w:tc>
          <w:tcPr>
            <w:tcW w:w="322"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604,817,969.10</w:t>
            </w:r>
          </w:p>
        </w:tc>
        <w:tc>
          <w:tcPr>
            <w:tcW w:w="11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63,065,603.54</w:t>
            </w:r>
          </w:p>
        </w:tc>
        <w:tc>
          <w:tcPr>
            <w:tcW w:w="124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667,883,572.64</w:t>
            </w:r>
          </w:p>
        </w:tc>
      </w:tr>
    </w:tbl>
    <w:p>
      <w:pPr>
        <w:spacing w:line="240" w:lineRule="auto" w:before="10"/>
        <w:rPr>
          <w:rFonts w:ascii="宋体" w:hAnsi="宋体" w:cs="宋体" w:eastAsia="宋体" w:hint="default"/>
          <w:sz w:val="27"/>
          <w:szCs w:val="27"/>
        </w:rPr>
      </w:pPr>
    </w:p>
    <w:p>
      <w:pPr>
        <w:spacing w:before="46"/>
        <w:ind w:left="140" w:right="0" w:firstLine="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p>
      <w:pPr>
        <w:spacing w:before="115"/>
        <w:ind w:left="0" w:right="244"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517"/>
        <w:gridCol w:w="1193"/>
        <w:gridCol w:w="428"/>
        <w:gridCol w:w="422"/>
        <w:gridCol w:w="490"/>
        <w:gridCol w:w="1181"/>
        <w:gridCol w:w="614"/>
        <w:gridCol w:w="610"/>
        <w:gridCol w:w="614"/>
        <w:gridCol w:w="1090"/>
        <w:gridCol w:w="614"/>
        <w:gridCol w:w="1181"/>
        <w:gridCol w:w="595"/>
        <w:gridCol w:w="1181"/>
        <w:gridCol w:w="1094"/>
        <w:gridCol w:w="1181"/>
      </w:tblGrid>
      <w:tr>
        <w:trPr>
          <w:trHeight w:val="403" w:hRule="exact"/>
        </w:trPr>
        <w:tc>
          <w:tcPr>
            <w:tcW w:w="1517" w:type="dxa"/>
            <w:vMerge w:val="restart"/>
            <w:tcBorders>
              <w:top w:val="single" w:sz="4" w:space="0" w:color="000000"/>
              <w:left w:val="single" w:sz="4" w:space="0" w:color="000000"/>
              <w:right w:val="single" w:sz="4" w:space="0" w:color="000000"/>
            </w:tcBorders>
            <w:shd w:val="clear" w:color="auto" w:fill="D2D2D2"/>
          </w:tcPr>
          <w:p>
            <w:pPr/>
          </w:p>
        </w:tc>
        <w:tc>
          <w:tcPr>
            <w:tcW w:w="12491"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399" w:hRule="exact"/>
        </w:trPr>
        <w:tc>
          <w:tcPr>
            <w:tcW w:w="1517" w:type="dxa"/>
            <w:vMerge/>
            <w:tcBorders>
              <w:left w:val="single" w:sz="4" w:space="0" w:color="000000"/>
              <w:bottom w:val="nil" w:sz="6" w:space="0" w:color="auto"/>
              <w:right w:val="single" w:sz="4" w:space="0" w:color="000000"/>
            </w:tcBorders>
            <w:shd w:val="clear" w:color="auto" w:fill="D2D2D2"/>
          </w:tcPr>
          <w:p>
            <w:pPr/>
          </w:p>
        </w:tc>
        <w:tc>
          <w:tcPr>
            <w:tcW w:w="1021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10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11" w:hRule="exact"/>
        </w:trPr>
        <w:tc>
          <w:tcPr>
            <w:tcW w:w="15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134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2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FFFFFF"/>
            </w:tcBorders>
            <w:shd w:val="clear" w:color="auto" w:fill="D2D2D2"/>
          </w:tcPr>
          <w:p>
            <w:pPr/>
          </w:p>
        </w:tc>
        <w:tc>
          <w:tcPr>
            <w:tcW w:w="614" w:type="dxa"/>
            <w:tcBorders>
              <w:top w:val="single" w:sz="4" w:space="0" w:color="000000"/>
              <w:left w:val="single" w:sz="4" w:space="0" w:color="FFFFFF"/>
              <w:bottom w:val="nil" w:sz="6" w:space="0" w:color="auto"/>
              <w:right w:val="single" w:sz="4" w:space="0" w:color="000000"/>
            </w:tcBorders>
            <w:shd w:val="clear" w:color="auto" w:fill="D2D2D2"/>
          </w:tcPr>
          <w:p>
            <w:pP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6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6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595"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0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3"/>
              <w:ind w:left="451" w:right="89" w:hanging="360"/>
              <w:jc w:val="left"/>
              <w:rPr>
                <w:rFonts w:ascii="宋体" w:hAnsi="宋体" w:cs="宋体" w:eastAsia="宋体" w:hint="default"/>
                <w:sz w:val="18"/>
                <w:szCs w:val="18"/>
              </w:rPr>
            </w:pPr>
            <w:r>
              <w:rPr>
                <w:rFonts w:ascii="宋体" w:hAnsi="宋体" w:cs="宋体" w:eastAsia="宋体" w:hint="default"/>
                <w:spacing w:val="-2"/>
                <w:sz w:val="18"/>
                <w:szCs w:val="18"/>
              </w:rPr>
              <w:t>少数股东权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益</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3"/>
              <w:ind w:left="495" w:right="41" w:hanging="452"/>
              <w:jc w:val="left"/>
              <w:rPr>
                <w:rFonts w:ascii="宋体" w:hAnsi="宋体" w:cs="宋体" w:eastAsia="宋体" w:hint="default"/>
                <w:sz w:val="18"/>
                <w:szCs w:val="18"/>
              </w:rPr>
            </w:pPr>
            <w:r>
              <w:rPr>
                <w:rFonts w:ascii="宋体" w:hAnsi="宋体" w:cs="宋体" w:eastAsia="宋体" w:hint="default"/>
                <w:spacing w:val="-2"/>
                <w:sz w:val="18"/>
                <w:szCs w:val="18"/>
              </w:rPr>
              <w:t>所有者权益合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计</w:t>
            </w:r>
          </w:p>
        </w:tc>
      </w:tr>
      <w:tr>
        <w:trPr>
          <w:trHeight w:val="151" w:hRule="exact"/>
        </w:trPr>
        <w:tc>
          <w:tcPr>
            <w:tcW w:w="1517" w:type="dxa"/>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340"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FFFFFF"/>
            </w:tcBorders>
            <w:shd w:val="clear" w:color="auto" w:fill="D2D2D2"/>
          </w:tcPr>
          <w:p>
            <w:pPr/>
          </w:p>
        </w:tc>
        <w:tc>
          <w:tcPr>
            <w:tcW w:w="614"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3"/>
              <w:ind w:left="119" w:right="26" w:hanging="87"/>
              <w:jc w:val="left"/>
              <w:rPr>
                <w:rFonts w:ascii="宋体" w:hAnsi="宋体" w:cs="宋体" w:eastAsia="宋体" w:hint="default"/>
                <w:sz w:val="18"/>
                <w:szCs w:val="18"/>
              </w:rPr>
            </w:pPr>
            <w:r>
              <w:rPr>
                <w:rFonts w:ascii="宋体" w:hAnsi="宋体" w:cs="宋体" w:eastAsia="宋体" w:hint="default"/>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61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8" w:right="27"/>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61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11" w:right="26" w:hanging="178"/>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1090" w:type="dxa"/>
            <w:vMerge/>
            <w:tcBorders>
              <w:left w:val="single" w:sz="4" w:space="0" w:color="000000"/>
              <w:bottom w:val="nil" w:sz="6" w:space="0" w:color="auto"/>
              <w:right w:val="single" w:sz="4" w:space="0" w:color="000000"/>
            </w:tcBorders>
            <w:shd w:val="clear" w:color="auto" w:fill="D2D2D2"/>
          </w:tcPr>
          <w:p>
            <w:pPr/>
          </w:p>
        </w:tc>
        <w:tc>
          <w:tcPr>
            <w:tcW w:w="61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33" w:right="26"/>
              <w:jc w:val="left"/>
              <w:rPr>
                <w:rFonts w:ascii="宋体" w:hAnsi="宋体" w:cs="宋体" w:eastAsia="宋体" w:hint="default"/>
                <w:sz w:val="18"/>
                <w:szCs w:val="18"/>
              </w:rPr>
            </w:pPr>
            <w:r>
              <w:rPr>
                <w:rFonts w:ascii="宋体" w:hAnsi="宋体" w:cs="宋体" w:eastAsia="宋体" w:hint="default"/>
                <w:sz w:val="18"/>
                <w:szCs w:val="18"/>
              </w:rPr>
              <w:t>一般风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险准备</w:t>
            </w:r>
          </w:p>
        </w:tc>
        <w:tc>
          <w:tcPr>
            <w:tcW w:w="1181" w:type="dxa"/>
            <w:vMerge/>
            <w:tcBorders>
              <w:left w:val="single" w:sz="4" w:space="0" w:color="000000"/>
              <w:bottom w:val="nil" w:sz="6" w:space="0" w:color="auto"/>
              <w:right w:val="single" w:sz="4" w:space="0" w:color="000000"/>
            </w:tcBorders>
            <w:shd w:val="clear" w:color="auto" w:fill="D2D2D2"/>
          </w:tcPr>
          <w:p>
            <w:pPr/>
          </w:p>
        </w:tc>
        <w:tc>
          <w:tcPr>
            <w:tcW w:w="595"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094"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r>
      <w:tr>
        <w:trPr>
          <w:trHeight w:val="203" w:hRule="exact"/>
        </w:trPr>
        <w:tc>
          <w:tcPr>
            <w:tcW w:w="1517" w:type="dxa"/>
            <w:vMerge w:val="restart"/>
            <w:tcBorders>
              <w:top w:val="nil" w:sz="6" w:space="0" w:color="auto"/>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9"/>
              <w:ind w:left="120" w:right="22"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9"/>
              <w:ind w:left="115" w:right="23"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6"/>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14" w:type="dxa"/>
            <w:vMerge/>
            <w:tcBorders>
              <w:left w:val="single" w:sz="4" w:space="0" w:color="FFFFFF"/>
              <w:right w:val="single" w:sz="4" w:space="0" w:color="000000"/>
            </w:tcBorders>
            <w:shd w:val="clear" w:color="auto" w:fill="D2D2D2"/>
          </w:tcPr>
          <w:p>
            <w:pPr/>
          </w:p>
        </w:tc>
        <w:tc>
          <w:tcPr>
            <w:tcW w:w="610"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1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14"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94"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r>
      <w:tr>
        <w:trPr>
          <w:trHeight w:val="181" w:hRule="exact"/>
        </w:trPr>
        <w:tc>
          <w:tcPr>
            <w:tcW w:w="1517"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428" w:type="dxa"/>
            <w:vMerge/>
            <w:tcBorders>
              <w:left w:val="single" w:sz="4" w:space="0" w:color="000000"/>
              <w:right w:val="single" w:sz="4" w:space="0" w:color="000000"/>
            </w:tcBorders>
            <w:shd w:val="clear" w:color="auto" w:fill="D2D2D2"/>
          </w:tcPr>
          <w:p>
            <w:pPr/>
          </w:p>
        </w:tc>
        <w:tc>
          <w:tcPr>
            <w:tcW w:w="422"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FFFFFF"/>
            </w:tcBorders>
            <w:shd w:val="clear" w:color="auto" w:fill="D2D2D2"/>
          </w:tcPr>
          <w:p>
            <w:pPr/>
          </w:p>
        </w:tc>
        <w:tc>
          <w:tcPr>
            <w:tcW w:w="614" w:type="dxa"/>
            <w:vMerge/>
            <w:tcBorders>
              <w:left w:val="single" w:sz="4" w:space="0" w:color="FFFFFF"/>
              <w:right w:val="single" w:sz="4" w:space="0" w:color="000000"/>
            </w:tcBorders>
            <w:shd w:val="clear" w:color="auto" w:fill="D2D2D2"/>
          </w:tcPr>
          <w:p>
            <w:pPr/>
          </w:p>
        </w:tc>
        <w:tc>
          <w:tcPr>
            <w:tcW w:w="610"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single" w:sz="17" w:space="0" w:color="FFFFFF"/>
              <w:right w:val="single" w:sz="4" w:space="0" w:color="000000"/>
            </w:tcBorders>
            <w:shd w:val="clear" w:color="auto" w:fill="D2D2D2"/>
          </w:tcPr>
          <w:p>
            <w:pPr/>
          </w:p>
        </w:tc>
        <w:tc>
          <w:tcPr>
            <w:tcW w:w="595" w:type="dxa"/>
            <w:vMerge/>
            <w:tcBorders>
              <w:left w:val="single" w:sz="4" w:space="0" w:color="000000"/>
              <w:bottom w:val="single" w:sz="17" w:space="0" w:color="FFFFFF"/>
              <w:right w:val="single" w:sz="4" w:space="0" w:color="000000"/>
            </w:tcBorders>
            <w:shd w:val="clear" w:color="auto" w:fill="D2D2D2"/>
          </w:tcPr>
          <w:p>
            <w:pPr/>
          </w:p>
        </w:tc>
        <w:tc>
          <w:tcPr>
            <w:tcW w:w="1181" w:type="dxa"/>
            <w:vMerge/>
            <w:tcBorders>
              <w:left w:val="single" w:sz="4" w:space="0" w:color="000000"/>
              <w:bottom w:val="single" w:sz="17" w:space="0" w:color="FFFFFF"/>
              <w:right w:val="single" w:sz="4" w:space="0" w:color="000000"/>
            </w:tcBorders>
            <w:shd w:val="clear" w:color="auto" w:fill="D2D2D2"/>
          </w:tcPr>
          <w:p>
            <w:pPr/>
          </w:p>
        </w:tc>
        <w:tc>
          <w:tcPr>
            <w:tcW w:w="1094" w:type="dxa"/>
            <w:vMerge/>
            <w:tcBorders>
              <w:left w:val="single" w:sz="4" w:space="0" w:color="000000"/>
              <w:bottom w:val="single" w:sz="17" w:space="0" w:color="FFFFFF"/>
              <w:right w:val="single" w:sz="4" w:space="0" w:color="000000"/>
            </w:tcBorders>
            <w:shd w:val="clear" w:color="auto" w:fill="D2D2D2"/>
          </w:tcPr>
          <w:p>
            <w:pPr/>
          </w:p>
        </w:tc>
        <w:tc>
          <w:tcPr>
            <w:tcW w:w="1181" w:type="dxa"/>
            <w:vMerge/>
            <w:tcBorders>
              <w:left w:val="single" w:sz="4" w:space="0" w:color="000000"/>
              <w:bottom w:val="single" w:sz="17" w:space="0" w:color="FFFFFF"/>
              <w:right w:val="single" w:sz="4" w:space="0" w:color="000000"/>
            </w:tcBorders>
            <w:shd w:val="clear" w:color="auto" w:fill="D2D2D2"/>
          </w:tcPr>
          <w:p>
            <w:pPr/>
          </w:p>
        </w:tc>
      </w:tr>
      <w:tr>
        <w:trPr>
          <w:trHeight w:val="183" w:hRule="exact"/>
        </w:trPr>
        <w:tc>
          <w:tcPr>
            <w:tcW w:w="1517"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428" w:type="dxa"/>
            <w:vMerge/>
            <w:tcBorders>
              <w:left w:val="single" w:sz="4" w:space="0" w:color="000000"/>
              <w:right w:val="single" w:sz="4" w:space="0" w:color="000000"/>
            </w:tcBorders>
            <w:shd w:val="clear" w:color="auto" w:fill="D2D2D2"/>
          </w:tcPr>
          <w:p>
            <w:pPr/>
          </w:p>
        </w:tc>
        <w:tc>
          <w:tcPr>
            <w:tcW w:w="422"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FFFFFF"/>
            </w:tcBorders>
            <w:shd w:val="clear" w:color="auto" w:fill="D2D2D2"/>
          </w:tcPr>
          <w:p>
            <w:pPr/>
          </w:p>
        </w:tc>
        <w:tc>
          <w:tcPr>
            <w:tcW w:w="614" w:type="dxa"/>
            <w:vMerge/>
            <w:tcBorders>
              <w:left w:val="single" w:sz="4" w:space="0" w:color="FFFFFF"/>
              <w:bottom w:val="nil" w:sz="6" w:space="0" w:color="auto"/>
              <w:right w:val="single" w:sz="4" w:space="0" w:color="000000"/>
            </w:tcBorders>
            <w:shd w:val="clear" w:color="auto" w:fill="D2D2D2"/>
          </w:tcPr>
          <w:p>
            <w:pPr/>
          </w:p>
        </w:tc>
        <w:tc>
          <w:tcPr>
            <w:tcW w:w="610" w:type="dxa"/>
            <w:vMerge/>
            <w:tcBorders>
              <w:left w:val="single" w:sz="4" w:space="0" w:color="000000"/>
              <w:bottom w:val="nil" w:sz="6" w:space="0" w:color="auto"/>
              <w:right w:val="single" w:sz="4" w:space="0" w:color="000000"/>
            </w:tcBorders>
            <w:shd w:val="clear" w:color="auto" w:fill="D2D2D2"/>
          </w:tcPr>
          <w:p>
            <w:pPr/>
          </w:p>
        </w:tc>
        <w:tc>
          <w:tcPr>
            <w:tcW w:w="614" w:type="dxa"/>
            <w:vMerge/>
            <w:tcBorders>
              <w:left w:val="single" w:sz="4" w:space="0" w:color="000000"/>
              <w:bottom w:val="nil" w:sz="6" w:space="0" w:color="auto"/>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614"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single" w:sz="17" w:space="0" w:color="FFFFFF"/>
              <w:left w:val="single" w:sz="4" w:space="0" w:color="000000"/>
              <w:right w:val="single" w:sz="4" w:space="0" w:color="000000"/>
            </w:tcBorders>
            <w:shd w:val="clear" w:color="auto" w:fill="D2D2D2"/>
          </w:tcPr>
          <w:p>
            <w:pPr/>
          </w:p>
        </w:tc>
        <w:tc>
          <w:tcPr>
            <w:tcW w:w="595" w:type="dxa"/>
            <w:vMerge w:val="restart"/>
            <w:tcBorders>
              <w:top w:val="single" w:sz="17" w:space="0" w:color="FFFFFF"/>
              <w:left w:val="single" w:sz="4" w:space="0" w:color="000000"/>
              <w:right w:val="single" w:sz="4" w:space="0" w:color="000000"/>
            </w:tcBorders>
            <w:shd w:val="clear" w:color="auto" w:fill="D2D2D2"/>
          </w:tcPr>
          <w:p>
            <w:pPr/>
          </w:p>
        </w:tc>
        <w:tc>
          <w:tcPr>
            <w:tcW w:w="1181" w:type="dxa"/>
            <w:vMerge w:val="restart"/>
            <w:tcBorders>
              <w:top w:val="single" w:sz="17" w:space="0" w:color="FFFFFF"/>
              <w:left w:val="single" w:sz="4" w:space="0" w:color="000000"/>
              <w:right w:val="single" w:sz="4" w:space="0" w:color="000000"/>
            </w:tcBorders>
            <w:shd w:val="clear" w:color="auto" w:fill="D2D2D2"/>
          </w:tcPr>
          <w:p>
            <w:pPr/>
          </w:p>
        </w:tc>
        <w:tc>
          <w:tcPr>
            <w:tcW w:w="1094" w:type="dxa"/>
            <w:vMerge w:val="restart"/>
            <w:tcBorders>
              <w:top w:val="single" w:sz="17" w:space="0" w:color="FFFFFF"/>
              <w:left w:val="single" w:sz="4" w:space="0" w:color="000000"/>
              <w:right w:val="single" w:sz="4" w:space="0" w:color="000000"/>
            </w:tcBorders>
            <w:shd w:val="clear" w:color="auto" w:fill="D2D2D2"/>
          </w:tcPr>
          <w:p>
            <w:pPr/>
          </w:p>
        </w:tc>
        <w:tc>
          <w:tcPr>
            <w:tcW w:w="1181" w:type="dxa"/>
            <w:vMerge w:val="restart"/>
            <w:tcBorders>
              <w:top w:val="single" w:sz="17" w:space="0" w:color="FFFFFF"/>
              <w:left w:val="single" w:sz="4" w:space="0" w:color="000000"/>
              <w:right w:val="single" w:sz="4" w:space="0" w:color="000000"/>
            </w:tcBorders>
            <w:shd w:val="clear" w:color="auto" w:fill="D2D2D2"/>
          </w:tcPr>
          <w:p>
            <w:pPr/>
          </w:p>
        </w:tc>
      </w:tr>
      <w:tr>
        <w:trPr>
          <w:trHeight w:val="191" w:hRule="exact"/>
        </w:trPr>
        <w:tc>
          <w:tcPr>
            <w:tcW w:w="1517"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428" w:type="dxa"/>
            <w:vMerge/>
            <w:tcBorders>
              <w:left w:val="single" w:sz="4" w:space="0" w:color="000000"/>
              <w:bottom w:val="single" w:sz="4" w:space="0" w:color="000000"/>
              <w:right w:val="single" w:sz="4" w:space="0" w:color="000000"/>
            </w:tcBorders>
            <w:shd w:val="clear" w:color="auto" w:fill="D2D2D2"/>
          </w:tcPr>
          <w:p>
            <w:pPr/>
          </w:p>
        </w:tc>
        <w:tc>
          <w:tcPr>
            <w:tcW w:w="422" w:type="dxa"/>
            <w:vMerge/>
            <w:tcBorders>
              <w:left w:val="single" w:sz="4" w:space="0" w:color="000000"/>
              <w:bottom w:val="single" w:sz="4" w:space="0" w:color="000000"/>
              <w:right w:val="single" w:sz="4" w:space="0" w:color="000000"/>
            </w:tcBorders>
            <w:shd w:val="clear" w:color="auto" w:fill="D2D2D2"/>
          </w:tcPr>
          <w:p>
            <w:pPr/>
          </w:p>
        </w:tc>
        <w:tc>
          <w:tcPr>
            <w:tcW w:w="4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FFFFFF"/>
            </w:tcBorders>
            <w:shd w:val="clear" w:color="auto" w:fill="D2D2D2"/>
          </w:tcPr>
          <w:p>
            <w:pPr/>
          </w:p>
        </w:tc>
        <w:tc>
          <w:tcPr>
            <w:tcW w:w="614" w:type="dxa"/>
            <w:tcBorders>
              <w:top w:val="nil" w:sz="6" w:space="0" w:color="auto"/>
              <w:left w:val="single" w:sz="4" w:space="0" w:color="FFFFFF"/>
              <w:bottom w:val="single" w:sz="4" w:space="0" w:color="000000"/>
              <w:right w:val="single" w:sz="4" w:space="0" w:color="000000"/>
            </w:tcBorders>
            <w:shd w:val="clear" w:color="auto" w:fill="D2D2D2"/>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6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6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595"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94"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150,000,000.00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148,359,523.47</w:t>
            </w:r>
          </w:p>
        </w:tc>
        <w:tc>
          <w:tcPr>
            <w:tcW w:w="614" w:type="dxa"/>
            <w:tcBorders>
              <w:top w:val="single" w:sz="4" w:space="0" w:color="000000"/>
              <w:left w:val="single" w:sz="4" w:space="0" w:color="FFFFFF"/>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30,936,160.02</w:t>
            </w: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189,429,452.11</w:t>
            </w:r>
          </w:p>
        </w:tc>
        <w:tc>
          <w:tcPr>
            <w:tcW w:w="5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518,725,135.60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11,877,582.21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530,602,717.81</w:t>
            </w:r>
          </w:p>
        </w:tc>
      </w:tr>
      <w:tr>
        <w:trPr>
          <w:trHeight w:val="716" w:hRule="exact"/>
        </w:trPr>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48" w:firstLine="360"/>
              <w:jc w:val="left"/>
              <w:rPr>
                <w:rFonts w:ascii="宋体" w:hAnsi="宋体" w:cs="宋体" w:eastAsia="宋体" w:hint="default"/>
                <w:sz w:val="18"/>
                <w:szCs w:val="18"/>
              </w:rPr>
            </w:pPr>
            <w:r>
              <w:rPr>
                <w:rFonts w:ascii="宋体" w:hAnsi="宋体" w:cs="宋体" w:eastAsia="宋体" w:hint="default"/>
                <w:spacing w:val="-2"/>
                <w:sz w:val="18"/>
                <w:szCs w:val="18"/>
              </w:rPr>
              <w:t>加：会计政策</w:t>
            </w:r>
            <w:r>
              <w:rPr>
                <w:rFonts w:ascii="宋体" w:hAnsi="宋体" w:cs="宋体" w:eastAsia="宋体" w:hint="default"/>
                <w:w w:val="101"/>
                <w:sz w:val="18"/>
                <w:szCs w:val="18"/>
              </w:rPr>
              <w:t> </w:t>
            </w:r>
            <w:r>
              <w:rPr>
                <w:rFonts w:ascii="宋体" w:hAnsi="宋体" w:cs="宋体" w:eastAsia="宋体" w:hint="default"/>
                <w:sz w:val="18"/>
                <w:szCs w:val="18"/>
              </w:rPr>
              <w:t>变更</w:t>
            </w:r>
          </w:p>
        </w:tc>
        <w:tc>
          <w:tcPr>
            <w:tcW w:w="1193" w:type="dxa"/>
            <w:tcBorders>
              <w:top w:val="single" w:sz="4" w:space="0" w:color="000000"/>
              <w:left w:val="single" w:sz="10"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FFFFFF"/>
            </w:tcBorders>
          </w:tcPr>
          <w:p>
            <w:pPr/>
          </w:p>
        </w:tc>
        <w:tc>
          <w:tcPr>
            <w:tcW w:w="614" w:type="dxa"/>
            <w:tcBorders>
              <w:top w:val="single" w:sz="4" w:space="0" w:color="000000"/>
              <w:left w:val="single" w:sz="4" w:space="0" w:color="FFFFFF"/>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193" w:type="dxa"/>
            <w:tcBorders>
              <w:top w:val="single" w:sz="4" w:space="0" w:color="000000"/>
              <w:left w:val="single" w:sz="10"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FFFFFF"/>
            </w:tcBorders>
          </w:tcPr>
          <w:p>
            <w:pPr/>
          </w:p>
        </w:tc>
        <w:tc>
          <w:tcPr>
            <w:tcW w:w="614" w:type="dxa"/>
            <w:tcBorders>
              <w:top w:val="single" w:sz="4" w:space="0" w:color="000000"/>
              <w:left w:val="single" w:sz="4" w:space="0" w:color="FFFFFF"/>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48" w:firstLine="719"/>
              <w:jc w:val="left"/>
              <w:rPr>
                <w:rFonts w:ascii="宋体" w:hAnsi="宋体" w:cs="宋体" w:eastAsia="宋体" w:hint="default"/>
                <w:sz w:val="18"/>
                <w:szCs w:val="18"/>
              </w:rPr>
            </w:pPr>
            <w:r>
              <w:rPr>
                <w:rFonts w:ascii="宋体" w:hAnsi="宋体" w:cs="宋体" w:eastAsia="宋体" w:hint="default"/>
                <w:sz w:val="18"/>
                <w:szCs w:val="18"/>
              </w:rPr>
              <w:t>同一控制</w:t>
            </w:r>
            <w:r>
              <w:rPr>
                <w:rFonts w:ascii="宋体" w:hAnsi="宋体" w:cs="宋体" w:eastAsia="宋体" w:hint="default"/>
                <w:w w:val="101"/>
                <w:sz w:val="18"/>
                <w:szCs w:val="18"/>
              </w:rPr>
              <w:t> </w:t>
            </w:r>
            <w:r>
              <w:rPr>
                <w:rFonts w:ascii="宋体" w:hAnsi="宋体" w:cs="宋体" w:eastAsia="宋体" w:hint="default"/>
                <w:sz w:val="18"/>
                <w:szCs w:val="18"/>
              </w:rPr>
              <w:t>下企业合并</w:t>
            </w:r>
          </w:p>
        </w:tc>
        <w:tc>
          <w:tcPr>
            <w:tcW w:w="1193" w:type="dxa"/>
            <w:tcBorders>
              <w:top w:val="single" w:sz="4" w:space="0" w:color="000000"/>
              <w:left w:val="single" w:sz="10"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FFFFFF"/>
            </w:tcBorders>
          </w:tcPr>
          <w:p>
            <w:pPr/>
          </w:p>
        </w:tc>
        <w:tc>
          <w:tcPr>
            <w:tcW w:w="614" w:type="dxa"/>
            <w:tcBorders>
              <w:top w:val="single" w:sz="4" w:space="0" w:color="000000"/>
              <w:left w:val="single" w:sz="4" w:space="0" w:color="FFFFFF"/>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0"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FFFFFF"/>
            </w:tcBorders>
          </w:tcPr>
          <w:p>
            <w:pPr/>
          </w:p>
        </w:tc>
        <w:tc>
          <w:tcPr>
            <w:tcW w:w="614" w:type="dxa"/>
            <w:tcBorders>
              <w:top w:val="single" w:sz="4" w:space="0" w:color="000000"/>
              <w:left w:val="single" w:sz="4" w:space="0" w:color="FFFFFF"/>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150,000,000.00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148,359,523.47</w:t>
            </w:r>
          </w:p>
        </w:tc>
        <w:tc>
          <w:tcPr>
            <w:tcW w:w="614" w:type="dxa"/>
            <w:tcBorders>
              <w:top w:val="single" w:sz="4" w:space="0" w:color="000000"/>
              <w:left w:val="single" w:sz="4" w:space="0" w:color="FFFFFF"/>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30,936,160.02</w:t>
            </w: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189,429,452.11</w:t>
            </w:r>
          </w:p>
        </w:tc>
        <w:tc>
          <w:tcPr>
            <w:tcW w:w="5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518,725,135.60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11,877,582.21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530,602,717.81</w:t>
            </w:r>
          </w:p>
        </w:tc>
      </w:tr>
      <w:tr>
        <w:trPr>
          <w:trHeight w:val="1028" w:hRule="exact"/>
        </w:trPr>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48"/>
              <w:jc w:val="both"/>
              <w:rPr>
                <w:rFonts w:ascii="宋体" w:hAnsi="宋体" w:cs="宋体" w:eastAsia="宋体" w:hint="default"/>
                <w:sz w:val="18"/>
                <w:szCs w:val="18"/>
              </w:rPr>
            </w:pPr>
            <w:r>
              <w:rPr>
                <w:rFonts w:ascii="宋体" w:hAnsi="宋体" w:cs="宋体" w:eastAsia="宋体" w:hint="default"/>
                <w:spacing w:val="-2"/>
                <w:sz w:val="18"/>
                <w:szCs w:val="18"/>
              </w:rPr>
              <w:t>三、本期增减变动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1193" w:type="dxa"/>
            <w:tcBorders>
              <w:top w:val="single" w:sz="4" w:space="0" w:color="000000"/>
              <w:left w:val="single" w:sz="10"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1,279.81</w:t>
            </w:r>
          </w:p>
        </w:tc>
        <w:tc>
          <w:tcPr>
            <w:tcW w:w="614" w:type="dxa"/>
            <w:tcBorders>
              <w:top w:val="single" w:sz="4" w:space="0" w:color="000000"/>
              <w:left w:val="single" w:sz="4" w:space="0" w:color="FFFFFF"/>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2,316,786.01</w:t>
            </w: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22,655,297.78</w:t>
            </w:r>
          </w:p>
        </w:tc>
        <w:tc>
          <w:tcPr>
            <w:tcW w:w="5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24,973,363.60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11,777,713.70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36,751,077.30</w:t>
            </w:r>
          </w:p>
        </w:tc>
      </w:tr>
      <w:tr>
        <w:trPr>
          <w:trHeight w:val="711" w:hRule="exact"/>
        </w:trPr>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48"/>
              <w:jc w:val="left"/>
              <w:rPr>
                <w:rFonts w:ascii="宋体" w:hAnsi="宋体" w:cs="宋体" w:eastAsia="宋体" w:hint="default"/>
                <w:sz w:val="18"/>
                <w:szCs w:val="18"/>
              </w:rPr>
            </w:pPr>
            <w:r>
              <w:rPr>
                <w:rFonts w:ascii="宋体" w:hAnsi="宋体" w:cs="宋体" w:eastAsia="宋体" w:hint="default"/>
                <w:spacing w:val="-2"/>
                <w:sz w:val="18"/>
                <w:szCs w:val="18"/>
              </w:rPr>
              <w:t>（一）综合收益总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额</w:t>
            </w:r>
          </w:p>
        </w:tc>
        <w:tc>
          <w:tcPr>
            <w:tcW w:w="1193" w:type="dxa"/>
            <w:tcBorders>
              <w:top w:val="single" w:sz="4" w:space="0" w:color="000000"/>
              <w:left w:val="single" w:sz="10"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FFFFFF"/>
            </w:tcBorders>
          </w:tcPr>
          <w:p>
            <w:pPr/>
          </w:p>
        </w:tc>
        <w:tc>
          <w:tcPr>
            <w:tcW w:w="614" w:type="dxa"/>
            <w:tcBorders>
              <w:top w:val="single" w:sz="4" w:space="0" w:color="000000"/>
              <w:left w:val="single" w:sz="4" w:space="0" w:color="FFFFFF"/>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28,112,269.71</w:t>
            </w:r>
          </w:p>
        </w:tc>
        <w:tc>
          <w:tcPr>
            <w:tcW w:w="5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pacing w:val="-2"/>
                <w:sz w:val="18"/>
              </w:rPr>
              <w:t>28,112,269.71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2,938,742.95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31,051,012.66</w:t>
            </w:r>
          </w:p>
        </w:tc>
      </w:tr>
      <w:tr>
        <w:trPr>
          <w:trHeight w:val="715" w:hRule="exact"/>
        </w:trPr>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48"/>
              <w:jc w:val="left"/>
              <w:rPr>
                <w:rFonts w:ascii="宋体" w:hAnsi="宋体" w:cs="宋体" w:eastAsia="宋体" w:hint="default"/>
                <w:sz w:val="18"/>
                <w:szCs w:val="18"/>
              </w:rPr>
            </w:pPr>
            <w:r>
              <w:rPr>
                <w:rFonts w:ascii="宋体" w:hAnsi="宋体" w:cs="宋体" w:eastAsia="宋体" w:hint="default"/>
                <w:spacing w:val="-2"/>
                <w:sz w:val="18"/>
                <w:szCs w:val="18"/>
              </w:rPr>
              <w:t>（二）所有者投入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和减少资本</w:t>
            </w:r>
          </w:p>
        </w:tc>
        <w:tc>
          <w:tcPr>
            <w:tcW w:w="1193" w:type="dxa"/>
            <w:tcBorders>
              <w:top w:val="single" w:sz="4" w:space="0" w:color="000000"/>
              <w:left w:val="single" w:sz="10"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1,279.81</w:t>
            </w:r>
          </w:p>
        </w:tc>
        <w:tc>
          <w:tcPr>
            <w:tcW w:w="614" w:type="dxa"/>
            <w:tcBorders>
              <w:top w:val="single" w:sz="4" w:space="0" w:color="000000"/>
              <w:left w:val="single" w:sz="4" w:space="0" w:color="FFFFFF"/>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-3,140,185.92</w:t>
            </w:r>
          </w:p>
        </w:tc>
        <w:tc>
          <w:tcPr>
            <w:tcW w:w="5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spacing w:val="-2"/>
                <w:sz w:val="18"/>
              </w:rPr>
              <w:t>-3,138,906.11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8,838,970.75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82" w:right="0"/>
              <w:jc w:val="center"/>
              <w:rPr>
                <w:rFonts w:ascii="Times New Roman" w:hAnsi="Times New Roman" w:cs="Times New Roman" w:eastAsia="Times New Roman" w:hint="default"/>
                <w:sz w:val="18"/>
                <w:szCs w:val="18"/>
              </w:rPr>
            </w:pPr>
            <w:r>
              <w:rPr>
                <w:rFonts w:ascii="Times New Roman"/>
                <w:sz w:val="18"/>
              </w:rPr>
              <w:t>5,700,064.64</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460" w:footer="974" w:top="1060" w:bottom="1160" w:left="1300" w:right="1280"/>
        </w:sectPr>
      </w:pPr>
    </w:p>
    <w:tbl>
      <w:tblPr>
        <w:tblW w:w="0" w:type="auto"/>
        <w:jc w:val="left"/>
        <w:tblInd w:w="106" w:type="dxa"/>
        <w:tblLayout w:type="fixed"/>
        <w:tblCellMar>
          <w:top w:w="0" w:type="dxa"/>
          <w:left w:w="0" w:type="dxa"/>
          <w:bottom w:w="0" w:type="dxa"/>
          <w:right w:w="0" w:type="dxa"/>
        </w:tblCellMar>
        <w:tblLook w:val="01E0"/>
      </w:tblPr>
      <w:tblGrid>
        <w:gridCol w:w="1529"/>
        <w:gridCol w:w="1193"/>
        <w:gridCol w:w="428"/>
        <w:gridCol w:w="422"/>
        <w:gridCol w:w="490"/>
        <w:gridCol w:w="1181"/>
        <w:gridCol w:w="614"/>
        <w:gridCol w:w="610"/>
        <w:gridCol w:w="614"/>
        <w:gridCol w:w="1090"/>
        <w:gridCol w:w="614"/>
        <w:gridCol w:w="1181"/>
        <w:gridCol w:w="595"/>
        <w:gridCol w:w="1181"/>
        <w:gridCol w:w="1094"/>
        <w:gridCol w:w="1181"/>
      </w:tblGrid>
      <w:tr>
        <w:trPr>
          <w:trHeight w:val="730" w:hRule="exact"/>
        </w:trPr>
        <w:tc>
          <w:tcPr>
            <w:tcW w:w="152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3" w:right="5"/>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．所有者投入的普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通股</w:t>
            </w:r>
          </w:p>
        </w:tc>
        <w:tc>
          <w:tcPr>
            <w:tcW w:w="1193" w:type="dxa"/>
            <w:tcBorders>
              <w:top w:val="single" w:sz="15" w:space="0" w:color="000000"/>
              <w:left w:val="single" w:sz="10" w:space="0" w:color="D2D2D2"/>
              <w:bottom w:val="single" w:sz="4" w:space="0" w:color="000000"/>
              <w:right w:val="single" w:sz="4" w:space="0" w:color="000000"/>
            </w:tcBorders>
          </w:tcPr>
          <w:p>
            <w:pPr/>
          </w:p>
        </w:tc>
        <w:tc>
          <w:tcPr>
            <w:tcW w:w="428" w:type="dxa"/>
            <w:tcBorders>
              <w:top w:val="single" w:sz="15" w:space="0" w:color="000000"/>
              <w:left w:val="single" w:sz="4" w:space="0" w:color="000000"/>
              <w:bottom w:val="single" w:sz="4" w:space="0" w:color="000000"/>
              <w:right w:val="single" w:sz="4" w:space="0" w:color="000000"/>
            </w:tcBorders>
          </w:tcPr>
          <w:p>
            <w:pPr/>
          </w:p>
        </w:tc>
        <w:tc>
          <w:tcPr>
            <w:tcW w:w="422" w:type="dxa"/>
            <w:tcBorders>
              <w:top w:val="single" w:sz="15" w:space="0" w:color="000000"/>
              <w:left w:val="single" w:sz="4" w:space="0" w:color="000000"/>
              <w:bottom w:val="single" w:sz="4" w:space="0" w:color="000000"/>
              <w:right w:val="single" w:sz="4" w:space="0" w:color="000000"/>
            </w:tcBorders>
          </w:tcPr>
          <w:p>
            <w:pPr/>
          </w:p>
        </w:tc>
        <w:tc>
          <w:tcPr>
            <w:tcW w:w="490"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614" w:type="dxa"/>
            <w:tcBorders>
              <w:top w:val="single" w:sz="15" w:space="0" w:color="000000"/>
              <w:left w:val="single" w:sz="4" w:space="0" w:color="000000"/>
              <w:bottom w:val="single" w:sz="4" w:space="0" w:color="000000"/>
              <w:right w:val="single" w:sz="4" w:space="0" w:color="000000"/>
            </w:tcBorders>
          </w:tcPr>
          <w:p>
            <w:pPr/>
          </w:p>
        </w:tc>
        <w:tc>
          <w:tcPr>
            <w:tcW w:w="610" w:type="dxa"/>
            <w:tcBorders>
              <w:top w:val="single" w:sz="15" w:space="0" w:color="000000"/>
              <w:left w:val="single" w:sz="4" w:space="0" w:color="000000"/>
              <w:bottom w:val="single" w:sz="4" w:space="0" w:color="000000"/>
              <w:right w:val="single" w:sz="4" w:space="0" w:color="000000"/>
            </w:tcBorders>
          </w:tcPr>
          <w:p>
            <w:pPr/>
          </w:p>
        </w:tc>
        <w:tc>
          <w:tcPr>
            <w:tcW w:w="614"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614"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595"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094"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r>
      <w:tr>
        <w:trPr>
          <w:trHeight w:val="716" w:hRule="exact"/>
        </w:trPr>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3" w:right="5"/>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．其他权益工具持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有者投入资本</w:t>
            </w:r>
          </w:p>
        </w:tc>
        <w:tc>
          <w:tcPr>
            <w:tcW w:w="1193" w:type="dxa"/>
            <w:tcBorders>
              <w:top w:val="single" w:sz="4" w:space="0" w:color="000000"/>
              <w:left w:val="single" w:sz="10"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 w:right="5"/>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．股份支付计入所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有者权益的金额</w:t>
            </w:r>
          </w:p>
        </w:tc>
        <w:tc>
          <w:tcPr>
            <w:tcW w:w="1193" w:type="dxa"/>
            <w:tcBorders>
              <w:top w:val="single" w:sz="4" w:space="0" w:color="000000"/>
              <w:left w:val="single" w:sz="10"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0"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19" w:right="0"/>
              <w:jc w:val="left"/>
              <w:rPr>
                <w:rFonts w:ascii="Times New Roman" w:hAnsi="Times New Roman" w:cs="Times New Roman" w:eastAsia="Times New Roman" w:hint="default"/>
                <w:sz w:val="18"/>
                <w:szCs w:val="18"/>
              </w:rPr>
            </w:pPr>
            <w:r>
              <w:rPr>
                <w:rFonts w:ascii="Times New Roman"/>
                <w:sz w:val="18"/>
              </w:rPr>
              <w:t>1,279.81</w:t>
            </w:r>
          </w:p>
        </w:tc>
        <w:tc>
          <w:tcPr>
            <w:tcW w:w="614"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-3,140,185.92</w:t>
            </w:r>
          </w:p>
        </w:tc>
        <w:tc>
          <w:tcPr>
            <w:tcW w:w="5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-3,138,906.11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8,838,970.75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2" w:right="0"/>
              <w:jc w:val="left"/>
              <w:rPr>
                <w:rFonts w:ascii="Times New Roman" w:hAnsi="Times New Roman" w:cs="Times New Roman" w:eastAsia="Times New Roman" w:hint="default"/>
                <w:sz w:val="18"/>
                <w:szCs w:val="18"/>
              </w:rPr>
            </w:pPr>
            <w:r>
              <w:rPr>
                <w:rFonts w:ascii="Times New Roman"/>
                <w:sz w:val="18"/>
              </w:rPr>
              <w:t>5,700,064.64</w:t>
            </w:r>
          </w:p>
        </w:tc>
      </w:tr>
      <w:tr>
        <w:trPr>
          <w:trHeight w:val="403" w:hRule="exact"/>
        </w:trPr>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1193" w:type="dxa"/>
            <w:tcBorders>
              <w:top w:val="single" w:sz="4" w:space="0" w:color="000000"/>
              <w:left w:val="single" w:sz="10"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2,316,786.01</w:t>
            </w: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-2,316,786.01</w:t>
            </w:r>
          </w:p>
        </w:tc>
        <w:tc>
          <w:tcPr>
            <w:tcW w:w="5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0"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2,316,786.01</w:t>
            </w: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-2,316,786.01</w:t>
            </w:r>
          </w:p>
        </w:tc>
        <w:tc>
          <w:tcPr>
            <w:tcW w:w="5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 w:right="5"/>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．提取一般风险准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w:t>
            </w:r>
          </w:p>
        </w:tc>
        <w:tc>
          <w:tcPr>
            <w:tcW w:w="1193" w:type="dxa"/>
            <w:tcBorders>
              <w:top w:val="single" w:sz="4" w:space="0" w:color="000000"/>
              <w:left w:val="single" w:sz="10"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3" w:right="5"/>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．对所有者（或股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东）的分配</w:t>
            </w:r>
          </w:p>
        </w:tc>
        <w:tc>
          <w:tcPr>
            <w:tcW w:w="1193" w:type="dxa"/>
            <w:tcBorders>
              <w:top w:val="single" w:sz="4" w:space="0" w:color="000000"/>
              <w:left w:val="single" w:sz="10"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0"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48"/>
              <w:jc w:val="left"/>
              <w:rPr>
                <w:rFonts w:ascii="宋体" w:hAnsi="宋体" w:cs="宋体" w:eastAsia="宋体" w:hint="default"/>
                <w:sz w:val="18"/>
                <w:szCs w:val="18"/>
              </w:rPr>
            </w:pPr>
            <w:r>
              <w:rPr>
                <w:rFonts w:ascii="宋体" w:hAnsi="宋体" w:cs="宋体" w:eastAsia="宋体" w:hint="default"/>
                <w:spacing w:val="-2"/>
                <w:sz w:val="18"/>
                <w:szCs w:val="18"/>
              </w:rPr>
              <w:t>（四）所有者权益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内部结转</w:t>
            </w:r>
          </w:p>
        </w:tc>
        <w:tc>
          <w:tcPr>
            <w:tcW w:w="1193" w:type="dxa"/>
            <w:tcBorders>
              <w:top w:val="single" w:sz="4" w:space="0" w:color="000000"/>
              <w:left w:val="single" w:sz="10"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 w:right="5"/>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．资本公积转增资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本（或股本）</w:t>
            </w:r>
          </w:p>
        </w:tc>
        <w:tc>
          <w:tcPr>
            <w:tcW w:w="1193" w:type="dxa"/>
            <w:tcBorders>
              <w:top w:val="single" w:sz="4" w:space="0" w:color="000000"/>
              <w:left w:val="single" w:sz="10"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3" w:right="5"/>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．盈余公积转增资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本（或股本）</w:t>
            </w:r>
          </w:p>
        </w:tc>
        <w:tc>
          <w:tcPr>
            <w:tcW w:w="1193" w:type="dxa"/>
            <w:tcBorders>
              <w:top w:val="single" w:sz="4" w:space="0" w:color="000000"/>
              <w:left w:val="single" w:sz="10"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3" w:right="5"/>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．盈余公积弥补亏</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损</w:t>
            </w:r>
          </w:p>
        </w:tc>
        <w:tc>
          <w:tcPr>
            <w:tcW w:w="1193" w:type="dxa"/>
            <w:tcBorders>
              <w:top w:val="single" w:sz="4" w:space="0" w:color="000000"/>
              <w:left w:val="single" w:sz="10"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 w:right="5"/>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．设定受益计划变</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动额结转留存收益</w:t>
            </w:r>
          </w:p>
        </w:tc>
        <w:tc>
          <w:tcPr>
            <w:tcW w:w="1193" w:type="dxa"/>
            <w:tcBorders>
              <w:top w:val="single" w:sz="4" w:space="0" w:color="000000"/>
              <w:left w:val="single" w:sz="10"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3" w:right="5"/>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．其他综合收益结</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转留存收益</w:t>
            </w:r>
          </w:p>
        </w:tc>
        <w:tc>
          <w:tcPr>
            <w:tcW w:w="1193" w:type="dxa"/>
            <w:tcBorders>
              <w:top w:val="single" w:sz="4" w:space="0" w:color="000000"/>
              <w:left w:val="single" w:sz="10"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460" w:footer="974" w:top="1100" w:bottom="1160" w:left="1300" w:right="1280"/>
        </w:sectPr>
      </w:pPr>
    </w:p>
    <w:p>
      <w:pPr>
        <w:spacing w:line="240" w:lineRule="auto" w:before="3"/>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529"/>
        <w:gridCol w:w="1193"/>
        <w:gridCol w:w="428"/>
        <w:gridCol w:w="422"/>
        <w:gridCol w:w="490"/>
        <w:gridCol w:w="1181"/>
        <w:gridCol w:w="614"/>
        <w:gridCol w:w="610"/>
        <w:gridCol w:w="614"/>
        <w:gridCol w:w="1090"/>
        <w:gridCol w:w="614"/>
        <w:gridCol w:w="1181"/>
        <w:gridCol w:w="595"/>
        <w:gridCol w:w="1181"/>
        <w:gridCol w:w="1094"/>
        <w:gridCol w:w="1181"/>
      </w:tblGrid>
      <w:tr>
        <w:trPr>
          <w:trHeight w:val="418" w:hRule="exact"/>
        </w:trPr>
        <w:tc>
          <w:tcPr>
            <w:tcW w:w="152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93" w:type="dxa"/>
            <w:tcBorders>
              <w:top w:val="single" w:sz="15" w:space="0" w:color="000000"/>
              <w:left w:val="single" w:sz="10" w:space="0" w:color="D2D2D2"/>
              <w:bottom w:val="single" w:sz="4" w:space="0" w:color="000000"/>
              <w:right w:val="single" w:sz="4" w:space="0" w:color="000000"/>
            </w:tcBorders>
          </w:tcPr>
          <w:p>
            <w:pPr/>
          </w:p>
        </w:tc>
        <w:tc>
          <w:tcPr>
            <w:tcW w:w="428" w:type="dxa"/>
            <w:tcBorders>
              <w:top w:val="single" w:sz="15" w:space="0" w:color="000000"/>
              <w:left w:val="single" w:sz="4" w:space="0" w:color="000000"/>
              <w:bottom w:val="single" w:sz="4" w:space="0" w:color="000000"/>
              <w:right w:val="single" w:sz="4" w:space="0" w:color="000000"/>
            </w:tcBorders>
          </w:tcPr>
          <w:p>
            <w:pPr/>
          </w:p>
        </w:tc>
        <w:tc>
          <w:tcPr>
            <w:tcW w:w="422" w:type="dxa"/>
            <w:tcBorders>
              <w:top w:val="single" w:sz="15" w:space="0" w:color="000000"/>
              <w:left w:val="single" w:sz="4" w:space="0" w:color="000000"/>
              <w:bottom w:val="single" w:sz="4" w:space="0" w:color="000000"/>
              <w:right w:val="single" w:sz="4" w:space="0" w:color="000000"/>
            </w:tcBorders>
          </w:tcPr>
          <w:p>
            <w:pPr/>
          </w:p>
        </w:tc>
        <w:tc>
          <w:tcPr>
            <w:tcW w:w="490"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614" w:type="dxa"/>
            <w:tcBorders>
              <w:top w:val="single" w:sz="15" w:space="0" w:color="000000"/>
              <w:left w:val="single" w:sz="4" w:space="0" w:color="000000"/>
              <w:bottom w:val="single" w:sz="4" w:space="0" w:color="000000"/>
              <w:right w:val="single" w:sz="4" w:space="0" w:color="000000"/>
            </w:tcBorders>
          </w:tcPr>
          <w:p>
            <w:pPr/>
          </w:p>
        </w:tc>
        <w:tc>
          <w:tcPr>
            <w:tcW w:w="610" w:type="dxa"/>
            <w:tcBorders>
              <w:top w:val="single" w:sz="15" w:space="0" w:color="000000"/>
              <w:left w:val="single" w:sz="4" w:space="0" w:color="000000"/>
              <w:bottom w:val="single" w:sz="4" w:space="0" w:color="000000"/>
              <w:right w:val="single" w:sz="4" w:space="0" w:color="000000"/>
            </w:tcBorders>
          </w:tcPr>
          <w:p>
            <w:pPr/>
          </w:p>
        </w:tc>
        <w:tc>
          <w:tcPr>
            <w:tcW w:w="614"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614"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595"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094"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r>
      <w:tr>
        <w:trPr>
          <w:trHeight w:val="404" w:hRule="exact"/>
        </w:trPr>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1193" w:type="dxa"/>
            <w:tcBorders>
              <w:top w:val="single" w:sz="4" w:space="0" w:color="000000"/>
              <w:left w:val="single" w:sz="10"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93" w:type="dxa"/>
            <w:tcBorders>
              <w:top w:val="single" w:sz="4" w:space="0" w:color="000000"/>
              <w:left w:val="single" w:sz="10"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93" w:type="dxa"/>
            <w:tcBorders>
              <w:top w:val="single" w:sz="4" w:space="0" w:color="000000"/>
              <w:left w:val="single" w:sz="10"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3" w:type="dxa"/>
            <w:tcBorders>
              <w:top w:val="single" w:sz="4" w:space="0" w:color="000000"/>
              <w:left w:val="single" w:sz="10"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150,000,000.00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148,360,803.28</w:t>
            </w:r>
          </w:p>
        </w:tc>
        <w:tc>
          <w:tcPr>
            <w:tcW w:w="614"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33,252,946.03</w:t>
            </w:r>
          </w:p>
        </w:tc>
        <w:tc>
          <w:tcPr>
            <w:tcW w:w="6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212,084,749.89</w:t>
            </w:r>
          </w:p>
        </w:tc>
        <w:tc>
          <w:tcPr>
            <w:tcW w:w="5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543,698,499.20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23,655,295.91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567,353,795.11</w:t>
            </w:r>
          </w:p>
        </w:tc>
      </w:tr>
    </w:tbl>
    <w:p>
      <w:pPr>
        <w:spacing w:line="240" w:lineRule="auto" w:before="3"/>
        <w:rPr>
          <w:rFonts w:ascii="宋体" w:hAnsi="宋体" w:cs="宋体" w:eastAsia="宋体" w:hint="default"/>
          <w:sz w:val="19"/>
          <w:szCs w:val="19"/>
        </w:rPr>
      </w:pPr>
    </w:p>
    <w:p>
      <w:pPr>
        <w:pStyle w:val="Heading3"/>
        <w:spacing w:line="240" w:lineRule="auto" w:before="36"/>
        <w:ind w:left="140" w:right="0"/>
        <w:jc w:val="left"/>
        <w:rPr>
          <w:b w:val="0"/>
          <w:bCs w:val="0"/>
        </w:rPr>
      </w:pPr>
      <w:bookmarkStart w:name="8、母公司所有者权益变动表" w:id="171"/>
      <w:bookmarkEnd w:id="171"/>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2"/>
        <w:rPr>
          <w:rFonts w:ascii="宋体" w:hAnsi="宋体" w:cs="宋体" w:eastAsia="宋体" w:hint="default"/>
          <w:b/>
          <w:bCs/>
          <w:sz w:val="23"/>
          <w:szCs w:val="23"/>
        </w:rPr>
      </w:pPr>
    </w:p>
    <w:p>
      <w:pPr>
        <w:spacing w:before="46"/>
        <w:ind w:left="140" w:right="0" w:firstLine="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p>
      <w:pPr>
        <w:spacing w:before="115"/>
        <w:ind w:left="0" w:right="244"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815"/>
        <w:gridCol w:w="1193"/>
        <w:gridCol w:w="806"/>
        <w:gridCol w:w="812"/>
        <w:gridCol w:w="811"/>
        <w:gridCol w:w="1181"/>
        <w:gridCol w:w="984"/>
        <w:gridCol w:w="989"/>
        <w:gridCol w:w="985"/>
        <w:gridCol w:w="1094"/>
        <w:gridCol w:w="1181"/>
        <w:gridCol w:w="965"/>
        <w:gridCol w:w="1191"/>
      </w:tblGrid>
      <w:tr>
        <w:trPr>
          <w:trHeight w:val="398" w:hRule="exact"/>
        </w:trPr>
        <w:tc>
          <w:tcPr>
            <w:tcW w:w="1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207" w:hRule="exact"/>
        </w:trPr>
        <w:tc>
          <w:tcPr>
            <w:tcW w:w="18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42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6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98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398" w:right="36" w:hanging="361"/>
              <w:jc w:val="left"/>
              <w:rPr>
                <w:rFonts w:ascii="宋体" w:hAnsi="宋体" w:cs="宋体" w:eastAsia="宋体" w:hint="default"/>
                <w:sz w:val="18"/>
                <w:szCs w:val="18"/>
              </w:rPr>
            </w:pPr>
            <w:r>
              <w:rPr>
                <w:rFonts w:ascii="宋体" w:hAnsi="宋体" w:cs="宋体" w:eastAsia="宋体" w:hint="default"/>
                <w:spacing w:val="-2"/>
                <w:sz w:val="18"/>
                <w:szCs w:val="18"/>
              </w:rPr>
              <w:t>其他综合收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益</w:t>
            </w:r>
          </w:p>
        </w:tc>
        <w:tc>
          <w:tcPr>
            <w:tcW w:w="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9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494" w:right="51" w:hanging="452"/>
              <w:jc w:val="left"/>
              <w:rPr>
                <w:rFonts w:ascii="宋体" w:hAnsi="宋体" w:cs="宋体" w:eastAsia="宋体" w:hint="default"/>
                <w:sz w:val="18"/>
                <w:szCs w:val="18"/>
              </w:rPr>
            </w:pPr>
            <w:r>
              <w:rPr>
                <w:rFonts w:ascii="宋体" w:hAnsi="宋体" w:cs="宋体" w:eastAsia="宋体" w:hint="default"/>
                <w:spacing w:val="-2"/>
                <w:sz w:val="18"/>
                <w:szCs w:val="18"/>
              </w:rPr>
              <w:t>所有者权益合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计</w:t>
            </w:r>
          </w:p>
        </w:tc>
      </w:tr>
      <w:tr>
        <w:trPr>
          <w:trHeight w:val="192" w:hRule="exact"/>
        </w:trPr>
        <w:tc>
          <w:tcPr>
            <w:tcW w:w="1815"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429"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89" w:type="dxa"/>
            <w:vMerge/>
            <w:tcBorders>
              <w:left w:val="single" w:sz="4" w:space="0" w:color="000000"/>
              <w:right w:val="single" w:sz="4" w:space="0" w:color="000000"/>
            </w:tcBorders>
            <w:shd w:val="clear" w:color="auto" w:fill="D2D2D2"/>
          </w:tcPr>
          <w:p>
            <w:pPr/>
          </w:p>
        </w:tc>
        <w:tc>
          <w:tcPr>
            <w:tcW w:w="9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1" w:type="dxa"/>
            <w:vMerge/>
            <w:tcBorders>
              <w:left w:val="single" w:sz="4" w:space="0" w:color="000000"/>
              <w:right w:val="single" w:sz="4" w:space="0" w:color="000000"/>
            </w:tcBorders>
            <w:shd w:val="clear" w:color="auto" w:fill="D2D2D2"/>
          </w:tcPr>
          <w:p>
            <w:pPr/>
          </w:p>
        </w:tc>
      </w:tr>
      <w:tr>
        <w:trPr>
          <w:trHeight w:val="202" w:hRule="exact"/>
        </w:trPr>
        <w:tc>
          <w:tcPr>
            <w:tcW w:w="1815" w:type="dxa"/>
            <w:vMerge w:val="restart"/>
            <w:tcBorders>
              <w:top w:val="nil" w:sz="6" w:space="0" w:color="auto"/>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8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2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2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984" w:type="dxa"/>
            <w:vMerge/>
            <w:tcBorders>
              <w:left w:val="single" w:sz="4" w:space="0" w:color="000000"/>
              <w:bottom w:val="nil" w:sz="6" w:space="0" w:color="auto"/>
              <w:right w:val="single" w:sz="4" w:space="0" w:color="000000"/>
            </w:tcBorders>
            <w:shd w:val="clear" w:color="auto" w:fill="D2D2D2"/>
          </w:tcPr>
          <w:p>
            <w:pPr/>
          </w:p>
        </w:tc>
        <w:tc>
          <w:tcPr>
            <w:tcW w:w="989" w:type="dxa"/>
            <w:vMerge/>
            <w:tcBorders>
              <w:left w:val="single" w:sz="4" w:space="0" w:color="000000"/>
              <w:right w:val="single" w:sz="4" w:space="0" w:color="000000"/>
            </w:tcBorders>
            <w:shd w:val="clear" w:color="auto" w:fill="D2D2D2"/>
          </w:tcPr>
          <w:p>
            <w:pPr/>
          </w:p>
        </w:tc>
        <w:tc>
          <w:tcPr>
            <w:tcW w:w="985" w:type="dxa"/>
            <w:vMerge/>
            <w:tcBorders>
              <w:left w:val="single" w:sz="4" w:space="0" w:color="000000"/>
              <w:bottom w:val="nil" w:sz="6" w:space="0" w:color="auto"/>
              <w:right w:val="single" w:sz="4" w:space="0" w:color="000000"/>
            </w:tcBorders>
            <w:shd w:val="clear" w:color="auto" w:fill="D2D2D2"/>
          </w:tcPr>
          <w:p>
            <w:pPr/>
          </w:p>
        </w:tc>
        <w:tc>
          <w:tcPr>
            <w:tcW w:w="1094"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965" w:type="dxa"/>
            <w:vMerge/>
            <w:tcBorders>
              <w:left w:val="single" w:sz="4" w:space="0" w:color="000000"/>
              <w:bottom w:val="nil" w:sz="6" w:space="0" w:color="auto"/>
              <w:right w:val="single" w:sz="4" w:space="0" w:color="000000"/>
            </w:tcBorders>
            <w:shd w:val="clear" w:color="auto" w:fill="D2D2D2"/>
          </w:tcPr>
          <w:p>
            <w:pPr/>
          </w:p>
        </w:tc>
        <w:tc>
          <w:tcPr>
            <w:tcW w:w="1191" w:type="dxa"/>
            <w:vMerge/>
            <w:tcBorders>
              <w:left w:val="single" w:sz="4" w:space="0" w:color="000000"/>
              <w:right w:val="single" w:sz="4" w:space="0" w:color="000000"/>
            </w:tcBorders>
            <w:shd w:val="clear" w:color="auto" w:fill="D2D2D2"/>
          </w:tcPr>
          <w:p>
            <w:pPr/>
          </w:p>
        </w:tc>
      </w:tr>
      <w:tr>
        <w:trPr>
          <w:trHeight w:val="206" w:hRule="exact"/>
        </w:trPr>
        <w:tc>
          <w:tcPr>
            <w:tcW w:w="1815"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806" w:type="dxa"/>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single" w:sz="4" w:space="0" w:color="000000"/>
              <w:right w:val="single" w:sz="4" w:space="0" w:color="000000"/>
            </w:tcBorders>
            <w:shd w:val="clear" w:color="auto" w:fill="D2D2D2"/>
          </w:tcPr>
          <w:p>
            <w:pPr/>
          </w:p>
        </w:tc>
        <w:tc>
          <w:tcPr>
            <w:tcW w:w="811"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989" w:type="dxa"/>
            <w:vMerge/>
            <w:tcBorders>
              <w:left w:val="single" w:sz="4" w:space="0" w:color="000000"/>
              <w:bottom w:val="single" w:sz="4" w:space="0" w:color="000000"/>
              <w:right w:val="single" w:sz="4" w:space="0" w:color="000000"/>
            </w:tcBorders>
            <w:shd w:val="clear" w:color="auto" w:fill="D2D2D2"/>
          </w:tcPr>
          <w:p>
            <w:pPr/>
          </w:p>
        </w:tc>
        <w:tc>
          <w:tcPr>
            <w:tcW w:w="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9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150,000,000.00</w:t>
            </w:r>
          </w:p>
        </w:tc>
        <w:tc>
          <w:tcPr>
            <w:tcW w:w="80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147,940,922.48</w:t>
            </w:r>
          </w:p>
        </w:tc>
        <w:tc>
          <w:tcPr>
            <w:tcW w:w="98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21" w:space="0" w:color="D2D2D2"/>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33,252,946.03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192,686,106.64</w:t>
            </w:r>
          </w:p>
        </w:tc>
        <w:tc>
          <w:tcPr>
            <w:tcW w:w="96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21" w:space="0" w:color="D2D2D2"/>
              <w:left w:val="single" w:sz="4" w:space="0" w:color="000000"/>
              <w:bottom w:val="single" w:sz="4" w:space="0" w:color="000000"/>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8"/>
                <w:szCs w:val="18"/>
              </w:rPr>
            </w:pPr>
            <w:r>
              <w:rPr>
                <w:rFonts w:ascii="Times New Roman"/>
                <w:spacing w:val="-1"/>
                <w:sz w:val="18"/>
              </w:rPr>
              <w:t>523,879,975.15</w:t>
            </w:r>
          </w:p>
        </w:tc>
      </w:tr>
      <w:tr>
        <w:trPr>
          <w:trHeight w:val="404" w:hRule="exact"/>
        </w:trPr>
        <w:tc>
          <w:tcPr>
            <w:tcW w:w="1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5"/>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正</w:t>
            </w:r>
            <w:r>
              <w:rPr>
                <w:rFonts w:ascii="宋体" w:hAnsi="宋体" w:cs="宋体" w:eastAsia="宋体" w:hint="default"/>
                <w:sz w:val="18"/>
                <w:szCs w:val="18"/>
              </w:rPr>
            </w:r>
          </w:p>
        </w:tc>
        <w:tc>
          <w:tcPr>
            <w:tcW w:w="1193" w:type="dxa"/>
            <w:tcBorders>
              <w:top w:val="single" w:sz="4" w:space="0" w:color="000000"/>
              <w:left w:val="single" w:sz="13" w:space="0" w:color="D2D2D2"/>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150,000,000.00</w:t>
            </w:r>
          </w:p>
        </w:tc>
        <w:tc>
          <w:tcPr>
            <w:tcW w:w="80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147,940,922.48</w:t>
            </w:r>
          </w:p>
        </w:tc>
        <w:tc>
          <w:tcPr>
            <w:tcW w:w="98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33,252,946.03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192,686,106.64</w:t>
            </w:r>
          </w:p>
        </w:tc>
        <w:tc>
          <w:tcPr>
            <w:tcW w:w="96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523,879,975.15</w:t>
            </w:r>
          </w:p>
        </w:tc>
      </w:tr>
      <w:tr>
        <w:trPr>
          <w:trHeight w:val="715" w:hRule="exact"/>
        </w:trPr>
        <w:tc>
          <w:tcPr>
            <w:tcW w:w="1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pacing w:val="-2"/>
                <w:sz w:val="18"/>
                <w:szCs w:val="18"/>
              </w:rPr>
              <w:t>（减少以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330,000.00</w:t>
            </w:r>
          </w:p>
        </w:tc>
        <w:tc>
          <w:tcPr>
            <w:tcW w:w="98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1,409,644.36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7,436,799.21</w:t>
            </w:r>
          </w:p>
        </w:tc>
        <w:tc>
          <w:tcPr>
            <w:tcW w:w="96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9,176,443.57</w:t>
            </w:r>
          </w:p>
        </w:tc>
      </w:tr>
      <w:tr>
        <w:trPr>
          <w:trHeight w:val="399" w:hRule="exact"/>
        </w:trPr>
        <w:tc>
          <w:tcPr>
            <w:tcW w:w="1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14,096,443.57</w:t>
            </w:r>
          </w:p>
        </w:tc>
        <w:tc>
          <w:tcPr>
            <w:tcW w:w="96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14,096,443.57</w:t>
            </w:r>
          </w:p>
        </w:tc>
      </w:tr>
      <w:tr>
        <w:trPr>
          <w:trHeight w:val="715" w:hRule="exact"/>
        </w:trPr>
        <w:tc>
          <w:tcPr>
            <w:tcW w:w="1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5"/>
              <w:jc w:val="left"/>
              <w:rPr>
                <w:rFonts w:ascii="宋体" w:hAnsi="宋体" w:cs="宋体" w:eastAsia="宋体" w:hint="default"/>
                <w:sz w:val="18"/>
                <w:szCs w:val="18"/>
              </w:rPr>
            </w:pPr>
            <w:r>
              <w:rPr>
                <w:rFonts w:ascii="宋体" w:hAnsi="宋体" w:cs="宋体" w:eastAsia="宋体" w:hint="default"/>
                <w:spacing w:val="-4"/>
                <w:sz w:val="18"/>
                <w:szCs w:val="18"/>
              </w:rPr>
              <w:t>（二）所有者投入和减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少资本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330,000.00</w:t>
            </w:r>
          </w:p>
        </w:tc>
        <w:tc>
          <w:tcPr>
            <w:tcW w:w="98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330,000.00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460" w:footer="974" w:top="1060" w:bottom="1160" w:left="1300" w:right="1280"/>
        </w:sectPr>
      </w:pPr>
    </w:p>
    <w:tbl>
      <w:tblPr>
        <w:tblW w:w="0" w:type="auto"/>
        <w:jc w:val="left"/>
        <w:tblInd w:w="106" w:type="dxa"/>
        <w:tblLayout w:type="fixed"/>
        <w:tblCellMar>
          <w:top w:w="0" w:type="dxa"/>
          <w:left w:w="0" w:type="dxa"/>
          <w:bottom w:w="0" w:type="dxa"/>
          <w:right w:w="0" w:type="dxa"/>
        </w:tblCellMar>
        <w:tblLook w:val="01E0"/>
      </w:tblPr>
      <w:tblGrid>
        <w:gridCol w:w="1827"/>
        <w:gridCol w:w="1193"/>
        <w:gridCol w:w="806"/>
        <w:gridCol w:w="812"/>
        <w:gridCol w:w="811"/>
        <w:gridCol w:w="1181"/>
        <w:gridCol w:w="984"/>
        <w:gridCol w:w="989"/>
        <w:gridCol w:w="985"/>
        <w:gridCol w:w="1094"/>
        <w:gridCol w:w="1181"/>
        <w:gridCol w:w="965"/>
        <w:gridCol w:w="1191"/>
      </w:tblGrid>
      <w:tr>
        <w:trPr>
          <w:trHeight w:val="730" w:hRule="exact"/>
        </w:trPr>
        <w:tc>
          <w:tcPr>
            <w:tcW w:w="182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3" w:right="7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．所有者投入的普通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w:t>
            </w:r>
          </w:p>
        </w:tc>
        <w:tc>
          <w:tcPr>
            <w:tcW w:w="1193" w:type="dxa"/>
            <w:tcBorders>
              <w:top w:val="single" w:sz="15" w:space="0" w:color="000000"/>
              <w:left w:val="single" w:sz="13" w:space="0" w:color="D2D2D2"/>
              <w:bottom w:val="single" w:sz="4" w:space="0" w:color="000000"/>
              <w:right w:val="single" w:sz="4" w:space="0" w:color="000000"/>
            </w:tcBorders>
          </w:tcPr>
          <w:p>
            <w:pPr/>
          </w:p>
        </w:tc>
        <w:tc>
          <w:tcPr>
            <w:tcW w:w="806" w:type="dxa"/>
            <w:tcBorders>
              <w:top w:val="single" w:sz="15" w:space="0" w:color="000000"/>
              <w:left w:val="single" w:sz="4" w:space="0" w:color="000000"/>
              <w:bottom w:val="single" w:sz="4" w:space="0" w:color="000000"/>
              <w:right w:val="single" w:sz="4" w:space="0" w:color="000000"/>
            </w:tcBorders>
          </w:tcPr>
          <w:p>
            <w:pPr/>
          </w:p>
        </w:tc>
        <w:tc>
          <w:tcPr>
            <w:tcW w:w="812" w:type="dxa"/>
            <w:tcBorders>
              <w:top w:val="single" w:sz="15" w:space="0" w:color="000000"/>
              <w:left w:val="single" w:sz="4" w:space="0" w:color="000000"/>
              <w:bottom w:val="single" w:sz="4" w:space="0" w:color="000000"/>
              <w:right w:val="single" w:sz="4" w:space="0" w:color="000000"/>
            </w:tcBorders>
          </w:tcPr>
          <w:p>
            <w:pPr/>
          </w:p>
        </w:tc>
        <w:tc>
          <w:tcPr>
            <w:tcW w:w="811"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984" w:type="dxa"/>
            <w:tcBorders>
              <w:top w:val="single" w:sz="15" w:space="0" w:color="000000"/>
              <w:left w:val="single" w:sz="4" w:space="0" w:color="000000"/>
              <w:bottom w:val="single" w:sz="4" w:space="0" w:color="000000"/>
              <w:right w:val="single" w:sz="4" w:space="0" w:color="000000"/>
            </w:tcBorders>
          </w:tcPr>
          <w:p>
            <w:pPr/>
          </w:p>
        </w:tc>
        <w:tc>
          <w:tcPr>
            <w:tcW w:w="989" w:type="dxa"/>
            <w:tcBorders>
              <w:top w:val="single" w:sz="15" w:space="0" w:color="000000"/>
              <w:left w:val="single" w:sz="4" w:space="0" w:color="000000"/>
              <w:bottom w:val="single" w:sz="4" w:space="0" w:color="000000"/>
              <w:right w:val="single" w:sz="4" w:space="0" w:color="000000"/>
            </w:tcBorders>
          </w:tcPr>
          <w:p>
            <w:pPr/>
          </w:p>
        </w:tc>
        <w:tc>
          <w:tcPr>
            <w:tcW w:w="985" w:type="dxa"/>
            <w:tcBorders>
              <w:top w:val="single" w:sz="15" w:space="0" w:color="000000"/>
              <w:left w:val="single" w:sz="4" w:space="0" w:color="000000"/>
              <w:bottom w:val="single" w:sz="4" w:space="0" w:color="000000"/>
              <w:right w:val="single" w:sz="4" w:space="0" w:color="000000"/>
            </w:tcBorders>
          </w:tcPr>
          <w:p>
            <w:pPr/>
          </w:p>
        </w:tc>
        <w:tc>
          <w:tcPr>
            <w:tcW w:w="1094"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965" w:type="dxa"/>
            <w:tcBorders>
              <w:top w:val="single" w:sz="15" w:space="0" w:color="000000"/>
              <w:left w:val="single" w:sz="4" w:space="0" w:color="000000"/>
              <w:bottom w:val="single" w:sz="4" w:space="0" w:color="000000"/>
              <w:right w:val="single" w:sz="4" w:space="0" w:color="000000"/>
            </w:tcBorders>
          </w:tcPr>
          <w:p>
            <w:pPr/>
          </w:p>
        </w:tc>
        <w:tc>
          <w:tcPr>
            <w:tcW w:w="1191" w:type="dxa"/>
            <w:tcBorders>
              <w:top w:val="single" w:sz="15" w:space="0" w:color="000000"/>
              <w:left w:val="single" w:sz="4" w:space="0" w:color="000000"/>
              <w:bottom w:val="single" w:sz="4" w:space="0" w:color="000000"/>
              <w:right w:val="single" w:sz="4" w:space="0" w:color="000000"/>
            </w:tcBorders>
          </w:tcPr>
          <w:p>
            <w:pPr/>
          </w:p>
        </w:tc>
      </w:tr>
      <w:tr>
        <w:trPr>
          <w:trHeight w:val="716"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3" w:right="7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．其他权益工具持有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者投入资本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 w:right="7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．股份支付计入所有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者权益的金额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1" w:right="0"/>
              <w:jc w:val="left"/>
              <w:rPr>
                <w:rFonts w:ascii="Times New Roman" w:hAnsi="Times New Roman" w:cs="Times New Roman" w:eastAsia="Times New Roman" w:hint="default"/>
                <w:sz w:val="18"/>
                <w:szCs w:val="18"/>
              </w:rPr>
            </w:pPr>
            <w:r>
              <w:rPr>
                <w:rFonts w:ascii="Times New Roman"/>
                <w:sz w:val="18"/>
              </w:rPr>
              <w:t>330,000.00</w:t>
            </w:r>
          </w:p>
        </w:tc>
        <w:tc>
          <w:tcPr>
            <w:tcW w:w="98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330,000.00</w:t>
            </w:r>
          </w:p>
        </w:tc>
      </w:tr>
      <w:tr>
        <w:trPr>
          <w:trHeight w:val="403"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1,409,644.36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-6,659,644.36</w:t>
            </w:r>
          </w:p>
        </w:tc>
        <w:tc>
          <w:tcPr>
            <w:tcW w:w="96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-5,250,000.00</w:t>
            </w:r>
          </w:p>
        </w:tc>
      </w:tr>
      <w:tr>
        <w:trPr>
          <w:trHeight w:val="404"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1,409,644.36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-1,409,644.36</w:t>
            </w:r>
          </w:p>
        </w:tc>
        <w:tc>
          <w:tcPr>
            <w:tcW w:w="96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 w:right="96"/>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．对所有者（或股东</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的分配</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80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-5,250,000.00</w:t>
            </w:r>
          </w:p>
        </w:tc>
        <w:tc>
          <w:tcPr>
            <w:tcW w:w="96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-5,250,000.00</w:t>
            </w:r>
          </w:p>
        </w:tc>
      </w:tr>
      <w:tr>
        <w:trPr>
          <w:trHeight w:val="403"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3" w:right="5"/>
              <w:jc w:val="left"/>
              <w:rPr>
                <w:rFonts w:ascii="宋体" w:hAnsi="宋体" w:cs="宋体" w:eastAsia="宋体" w:hint="default"/>
                <w:sz w:val="18"/>
                <w:szCs w:val="18"/>
              </w:rPr>
            </w:pPr>
            <w:r>
              <w:rPr>
                <w:rFonts w:ascii="宋体" w:hAnsi="宋体" w:cs="宋体" w:eastAsia="宋体" w:hint="default"/>
                <w:spacing w:val="-4"/>
                <w:sz w:val="18"/>
                <w:szCs w:val="18"/>
              </w:rPr>
              <w:t>（四）所有者权益内部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结转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3" w:right="7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．设定受益计划变动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额结转留存收益</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 w:right="7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．其他综合收益结转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留存收益</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r>
    </w:tbl>
    <w:p>
      <w:pPr>
        <w:rPr>
          <w:sz w:val="2"/>
          <w:szCs w:val="2"/>
        </w:rPr>
      </w:pPr>
      <w:r>
        <w:rPr/>
        <w:pict>
          <v:group style="position:absolute;margin-left:162.770004pt;margin-top:224.740005pt;width:58.6pt;height:28pt;mso-position-horizontal-relative:page;mso-position-vertical-relative:page;z-index:-957184" coordorigin="3255,4495" coordsize="1172,560">
            <v:group style="position:absolute;left:3255;top:4495;width:1172;height:154" coordorigin="3255,4495" coordsize="1172,154">
              <v:shape style="position:absolute;left:3255;top:4495;width:1172;height:154" coordorigin="3255,4495" coordsize="1172,154" path="m3255,4648l4427,4648,4427,4495,3255,4495,3255,4648xe" filled="true" fillcolor="#ffffff" stroked="false">
                <v:path arrowok="t"/>
                <v:fill type="solid"/>
              </v:shape>
            </v:group>
            <v:group style="position:absolute;left:3267;top:4648;width:2;height:394" coordorigin="3267,4648" coordsize="2,394">
              <v:shape style="position:absolute;left:3267;top:4648;width:2;height:394" coordorigin="3267,4648" coordsize="0,394" path="m3267,4648l3267,5042e" filled="false" stroked="true" strokeweight="1.2pt" strokecolor="#ffffff">
                <v:path arrowok="t"/>
              </v:shape>
            </v:group>
            <v:group style="position:absolute;left:3279;top:4648;width:1124;height:394" coordorigin="3279,4648" coordsize="1124,394">
              <v:shape style="position:absolute;left:3279;top:4648;width:1124;height:394" coordorigin="3279,4648" coordsize="1124,394" path="m3279,5042l4403,5042,4403,4648,3279,4648,3279,5042xe" filled="true" fillcolor="#ffffff" stroked="false">
                <v:path arrowok="t"/>
                <v:fill type="solid"/>
              </v:shape>
            </v:group>
            <w10:wrap type="none"/>
          </v:group>
        </w:pict>
      </w:r>
    </w:p>
    <w:p>
      <w:pPr>
        <w:spacing w:after="0"/>
        <w:rPr>
          <w:sz w:val="2"/>
          <w:szCs w:val="2"/>
        </w:rPr>
        <w:sectPr>
          <w:pgSz w:w="16840" w:h="11910" w:orient="landscape"/>
          <w:pgMar w:header="460" w:footer="974" w:top="1100" w:bottom="1160" w:left="1300" w:right="1280"/>
        </w:sectPr>
      </w:pPr>
    </w:p>
    <w:p>
      <w:pPr>
        <w:spacing w:line="240" w:lineRule="auto" w:before="3"/>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827"/>
        <w:gridCol w:w="1193"/>
        <w:gridCol w:w="806"/>
        <w:gridCol w:w="812"/>
        <w:gridCol w:w="811"/>
        <w:gridCol w:w="1181"/>
        <w:gridCol w:w="984"/>
        <w:gridCol w:w="989"/>
        <w:gridCol w:w="985"/>
        <w:gridCol w:w="1094"/>
        <w:gridCol w:w="1181"/>
        <w:gridCol w:w="965"/>
        <w:gridCol w:w="1191"/>
      </w:tblGrid>
      <w:tr>
        <w:trPr>
          <w:trHeight w:val="418" w:hRule="exact"/>
        </w:trPr>
        <w:tc>
          <w:tcPr>
            <w:tcW w:w="182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93" w:type="dxa"/>
            <w:tcBorders>
              <w:top w:val="single" w:sz="15" w:space="0" w:color="000000"/>
              <w:left w:val="single" w:sz="13" w:space="0" w:color="D2D2D2"/>
              <w:bottom w:val="single" w:sz="4" w:space="0" w:color="000000"/>
              <w:right w:val="single" w:sz="4" w:space="0" w:color="000000"/>
            </w:tcBorders>
          </w:tcPr>
          <w:p>
            <w:pPr/>
          </w:p>
        </w:tc>
        <w:tc>
          <w:tcPr>
            <w:tcW w:w="806" w:type="dxa"/>
            <w:tcBorders>
              <w:top w:val="single" w:sz="15" w:space="0" w:color="000000"/>
              <w:left w:val="single" w:sz="4" w:space="0" w:color="000000"/>
              <w:bottom w:val="single" w:sz="4" w:space="0" w:color="000000"/>
              <w:right w:val="single" w:sz="4" w:space="0" w:color="000000"/>
            </w:tcBorders>
          </w:tcPr>
          <w:p>
            <w:pPr/>
          </w:p>
        </w:tc>
        <w:tc>
          <w:tcPr>
            <w:tcW w:w="812" w:type="dxa"/>
            <w:tcBorders>
              <w:top w:val="single" w:sz="15" w:space="0" w:color="000000"/>
              <w:left w:val="single" w:sz="4" w:space="0" w:color="000000"/>
              <w:bottom w:val="single" w:sz="4" w:space="0" w:color="000000"/>
              <w:right w:val="single" w:sz="4" w:space="0" w:color="000000"/>
            </w:tcBorders>
          </w:tcPr>
          <w:p>
            <w:pPr/>
          </w:p>
        </w:tc>
        <w:tc>
          <w:tcPr>
            <w:tcW w:w="811"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984" w:type="dxa"/>
            <w:tcBorders>
              <w:top w:val="single" w:sz="15" w:space="0" w:color="000000"/>
              <w:left w:val="single" w:sz="4" w:space="0" w:color="000000"/>
              <w:bottom w:val="single" w:sz="4" w:space="0" w:color="000000"/>
              <w:right w:val="single" w:sz="4" w:space="0" w:color="000000"/>
            </w:tcBorders>
          </w:tcPr>
          <w:p>
            <w:pPr/>
          </w:p>
        </w:tc>
        <w:tc>
          <w:tcPr>
            <w:tcW w:w="989" w:type="dxa"/>
            <w:tcBorders>
              <w:top w:val="single" w:sz="15" w:space="0" w:color="000000"/>
              <w:left w:val="single" w:sz="4" w:space="0" w:color="000000"/>
              <w:bottom w:val="single" w:sz="4" w:space="0" w:color="000000"/>
              <w:right w:val="single" w:sz="4" w:space="0" w:color="000000"/>
            </w:tcBorders>
          </w:tcPr>
          <w:p>
            <w:pPr/>
          </w:p>
        </w:tc>
        <w:tc>
          <w:tcPr>
            <w:tcW w:w="985" w:type="dxa"/>
            <w:tcBorders>
              <w:top w:val="single" w:sz="15" w:space="0" w:color="000000"/>
              <w:left w:val="single" w:sz="4" w:space="0" w:color="000000"/>
              <w:bottom w:val="single" w:sz="4" w:space="0" w:color="000000"/>
              <w:right w:val="single" w:sz="4" w:space="0" w:color="000000"/>
            </w:tcBorders>
          </w:tcPr>
          <w:p>
            <w:pPr/>
          </w:p>
        </w:tc>
        <w:tc>
          <w:tcPr>
            <w:tcW w:w="1094"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965" w:type="dxa"/>
            <w:tcBorders>
              <w:top w:val="single" w:sz="15" w:space="0" w:color="000000"/>
              <w:left w:val="single" w:sz="4" w:space="0" w:color="000000"/>
              <w:bottom w:val="single" w:sz="4" w:space="0" w:color="000000"/>
              <w:right w:val="single" w:sz="4" w:space="0" w:color="000000"/>
            </w:tcBorders>
          </w:tcPr>
          <w:p>
            <w:pPr/>
          </w:p>
        </w:tc>
        <w:tc>
          <w:tcPr>
            <w:tcW w:w="1191" w:type="dxa"/>
            <w:tcBorders>
              <w:top w:val="single" w:sz="15" w:space="0" w:color="000000"/>
              <w:left w:val="single" w:sz="4" w:space="0" w:color="000000"/>
              <w:bottom w:val="single" w:sz="4" w:space="0" w:color="000000"/>
              <w:right w:val="single" w:sz="4" w:space="0" w:color="000000"/>
            </w:tcBorders>
          </w:tcPr>
          <w:p>
            <w:pPr/>
          </w:p>
        </w:tc>
      </w:tr>
      <w:tr>
        <w:trPr>
          <w:trHeight w:val="404"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150,000,000.00</w:t>
            </w:r>
          </w:p>
        </w:tc>
        <w:tc>
          <w:tcPr>
            <w:tcW w:w="80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 w:right="0"/>
              <w:jc w:val="left"/>
              <w:rPr>
                <w:rFonts w:ascii="Times New Roman" w:hAnsi="Times New Roman" w:cs="Times New Roman" w:eastAsia="Times New Roman" w:hint="default"/>
                <w:sz w:val="18"/>
                <w:szCs w:val="18"/>
              </w:rPr>
            </w:pPr>
            <w:r>
              <w:rPr>
                <w:rFonts w:ascii="Times New Roman"/>
                <w:sz w:val="18"/>
              </w:rPr>
              <w:t>148,270,922.48</w:t>
            </w:r>
          </w:p>
        </w:tc>
        <w:tc>
          <w:tcPr>
            <w:tcW w:w="98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34,662,590.39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200,122,905.85</w:t>
            </w:r>
          </w:p>
        </w:tc>
        <w:tc>
          <w:tcPr>
            <w:tcW w:w="96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533,056,418.72</w:t>
            </w:r>
          </w:p>
        </w:tc>
      </w:tr>
    </w:tbl>
    <w:p>
      <w:pPr>
        <w:spacing w:line="240" w:lineRule="auto" w:before="10"/>
        <w:rPr>
          <w:rFonts w:ascii="宋体" w:hAnsi="宋体" w:cs="宋体" w:eastAsia="宋体" w:hint="default"/>
          <w:sz w:val="27"/>
          <w:szCs w:val="27"/>
        </w:rPr>
      </w:pPr>
    </w:p>
    <w:p>
      <w:pPr>
        <w:spacing w:before="46"/>
        <w:ind w:left="140" w:right="0" w:firstLine="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p>
      <w:pPr>
        <w:spacing w:before="115"/>
        <w:ind w:left="0" w:right="244"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709"/>
        <w:gridCol w:w="1193"/>
        <w:gridCol w:w="768"/>
        <w:gridCol w:w="773"/>
        <w:gridCol w:w="769"/>
        <w:gridCol w:w="1181"/>
        <w:gridCol w:w="936"/>
        <w:gridCol w:w="932"/>
        <w:gridCol w:w="1075"/>
        <w:gridCol w:w="1095"/>
        <w:gridCol w:w="1181"/>
        <w:gridCol w:w="1099"/>
        <w:gridCol w:w="1297"/>
      </w:tblGrid>
      <w:tr>
        <w:trPr>
          <w:trHeight w:val="394" w:hRule="exact"/>
        </w:trPr>
        <w:tc>
          <w:tcPr>
            <w:tcW w:w="1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9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212" w:hRule="exact"/>
        </w:trPr>
        <w:tc>
          <w:tcPr>
            <w:tcW w:w="1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0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60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7"/>
              <w:ind w:left="278" w:right="99" w:hanging="183"/>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w:t>
            </w:r>
          </w:p>
        </w:tc>
        <w:tc>
          <w:tcPr>
            <w:tcW w:w="10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7"/>
              <w:ind w:left="552" w:right="99" w:hanging="452"/>
              <w:jc w:val="left"/>
              <w:rPr>
                <w:rFonts w:ascii="宋体" w:hAnsi="宋体" w:cs="宋体" w:eastAsia="宋体" w:hint="default"/>
                <w:sz w:val="18"/>
                <w:szCs w:val="18"/>
              </w:rPr>
            </w:pPr>
            <w:r>
              <w:rPr>
                <w:rFonts w:ascii="宋体" w:hAnsi="宋体" w:cs="宋体" w:eastAsia="宋体" w:hint="default"/>
                <w:spacing w:val="-2"/>
                <w:sz w:val="18"/>
                <w:szCs w:val="18"/>
              </w:rPr>
              <w:t>所有者权益合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计</w:t>
            </w:r>
          </w:p>
        </w:tc>
      </w:tr>
      <w:tr>
        <w:trPr>
          <w:trHeight w:val="192"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309"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6"/>
                <w:sz w:val="18"/>
                <w:szCs w:val="18"/>
              </w:rPr>
              <w:t>减：库存股</w:t>
            </w:r>
          </w:p>
        </w:tc>
        <w:tc>
          <w:tcPr>
            <w:tcW w:w="932" w:type="dxa"/>
            <w:vMerge/>
            <w:tcBorders>
              <w:left w:val="single" w:sz="4" w:space="0" w:color="000000"/>
              <w:right w:val="single" w:sz="4" w:space="0" w:color="000000"/>
            </w:tcBorders>
            <w:shd w:val="clear" w:color="auto" w:fill="D2D2D2"/>
          </w:tcPr>
          <w:p>
            <w:pPr/>
          </w:p>
        </w:tc>
        <w:tc>
          <w:tcPr>
            <w:tcW w:w="10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97" w:type="dxa"/>
            <w:vMerge/>
            <w:tcBorders>
              <w:left w:val="single" w:sz="4" w:space="0" w:color="000000"/>
              <w:right w:val="single" w:sz="4" w:space="0" w:color="000000"/>
            </w:tcBorders>
            <w:shd w:val="clear" w:color="auto" w:fill="D2D2D2"/>
          </w:tcPr>
          <w:p>
            <w:pPr/>
          </w:p>
        </w:tc>
      </w:tr>
      <w:tr>
        <w:trPr>
          <w:trHeight w:val="202"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7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1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1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bottom w:val="nil" w:sz="6" w:space="0" w:color="auto"/>
              <w:right w:val="single" w:sz="4" w:space="0" w:color="000000"/>
            </w:tcBorders>
            <w:shd w:val="clear" w:color="auto" w:fill="D2D2D2"/>
          </w:tcPr>
          <w:p>
            <w:pPr/>
          </w:p>
        </w:tc>
        <w:tc>
          <w:tcPr>
            <w:tcW w:w="1095"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099" w:type="dxa"/>
            <w:vMerge/>
            <w:tcBorders>
              <w:left w:val="single" w:sz="4" w:space="0" w:color="000000"/>
              <w:bottom w:val="nil" w:sz="6" w:space="0" w:color="auto"/>
              <w:right w:val="single" w:sz="4" w:space="0" w:color="000000"/>
            </w:tcBorders>
            <w:shd w:val="clear" w:color="auto" w:fill="D2D2D2"/>
          </w:tcPr>
          <w:p>
            <w:pPr/>
          </w:p>
        </w:tc>
        <w:tc>
          <w:tcPr>
            <w:tcW w:w="1297" w:type="dxa"/>
            <w:vMerge/>
            <w:tcBorders>
              <w:left w:val="single" w:sz="4" w:space="0" w:color="000000"/>
              <w:right w:val="single" w:sz="4" w:space="0" w:color="000000"/>
            </w:tcBorders>
            <w:shd w:val="clear" w:color="auto" w:fill="D2D2D2"/>
          </w:tcPr>
          <w:p>
            <w:pPr/>
          </w:p>
        </w:tc>
      </w:tr>
      <w:tr>
        <w:trPr>
          <w:trHeight w:val="206"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8" w:type="dxa"/>
            <w:vMerge/>
            <w:tcBorders>
              <w:left w:val="single" w:sz="4" w:space="0" w:color="000000"/>
              <w:bottom w:val="single" w:sz="4" w:space="0" w:color="000000"/>
              <w:right w:val="single" w:sz="4" w:space="0" w:color="000000"/>
            </w:tcBorders>
            <w:shd w:val="clear" w:color="auto" w:fill="D2D2D2"/>
          </w:tcPr>
          <w:p>
            <w:pPr/>
          </w:p>
        </w:tc>
        <w:tc>
          <w:tcPr>
            <w:tcW w:w="773" w:type="dxa"/>
            <w:vMerge/>
            <w:tcBorders>
              <w:left w:val="single" w:sz="4" w:space="0" w:color="000000"/>
              <w:bottom w:val="single" w:sz="4" w:space="0" w:color="000000"/>
              <w:right w:val="single" w:sz="4" w:space="0" w:color="000000"/>
            </w:tcBorders>
            <w:shd w:val="clear" w:color="auto" w:fill="D2D2D2"/>
          </w:tcPr>
          <w:p>
            <w:pPr/>
          </w:p>
        </w:tc>
        <w:tc>
          <w:tcPr>
            <w:tcW w:w="769"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0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147,940,922.48</w:t>
            </w:r>
          </w:p>
        </w:tc>
        <w:tc>
          <w:tcPr>
            <w:tcW w:w="9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21" w:space="0" w:color="D2D2D2"/>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30,936,160.02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171,835,032.54</w:t>
            </w:r>
          </w:p>
        </w:tc>
        <w:tc>
          <w:tcPr>
            <w:tcW w:w="109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21" w:space="0" w:color="D2D2D2"/>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18"/>
                <w:szCs w:val="18"/>
              </w:rPr>
            </w:pPr>
            <w:r>
              <w:rPr>
                <w:rFonts w:ascii="Times New Roman"/>
                <w:spacing w:val="-2"/>
                <w:sz w:val="18"/>
              </w:rPr>
              <w:t>500,712,115.04</w:t>
            </w:r>
          </w:p>
        </w:tc>
      </w:tr>
      <w:tr>
        <w:trPr>
          <w:trHeight w:val="711"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加：会计政策变</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更</w:t>
            </w:r>
            <w:r>
              <w:rPr>
                <w:rFonts w:ascii="宋体" w:hAnsi="宋体" w:cs="宋体" w:eastAsia="宋体" w:hint="default"/>
                <w:sz w:val="18"/>
                <w:szCs w:val="18"/>
              </w:rPr>
            </w:r>
          </w:p>
        </w:tc>
        <w:tc>
          <w:tcPr>
            <w:tcW w:w="1193" w:type="dxa"/>
            <w:tcBorders>
              <w:top w:val="single" w:sz="4" w:space="0" w:color="000000"/>
              <w:left w:val="single" w:sz="13" w:space="0" w:color="D2D2D2"/>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w w:val="101"/>
                <w:sz w:val="18"/>
                <w:szCs w:val="18"/>
              </w:rPr>
              <w:t>正</w:t>
            </w:r>
            <w:r>
              <w:rPr>
                <w:rFonts w:ascii="宋体" w:hAnsi="宋体" w:cs="宋体" w:eastAsia="宋体" w:hint="default"/>
                <w:sz w:val="18"/>
                <w:szCs w:val="18"/>
              </w:rPr>
            </w:r>
          </w:p>
        </w:tc>
        <w:tc>
          <w:tcPr>
            <w:tcW w:w="1193" w:type="dxa"/>
            <w:tcBorders>
              <w:top w:val="single" w:sz="4" w:space="0" w:color="000000"/>
              <w:left w:val="single" w:sz="13" w:space="0" w:color="D2D2D2"/>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147,940,922.48</w:t>
            </w:r>
          </w:p>
        </w:tc>
        <w:tc>
          <w:tcPr>
            <w:tcW w:w="9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30,936,160.02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171,835,032.54</w:t>
            </w:r>
          </w:p>
        </w:tc>
        <w:tc>
          <w:tcPr>
            <w:tcW w:w="109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500,712,115.04</w:t>
            </w:r>
          </w:p>
        </w:tc>
      </w:tr>
      <w:tr>
        <w:trPr>
          <w:trHeight w:val="1023"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63"/>
              <w:jc w:val="both"/>
              <w:rPr>
                <w:rFonts w:ascii="宋体" w:hAnsi="宋体" w:cs="宋体" w:eastAsia="宋体" w:hint="default"/>
                <w:sz w:val="18"/>
                <w:szCs w:val="18"/>
              </w:rPr>
            </w:pPr>
            <w:r>
              <w:rPr>
                <w:rFonts w:ascii="宋体" w:hAnsi="宋体" w:cs="宋体" w:eastAsia="宋体" w:hint="default"/>
                <w:spacing w:val="-3"/>
                <w:sz w:val="18"/>
                <w:szCs w:val="18"/>
              </w:rPr>
              <w:t>三、本期增减变动金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额（减少以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65"/>
                <w:sz w:val="18"/>
                <w:szCs w:val="18"/>
              </w:rPr>
              <w:t> </w:t>
            </w:r>
            <w:r>
              <w:rPr>
                <w:rFonts w:ascii="宋体" w:hAnsi="宋体" w:cs="宋体" w:eastAsia="宋体" w:hint="default"/>
                <w:sz w:val="18"/>
                <w:szCs w:val="18"/>
              </w:rPr>
              <w:t>列）</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2,316,786.01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20,851,074.10</w:t>
            </w:r>
          </w:p>
        </w:tc>
        <w:tc>
          <w:tcPr>
            <w:tcW w:w="109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23,167,860.11</w:t>
            </w: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23,167,860.11</w:t>
            </w:r>
          </w:p>
        </w:tc>
        <w:tc>
          <w:tcPr>
            <w:tcW w:w="109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23,167,860.11</w:t>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63"/>
              <w:jc w:val="left"/>
              <w:rPr>
                <w:rFonts w:ascii="宋体" w:hAnsi="宋体" w:cs="宋体" w:eastAsia="宋体" w:hint="default"/>
                <w:sz w:val="18"/>
                <w:szCs w:val="18"/>
              </w:rPr>
            </w:pPr>
            <w:r>
              <w:rPr>
                <w:rFonts w:ascii="宋体" w:hAnsi="宋体" w:cs="宋体" w:eastAsia="宋体" w:hint="default"/>
                <w:spacing w:val="-3"/>
                <w:sz w:val="18"/>
                <w:szCs w:val="18"/>
              </w:rPr>
              <w:t>（二）所有者投入和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减少资本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1" w:right="5"/>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．所有者投入的普通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股</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460" w:footer="974" w:top="1060" w:bottom="1160" w:left="1300" w:right="1280"/>
        </w:sectPr>
      </w:pPr>
    </w:p>
    <w:tbl>
      <w:tblPr>
        <w:tblW w:w="0" w:type="auto"/>
        <w:jc w:val="left"/>
        <w:tblInd w:w="106" w:type="dxa"/>
        <w:tblLayout w:type="fixed"/>
        <w:tblCellMar>
          <w:top w:w="0" w:type="dxa"/>
          <w:left w:w="0" w:type="dxa"/>
          <w:bottom w:w="0" w:type="dxa"/>
          <w:right w:w="0" w:type="dxa"/>
        </w:tblCellMar>
        <w:tblLook w:val="01E0"/>
      </w:tblPr>
      <w:tblGrid>
        <w:gridCol w:w="1721"/>
        <w:gridCol w:w="1193"/>
        <w:gridCol w:w="768"/>
        <w:gridCol w:w="773"/>
        <w:gridCol w:w="769"/>
        <w:gridCol w:w="1181"/>
        <w:gridCol w:w="936"/>
        <w:gridCol w:w="932"/>
        <w:gridCol w:w="1075"/>
        <w:gridCol w:w="1095"/>
        <w:gridCol w:w="1181"/>
        <w:gridCol w:w="1099"/>
        <w:gridCol w:w="1297"/>
      </w:tblGrid>
      <w:tr>
        <w:trPr>
          <w:trHeight w:val="730" w:hRule="exact"/>
        </w:trPr>
        <w:tc>
          <w:tcPr>
            <w:tcW w:w="172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3" w:right="5"/>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．其他权益工具持有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者投入资本</w:t>
            </w:r>
          </w:p>
        </w:tc>
        <w:tc>
          <w:tcPr>
            <w:tcW w:w="1193" w:type="dxa"/>
            <w:tcBorders>
              <w:top w:val="single" w:sz="15" w:space="0" w:color="000000"/>
              <w:left w:val="single" w:sz="13" w:space="0" w:color="D2D2D2"/>
              <w:bottom w:val="single" w:sz="4" w:space="0" w:color="000000"/>
              <w:right w:val="single" w:sz="4" w:space="0" w:color="000000"/>
            </w:tcBorders>
          </w:tcPr>
          <w:p>
            <w:pPr/>
          </w:p>
        </w:tc>
        <w:tc>
          <w:tcPr>
            <w:tcW w:w="768" w:type="dxa"/>
            <w:tcBorders>
              <w:top w:val="single" w:sz="15" w:space="0" w:color="000000"/>
              <w:left w:val="single" w:sz="4" w:space="0" w:color="000000"/>
              <w:bottom w:val="single" w:sz="4" w:space="0" w:color="000000"/>
              <w:right w:val="single" w:sz="4" w:space="0" w:color="000000"/>
            </w:tcBorders>
          </w:tcPr>
          <w:p>
            <w:pPr/>
          </w:p>
        </w:tc>
        <w:tc>
          <w:tcPr>
            <w:tcW w:w="773" w:type="dxa"/>
            <w:tcBorders>
              <w:top w:val="single" w:sz="15" w:space="0" w:color="000000"/>
              <w:left w:val="single" w:sz="4" w:space="0" w:color="000000"/>
              <w:bottom w:val="single" w:sz="4" w:space="0" w:color="000000"/>
              <w:right w:val="single" w:sz="4" w:space="0" w:color="000000"/>
            </w:tcBorders>
          </w:tcPr>
          <w:p>
            <w:pPr/>
          </w:p>
        </w:tc>
        <w:tc>
          <w:tcPr>
            <w:tcW w:w="769"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936" w:type="dxa"/>
            <w:tcBorders>
              <w:top w:val="single" w:sz="15" w:space="0" w:color="000000"/>
              <w:left w:val="single" w:sz="4" w:space="0" w:color="000000"/>
              <w:bottom w:val="single" w:sz="4" w:space="0" w:color="000000"/>
              <w:right w:val="single" w:sz="4" w:space="0" w:color="000000"/>
            </w:tcBorders>
          </w:tcPr>
          <w:p>
            <w:pPr/>
          </w:p>
        </w:tc>
        <w:tc>
          <w:tcPr>
            <w:tcW w:w="932" w:type="dxa"/>
            <w:tcBorders>
              <w:top w:val="single" w:sz="15" w:space="0" w:color="000000"/>
              <w:left w:val="single" w:sz="4" w:space="0" w:color="000000"/>
              <w:bottom w:val="single" w:sz="4" w:space="0" w:color="000000"/>
              <w:right w:val="single" w:sz="4" w:space="0" w:color="000000"/>
            </w:tcBorders>
          </w:tcPr>
          <w:p>
            <w:pPr/>
          </w:p>
        </w:tc>
        <w:tc>
          <w:tcPr>
            <w:tcW w:w="1075" w:type="dxa"/>
            <w:tcBorders>
              <w:top w:val="single" w:sz="15" w:space="0" w:color="000000"/>
              <w:left w:val="single" w:sz="4" w:space="0" w:color="000000"/>
              <w:bottom w:val="single" w:sz="4" w:space="0" w:color="000000"/>
              <w:right w:val="single" w:sz="4" w:space="0" w:color="000000"/>
            </w:tcBorders>
          </w:tcPr>
          <w:p>
            <w:pPr/>
          </w:p>
        </w:tc>
        <w:tc>
          <w:tcPr>
            <w:tcW w:w="1095"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099" w:type="dxa"/>
            <w:tcBorders>
              <w:top w:val="single" w:sz="15" w:space="0" w:color="000000"/>
              <w:left w:val="single" w:sz="4" w:space="0" w:color="000000"/>
              <w:bottom w:val="single" w:sz="4" w:space="0" w:color="000000"/>
              <w:right w:val="single" w:sz="4" w:space="0" w:color="000000"/>
            </w:tcBorders>
          </w:tcPr>
          <w:p>
            <w:pPr/>
          </w:p>
        </w:tc>
        <w:tc>
          <w:tcPr>
            <w:tcW w:w="1297" w:type="dxa"/>
            <w:tcBorders>
              <w:top w:val="single" w:sz="15" w:space="0" w:color="000000"/>
              <w:left w:val="single" w:sz="4" w:space="0" w:color="000000"/>
              <w:bottom w:val="single" w:sz="4" w:space="0" w:color="000000"/>
              <w:right w:val="single" w:sz="4" w:space="0" w:color="000000"/>
            </w:tcBorders>
          </w:tcPr>
          <w:p>
            <w:pPr/>
          </w:p>
        </w:tc>
      </w:tr>
      <w:tr>
        <w:trPr>
          <w:trHeight w:val="716"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3" w:right="5"/>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．股份支付计入所有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者权益的金额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2,316,786.01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-2,316,786.01</w:t>
            </w:r>
          </w:p>
        </w:tc>
        <w:tc>
          <w:tcPr>
            <w:tcW w:w="109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2,316,786.01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-2,316,786.01</w:t>
            </w:r>
          </w:p>
        </w:tc>
        <w:tc>
          <w:tcPr>
            <w:tcW w:w="109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 w:right="91"/>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．对所有者（或股东</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的分配</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76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3" w:right="63"/>
              <w:jc w:val="left"/>
              <w:rPr>
                <w:rFonts w:ascii="宋体" w:hAnsi="宋体" w:cs="宋体" w:eastAsia="宋体" w:hint="default"/>
                <w:sz w:val="18"/>
                <w:szCs w:val="18"/>
              </w:rPr>
            </w:pPr>
            <w:r>
              <w:rPr>
                <w:rFonts w:ascii="宋体" w:hAnsi="宋体" w:cs="宋体" w:eastAsia="宋体" w:hint="default"/>
                <w:spacing w:val="-3"/>
                <w:sz w:val="18"/>
                <w:szCs w:val="18"/>
              </w:rPr>
              <w:t>（四）所有者权益内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部结转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．盈余公积弥补亏损</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3" w:right="5"/>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．设定受益计划变动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额结转留存收益</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3" w:right="5"/>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．其他综合收益结转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留存收益</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r>
    </w:tbl>
    <w:p>
      <w:pPr>
        <w:rPr>
          <w:sz w:val="2"/>
          <w:szCs w:val="2"/>
        </w:rPr>
      </w:pPr>
      <w:r>
        <w:rPr/>
        <w:pict>
          <v:group style="position:absolute;margin-left:157.490005pt;margin-top:188.950012pt;width:58.6pt;height:28pt;mso-position-horizontal-relative:page;mso-position-vertical-relative:page;z-index:-957160" coordorigin="3150,3779" coordsize="1172,560">
            <v:group style="position:absolute;left:3150;top:3779;width:1172;height:159" coordorigin="3150,3779" coordsize="1172,159">
              <v:shape style="position:absolute;left:3150;top:3779;width:1172;height:159" coordorigin="3150,3779" coordsize="1172,159" path="m3150,3937l4321,3937,4321,3779,3150,3779,3150,3937xe" filled="true" fillcolor="#ffffff" stroked="false">
                <v:path arrowok="t"/>
                <v:fill type="solid"/>
              </v:shape>
            </v:group>
            <v:group style="position:absolute;left:3162;top:3937;width:2;height:389" coordorigin="3162,3937" coordsize="2,389">
              <v:shape style="position:absolute;left:3162;top:3937;width:2;height:389" coordorigin="3162,3937" coordsize="0,389" path="m3162,3937l3162,4326e" filled="false" stroked="true" strokeweight="1.2pt" strokecolor="#ffffff">
                <v:path arrowok="t"/>
              </v:shape>
            </v:group>
            <v:group style="position:absolute;left:3174;top:3937;width:1124;height:389" coordorigin="3174,3937" coordsize="1124,389">
              <v:shape style="position:absolute;left:3174;top:3937;width:1124;height:389" coordorigin="3174,3937" coordsize="1124,389" path="m3174,4326l4297,4326,4297,3937,3174,3937,3174,4326xe" filled="true" fillcolor="#ffffff" stroked="false">
                <v:path arrowok="t"/>
                <v:fill type="solid"/>
              </v:shape>
            </v:group>
            <w10:wrap type="none"/>
          </v:group>
        </w:pict>
      </w:r>
    </w:p>
    <w:p>
      <w:pPr>
        <w:spacing w:after="0"/>
        <w:rPr>
          <w:sz w:val="2"/>
          <w:szCs w:val="2"/>
        </w:rPr>
        <w:sectPr>
          <w:pgSz w:w="16840" w:h="11910" w:orient="landscape"/>
          <w:pgMar w:header="460" w:footer="974" w:top="1100" w:bottom="1160" w:left="1300" w:right="1280"/>
        </w:sectPr>
      </w:pPr>
    </w:p>
    <w:p>
      <w:pPr>
        <w:spacing w:line="240" w:lineRule="auto" w:before="6"/>
        <w:rPr>
          <w:rFonts w:ascii="Times New Roman" w:hAnsi="Times New Roman" w:cs="Times New Roman" w:eastAsia="Times New Roman"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721"/>
        <w:gridCol w:w="1193"/>
        <w:gridCol w:w="768"/>
        <w:gridCol w:w="773"/>
        <w:gridCol w:w="769"/>
        <w:gridCol w:w="1181"/>
        <w:gridCol w:w="936"/>
        <w:gridCol w:w="932"/>
        <w:gridCol w:w="1075"/>
        <w:gridCol w:w="1095"/>
        <w:gridCol w:w="1181"/>
        <w:gridCol w:w="1099"/>
        <w:gridCol w:w="1297"/>
      </w:tblGrid>
      <w:tr>
        <w:trPr>
          <w:trHeight w:val="418" w:hRule="exact"/>
        </w:trPr>
        <w:tc>
          <w:tcPr>
            <w:tcW w:w="172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3" w:type="dxa"/>
            <w:tcBorders>
              <w:top w:val="single" w:sz="15" w:space="0" w:color="000000"/>
              <w:left w:val="single" w:sz="13" w:space="0" w:color="D2D2D2"/>
              <w:bottom w:val="single" w:sz="4" w:space="0" w:color="000000"/>
              <w:right w:val="single" w:sz="4" w:space="0" w:color="000000"/>
            </w:tcBorders>
          </w:tcPr>
          <w:p>
            <w:pPr/>
          </w:p>
        </w:tc>
        <w:tc>
          <w:tcPr>
            <w:tcW w:w="768" w:type="dxa"/>
            <w:tcBorders>
              <w:top w:val="single" w:sz="15" w:space="0" w:color="000000"/>
              <w:left w:val="single" w:sz="4" w:space="0" w:color="000000"/>
              <w:bottom w:val="single" w:sz="4" w:space="0" w:color="000000"/>
              <w:right w:val="single" w:sz="4" w:space="0" w:color="000000"/>
            </w:tcBorders>
          </w:tcPr>
          <w:p>
            <w:pPr/>
          </w:p>
        </w:tc>
        <w:tc>
          <w:tcPr>
            <w:tcW w:w="773" w:type="dxa"/>
            <w:tcBorders>
              <w:top w:val="single" w:sz="15" w:space="0" w:color="000000"/>
              <w:left w:val="single" w:sz="4" w:space="0" w:color="000000"/>
              <w:bottom w:val="single" w:sz="4" w:space="0" w:color="000000"/>
              <w:right w:val="single" w:sz="4" w:space="0" w:color="000000"/>
            </w:tcBorders>
          </w:tcPr>
          <w:p>
            <w:pPr/>
          </w:p>
        </w:tc>
        <w:tc>
          <w:tcPr>
            <w:tcW w:w="769"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936" w:type="dxa"/>
            <w:tcBorders>
              <w:top w:val="single" w:sz="15" w:space="0" w:color="000000"/>
              <w:left w:val="single" w:sz="4" w:space="0" w:color="000000"/>
              <w:bottom w:val="single" w:sz="4" w:space="0" w:color="000000"/>
              <w:right w:val="single" w:sz="4" w:space="0" w:color="000000"/>
            </w:tcBorders>
          </w:tcPr>
          <w:p>
            <w:pPr/>
          </w:p>
        </w:tc>
        <w:tc>
          <w:tcPr>
            <w:tcW w:w="932" w:type="dxa"/>
            <w:tcBorders>
              <w:top w:val="single" w:sz="15" w:space="0" w:color="000000"/>
              <w:left w:val="single" w:sz="4" w:space="0" w:color="000000"/>
              <w:bottom w:val="single" w:sz="4" w:space="0" w:color="000000"/>
              <w:right w:val="single" w:sz="4" w:space="0" w:color="000000"/>
            </w:tcBorders>
          </w:tcPr>
          <w:p>
            <w:pPr/>
          </w:p>
        </w:tc>
        <w:tc>
          <w:tcPr>
            <w:tcW w:w="1075" w:type="dxa"/>
            <w:tcBorders>
              <w:top w:val="single" w:sz="15" w:space="0" w:color="000000"/>
              <w:left w:val="single" w:sz="4" w:space="0" w:color="000000"/>
              <w:bottom w:val="single" w:sz="4" w:space="0" w:color="000000"/>
              <w:right w:val="single" w:sz="4" w:space="0" w:color="000000"/>
            </w:tcBorders>
          </w:tcPr>
          <w:p>
            <w:pPr/>
          </w:p>
        </w:tc>
        <w:tc>
          <w:tcPr>
            <w:tcW w:w="1095"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099" w:type="dxa"/>
            <w:tcBorders>
              <w:top w:val="single" w:sz="15" w:space="0" w:color="000000"/>
              <w:left w:val="single" w:sz="4" w:space="0" w:color="000000"/>
              <w:bottom w:val="single" w:sz="4" w:space="0" w:color="000000"/>
              <w:right w:val="single" w:sz="4" w:space="0" w:color="000000"/>
            </w:tcBorders>
          </w:tcPr>
          <w:p>
            <w:pPr/>
          </w:p>
        </w:tc>
        <w:tc>
          <w:tcPr>
            <w:tcW w:w="1297" w:type="dxa"/>
            <w:tcBorders>
              <w:top w:val="single" w:sz="15" w:space="0" w:color="000000"/>
              <w:left w:val="single" w:sz="4" w:space="0" w:color="000000"/>
              <w:bottom w:val="single" w:sz="4" w:space="0" w:color="000000"/>
              <w:right w:val="single" w:sz="4" w:space="0" w:color="000000"/>
            </w:tcBorders>
          </w:tcPr>
          <w:p>
            <w:pPr/>
          </w:p>
        </w:tc>
      </w:tr>
      <w:tr>
        <w:trPr>
          <w:trHeight w:val="404"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150,000,000.00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147,940,922.48</w:t>
            </w:r>
          </w:p>
        </w:tc>
        <w:tc>
          <w:tcPr>
            <w:tcW w:w="9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33,252,946.03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192,686,106.64</w:t>
            </w:r>
          </w:p>
        </w:tc>
        <w:tc>
          <w:tcPr>
            <w:tcW w:w="109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523,879,975.15</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460" w:footer="974" w:top="1060" w:bottom="1160" w:left="1300" w:right="1280"/>
        </w:sectPr>
      </w:pPr>
    </w:p>
    <w:p>
      <w:pPr>
        <w:spacing w:line="240" w:lineRule="auto" w:before="7"/>
        <w:rPr>
          <w:rFonts w:ascii="Times New Roman" w:hAnsi="Times New Roman" w:cs="Times New Roman" w:eastAsia="Times New Roman" w:hint="default"/>
          <w:sz w:val="25"/>
          <w:szCs w:val="25"/>
        </w:rPr>
      </w:pPr>
    </w:p>
    <w:p>
      <w:pPr>
        <w:pStyle w:val="Heading2"/>
        <w:spacing w:line="240" w:lineRule="auto" w:before="26"/>
        <w:ind w:right="0"/>
        <w:jc w:val="both"/>
        <w:rPr>
          <w:b w:val="0"/>
          <w:bCs w:val="0"/>
        </w:rPr>
      </w:pPr>
      <w:bookmarkStart w:name="三、公司基本情况" w:id="172"/>
      <w:bookmarkEnd w:id="172"/>
      <w:r>
        <w:rPr>
          <w:b w:val="0"/>
          <w:bCs w:val="0"/>
        </w:rPr>
      </w:r>
      <w:r>
        <w:rPr/>
        <w:t>三、公司基本情况</w:t>
      </w:r>
      <w:r>
        <w:rPr>
          <w:b w:val="0"/>
          <w:bCs w:val="0"/>
        </w:rPr>
      </w:r>
    </w:p>
    <w:p>
      <w:pPr>
        <w:spacing w:line="240" w:lineRule="auto" w:before="1"/>
        <w:rPr>
          <w:rFonts w:ascii="宋体" w:hAnsi="宋体" w:cs="宋体" w:eastAsia="宋体" w:hint="default"/>
          <w:b/>
          <w:bCs/>
          <w:sz w:val="27"/>
          <w:szCs w:val="27"/>
        </w:rPr>
      </w:pPr>
    </w:p>
    <w:p>
      <w:pPr>
        <w:spacing w:line="314" w:lineRule="auto" w:before="0"/>
        <w:ind w:left="566" w:right="0" w:firstLine="9"/>
        <w:jc w:val="left"/>
        <w:rPr>
          <w:rFonts w:ascii="宋体" w:hAnsi="宋体" w:cs="宋体" w:eastAsia="宋体" w:hint="default"/>
          <w:sz w:val="21"/>
          <w:szCs w:val="21"/>
        </w:rPr>
      </w:pPr>
      <w:r>
        <w:rPr>
          <w:rFonts w:ascii="宋体" w:hAnsi="宋体" w:cs="宋体" w:eastAsia="宋体" w:hint="default"/>
          <w:b/>
          <w:bCs/>
          <w:sz w:val="21"/>
          <w:szCs w:val="21"/>
        </w:rPr>
        <w:t>（一）公司的历史沿革和基本组织机构</w:t>
      </w:r>
      <w:r>
        <w:rPr>
          <w:rFonts w:ascii="宋体" w:hAnsi="宋体" w:cs="宋体" w:eastAsia="宋体" w:hint="default"/>
          <w:b/>
          <w:bCs/>
          <w:w w:val="100"/>
          <w:sz w:val="21"/>
          <w:szCs w:val="21"/>
        </w:rPr>
        <w:t> </w:t>
      </w:r>
      <w:r>
        <w:rPr>
          <w:rFonts w:ascii="宋体" w:hAnsi="宋体" w:cs="宋体" w:eastAsia="宋体" w:hint="default"/>
          <w:spacing w:val="-2"/>
          <w:sz w:val="21"/>
          <w:szCs w:val="21"/>
        </w:rPr>
        <w:t>西安环球印务股份有限公司</w:t>
      </w:r>
      <w:r>
        <w:rPr>
          <w:rFonts w:ascii="宋体" w:hAnsi="宋体" w:cs="宋体" w:eastAsia="宋体" w:hint="default"/>
          <w:spacing w:val="-2"/>
          <w:sz w:val="21"/>
          <w:szCs w:val="21"/>
        </w:rPr>
        <w:t>(</w:t>
      </w:r>
      <w:r>
        <w:rPr>
          <w:rFonts w:ascii="宋体" w:hAnsi="宋体" w:cs="宋体" w:eastAsia="宋体" w:hint="default"/>
          <w:spacing w:val="-2"/>
          <w:sz w:val="21"/>
          <w:szCs w:val="21"/>
        </w:rPr>
        <w:t>以下简称“公司”或“本公司”)前身为西安永发医药包装有限公司，是</w:t>
      </w:r>
    </w:p>
    <w:p>
      <w:pPr>
        <w:pStyle w:val="BodyText"/>
        <w:spacing w:line="314" w:lineRule="auto" w:before="15"/>
        <w:ind w:right="1131"/>
        <w:jc w:val="both"/>
      </w:pPr>
      <w:r>
        <w:rPr/>
        <w:t>依照《中华人民共和国公司法》，经西安高新技术产业开发区管理委员会市管外字（</w:t>
      </w:r>
      <w:r>
        <w:rPr>
          <w:rFonts w:ascii="宋体" w:hAnsi="宋体" w:cs="宋体" w:eastAsia="宋体" w:hint="default"/>
        </w:rPr>
        <w:t>2001</w:t>
      </w:r>
      <w:r>
        <w:rPr/>
        <w:t>）</w:t>
      </w:r>
      <w:r>
        <w:rPr>
          <w:rFonts w:ascii="宋体" w:hAnsi="宋体" w:cs="宋体" w:eastAsia="宋体" w:hint="default"/>
        </w:rPr>
        <w:t>023</w:t>
      </w:r>
      <w:r>
        <w:rPr/>
        <w:t>号文件批</w:t>
      </w:r>
      <w:r>
        <w:rPr>
          <w:spacing w:val="-28"/>
        </w:rPr>
        <w:t> </w:t>
      </w:r>
      <w:r>
        <w:rPr>
          <w:spacing w:val="-28"/>
        </w:rPr>
      </w:r>
      <w:r>
        <w:rPr>
          <w:spacing w:val="-2"/>
        </w:rPr>
        <w:t>准，由陕西医药控股集团有限责任公司（以下简称“陕药集团”）、永发印务有限公司（以下简称“香港</w:t>
      </w:r>
      <w:r>
        <w:rPr>
          <w:spacing w:val="-40"/>
        </w:rPr>
        <w:t> </w:t>
      </w:r>
      <w:r>
        <w:rPr>
          <w:spacing w:val="-40"/>
        </w:rPr>
      </w:r>
      <w:r>
        <w:rPr/>
        <w:t>永发”）于</w:t>
      </w:r>
      <w:r>
        <w:rPr>
          <w:rFonts w:ascii="宋体" w:hAnsi="宋体" w:cs="宋体" w:eastAsia="宋体" w:hint="default"/>
        </w:rPr>
        <w:t>2001</w:t>
      </w:r>
      <w:r>
        <w:rPr/>
        <w:t>年</w:t>
      </w:r>
      <w:r>
        <w:rPr>
          <w:rFonts w:ascii="宋体" w:hAnsi="宋体" w:cs="宋体" w:eastAsia="宋体" w:hint="default"/>
        </w:rPr>
        <w:t>6</w:t>
      </w:r>
      <w:r>
        <w:rPr/>
        <w:t>月</w:t>
      </w:r>
      <w:r>
        <w:rPr>
          <w:rFonts w:ascii="宋体" w:hAnsi="宋体" w:cs="宋体" w:eastAsia="宋体" w:hint="default"/>
        </w:rPr>
        <w:t>28</w:t>
      </w:r>
      <w:r>
        <w:rPr/>
        <w:t>日共同投资组建的外商投资有限责任公司，并取得西安市工商行政管理局核发的</w:t>
      </w:r>
    </w:p>
    <w:p>
      <w:pPr>
        <w:pStyle w:val="BodyText"/>
        <w:spacing w:line="309" w:lineRule="auto"/>
        <w:ind w:right="1122"/>
        <w:jc w:val="both"/>
      </w:pPr>
      <w:r>
        <w:rPr>
          <w:spacing w:val="-2"/>
        </w:rPr>
        <w:t>【企合陕西安总字第</w:t>
      </w:r>
      <w:r>
        <w:rPr>
          <w:rFonts w:ascii="宋体" w:hAnsi="宋体" w:cs="宋体" w:eastAsia="宋体" w:hint="default"/>
          <w:spacing w:val="-2"/>
        </w:rPr>
        <w:t>001773</w:t>
      </w:r>
      <w:r>
        <w:rPr>
          <w:spacing w:val="-2"/>
        </w:rPr>
        <w:t>号】企业法人营业执照。组建时公司注册资本</w:t>
      </w:r>
      <w:r>
        <w:rPr>
          <w:rFonts w:ascii="宋体" w:hAnsi="宋体" w:cs="宋体" w:eastAsia="宋体" w:hint="default"/>
          <w:spacing w:val="-2"/>
        </w:rPr>
        <w:t>2,000.00</w:t>
      </w:r>
      <w:r>
        <w:rPr>
          <w:spacing w:val="-2"/>
        </w:rPr>
        <w:t>万元人民币，其中陕药</w:t>
      </w:r>
      <w:r>
        <w:rPr>
          <w:spacing w:val="-18"/>
        </w:rPr>
        <w:t> </w:t>
      </w:r>
      <w:r>
        <w:rPr>
          <w:spacing w:val="-18"/>
        </w:rPr>
      </w:r>
      <w:r>
        <w:rPr/>
        <w:t>集团出资</w:t>
      </w:r>
      <w:r>
        <w:rPr>
          <w:rFonts w:ascii="宋体" w:hAnsi="宋体" w:cs="宋体" w:eastAsia="宋体" w:hint="default"/>
        </w:rPr>
        <w:t>1,200.00</w:t>
      </w:r>
      <w:r>
        <w:rPr/>
        <w:t>万元，占注册资本的</w:t>
      </w:r>
      <w:r>
        <w:rPr>
          <w:rFonts w:ascii="宋体" w:hAnsi="宋体" w:cs="宋体" w:eastAsia="宋体" w:hint="default"/>
        </w:rPr>
        <w:t>60.00%</w:t>
      </w:r>
      <w:r>
        <w:rPr/>
        <w:t>；香港永发出资</w:t>
      </w:r>
      <w:r>
        <w:rPr>
          <w:rFonts w:ascii="宋体" w:hAnsi="宋体" w:cs="宋体" w:eastAsia="宋体" w:hint="default"/>
        </w:rPr>
        <w:t>800.00</w:t>
      </w:r>
      <w:r>
        <w:rPr/>
        <w:t>万元，占注册资本的</w:t>
      </w:r>
      <w:r>
        <w:rPr>
          <w:rFonts w:ascii="宋体" w:hAnsi="宋体" w:cs="宋体" w:eastAsia="宋体" w:hint="default"/>
        </w:rPr>
        <w:t>40.00%</w:t>
      </w:r>
      <w:r>
        <w:rPr/>
        <w:t>。</w:t>
      </w:r>
    </w:p>
    <w:p>
      <w:pPr>
        <w:pStyle w:val="BodyText"/>
        <w:spacing w:line="314" w:lineRule="auto" w:before="24"/>
        <w:ind w:right="1122" w:firstLine="412"/>
        <w:jc w:val="both"/>
      </w:pPr>
      <w:r>
        <w:rPr>
          <w:rFonts w:ascii="宋体" w:hAnsi="宋体" w:cs="宋体" w:eastAsia="宋体" w:hint="default"/>
        </w:rPr>
        <w:t>2003</w:t>
      </w:r>
      <w:r>
        <w:rPr/>
        <w:t>年</w:t>
      </w:r>
      <w:r>
        <w:rPr>
          <w:rFonts w:ascii="宋体" w:hAnsi="宋体" w:cs="宋体" w:eastAsia="宋体" w:hint="default"/>
        </w:rPr>
        <w:t>3</w:t>
      </w:r>
      <w:r>
        <w:rPr/>
        <w:t>月</w:t>
      </w:r>
      <w:r>
        <w:rPr>
          <w:rFonts w:ascii="宋体" w:hAnsi="宋体" w:cs="宋体" w:eastAsia="宋体" w:hint="default"/>
        </w:rPr>
        <w:t>7</w:t>
      </w:r>
      <w:r>
        <w:rPr/>
        <w:t>日，经西安高新技术产业开发区管理委员会西高新外发</w:t>
      </w:r>
      <w:r>
        <w:rPr>
          <w:rFonts w:ascii="宋体" w:hAnsi="宋体" w:cs="宋体" w:eastAsia="宋体" w:hint="default"/>
        </w:rPr>
        <w:t>[2003]033</w:t>
      </w:r>
      <w:r>
        <w:rPr/>
        <w:t>号文批准，西安永发医</w:t>
      </w:r>
      <w:r>
        <w:rPr>
          <w:w w:val="100"/>
        </w:rPr>
        <w:t> </w:t>
      </w:r>
      <w:r>
        <w:rPr>
          <w:spacing w:val="-2"/>
        </w:rPr>
        <w:t>药包装有限公司以增资方式引进新股东陕西众发投资发展有限公司（以下简称“陕西众发”），注册资本</w:t>
      </w:r>
      <w:r>
        <w:rPr>
          <w:spacing w:val="-30"/>
        </w:rPr>
        <w:t> </w:t>
      </w:r>
      <w:r>
        <w:rPr>
          <w:spacing w:val="-30"/>
        </w:rPr>
      </w:r>
      <w:r>
        <w:rPr>
          <w:spacing w:val="-2"/>
        </w:rPr>
        <w:t>由</w:t>
      </w:r>
      <w:r>
        <w:rPr>
          <w:rFonts w:ascii="宋体" w:hAnsi="宋体" w:cs="宋体" w:eastAsia="宋体" w:hint="default"/>
          <w:spacing w:val="-2"/>
        </w:rPr>
        <w:t>2,000.00</w:t>
      </w:r>
      <w:r>
        <w:rPr>
          <w:spacing w:val="-2"/>
        </w:rPr>
        <w:t>万元增至</w:t>
      </w:r>
      <w:r>
        <w:rPr>
          <w:rFonts w:ascii="宋体" w:hAnsi="宋体" w:cs="宋体" w:eastAsia="宋体" w:hint="default"/>
          <w:spacing w:val="-2"/>
        </w:rPr>
        <w:t>4,000.00</w:t>
      </w:r>
      <w:r>
        <w:rPr>
          <w:spacing w:val="-2"/>
        </w:rPr>
        <w:t>万元，其中陕药集团出资</w:t>
      </w:r>
      <w:r>
        <w:rPr>
          <w:rFonts w:ascii="宋体" w:hAnsi="宋体" w:cs="宋体" w:eastAsia="宋体" w:hint="default"/>
          <w:spacing w:val="-2"/>
        </w:rPr>
        <w:t>1,800.00</w:t>
      </w:r>
      <w:r>
        <w:rPr>
          <w:spacing w:val="-2"/>
        </w:rPr>
        <w:t>万元，占注册资金的</w:t>
      </w:r>
      <w:r>
        <w:rPr>
          <w:rFonts w:ascii="宋体" w:hAnsi="宋体" w:cs="宋体" w:eastAsia="宋体" w:hint="default"/>
          <w:spacing w:val="-2"/>
        </w:rPr>
        <w:t>45.00%</w:t>
      </w:r>
      <w:r>
        <w:rPr>
          <w:spacing w:val="-2"/>
        </w:rPr>
        <w:t>；香港永发出 </w:t>
      </w:r>
      <w:r>
        <w:rPr/>
        <w:t>资</w:t>
      </w:r>
      <w:r>
        <w:rPr>
          <w:rFonts w:ascii="宋体" w:hAnsi="宋体" w:cs="宋体" w:eastAsia="宋体" w:hint="default"/>
        </w:rPr>
        <w:t>1,400.00</w:t>
      </w:r>
      <w:r>
        <w:rPr/>
        <w:t>万元，占注册资金的</w:t>
      </w:r>
      <w:r>
        <w:rPr>
          <w:rFonts w:ascii="宋体" w:hAnsi="宋体" w:cs="宋体" w:eastAsia="宋体" w:hint="default"/>
        </w:rPr>
        <w:t>35.00%</w:t>
      </w:r>
      <w:r>
        <w:rPr/>
        <w:t>；陕西众发出资</w:t>
      </w:r>
      <w:r>
        <w:rPr>
          <w:rFonts w:ascii="宋体" w:hAnsi="宋体" w:cs="宋体" w:eastAsia="宋体" w:hint="default"/>
        </w:rPr>
        <w:t>800.00</w:t>
      </w:r>
      <w:r>
        <w:rPr/>
        <w:t>万元，占注册资金的</w:t>
      </w:r>
      <w:r>
        <w:rPr>
          <w:rFonts w:ascii="宋体" w:hAnsi="宋体" w:cs="宋体" w:eastAsia="宋体" w:hint="default"/>
        </w:rPr>
        <w:t>20.00%</w:t>
      </w:r>
      <w:r>
        <w:rPr/>
        <w:t>。</w:t>
      </w:r>
      <w:r>
        <w:rPr>
          <w:rFonts w:ascii="宋体" w:hAnsi="宋体" w:cs="宋体" w:eastAsia="宋体" w:hint="default"/>
        </w:rPr>
        <w:t>2003</w:t>
      </w:r>
      <w:r>
        <w:rPr/>
        <w:t>年</w:t>
      </w:r>
      <w:r>
        <w:rPr>
          <w:rFonts w:ascii="宋体" w:hAnsi="宋体" w:cs="宋体" w:eastAsia="宋体" w:hint="default"/>
        </w:rPr>
        <w:t>7</w:t>
      </w:r>
      <w:r>
        <w:rPr/>
        <w:t>月</w:t>
      </w:r>
      <w:r>
        <w:rPr>
          <w:rFonts w:ascii="宋体" w:hAnsi="宋体" w:cs="宋体" w:eastAsia="宋体" w:hint="default"/>
        </w:rPr>
        <w:t>11</w:t>
      </w:r>
      <w:r>
        <w:rPr>
          <w:rFonts w:ascii="宋体" w:hAnsi="宋体" w:cs="宋体" w:eastAsia="宋体" w:hint="default"/>
          <w:spacing w:val="-30"/>
        </w:rPr>
        <w:t> </w:t>
      </w:r>
      <w:r>
        <w:rPr/>
        <w:t>日取得了变更后的《企业法人营业执照》。</w:t>
      </w:r>
    </w:p>
    <w:p>
      <w:pPr>
        <w:pStyle w:val="BodyText"/>
        <w:spacing w:line="312" w:lineRule="auto"/>
        <w:ind w:right="1122" w:firstLine="480"/>
        <w:jc w:val="both"/>
      </w:pPr>
      <w:r>
        <w:rPr>
          <w:rFonts w:ascii="宋体" w:hAnsi="宋体" w:cs="宋体" w:eastAsia="宋体" w:hint="default"/>
          <w:spacing w:val="-1"/>
        </w:rPr>
        <w:t>2007</w:t>
      </w:r>
      <w:r>
        <w:rPr>
          <w:spacing w:val="-1"/>
        </w:rPr>
        <w:t>年</w:t>
      </w:r>
      <w:r>
        <w:rPr>
          <w:rFonts w:ascii="宋体" w:hAnsi="宋体" w:cs="宋体" w:eastAsia="宋体" w:hint="default"/>
          <w:spacing w:val="-1"/>
        </w:rPr>
        <w:t>4</w:t>
      </w:r>
      <w:r>
        <w:rPr>
          <w:spacing w:val="-1"/>
        </w:rPr>
        <w:t>月，经发起人协议、公司董事会决议通过，并经中华人民共和国商务部（商资批</w:t>
      </w:r>
      <w:r>
        <w:rPr>
          <w:rFonts w:ascii="宋体" w:hAnsi="宋体" w:cs="宋体" w:eastAsia="宋体" w:hint="default"/>
          <w:spacing w:val="-1"/>
        </w:rPr>
        <w:t>[2007]1116</w:t>
      </w:r>
      <w:r>
        <w:rPr>
          <w:rFonts w:ascii="宋体" w:hAnsi="宋体" w:cs="宋体" w:eastAsia="宋体" w:hint="default"/>
          <w:w w:val="100"/>
        </w:rPr>
        <w:t> </w:t>
      </w:r>
      <w:r>
        <w:rPr/>
        <w:t>号）、陕西省人民政府国有资产监督管理委员会（陕国资产权发</w:t>
      </w:r>
      <w:r>
        <w:rPr>
          <w:rFonts w:ascii="宋体" w:hAnsi="宋体" w:cs="宋体" w:eastAsia="宋体" w:hint="default"/>
        </w:rPr>
        <w:t>[2007]186</w:t>
      </w:r>
      <w:r>
        <w:rPr/>
        <w:t>号）批准，西安永发医药包装</w:t>
      </w:r>
      <w:r>
        <w:rPr>
          <w:spacing w:val="-29"/>
        </w:rPr>
        <w:t> </w:t>
      </w:r>
      <w:r>
        <w:rPr>
          <w:spacing w:val="-29"/>
        </w:rPr>
      </w:r>
      <w:r>
        <w:rPr>
          <w:spacing w:val="-2"/>
        </w:rPr>
        <w:t>有限公司整体转制为外商投资股份有限公司，公司注册资本由</w:t>
      </w:r>
      <w:r>
        <w:rPr>
          <w:rFonts w:ascii="宋体" w:hAnsi="宋体" w:cs="宋体" w:eastAsia="宋体" w:hint="default"/>
          <w:spacing w:val="-2"/>
        </w:rPr>
        <w:t>4,000.00</w:t>
      </w:r>
      <w:r>
        <w:rPr>
          <w:spacing w:val="-2"/>
        </w:rPr>
        <w:t>万元增至</w:t>
      </w:r>
      <w:r>
        <w:rPr>
          <w:rFonts w:ascii="宋体" w:hAnsi="宋体" w:cs="宋体" w:eastAsia="宋体" w:hint="default"/>
          <w:spacing w:val="-2"/>
        </w:rPr>
        <w:t>7,500.00</w:t>
      </w:r>
      <w:r>
        <w:rPr>
          <w:spacing w:val="-2"/>
        </w:rPr>
        <w:t>万元，由西安永</w:t>
      </w:r>
      <w:r>
        <w:rPr>
          <w:spacing w:val="-16"/>
        </w:rPr>
        <w:t> </w:t>
      </w:r>
      <w:r>
        <w:rPr>
          <w:spacing w:val="-16"/>
        </w:rPr>
      </w:r>
      <w:r>
        <w:rPr>
          <w:spacing w:val="-2"/>
        </w:rPr>
        <w:t>发医药包装有限公司以经审计的</w:t>
      </w:r>
      <w:r>
        <w:rPr>
          <w:rFonts w:ascii="宋体" w:hAnsi="宋体" w:cs="宋体" w:eastAsia="宋体" w:hint="default"/>
          <w:spacing w:val="-2"/>
        </w:rPr>
        <w:t>2007</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31</w:t>
      </w:r>
      <w:r>
        <w:rPr>
          <w:spacing w:val="-2"/>
        </w:rPr>
        <w:t>日的账面净资产</w:t>
      </w:r>
      <w:r>
        <w:rPr>
          <w:rFonts w:ascii="宋体" w:hAnsi="宋体" w:cs="宋体" w:eastAsia="宋体" w:hint="default"/>
          <w:spacing w:val="-2"/>
        </w:rPr>
        <w:t>75,005,615.85</w:t>
      </w:r>
      <w:r>
        <w:rPr>
          <w:spacing w:val="-2"/>
        </w:rPr>
        <w:t>元按</w:t>
      </w:r>
      <w:r>
        <w:rPr>
          <w:rFonts w:ascii="宋体" w:hAnsi="宋体" w:cs="宋体" w:eastAsia="宋体" w:hint="default"/>
          <w:spacing w:val="-2"/>
        </w:rPr>
        <w:t>1</w:t>
      </w:r>
      <w:r>
        <w:rPr>
          <w:spacing w:val="-2"/>
        </w:rPr>
        <w:t>：</w:t>
      </w:r>
      <w:r>
        <w:rPr>
          <w:rFonts w:ascii="宋体" w:hAnsi="宋体" w:cs="宋体" w:eastAsia="宋体" w:hint="default"/>
          <w:spacing w:val="-2"/>
        </w:rPr>
        <w:t>1</w:t>
      </w:r>
      <w:r>
        <w:rPr>
          <w:spacing w:val="-2"/>
        </w:rPr>
        <w:t>折合股本</w:t>
      </w:r>
      <w:r>
        <w:rPr>
          <w:rFonts w:ascii="宋体" w:hAnsi="宋体" w:cs="宋体" w:eastAsia="宋体" w:hint="default"/>
          <w:spacing w:val="-2"/>
        </w:rPr>
        <w:t>7,500.00</w:t>
      </w:r>
      <w:r>
        <w:rPr>
          <w:spacing w:val="-2"/>
        </w:rPr>
        <w:t>万</w:t>
      </w:r>
      <w:r>
        <w:rPr>
          <w:spacing w:val="-6"/>
        </w:rPr>
        <w:t> </w:t>
      </w:r>
      <w:r>
        <w:rPr>
          <w:spacing w:val="-2"/>
        </w:rPr>
        <w:t>股人民币普通股，每股面值为人民币</w:t>
      </w:r>
      <w:r>
        <w:rPr>
          <w:rFonts w:ascii="宋体" w:hAnsi="宋体" w:cs="宋体" w:eastAsia="宋体" w:hint="default"/>
          <w:spacing w:val="-2"/>
        </w:rPr>
        <w:t>1.00</w:t>
      </w:r>
      <w:r>
        <w:rPr>
          <w:spacing w:val="-2"/>
        </w:rPr>
        <w:t>元，西安永发医药包装有限公司各投资方按其对该公司的持股比</w:t>
      </w:r>
      <w:r>
        <w:rPr>
          <w:spacing w:val="-28"/>
        </w:rPr>
        <w:t> </w:t>
      </w:r>
      <w:r>
        <w:rPr>
          <w:spacing w:val="-28"/>
        </w:rPr>
      </w:r>
      <w:r>
        <w:rPr>
          <w:spacing w:val="-2"/>
        </w:rPr>
        <w:t>例持有股份公司的股份，同时公司更名为西安环球印务股份有限公司，于</w:t>
      </w:r>
      <w:r>
        <w:rPr>
          <w:rFonts w:ascii="宋体" w:hAnsi="宋体" w:cs="宋体" w:eastAsia="宋体" w:hint="default"/>
          <w:spacing w:val="-2"/>
        </w:rPr>
        <w:t>2007</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8</w:t>
      </w:r>
      <w:r>
        <w:rPr>
          <w:spacing w:val="-2"/>
        </w:rPr>
        <w:t>日取得了西安市工商</w:t>
      </w:r>
      <w:r>
        <w:rPr>
          <w:spacing w:val="-25"/>
        </w:rPr>
        <w:t> </w:t>
      </w:r>
      <w:r>
        <w:rPr>
          <w:spacing w:val="-25"/>
        </w:rPr>
      </w:r>
      <w:r>
        <w:rPr/>
        <w:t>行政管理局【企股陕西安总字</w:t>
      </w:r>
      <w:r>
        <w:rPr>
          <w:rFonts w:ascii="宋体" w:hAnsi="宋体" w:cs="宋体" w:eastAsia="宋体" w:hint="default"/>
        </w:rPr>
        <w:t>001773</w:t>
      </w:r>
      <w:r>
        <w:rPr/>
        <w:t>号】企业法人营业执照。</w:t>
      </w:r>
    </w:p>
    <w:p>
      <w:pPr>
        <w:pStyle w:val="BodyText"/>
        <w:spacing w:line="314" w:lineRule="auto" w:before="22"/>
        <w:ind w:right="0" w:firstLine="480"/>
        <w:jc w:val="left"/>
      </w:pPr>
      <w:r>
        <w:rPr>
          <w:rFonts w:ascii="宋体" w:hAnsi="宋体" w:cs="宋体" w:eastAsia="宋体" w:hint="default"/>
          <w:spacing w:val="-3"/>
        </w:rPr>
        <w:t>2009</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21</w:t>
      </w:r>
      <w:r>
        <w:rPr>
          <w:spacing w:val="-3"/>
        </w:rPr>
        <w:t>日，陕西省商务厅以“陕商发</w:t>
      </w:r>
      <w:r>
        <w:rPr>
          <w:rFonts w:ascii="宋体" w:hAnsi="宋体" w:cs="宋体" w:eastAsia="宋体" w:hint="default"/>
          <w:spacing w:val="-3"/>
        </w:rPr>
        <w:t>[2009]455</w:t>
      </w:r>
      <w:r>
        <w:rPr>
          <w:spacing w:val="-3"/>
        </w:rPr>
        <w:t>号”文《陕西省商务厅关于同意西安环球印务股</w:t>
      </w:r>
      <w:r>
        <w:rPr>
          <w:w w:val="100"/>
        </w:rPr>
        <w:t> </w:t>
      </w:r>
      <w:r>
        <w:rPr/>
        <w:t>份有限公司股权变更的批复》，香港永发将其持有的本公司</w:t>
      </w:r>
      <w:r>
        <w:rPr>
          <w:rFonts w:ascii="宋体" w:hAnsi="宋体" w:cs="宋体" w:eastAsia="宋体" w:hint="default"/>
        </w:rPr>
        <w:t>2,625.00</w:t>
      </w:r>
      <w:r>
        <w:rPr/>
        <w:t>万股股份转让予香港原石国际有限公</w:t>
      </w:r>
      <w:r>
        <w:rPr>
          <w:w w:val="100"/>
        </w:rPr>
        <w:t> </w:t>
      </w:r>
      <w:r>
        <w:rPr/>
        <w:t>司（以下简称“香港原石”）；陕西众发将其持有的本公司</w:t>
      </w:r>
      <w:r>
        <w:rPr>
          <w:rFonts w:ascii="宋体" w:hAnsi="宋体" w:cs="宋体" w:eastAsia="宋体" w:hint="default"/>
        </w:rPr>
        <w:t>1,500.00</w:t>
      </w:r>
      <w:r>
        <w:rPr/>
        <w:t>万股股份转让给陕药集团。转让完成</w:t>
      </w:r>
      <w:r>
        <w:rPr>
          <w:w w:val="100"/>
        </w:rPr>
        <w:t> </w:t>
      </w:r>
      <w:r>
        <w:rPr>
          <w:spacing w:val="-7"/>
          <w:w w:val="100"/>
        </w:rPr>
        <w:t>后，陕药集团出资</w:t>
      </w:r>
      <w:r>
        <w:rPr>
          <w:rFonts w:ascii="宋体" w:hAnsi="宋体" w:cs="宋体" w:eastAsia="宋体" w:hint="default"/>
          <w:spacing w:val="-7"/>
          <w:w w:val="100"/>
        </w:rPr>
        <w:t>4,875.00</w:t>
      </w:r>
      <w:r>
        <w:rPr>
          <w:spacing w:val="-7"/>
          <w:w w:val="100"/>
        </w:rPr>
        <w:t>万元，占注册资本的</w:t>
      </w:r>
      <w:r>
        <w:rPr>
          <w:rFonts w:ascii="宋体" w:hAnsi="宋体" w:cs="宋体" w:eastAsia="宋体" w:hint="default"/>
          <w:spacing w:val="-7"/>
          <w:w w:val="100"/>
        </w:rPr>
        <w:t>65.00%</w:t>
      </w:r>
      <w:r>
        <w:rPr>
          <w:spacing w:val="-7"/>
          <w:w w:val="100"/>
        </w:rPr>
        <w:t>；香港原石出资</w:t>
      </w:r>
      <w:r>
        <w:rPr>
          <w:rFonts w:ascii="宋体" w:hAnsi="宋体" w:cs="宋体" w:eastAsia="宋体" w:hint="default"/>
          <w:spacing w:val="-7"/>
          <w:w w:val="100"/>
        </w:rPr>
        <w:t>2,625.00</w:t>
      </w:r>
      <w:r>
        <w:rPr>
          <w:spacing w:val="-7"/>
          <w:w w:val="100"/>
        </w:rPr>
        <w:t>万元，占注册资本的</w:t>
      </w:r>
      <w:r>
        <w:rPr>
          <w:rFonts w:ascii="宋体" w:hAnsi="宋体" w:cs="宋体" w:eastAsia="宋体" w:hint="default"/>
          <w:spacing w:val="-7"/>
          <w:w w:val="100"/>
        </w:rPr>
        <w:t>35.00%</w:t>
      </w:r>
      <w:r>
        <w:rPr>
          <w:spacing w:val="-7"/>
          <w:w w:val="100"/>
        </w:rPr>
        <w:t>。</w:t>
      </w:r>
      <w:r>
        <w:rPr>
          <w:spacing w:val="-65"/>
          <w:w w:val="100"/>
        </w:rPr>
        <w:t> </w:t>
      </w:r>
      <w:r>
        <w:rPr/>
        <w:t>上述股权变更于</w:t>
      </w:r>
      <w:r>
        <w:rPr>
          <w:rFonts w:ascii="宋体" w:hAnsi="宋体" w:cs="宋体" w:eastAsia="宋体" w:hint="default"/>
        </w:rPr>
        <w:t>2009</w:t>
      </w:r>
      <w:r>
        <w:rPr/>
        <w:t>年</w:t>
      </w:r>
      <w:r>
        <w:rPr>
          <w:rFonts w:ascii="宋体" w:hAnsi="宋体" w:cs="宋体" w:eastAsia="宋体" w:hint="default"/>
        </w:rPr>
        <w:t>10</w:t>
      </w:r>
      <w:r>
        <w:rPr/>
        <w:t>月</w:t>
      </w:r>
      <w:r>
        <w:rPr>
          <w:rFonts w:ascii="宋体" w:hAnsi="宋体" w:cs="宋体" w:eastAsia="宋体" w:hint="default"/>
        </w:rPr>
        <w:t>20</w:t>
      </w:r>
      <w:r>
        <w:rPr/>
        <w:t>日完成工商登记变更手续。</w:t>
      </w:r>
    </w:p>
    <w:p>
      <w:pPr>
        <w:pStyle w:val="BodyText"/>
        <w:spacing w:line="312" w:lineRule="auto"/>
        <w:ind w:right="1122" w:firstLine="480"/>
        <w:jc w:val="both"/>
      </w:pPr>
      <w:r>
        <w:rPr>
          <w:rFonts w:ascii="宋体" w:hAnsi="宋体" w:cs="宋体" w:eastAsia="宋体" w:hint="default"/>
          <w:spacing w:val="-3"/>
        </w:rPr>
        <w:t>2010</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15</w:t>
      </w:r>
      <w:r>
        <w:rPr>
          <w:spacing w:val="-3"/>
        </w:rPr>
        <w:t>日，陕西省商务厅以“陕商发</w:t>
      </w:r>
      <w:r>
        <w:rPr>
          <w:rFonts w:ascii="宋体" w:hAnsi="宋体" w:cs="宋体" w:eastAsia="宋体" w:hint="default"/>
          <w:spacing w:val="-3"/>
        </w:rPr>
        <w:t>[2010]157</w:t>
      </w:r>
      <w:r>
        <w:rPr>
          <w:spacing w:val="-3"/>
        </w:rPr>
        <w:t>号”文《陕西省商务厅关于同意西安环球印务股</w:t>
      </w:r>
      <w:r>
        <w:rPr>
          <w:w w:val="100"/>
        </w:rPr>
        <w:t> </w:t>
      </w:r>
      <w:r>
        <w:rPr>
          <w:spacing w:val="-2"/>
        </w:rPr>
        <w:t>份有限公司股东股权转让的批复》，香港原石将其持有的本公司</w:t>
      </w:r>
      <w:r>
        <w:rPr>
          <w:rFonts w:ascii="宋体" w:hAnsi="宋体" w:cs="宋体" w:eastAsia="宋体" w:hint="default"/>
          <w:spacing w:val="-2"/>
        </w:rPr>
        <w:t>1,500.00</w:t>
      </w:r>
      <w:r>
        <w:rPr>
          <w:spacing w:val="-2"/>
        </w:rPr>
        <w:t>万股股份分别转让给北京晶创合</w:t>
      </w:r>
      <w:r>
        <w:rPr>
          <w:spacing w:val="-23"/>
        </w:rPr>
        <w:t> </w:t>
      </w:r>
      <w:r>
        <w:rPr>
          <w:spacing w:val="-23"/>
        </w:rPr>
      </w:r>
      <w:r>
        <w:rPr>
          <w:spacing w:val="-7"/>
        </w:rPr>
        <w:t>创业投资有限公司（以下简称“北京晶创合”）、比特（香港）投资有限公司（以下简称“香港比特”）。</w:t>
      </w:r>
      <w:r>
        <w:rPr>
          <w:spacing w:val="-45"/>
        </w:rPr>
        <w:t> </w:t>
      </w:r>
      <w:r>
        <w:rPr>
          <w:spacing w:val="-45"/>
        </w:rPr>
      </w:r>
      <w:r>
        <w:rPr>
          <w:spacing w:val="-2"/>
        </w:rPr>
        <w:t>转让完成后，陕药集团出资</w:t>
      </w:r>
      <w:r>
        <w:rPr>
          <w:rFonts w:ascii="宋体" w:hAnsi="宋体" w:cs="宋体" w:eastAsia="宋体" w:hint="default"/>
          <w:spacing w:val="-2"/>
        </w:rPr>
        <w:t>4,875.00</w:t>
      </w:r>
      <w:r>
        <w:rPr>
          <w:spacing w:val="-2"/>
        </w:rPr>
        <w:t>万元，占注册资本的</w:t>
      </w:r>
      <w:r>
        <w:rPr>
          <w:rFonts w:ascii="宋体" w:hAnsi="宋体" w:cs="宋体" w:eastAsia="宋体" w:hint="default"/>
          <w:spacing w:val="-2"/>
        </w:rPr>
        <w:t>65.00%</w:t>
      </w:r>
      <w:r>
        <w:rPr>
          <w:spacing w:val="-2"/>
        </w:rPr>
        <w:t>；香港原石出资</w:t>
      </w:r>
      <w:r>
        <w:rPr>
          <w:rFonts w:ascii="宋体" w:hAnsi="宋体" w:cs="宋体" w:eastAsia="宋体" w:hint="default"/>
          <w:spacing w:val="-2"/>
        </w:rPr>
        <w:t>1,125.00</w:t>
      </w:r>
      <w:r>
        <w:rPr>
          <w:spacing w:val="-2"/>
        </w:rPr>
        <w:t>万元，占注册资</w:t>
      </w:r>
      <w:r>
        <w:rPr>
          <w:spacing w:val="-10"/>
        </w:rPr>
        <w:t> </w:t>
      </w:r>
      <w:r>
        <w:rPr>
          <w:spacing w:val="-10"/>
        </w:rPr>
      </w:r>
      <w:r>
        <w:rPr>
          <w:spacing w:val="-2"/>
        </w:rPr>
        <w:t>本的</w:t>
      </w:r>
      <w:r>
        <w:rPr>
          <w:rFonts w:ascii="宋体" w:hAnsi="宋体" w:cs="宋体" w:eastAsia="宋体" w:hint="default"/>
          <w:spacing w:val="-2"/>
        </w:rPr>
        <w:t>15.00%</w:t>
      </w:r>
      <w:r>
        <w:rPr>
          <w:spacing w:val="-2"/>
        </w:rPr>
        <w:t>；北京晶创合出资</w:t>
      </w:r>
      <w:r>
        <w:rPr>
          <w:rFonts w:ascii="宋体" w:hAnsi="宋体" w:cs="宋体" w:eastAsia="宋体" w:hint="default"/>
          <w:spacing w:val="-2"/>
        </w:rPr>
        <w:t>750.00</w:t>
      </w:r>
      <w:r>
        <w:rPr>
          <w:spacing w:val="-2"/>
        </w:rPr>
        <w:t>万元，占注册资本的</w:t>
      </w:r>
      <w:r>
        <w:rPr>
          <w:rFonts w:ascii="宋体" w:hAnsi="宋体" w:cs="宋体" w:eastAsia="宋体" w:hint="default"/>
          <w:spacing w:val="-2"/>
        </w:rPr>
        <w:t>10.00%</w:t>
      </w:r>
      <w:r>
        <w:rPr>
          <w:spacing w:val="-2"/>
        </w:rPr>
        <w:t>；香港比特出资</w:t>
      </w:r>
      <w:r>
        <w:rPr>
          <w:rFonts w:ascii="宋体" w:hAnsi="宋体" w:cs="宋体" w:eastAsia="宋体" w:hint="default"/>
          <w:spacing w:val="-2"/>
        </w:rPr>
        <w:t>750.00</w:t>
      </w:r>
      <w:r>
        <w:rPr>
          <w:spacing w:val="-2"/>
        </w:rPr>
        <w:t>万元，占注册资本</w:t>
      </w:r>
      <w:r>
        <w:rPr>
          <w:spacing w:val="-9"/>
        </w:rPr>
        <w:t> </w:t>
      </w:r>
      <w:r>
        <w:rPr>
          <w:spacing w:val="-9"/>
        </w:rPr>
      </w:r>
      <w:r>
        <w:rPr/>
        <w:t>的</w:t>
      </w:r>
      <w:r>
        <w:rPr>
          <w:rFonts w:ascii="宋体" w:hAnsi="宋体" w:cs="宋体" w:eastAsia="宋体" w:hint="default"/>
        </w:rPr>
        <w:t>10.00%</w:t>
      </w:r>
      <w:r>
        <w:rPr/>
        <w:t>。上述股权变更于</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18</w:t>
      </w:r>
      <w:r>
        <w:rPr/>
        <w:t>日完成工商变更登记手续。</w:t>
      </w:r>
    </w:p>
    <w:p>
      <w:pPr>
        <w:pStyle w:val="BodyText"/>
        <w:spacing w:line="314" w:lineRule="auto" w:before="22"/>
        <w:ind w:right="1122" w:firstLine="508"/>
        <w:jc w:val="both"/>
      </w:pP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26</w:t>
      </w:r>
      <w:r>
        <w:rPr/>
        <w:t>日，陕西省商务厅以“陕商发</w:t>
      </w:r>
      <w:r>
        <w:rPr>
          <w:rFonts w:ascii="宋体" w:hAnsi="宋体" w:cs="宋体" w:eastAsia="宋体" w:hint="default"/>
        </w:rPr>
        <w:t>[2012]296</w:t>
      </w:r>
      <w:r>
        <w:rPr/>
        <w:t>号”文《陕西省商务厅关于同意西安环球印务</w:t>
      </w:r>
      <w:r>
        <w:rPr>
          <w:w w:val="100"/>
        </w:rPr>
        <w:t> </w:t>
      </w:r>
      <w:r>
        <w:rPr>
          <w:spacing w:val="-2"/>
        </w:rPr>
        <w:t>股份有限公司股东股权转让的批复》，北京晶创合将其持有的本公司</w:t>
      </w:r>
      <w:r>
        <w:rPr>
          <w:rFonts w:ascii="宋体" w:hAnsi="宋体" w:cs="宋体" w:eastAsia="宋体" w:hint="default"/>
          <w:spacing w:val="-2"/>
        </w:rPr>
        <w:t>750.00</w:t>
      </w:r>
      <w:r>
        <w:rPr>
          <w:spacing w:val="-2"/>
        </w:rPr>
        <w:t>万股股份转让给香港原石。转</w:t>
      </w:r>
      <w:r>
        <w:rPr>
          <w:spacing w:val="-25"/>
        </w:rPr>
        <w:t> </w:t>
      </w:r>
      <w:r>
        <w:rPr>
          <w:spacing w:val="-25"/>
        </w:rPr>
      </w:r>
      <w:r>
        <w:rPr>
          <w:spacing w:val="-2"/>
        </w:rPr>
        <w:t>让完成后，陕药集团出资</w:t>
      </w:r>
      <w:r>
        <w:rPr>
          <w:rFonts w:ascii="宋体" w:hAnsi="宋体" w:cs="宋体" w:eastAsia="宋体" w:hint="default"/>
          <w:spacing w:val="-2"/>
        </w:rPr>
        <w:t>4,875.00</w:t>
      </w:r>
      <w:r>
        <w:rPr>
          <w:spacing w:val="-2"/>
        </w:rPr>
        <w:t>万元，占注册资本的</w:t>
      </w:r>
      <w:r>
        <w:rPr>
          <w:rFonts w:ascii="宋体" w:hAnsi="宋体" w:cs="宋体" w:eastAsia="宋体" w:hint="default"/>
          <w:spacing w:val="-2"/>
        </w:rPr>
        <w:t>65.00%</w:t>
      </w:r>
      <w:r>
        <w:rPr>
          <w:spacing w:val="-2"/>
        </w:rPr>
        <w:t>；香港原石出资</w:t>
      </w:r>
      <w:r>
        <w:rPr>
          <w:rFonts w:ascii="宋体" w:hAnsi="宋体" w:cs="宋体" w:eastAsia="宋体" w:hint="default"/>
          <w:spacing w:val="-2"/>
        </w:rPr>
        <w:t>1,875.00</w:t>
      </w:r>
      <w:r>
        <w:rPr>
          <w:spacing w:val="-2"/>
        </w:rPr>
        <w:t>万元，占注册资本</w:t>
      </w:r>
      <w:r>
        <w:rPr>
          <w:spacing w:val="-10"/>
        </w:rPr>
        <w:t> </w:t>
      </w:r>
      <w:r>
        <w:rPr>
          <w:spacing w:val="-10"/>
        </w:rPr>
      </w:r>
      <w:r>
        <w:rPr>
          <w:spacing w:val="-2"/>
        </w:rPr>
        <w:t>的</w:t>
      </w:r>
      <w:r>
        <w:rPr>
          <w:rFonts w:ascii="宋体" w:hAnsi="宋体" w:cs="宋体" w:eastAsia="宋体" w:hint="default"/>
          <w:spacing w:val="-2"/>
        </w:rPr>
        <w:t>25.00%</w:t>
      </w:r>
      <w:r>
        <w:rPr>
          <w:spacing w:val="-2"/>
        </w:rPr>
        <w:t>；香港比特出资</w:t>
      </w:r>
      <w:r>
        <w:rPr>
          <w:rFonts w:ascii="宋体" w:hAnsi="宋体" w:cs="宋体" w:eastAsia="宋体" w:hint="default"/>
          <w:spacing w:val="-2"/>
        </w:rPr>
        <w:t>750.00</w:t>
      </w:r>
      <w:r>
        <w:rPr>
          <w:spacing w:val="-2"/>
        </w:rPr>
        <w:t>万元，占注册资本的</w:t>
      </w:r>
      <w:r>
        <w:rPr>
          <w:rFonts w:ascii="宋体" w:hAnsi="宋体" w:cs="宋体" w:eastAsia="宋体" w:hint="default"/>
          <w:spacing w:val="-2"/>
        </w:rPr>
        <w:t>10.00%</w:t>
      </w:r>
      <w:r>
        <w:rPr>
          <w:spacing w:val="-2"/>
        </w:rPr>
        <w:t>。上述股权变更于</w:t>
      </w:r>
      <w:r>
        <w:rPr>
          <w:rFonts w:ascii="宋体" w:hAnsi="宋体" w:cs="宋体" w:eastAsia="宋体" w:hint="default"/>
          <w:spacing w:val="-2"/>
        </w:rPr>
        <w:t>2012</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5</w:t>
      </w:r>
      <w:r>
        <w:rPr>
          <w:spacing w:val="-2"/>
        </w:rPr>
        <w:t>日完成工商登记</w:t>
      </w:r>
      <w:r>
        <w:rPr>
          <w:spacing w:val="-8"/>
        </w:rPr>
        <w:t> </w:t>
      </w:r>
      <w:r>
        <w:rPr>
          <w:spacing w:val="-8"/>
        </w:rPr>
      </w:r>
      <w:r>
        <w:rPr/>
        <w:t>手续。</w:t>
      </w:r>
    </w:p>
    <w:p>
      <w:pPr>
        <w:pStyle w:val="BodyText"/>
        <w:spacing w:line="314" w:lineRule="auto"/>
        <w:ind w:right="1122" w:firstLine="508"/>
        <w:jc w:val="both"/>
      </w:pPr>
      <w:r>
        <w:rPr>
          <w:rFonts w:ascii="宋体" w:hAnsi="宋体" w:cs="宋体" w:eastAsia="宋体" w:hint="default"/>
          <w:spacing w:val="-1"/>
        </w:rPr>
        <w:t>2016</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31</w:t>
      </w:r>
      <w:r>
        <w:rPr>
          <w:spacing w:val="-1"/>
        </w:rPr>
        <w:t>日，根据本公司</w:t>
      </w:r>
      <w:r>
        <w:rPr>
          <w:rFonts w:ascii="宋体" w:hAnsi="宋体" w:cs="宋体" w:eastAsia="宋体" w:hint="default"/>
          <w:spacing w:val="-1"/>
        </w:rPr>
        <w:t>2012</w:t>
      </w:r>
      <w:r>
        <w:rPr>
          <w:spacing w:val="-1"/>
        </w:rPr>
        <w:t>年第一次临时股东大会决议、</w:t>
      </w:r>
      <w:r>
        <w:rPr>
          <w:rFonts w:ascii="宋体" w:hAnsi="宋体" w:cs="宋体" w:eastAsia="宋体" w:hint="default"/>
          <w:spacing w:val="-1"/>
        </w:rPr>
        <w:t>2013</w:t>
      </w:r>
      <w:r>
        <w:rPr>
          <w:spacing w:val="-1"/>
        </w:rPr>
        <w:t>年度股东大会决议、</w:t>
      </w:r>
      <w:r>
        <w:rPr>
          <w:rFonts w:ascii="宋体" w:hAnsi="宋体" w:cs="宋体" w:eastAsia="宋体" w:hint="default"/>
          <w:spacing w:val="-1"/>
        </w:rPr>
        <w:t>2014</w:t>
      </w:r>
      <w:r>
        <w:rPr>
          <w:spacing w:val="-1"/>
        </w:rPr>
        <w:t>年度股</w:t>
      </w:r>
      <w:r>
        <w:rPr>
          <w:w w:val="100"/>
        </w:rPr>
        <w:t> </w:t>
      </w:r>
      <w:r>
        <w:rPr>
          <w:spacing w:val="-6"/>
        </w:rPr>
        <w:t>东大会决议及</w:t>
      </w:r>
      <w:r>
        <w:rPr>
          <w:rFonts w:ascii="宋体" w:hAnsi="宋体" w:cs="宋体" w:eastAsia="宋体" w:hint="default"/>
          <w:spacing w:val="-6"/>
        </w:rPr>
        <w:t>2015</w:t>
      </w:r>
      <w:r>
        <w:rPr>
          <w:spacing w:val="-6"/>
        </w:rPr>
        <w:t>年度股东大会决议，并经中国证券监督管理委员会“证监许可［</w:t>
      </w:r>
      <w:r>
        <w:rPr>
          <w:rFonts w:ascii="宋体" w:hAnsi="宋体" w:cs="宋体" w:eastAsia="宋体" w:hint="default"/>
          <w:spacing w:val="-6"/>
        </w:rPr>
        <w:t>2016</w:t>
      </w:r>
      <w:r>
        <w:rPr>
          <w:spacing w:val="-6"/>
        </w:rPr>
        <w:t>］</w:t>
      </w:r>
      <w:r>
        <w:rPr>
          <w:rFonts w:ascii="宋体" w:hAnsi="宋体" w:cs="宋体" w:eastAsia="宋体" w:hint="default"/>
          <w:spacing w:val="-6"/>
        </w:rPr>
        <w:t>1012</w:t>
      </w:r>
      <w:r>
        <w:rPr>
          <w:spacing w:val="-6"/>
        </w:rPr>
        <w:t>号”文核准，</w:t>
      </w:r>
    </w:p>
    <w:p>
      <w:pPr>
        <w:spacing w:after="0" w:line="314" w:lineRule="auto"/>
        <w:jc w:val="both"/>
        <w:sectPr>
          <w:headerReference w:type="default" r:id="rId27"/>
          <w:footerReference w:type="default" r:id="rId28"/>
          <w:pgSz w:w="11910" w:h="16840"/>
          <w:pgMar w:header="460" w:footer="979" w:top="1060" w:bottom="1160" w:left="980" w:right="0"/>
          <w:pgNumType w:start="110"/>
        </w:sectPr>
      </w:pPr>
    </w:p>
    <w:p>
      <w:pPr>
        <w:spacing w:line="240" w:lineRule="auto" w:before="7"/>
        <w:rPr>
          <w:rFonts w:ascii="宋体" w:hAnsi="宋体" w:cs="宋体" w:eastAsia="宋体" w:hint="default"/>
          <w:sz w:val="22"/>
          <w:szCs w:val="22"/>
        </w:rPr>
      </w:pPr>
    </w:p>
    <w:p>
      <w:pPr>
        <w:pStyle w:val="BodyText"/>
        <w:spacing w:line="314" w:lineRule="auto" w:before="36"/>
        <w:ind w:left="233" w:right="1122"/>
        <w:jc w:val="both"/>
      </w:pPr>
      <w:r>
        <w:rPr/>
        <w:t>向社会公开发行人民币普通股（</w:t>
      </w:r>
      <w:r>
        <w:rPr>
          <w:rFonts w:ascii="宋体" w:hAnsi="宋体" w:cs="宋体" w:eastAsia="宋体" w:hint="default"/>
        </w:rPr>
        <w:t>A</w:t>
      </w:r>
      <w:r>
        <w:rPr/>
        <w:t>股）</w:t>
      </w:r>
      <w:r>
        <w:rPr>
          <w:rFonts w:ascii="宋体" w:hAnsi="宋体" w:cs="宋体" w:eastAsia="宋体" w:hint="default"/>
        </w:rPr>
        <w:t>2500.00</w:t>
      </w:r>
      <w:r>
        <w:rPr/>
        <w:t>万股，每股发行价</w:t>
      </w:r>
      <w:r>
        <w:rPr>
          <w:rFonts w:ascii="宋体" w:hAnsi="宋体" w:cs="宋体" w:eastAsia="宋体" w:hint="default"/>
        </w:rPr>
        <w:t>7.98</w:t>
      </w:r>
      <w:r>
        <w:rPr/>
        <w:t>元，募集资金</w:t>
      </w:r>
      <w:r>
        <w:rPr>
          <w:rFonts w:ascii="宋体" w:hAnsi="宋体" w:cs="宋体" w:eastAsia="宋体" w:hint="default"/>
        </w:rPr>
        <w:t>19,950.00</w:t>
      </w:r>
      <w:r>
        <w:rPr/>
        <w:t>万元，并于</w:t>
      </w:r>
      <w:r>
        <w:rPr>
          <w:spacing w:val="-30"/>
        </w:rPr>
        <w:t> </w:t>
      </w:r>
      <w:r>
        <w:rPr>
          <w:rFonts w:ascii="宋体" w:hAnsi="宋体" w:cs="宋体" w:eastAsia="宋体" w:hint="default"/>
          <w:spacing w:val="-2"/>
        </w:rPr>
        <w:t>2016</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8</w:t>
      </w:r>
      <w:r>
        <w:rPr>
          <w:spacing w:val="-2"/>
        </w:rPr>
        <w:t>日在深圳证券交易所上市交易，股票代码：</w:t>
      </w:r>
      <w:r>
        <w:rPr>
          <w:rFonts w:ascii="宋体" w:hAnsi="宋体" w:cs="宋体" w:eastAsia="宋体" w:hint="default"/>
          <w:spacing w:val="-2"/>
        </w:rPr>
        <w:t>002799</w:t>
      </w:r>
      <w:r>
        <w:rPr>
          <w:spacing w:val="-2"/>
        </w:rPr>
        <w:t>，股票简称：环球印务。公开发行后，本公</w:t>
      </w:r>
      <w:r>
        <w:rPr>
          <w:spacing w:val="-25"/>
        </w:rPr>
        <w:t> </w:t>
      </w:r>
      <w:r>
        <w:rPr>
          <w:spacing w:val="-25"/>
        </w:rPr>
      </w:r>
      <w:r>
        <w:rPr/>
        <w:t>司股本总额为</w:t>
      </w:r>
      <w:r>
        <w:rPr>
          <w:rFonts w:ascii="宋体" w:hAnsi="宋体" w:cs="宋体" w:eastAsia="宋体" w:hint="default"/>
        </w:rPr>
        <w:t>10,000.00</w:t>
      </w:r>
      <w:r>
        <w:rPr/>
        <w:t>万元，其中：陕药集团持股</w:t>
      </w:r>
      <w:r>
        <w:rPr>
          <w:rFonts w:ascii="宋体" w:hAnsi="宋体" w:cs="宋体" w:eastAsia="宋体" w:hint="default"/>
        </w:rPr>
        <w:t>4,625.00</w:t>
      </w:r>
      <w:r>
        <w:rPr/>
        <w:t>万元，持股比例</w:t>
      </w:r>
      <w:r>
        <w:rPr>
          <w:rFonts w:ascii="宋体" w:hAnsi="宋体" w:cs="宋体" w:eastAsia="宋体" w:hint="default"/>
        </w:rPr>
        <w:t>46.25%</w:t>
      </w:r>
      <w:r>
        <w:rPr/>
        <w:t>；非受限社会公众股</w:t>
      </w:r>
      <w:r>
        <w:rPr>
          <w:spacing w:val="-29"/>
        </w:rPr>
        <w:t> </w:t>
      </w:r>
      <w:r>
        <w:rPr>
          <w:spacing w:val="-29"/>
        </w:rPr>
      </w:r>
      <w:r>
        <w:rPr>
          <w:spacing w:val="-5"/>
        </w:rPr>
        <w:t>持股</w:t>
      </w:r>
      <w:r>
        <w:rPr>
          <w:rFonts w:ascii="宋体" w:hAnsi="宋体" w:cs="宋体" w:eastAsia="宋体" w:hint="default"/>
          <w:spacing w:val="-5"/>
        </w:rPr>
        <w:t>2,500.00</w:t>
      </w:r>
      <w:r>
        <w:rPr>
          <w:spacing w:val="-5"/>
        </w:rPr>
        <w:t>万元，持股比例</w:t>
      </w:r>
      <w:r>
        <w:rPr>
          <w:rFonts w:ascii="宋体" w:hAnsi="宋体" w:cs="宋体" w:eastAsia="宋体" w:hint="default"/>
          <w:spacing w:val="-5"/>
        </w:rPr>
        <w:t>25.00%</w:t>
      </w:r>
      <w:r>
        <w:rPr>
          <w:spacing w:val="-5"/>
        </w:rPr>
        <w:t>；香港原石持股</w:t>
      </w:r>
      <w:r>
        <w:rPr>
          <w:rFonts w:ascii="宋体" w:hAnsi="宋体" w:cs="宋体" w:eastAsia="宋体" w:hint="default"/>
          <w:spacing w:val="-5"/>
        </w:rPr>
        <w:t>1,875.00</w:t>
      </w:r>
      <w:r>
        <w:rPr>
          <w:spacing w:val="-5"/>
        </w:rPr>
        <w:t>万元，持股比例</w:t>
      </w:r>
      <w:r>
        <w:rPr>
          <w:rFonts w:ascii="宋体" w:hAnsi="宋体" w:cs="宋体" w:eastAsia="宋体" w:hint="default"/>
          <w:spacing w:val="-5"/>
        </w:rPr>
        <w:t>18.75%</w:t>
      </w:r>
      <w:r>
        <w:rPr>
          <w:spacing w:val="-5"/>
        </w:rPr>
        <w:t>；香港比特持股</w:t>
      </w:r>
      <w:r>
        <w:rPr>
          <w:rFonts w:ascii="宋体" w:hAnsi="宋体" w:cs="宋体" w:eastAsia="宋体" w:hint="default"/>
          <w:spacing w:val="-5"/>
        </w:rPr>
        <w:t>750.00</w:t>
      </w:r>
      <w:r>
        <w:rPr>
          <w:rFonts w:ascii="宋体" w:hAnsi="宋体" w:cs="宋体" w:eastAsia="宋体" w:hint="default"/>
          <w:spacing w:val="-16"/>
        </w:rPr>
        <w:t> </w:t>
      </w:r>
      <w:r>
        <w:rPr>
          <w:spacing w:val="-2"/>
        </w:rPr>
        <w:t>万元，持股比例</w:t>
      </w:r>
      <w:r>
        <w:rPr>
          <w:rFonts w:ascii="宋体" w:hAnsi="宋体" w:cs="宋体" w:eastAsia="宋体" w:hint="default"/>
          <w:spacing w:val="-2"/>
        </w:rPr>
        <w:t>7.50%</w:t>
      </w:r>
      <w:r>
        <w:rPr>
          <w:spacing w:val="-2"/>
        </w:rPr>
        <w:t>；全国社会保障基金理事会转持二户持股</w:t>
      </w:r>
      <w:r>
        <w:rPr>
          <w:rFonts w:ascii="宋体" w:hAnsi="宋体" w:cs="宋体" w:eastAsia="宋体" w:hint="default"/>
          <w:spacing w:val="-2"/>
        </w:rPr>
        <w:t>250.00</w:t>
      </w:r>
      <w:r>
        <w:rPr>
          <w:spacing w:val="-2"/>
        </w:rPr>
        <w:t>万元，持股比例</w:t>
      </w:r>
      <w:r>
        <w:rPr>
          <w:rFonts w:ascii="宋体" w:hAnsi="宋体" w:cs="宋体" w:eastAsia="宋体" w:hint="default"/>
          <w:spacing w:val="-2"/>
        </w:rPr>
        <w:t>2.50%</w:t>
      </w:r>
      <w:r>
        <w:rPr>
          <w:spacing w:val="-2"/>
        </w:rPr>
        <w:t>。上述变更于</w:t>
      </w:r>
      <w:r>
        <w:rPr>
          <w:spacing w:val="-21"/>
        </w:rPr>
        <w:t> </w:t>
      </w:r>
      <w:r>
        <w:rPr>
          <w:spacing w:val="-21"/>
        </w:rPr>
      </w:r>
      <w:r>
        <w:rPr>
          <w:rFonts w:ascii="宋体" w:hAnsi="宋体" w:cs="宋体" w:eastAsia="宋体" w:hint="default"/>
        </w:rPr>
        <w:t>2016</w:t>
      </w:r>
      <w:r>
        <w:rPr/>
        <w:t>年</w:t>
      </w:r>
      <w:r>
        <w:rPr>
          <w:rFonts w:ascii="宋体" w:hAnsi="宋体" w:cs="宋体" w:eastAsia="宋体" w:hint="default"/>
        </w:rPr>
        <w:t>8</w:t>
      </w:r>
      <w:r>
        <w:rPr/>
        <w:t>月</w:t>
      </w:r>
      <w:r>
        <w:rPr>
          <w:rFonts w:ascii="宋体" w:hAnsi="宋体" w:cs="宋体" w:eastAsia="宋体" w:hint="default"/>
        </w:rPr>
        <w:t>26</w:t>
      </w:r>
      <w:r>
        <w:rPr/>
        <w:t>日完成工商登记手续，并取得统一社会信用代码</w:t>
      </w:r>
      <w:r>
        <w:rPr>
          <w:rFonts w:ascii="宋体" w:hAnsi="宋体" w:cs="宋体" w:eastAsia="宋体" w:hint="default"/>
        </w:rPr>
        <w:t>9161013172630357XM</w:t>
      </w:r>
      <w:r>
        <w:rPr/>
        <w:t>的营业执照。</w:t>
      </w:r>
    </w:p>
    <w:p>
      <w:pPr>
        <w:pStyle w:val="BodyText"/>
        <w:spacing w:line="314" w:lineRule="auto" w:before="15"/>
        <w:ind w:left="233" w:right="1127" w:firstLine="508"/>
        <w:jc w:val="both"/>
      </w:pP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26</w:t>
      </w:r>
      <w:r>
        <w:rPr>
          <w:spacing w:val="-2"/>
        </w:rPr>
        <w:t>日经本公司三届十一次董事会决议通过的《</w:t>
      </w:r>
      <w:r>
        <w:rPr>
          <w:rFonts w:ascii="宋体" w:hAnsi="宋体" w:cs="宋体" w:eastAsia="宋体" w:hint="default"/>
          <w:spacing w:val="-2"/>
        </w:rPr>
        <w:t>2016</w:t>
      </w:r>
      <w:r>
        <w:rPr>
          <w:spacing w:val="-2"/>
        </w:rPr>
        <w:t>年度利润分配预案》：公司以</w:t>
      </w:r>
      <w:r>
        <w:rPr>
          <w:rFonts w:ascii="宋体" w:hAnsi="宋体" w:cs="宋体" w:eastAsia="宋体" w:hint="default"/>
          <w:spacing w:val="-2"/>
        </w:rPr>
        <w:t>2016</w:t>
      </w:r>
      <w:r>
        <w:rPr>
          <w:spacing w:val="-2"/>
        </w:rPr>
        <w:t>年</w:t>
      </w:r>
      <w:r>
        <w:rPr>
          <w:rFonts w:ascii="宋体" w:hAnsi="宋体" w:cs="宋体" w:eastAsia="宋体" w:hint="default"/>
          <w:spacing w:val="-2"/>
        </w:rPr>
        <w:t>12</w:t>
      </w:r>
      <w:r>
        <w:rPr>
          <w:rFonts w:ascii="宋体" w:hAnsi="宋体" w:cs="宋体" w:eastAsia="宋体" w:hint="default"/>
          <w:w w:val="100"/>
        </w:rPr>
        <w:t> </w:t>
      </w:r>
      <w:r>
        <w:rPr/>
        <w:t>月</w:t>
      </w:r>
      <w:r>
        <w:rPr>
          <w:rFonts w:ascii="宋体" w:hAnsi="宋体" w:cs="宋体" w:eastAsia="宋体" w:hint="default"/>
        </w:rPr>
        <w:t>31</w:t>
      </w:r>
      <w:r>
        <w:rPr/>
        <w:t>日总股本</w:t>
      </w:r>
      <w:r>
        <w:rPr>
          <w:rFonts w:ascii="宋体" w:hAnsi="宋体" w:cs="宋体" w:eastAsia="宋体" w:hint="default"/>
        </w:rPr>
        <w:t>10,000.00</w:t>
      </w:r>
      <w:r>
        <w:rPr/>
        <w:t>万股为基数，以可供股东分配的利润向全体股东每</w:t>
      </w:r>
      <w:r>
        <w:rPr>
          <w:rFonts w:ascii="宋体" w:hAnsi="宋体" w:cs="宋体" w:eastAsia="宋体" w:hint="default"/>
        </w:rPr>
        <w:t>10</w:t>
      </w:r>
      <w:r>
        <w:rPr/>
        <w:t>股派发现金红利</w:t>
      </w:r>
      <w:r>
        <w:rPr>
          <w:rFonts w:ascii="宋体" w:hAnsi="宋体" w:cs="宋体" w:eastAsia="宋体" w:hint="default"/>
        </w:rPr>
        <w:t>2.00</w:t>
      </w:r>
      <w:r>
        <w:rPr/>
        <w:t>元（含</w:t>
      </w:r>
      <w:r>
        <w:rPr>
          <w:spacing w:val="-34"/>
        </w:rPr>
        <w:t> </w:t>
      </w:r>
      <w:r>
        <w:rPr/>
        <w:t>税）；同时以可供股东分配的利润向全体股东每</w:t>
      </w:r>
      <w:r>
        <w:rPr>
          <w:rFonts w:ascii="宋体" w:hAnsi="宋体" w:cs="宋体" w:eastAsia="宋体" w:hint="default"/>
        </w:rPr>
        <w:t>10</w:t>
      </w:r>
      <w:r>
        <w:rPr/>
        <w:t>股送</w:t>
      </w:r>
      <w:r>
        <w:rPr>
          <w:rFonts w:ascii="宋体" w:hAnsi="宋体" w:cs="宋体" w:eastAsia="宋体" w:hint="default"/>
        </w:rPr>
        <w:t>5</w:t>
      </w:r>
      <w:r>
        <w:rPr/>
        <w:t>股红股，合计红股总额为</w:t>
      </w:r>
      <w:r>
        <w:rPr>
          <w:rFonts w:ascii="宋体" w:hAnsi="宋体" w:cs="宋体" w:eastAsia="宋体" w:hint="default"/>
        </w:rPr>
        <w:t>5,000.00</w:t>
      </w:r>
      <w:r>
        <w:rPr/>
        <w:t>万股，送股后</w:t>
      </w:r>
      <w:r>
        <w:rPr>
          <w:spacing w:val="-28"/>
        </w:rPr>
        <w:t> </w:t>
      </w:r>
      <w:r>
        <w:rPr/>
        <w:t>总股本增加至</w:t>
      </w:r>
      <w:r>
        <w:rPr>
          <w:rFonts w:ascii="宋体" w:hAnsi="宋体" w:cs="宋体" w:eastAsia="宋体" w:hint="default"/>
        </w:rPr>
        <w:t>15,000.00</w:t>
      </w:r>
      <w:r>
        <w:rPr/>
        <w:t>万股。上述变更于</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8</w:t>
      </w:r>
      <w:r>
        <w:rPr/>
        <w:t>日完成工商登记手续。</w:t>
      </w:r>
    </w:p>
    <w:p>
      <w:pPr>
        <w:pStyle w:val="BodyText"/>
        <w:spacing w:line="314" w:lineRule="auto" w:before="15"/>
        <w:ind w:left="233" w:right="1122" w:firstLine="355"/>
        <w:jc w:val="both"/>
      </w:pPr>
      <w:r>
        <w:rPr/>
        <w:t>本公司拥有全资子公司西安易诺和创科技发展有限公司，控股子公司陕西永鑫纸业包装有限公司，控</w:t>
      </w:r>
      <w:r>
        <w:rPr>
          <w:w w:val="100"/>
        </w:rPr>
        <w:t> </w:t>
      </w:r>
      <w:r>
        <w:rPr/>
        <w:t>股子公司霍尔果斯领凯网络科技有限公司，控股子公司天津滨海环球印务有限公司</w:t>
      </w:r>
      <w:r>
        <w:rPr>
          <w:rFonts w:ascii="宋体" w:hAnsi="宋体" w:cs="宋体" w:eastAsia="宋体" w:hint="default"/>
        </w:rPr>
        <w:t>,</w:t>
      </w:r>
      <w:r>
        <w:rPr>
          <w:rFonts w:ascii="宋体" w:hAnsi="宋体" w:cs="宋体" w:eastAsia="宋体" w:hint="default"/>
          <w:spacing w:val="-17"/>
        </w:rPr>
        <w:t> </w:t>
      </w:r>
      <w:r>
        <w:rPr/>
        <w:t>控股子公司北京金印</w:t>
      </w:r>
      <w:r>
        <w:rPr>
          <w:w w:val="100"/>
        </w:rPr>
        <w:t> </w:t>
      </w:r>
      <w:r>
        <w:rPr/>
        <w:t>联国际供应链管理有限公司，拥有西安德宝药用包装有限公司</w:t>
      </w:r>
      <w:r>
        <w:rPr>
          <w:rFonts w:ascii="宋体" w:hAnsi="宋体" w:cs="宋体" w:eastAsia="宋体" w:hint="default"/>
        </w:rPr>
        <w:t>46.00%</w:t>
      </w:r>
      <w:r>
        <w:rPr/>
        <w:t>的股权。</w:t>
      </w:r>
    </w:p>
    <w:p>
      <w:pPr>
        <w:pStyle w:val="BodyText"/>
        <w:spacing w:line="309" w:lineRule="auto"/>
        <w:ind w:left="233" w:right="1125" w:firstLine="422"/>
        <w:jc w:val="both"/>
      </w:pPr>
      <w:r>
        <w:rPr/>
        <w:t>全资子公司西安易诺和创科技发展有限公司于</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18</w:t>
      </w:r>
      <w:r>
        <w:rPr/>
        <w:t>日在西安市工商行政管理局高新分局变</w:t>
      </w:r>
      <w:r>
        <w:rPr>
          <w:w w:val="100"/>
        </w:rPr>
        <w:t> </w:t>
      </w:r>
      <w:r>
        <w:rPr/>
        <w:t>更公司名称以及经营范围，曾用名西安永旭创新服务有限公司。</w:t>
      </w:r>
    </w:p>
    <w:p>
      <w:pPr>
        <w:spacing w:line="314" w:lineRule="auto" w:before="24"/>
        <w:ind w:left="742" w:right="3848" w:hanging="87"/>
        <w:jc w:val="left"/>
        <w:rPr>
          <w:rFonts w:ascii="宋体" w:hAnsi="宋体" w:cs="宋体" w:eastAsia="宋体" w:hint="default"/>
          <w:sz w:val="21"/>
          <w:szCs w:val="21"/>
        </w:rPr>
      </w:pPr>
      <w:r>
        <w:rPr>
          <w:rFonts w:ascii="宋体" w:hAnsi="宋体" w:cs="宋体" w:eastAsia="宋体" w:hint="default"/>
          <w:b/>
          <w:bCs/>
          <w:sz w:val="21"/>
          <w:szCs w:val="21"/>
        </w:rPr>
        <w:t>（二）公司注册地址、组织形式</w:t>
      </w:r>
      <w:r>
        <w:rPr>
          <w:rFonts w:ascii="宋体" w:hAnsi="宋体" w:cs="宋体" w:eastAsia="宋体" w:hint="default"/>
          <w:b/>
          <w:bCs/>
          <w:spacing w:val="-101"/>
          <w:sz w:val="21"/>
          <w:szCs w:val="21"/>
        </w:rPr>
        <w:t> </w:t>
      </w:r>
      <w:r>
        <w:rPr>
          <w:rFonts w:ascii="宋体" w:hAnsi="宋体" w:cs="宋体" w:eastAsia="宋体" w:hint="default"/>
          <w:spacing w:val="-1"/>
          <w:sz w:val="21"/>
          <w:szCs w:val="21"/>
        </w:rPr>
        <w:t>公司注册地址：西安市高新区科技一路</w:t>
      </w:r>
      <w:r>
        <w:rPr>
          <w:rFonts w:ascii="宋体" w:hAnsi="宋体" w:cs="宋体" w:eastAsia="宋体" w:hint="default"/>
          <w:spacing w:val="-1"/>
          <w:sz w:val="21"/>
          <w:szCs w:val="21"/>
        </w:rPr>
        <w:t>32</w:t>
      </w:r>
      <w:r>
        <w:rPr>
          <w:rFonts w:ascii="宋体" w:hAnsi="宋体" w:cs="宋体" w:eastAsia="宋体" w:hint="default"/>
          <w:spacing w:val="-1"/>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公司组织形式：股份有限公司</w:t>
      </w:r>
    </w:p>
    <w:p>
      <w:pPr>
        <w:spacing w:line="314" w:lineRule="auto" w:before="15"/>
        <w:ind w:left="713" w:right="7377" w:hanging="58"/>
        <w:jc w:val="left"/>
        <w:rPr>
          <w:rFonts w:ascii="宋体" w:hAnsi="宋体" w:cs="宋体" w:eastAsia="宋体" w:hint="default"/>
          <w:sz w:val="21"/>
          <w:szCs w:val="21"/>
        </w:rPr>
      </w:pPr>
      <w:r>
        <w:rPr>
          <w:rFonts w:ascii="宋体" w:hAnsi="宋体" w:cs="宋体" w:eastAsia="宋体" w:hint="default"/>
          <w:b/>
          <w:bCs/>
          <w:sz w:val="21"/>
          <w:szCs w:val="21"/>
        </w:rPr>
        <w:t>（三）公司行业性质、经营范围</w:t>
      </w:r>
      <w:r>
        <w:rPr>
          <w:rFonts w:ascii="宋体" w:hAnsi="宋体" w:cs="宋体" w:eastAsia="宋体" w:hint="default"/>
          <w:b/>
          <w:bCs/>
          <w:spacing w:val="-101"/>
          <w:sz w:val="21"/>
          <w:szCs w:val="21"/>
        </w:rPr>
        <w:t> </w:t>
      </w:r>
      <w:r>
        <w:rPr>
          <w:rFonts w:ascii="宋体" w:hAnsi="宋体" w:cs="宋体" w:eastAsia="宋体" w:hint="default"/>
          <w:sz w:val="21"/>
          <w:szCs w:val="21"/>
        </w:rPr>
        <w:t>本公司属于工业生产型企业。</w:t>
      </w:r>
    </w:p>
    <w:p>
      <w:pPr>
        <w:pStyle w:val="BodyText"/>
        <w:spacing w:line="312" w:lineRule="auto"/>
        <w:ind w:left="233" w:right="1125" w:firstLine="422"/>
        <w:jc w:val="both"/>
      </w:pPr>
      <w:r>
        <w:rPr>
          <w:spacing w:val="-2"/>
        </w:rPr>
        <w:t>经营范围：包装装潢设计、生产和加工各类包装材料；包装装潢印刷品印刷；销售本企业产品；研究</w:t>
      </w:r>
      <w:r>
        <w:rPr>
          <w:w w:val="100"/>
        </w:rPr>
        <w:t> </w:t>
      </w:r>
      <w:r>
        <w:rPr>
          <w:spacing w:val="-2"/>
        </w:rPr>
        <w:t>与开发在包装领域的新产品；移动网络广告的设计、制作、代理；印刷包装行业的供应链管理；计算机系</w:t>
      </w:r>
      <w:r>
        <w:rPr>
          <w:spacing w:val="-38"/>
        </w:rPr>
        <w:t> </w:t>
      </w:r>
      <w:r>
        <w:rPr>
          <w:spacing w:val="-38"/>
        </w:rPr>
      </w:r>
      <w:r>
        <w:rPr>
          <w:spacing w:val="-2"/>
        </w:rPr>
        <w:t>统集成服务；软件开发；仓储服务；普通货物道路运输。（以上经营范围不涉及自由贸易试验区外商投资</w:t>
      </w:r>
      <w:r>
        <w:rPr>
          <w:spacing w:val="-38"/>
        </w:rPr>
        <w:t> </w:t>
      </w:r>
      <w:r>
        <w:rPr>
          <w:spacing w:val="-38"/>
        </w:rPr>
      </w:r>
      <w:r>
        <w:rPr/>
        <w:t>准入特别管理措施范围内的项目。）（依法须经批准的项目，经相关部门批准后方可开展经营活动）</w:t>
      </w:r>
    </w:p>
    <w:p>
      <w:pPr>
        <w:pStyle w:val="BodyText"/>
        <w:spacing w:line="314" w:lineRule="auto" w:before="22"/>
        <w:ind w:left="233" w:right="1125" w:firstLine="422"/>
        <w:jc w:val="both"/>
      </w:pPr>
      <w:r>
        <w:rPr>
          <w:spacing w:val="-2"/>
        </w:rPr>
        <w:t>公司目前从事的主要业务为，医药纸盒及其他纸质包装产品的设计、生产及销售，移动网络广告的设</w:t>
      </w:r>
      <w:r>
        <w:rPr>
          <w:w w:val="100"/>
        </w:rPr>
        <w:t> </w:t>
      </w:r>
      <w:r>
        <w:rPr/>
        <w:t>计、制作、代理，报告期内主营业务新增印刷包装行业的供应链管理业务。</w:t>
      </w:r>
    </w:p>
    <w:p>
      <w:pPr>
        <w:spacing w:line="240" w:lineRule="auto" w:before="3"/>
        <w:rPr>
          <w:rFonts w:ascii="宋体" w:hAnsi="宋体" w:cs="宋体" w:eastAsia="宋体" w:hint="default"/>
          <w:sz w:val="23"/>
          <w:szCs w:val="23"/>
        </w:rPr>
      </w:pPr>
    </w:p>
    <w:p>
      <w:pPr>
        <w:pStyle w:val="Heading3"/>
        <w:spacing w:line="240" w:lineRule="auto"/>
        <w:ind w:left="655" w:right="0"/>
        <w:jc w:val="left"/>
        <w:rPr>
          <w:b w:val="0"/>
          <w:bCs w:val="0"/>
        </w:rPr>
      </w:pPr>
      <w:r>
        <w:rPr/>
        <w:t>（一）</w:t>
      </w:r>
      <w:r>
        <w:rPr>
          <w:spacing w:val="-59"/>
        </w:rPr>
        <w:t> </w:t>
      </w:r>
      <w:r>
        <w:rPr/>
        <w:t>合并会计报表范围</w:t>
      </w:r>
      <w:r>
        <w:rPr>
          <w:b w:val="0"/>
          <w:bCs w:val="0"/>
        </w:rPr>
      </w:r>
    </w:p>
    <w:p>
      <w:pPr>
        <w:spacing w:line="240" w:lineRule="auto" w:before="0"/>
        <w:rPr>
          <w:rFonts w:ascii="宋体" w:hAnsi="宋体" w:cs="宋体" w:eastAsia="宋体" w:hint="default"/>
          <w:b/>
          <w:bCs/>
          <w:sz w:val="28"/>
          <w:szCs w:val="28"/>
        </w:rPr>
      </w:pPr>
    </w:p>
    <w:tbl>
      <w:tblPr>
        <w:tblW w:w="0" w:type="auto"/>
        <w:jc w:val="left"/>
        <w:tblInd w:w="118" w:type="dxa"/>
        <w:tblLayout w:type="fixed"/>
        <w:tblCellMar>
          <w:top w:w="0" w:type="dxa"/>
          <w:left w:w="0" w:type="dxa"/>
          <w:bottom w:w="0" w:type="dxa"/>
          <w:right w:w="0" w:type="dxa"/>
        </w:tblCellMar>
        <w:tblLook w:val="01E0"/>
      </w:tblPr>
      <w:tblGrid>
        <w:gridCol w:w="3741"/>
        <w:gridCol w:w="3399"/>
        <w:gridCol w:w="2718"/>
      </w:tblGrid>
      <w:tr>
        <w:trPr>
          <w:trHeight w:val="324" w:hRule="exact"/>
        </w:trPr>
        <w:tc>
          <w:tcPr>
            <w:tcW w:w="374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46"/>
              <w:ind w:left="4"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611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是否纳入合并范围</w:t>
            </w:r>
          </w:p>
        </w:tc>
      </w:tr>
      <w:tr>
        <w:trPr>
          <w:trHeight w:val="322" w:hRule="exact"/>
        </w:trPr>
        <w:tc>
          <w:tcPr>
            <w:tcW w:w="3741" w:type="dxa"/>
            <w:vMerge/>
            <w:tcBorders>
              <w:left w:val="single" w:sz="4" w:space="0" w:color="000000"/>
              <w:bottom w:val="single" w:sz="4" w:space="0" w:color="000000"/>
              <w:right w:val="single" w:sz="4" w:space="0" w:color="000000"/>
            </w:tcBorders>
            <w:shd w:val="clear" w:color="auto" w:fill="D9D9D9"/>
          </w:tcPr>
          <w:p>
            <w:pPr/>
          </w:p>
        </w:tc>
        <w:tc>
          <w:tcPr>
            <w:tcW w:w="33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49"/>
                <w:sz w:val="21"/>
                <w:szCs w:val="21"/>
              </w:rPr>
              <w:t> </w:t>
            </w:r>
            <w:r>
              <w:rPr>
                <w:rFonts w:ascii="宋体" w:hAnsi="宋体" w:cs="宋体" w:eastAsia="宋体" w:hint="default"/>
                <w:sz w:val="21"/>
                <w:szCs w:val="21"/>
              </w:rPr>
              <w:t>年度</w:t>
            </w:r>
          </w:p>
        </w:tc>
        <w:tc>
          <w:tcPr>
            <w:tcW w:w="27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48"/>
                <w:sz w:val="21"/>
                <w:szCs w:val="21"/>
              </w:rPr>
              <w:t> </w:t>
            </w:r>
            <w:r>
              <w:rPr>
                <w:rFonts w:ascii="宋体" w:hAnsi="宋体" w:cs="宋体" w:eastAsia="宋体" w:hint="default"/>
                <w:sz w:val="21"/>
                <w:szCs w:val="21"/>
              </w:rPr>
              <w:t>年度</w:t>
            </w:r>
          </w:p>
        </w:tc>
      </w:tr>
      <w:tr>
        <w:trPr>
          <w:trHeight w:val="682" w:hRule="exact"/>
        </w:trPr>
        <w:tc>
          <w:tcPr>
            <w:tcW w:w="3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5" w:right="0"/>
              <w:jc w:val="left"/>
              <w:rPr>
                <w:rFonts w:ascii="宋体" w:hAnsi="宋体" w:cs="宋体" w:eastAsia="宋体" w:hint="default"/>
                <w:sz w:val="21"/>
                <w:szCs w:val="21"/>
              </w:rPr>
            </w:pPr>
            <w:r>
              <w:rPr>
                <w:rFonts w:ascii="宋体" w:hAnsi="宋体" w:cs="宋体" w:eastAsia="宋体" w:hint="default"/>
                <w:sz w:val="21"/>
                <w:szCs w:val="21"/>
              </w:rPr>
              <w:t>陕西永鑫纸业包装有限公司</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686" w:hRule="exact"/>
        </w:trPr>
        <w:tc>
          <w:tcPr>
            <w:tcW w:w="3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105" w:right="0"/>
              <w:jc w:val="left"/>
              <w:rPr>
                <w:rFonts w:ascii="宋体" w:hAnsi="宋体" w:cs="宋体" w:eastAsia="宋体" w:hint="default"/>
                <w:sz w:val="21"/>
                <w:szCs w:val="21"/>
              </w:rPr>
            </w:pPr>
            <w:r>
              <w:rPr>
                <w:rFonts w:ascii="宋体" w:hAnsi="宋体" w:cs="宋体" w:eastAsia="宋体" w:hint="default"/>
                <w:sz w:val="21"/>
                <w:szCs w:val="21"/>
              </w:rPr>
              <w:t>西安易诺和创科技发展有限公司</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687" w:hRule="exact"/>
        </w:trPr>
        <w:tc>
          <w:tcPr>
            <w:tcW w:w="3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105" w:right="0"/>
              <w:jc w:val="left"/>
              <w:rPr>
                <w:rFonts w:ascii="宋体" w:hAnsi="宋体" w:cs="宋体" w:eastAsia="宋体" w:hint="default"/>
                <w:sz w:val="21"/>
                <w:szCs w:val="21"/>
              </w:rPr>
            </w:pPr>
            <w:r>
              <w:rPr>
                <w:rFonts w:ascii="宋体" w:hAnsi="宋体" w:cs="宋体" w:eastAsia="宋体" w:hint="default"/>
                <w:sz w:val="21"/>
                <w:szCs w:val="21"/>
              </w:rPr>
              <w:t>天津滨海环球印务有限公司</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686" w:hRule="exact"/>
        </w:trPr>
        <w:tc>
          <w:tcPr>
            <w:tcW w:w="3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105" w:right="0"/>
              <w:jc w:val="left"/>
              <w:rPr>
                <w:rFonts w:ascii="宋体" w:hAnsi="宋体" w:cs="宋体" w:eastAsia="宋体" w:hint="default"/>
                <w:sz w:val="21"/>
                <w:szCs w:val="21"/>
              </w:rPr>
            </w:pPr>
            <w:r>
              <w:rPr>
                <w:rFonts w:ascii="宋体" w:hAnsi="宋体" w:cs="宋体" w:eastAsia="宋体" w:hint="default"/>
                <w:sz w:val="21"/>
                <w:szCs w:val="21"/>
              </w:rPr>
              <w:t>霍尔果斯领凯网络科技有限公司</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0" w:lineRule="auto"/>
        <w:jc w:val="center"/>
        <w:rPr>
          <w:rFonts w:ascii="宋体" w:hAnsi="宋体" w:cs="宋体" w:eastAsia="宋体" w:hint="default"/>
          <w:sz w:val="21"/>
          <w:szCs w:val="21"/>
        </w:rPr>
        <w:sectPr>
          <w:pgSz w:w="11910" w:h="16840"/>
          <w:pgMar w:header="460" w:footer="979" w:top="1100" w:bottom="1160" w:left="900" w:right="0"/>
        </w:sectPr>
      </w:pPr>
    </w:p>
    <w:p>
      <w:pPr>
        <w:spacing w:line="240" w:lineRule="auto" w:before="3"/>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3741"/>
        <w:gridCol w:w="3399"/>
        <w:gridCol w:w="2718"/>
      </w:tblGrid>
      <w:tr>
        <w:trPr>
          <w:trHeight w:val="1236" w:hRule="exact"/>
        </w:trPr>
        <w:tc>
          <w:tcPr>
            <w:tcW w:w="374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北京金印联国际供应链管理有限公司</w:t>
            </w:r>
          </w:p>
        </w:tc>
        <w:tc>
          <w:tcPr>
            <w:tcW w:w="339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71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9"/>
        <w:rPr>
          <w:rFonts w:ascii="宋体" w:hAnsi="宋体" w:cs="宋体" w:eastAsia="宋体" w:hint="default"/>
          <w:b/>
          <w:bCs/>
          <w:sz w:val="17"/>
          <w:szCs w:val="17"/>
        </w:rPr>
      </w:pPr>
    </w:p>
    <w:p>
      <w:pPr>
        <w:pStyle w:val="Heading2"/>
        <w:spacing w:line="240" w:lineRule="auto" w:before="26"/>
        <w:ind w:left="233" w:right="0"/>
        <w:jc w:val="left"/>
        <w:rPr>
          <w:b w:val="0"/>
          <w:bCs w:val="0"/>
        </w:rPr>
      </w:pPr>
      <w:bookmarkStart w:name="四、财务报表的编制基础" w:id="173"/>
      <w:bookmarkEnd w:id="173"/>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33" w:right="0"/>
        <w:jc w:val="left"/>
        <w:rPr>
          <w:b w:val="0"/>
          <w:bCs w:val="0"/>
        </w:rPr>
      </w:pPr>
      <w:bookmarkStart w:name="1、编制基础" w:id="174"/>
      <w:bookmarkEnd w:id="174"/>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2" w:lineRule="auto" w:before="0"/>
        <w:ind w:left="233" w:right="1120" w:firstLine="422"/>
        <w:jc w:val="both"/>
      </w:pPr>
      <w:r>
        <w:rPr>
          <w:spacing w:val="-2"/>
        </w:rPr>
        <w:t>本公司财务报表以公司持续经营假设为基础，根据实际发生的交易和事项，按照财政部颁布的《企业</w:t>
      </w:r>
      <w:r>
        <w:rPr>
          <w:w w:val="100"/>
        </w:rPr>
        <w:t> </w:t>
      </w:r>
      <w:r>
        <w:rPr>
          <w:spacing w:val="-2"/>
        </w:rPr>
        <w:t>会计准则》和应用指南及准则解释的有关规定进行确认和计量，并基于以下所述重要会计政策及会计估计</w:t>
      </w:r>
      <w:r>
        <w:rPr>
          <w:spacing w:val="-33"/>
        </w:rPr>
        <w:t> </w:t>
      </w:r>
      <w:r>
        <w:rPr>
          <w:spacing w:val="-33"/>
        </w:rPr>
      </w:r>
      <w:r>
        <w:rPr/>
        <w:t>的编制方法进行编制。</w:t>
      </w:r>
    </w:p>
    <w:p>
      <w:pPr>
        <w:spacing w:line="240" w:lineRule="auto" w:before="13"/>
        <w:rPr>
          <w:rFonts w:ascii="宋体" w:hAnsi="宋体" w:cs="宋体" w:eastAsia="宋体" w:hint="default"/>
          <w:sz w:val="22"/>
          <w:szCs w:val="22"/>
        </w:rPr>
      </w:pPr>
    </w:p>
    <w:p>
      <w:pPr>
        <w:pStyle w:val="Heading3"/>
        <w:spacing w:line="240" w:lineRule="auto"/>
        <w:ind w:left="233" w:right="0"/>
        <w:jc w:val="left"/>
        <w:rPr>
          <w:b w:val="0"/>
          <w:bCs w:val="0"/>
        </w:rPr>
      </w:pPr>
      <w:bookmarkStart w:name="2、持续经营" w:id="175"/>
      <w:bookmarkEnd w:id="175"/>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3"/>
        <w:rPr>
          <w:rFonts w:ascii="宋体" w:hAnsi="宋体" w:cs="宋体" w:eastAsia="宋体" w:hint="default"/>
          <w:b/>
          <w:bCs/>
          <w:sz w:val="26"/>
          <w:szCs w:val="26"/>
        </w:rPr>
      </w:pPr>
    </w:p>
    <w:p>
      <w:pPr>
        <w:pStyle w:val="BodyText"/>
        <w:spacing w:line="240" w:lineRule="auto" w:before="0"/>
        <w:ind w:left="655" w:right="0"/>
        <w:jc w:val="left"/>
      </w:pPr>
      <w:r>
        <w:rPr/>
        <w:t>公司自报告期末起</w:t>
      </w:r>
      <w:r>
        <w:rPr>
          <w:rFonts w:ascii="宋体" w:hAnsi="宋体" w:cs="宋体" w:eastAsia="宋体" w:hint="default"/>
        </w:rPr>
        <w:t>12</w:t>
      </w:r>
      <w:r>
        <w:rPr/>
        <w:t>个月将持续经营。不存在对持续经营能力产生重大怀疑的因素。</w:t>
      </w:r>
    </w:p>
    <w:p>
      <w:pPr>
        <w:spacing w:line="240" w:lineRule="auto" w:before="6"/>
        <w:rPr>
          <w:rFonts w:ascii="宋体" w:hAnsi="宋体" w:cs="宋体" w:eastAsia="宋体" w:hint="default"/>
          <w:sz w:val="25"/>
          <w:szCs w:val="25"/>
        </w:rPr>
      </w:pPr>
    </w:p>
    <w:p>
      <w:pPr>
        <w:pStyle w:val="Heading2"/>
        <w:spacing w:line="240" w:lineRule="auto"/>
        <w:ind w:left="233" w:right="0"/>
        <w:jc w:val="left"/>
        <w:rPr>
          <w:b w:val="0"/>
          <w:bCs w:val="0"/>
        </w:rPr>
      </w:pPr>
      <w:bookmarkStart w:name="五、重要会计政策及会计估计" w:id="176"/>
      <w:bookmarkEnd w:id="176"/>
      <w:r>
        <w:rPr>
          <w:b w:val="0"/>
          <w:bCs w:val="0"/>
        </w:rPr>
      </w:r>
      <w:r>
        <w:rPr/>
        <w:t>五、重要会计政策及会计估计</w:t>
      </w:r>
      <w:r>
        <w:rPr>
          <w:b w:val="0"/>
          <w:bCs w:val="0"/>
        </w:rPr>
      </w:r>
    </w:p>
    <w:p>
      <w:pPr>
        <w:spacing w:line="240" w:lineRule="auto" w:before="10"/>
        <w:rPr>
          <w:rFonts w:ascii="宋体" w:hAnsi="宋体" w:cs="宋体" w:eastAsia="宋体" w:hint="default"/>
          <w:b/>
          <w:bCs/>
          <w:sz w:val="26"/>
          <w:szCs w:val="26"/>
        </w:rPr>
      </w:pPr>
    </w:p>
    <w:p>
      <w:pPr>
        <w:pStyle w:val="BodyText"/>
        <w:spacing w:line="314" w:lineRule="auto" w:before="0"/>
        <w:ind w:left="655" w:right="0"/>
        <w:jc w:val="left"/>
      </w:pPr>
      <w:r>
        <w:rPr/>
        <w:t>具体会计政策和会计估计提示：</w:t>
      </w:r>
      <w:r>
        <w:rPr>
          <w:w w:val="100"/>
        </w:rPr>
        <w:t> </w:t>
      </w:r>
      <w:r>
        <w:rPr>
          <w:spacing w:val="-2"/>
        </w:rPr>
        <w:t>本公司下列重要会计政策、会计估计均根据企业会计准则制定，未提及的业务按企业会计准则中相关</w:t>
      </w:r>
    </w:p>
    <w:p>
      <w:pPr>
        <w:pStyle w:val="BodyText"/>
        <w:spacing w:line="240" w:lineRule="auto"/>
        <w:ind w:left="233" w:right="0"/>
        <w:jc w:val="left"/>
      </w:pPr>
      <w:r>
        <w:rPr/>
        <w:t>会计政策执行。</w:t>
      </w:r>
    </w:p>
    <w:p>
      <w:pPr>
        <w:spacing w:line="240" w:lineRule="auto" w:before="5"/>
        <w:rPr>
          <w:rFonts w:ascii="宋体" w:hAnsi="宋体" w:cs="宋体" w:eastAsia="宋体" w:hint="default"/>
          <w:sz w:val="27"/>
          <w:szCs w:val="27"/>
        </w:rPr>
      </w:pPr>
    </w:p>
    <w:p>
      <w:pPr>
        <w:pStyle w:val="Heading3"/>
        <w:spacing w:line="240" w:lineRule="auto"/>
        <w:ind w:left="233" w:right="0"/>
        <w:jc w:val="left"/>
        <w:rPr>
          <w:b w:val="0"/>
          <w:bCs w:val="0"/>
        </w:rPr>
      </w:pPr>
      <w:bookmarkStart w:name="1、遵循企业会计准则的声明" w:id="177"/>
      <w:bookmarkEnd w:id="177"/>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233" w:right="0"/>
        <w:jc w:val="left"/>
      </w:pPr>
      <w:r>
        <w:rPr>
          <w:spacing w:val="-2"/>
        </w:rPr>
        <w:t>本公司承诺编制的财务报表符合《企业会计准则》的要求，真实、完整地反映了公司报告期间内的财务状</w:t>
      </w:r>
      <w:r>
        <w:rPr>
          <w:spacing w:val="-32"/>
        </w:rPr>
        <w:t> </w:t>
      </w:r>
      <w:r>
        <w:rPr>
          <w:spacing w:val="-32"/>
        </w:rPr>
      </w:r>
      <w:r>
        <w:rPr/>
        <w:t>况、经营成果和现金流量等有关信息。</w:t>
      </w:r>
    </w:p>
    <w:p>
      <w:pPr>
        <w:spacing w:line="240" w:lineRule="auto" w:before="9"/>
        <w:rPr>
          <w:rFonts w:ascii="宋体" w:hAnsi="宋体" w:cs="宋体" w:eastAsia="宋体" w:hint="default"/>
          <w:sz w:val="23"/>
          <w:szCs w:val="23"/>
        </w:rPr>
      </w:pPr>
    </w:p>
    <w:p>
      <w:pPr>
        <w:spacing w:line="506" w:lineRule="auto" w:before="0"/>
        <w:ind w:left="233" w:right="3848" w:firstLine="0"/>
        <w:jc w:val="left"/>
        <w:rPr>
          <w:rFonts w:ascii="宋体" w:hAnsi="宋体" w:cs="宋体" w:eastAsia="宋体" w:hint="default"/>
          <w:sz w:val="21"/>
          <w:szCs w:val="21"/>
        </w:rPr>
      </w:pPr>
      <w:bookmarkStart w:name="2、会计期间" w:id="178"/>
      <w:bookmarkEnd w:id="17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pacing w:val="-1"/>
          <w:sz w:val="21"/>
          <w:szCs w:val="21"/>
        </w:rPr>
        <w:t>本公司采用公历年度，即每年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日起至</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日止为一个会计年度。</w:t>
      </w:r>
      <w:r>
        <w:rPr>
          <w:rFonts w:ascii="宋体" w:hAnsi="宋体" w:cs="宋体" w:eastAsia="宋体" w:hint="default"/>
          <w:spacing w:val="-68"/>
          <w:sz w:val="21"/>
          <w:szCs w:val="21"/>
        </w:rPr>
        <w:t> </w:t>
      </w:r>
      <w:r>
        <w:rPr>
          <w:rFonts w:ascii="宋体" w:hAnsi="宋体" w:cs="宋体" w:eastAsia="宋体" w:hint="default"/>
          <w:spacing w:val="-68"/>
          <w:sz w:val="21"/>
          <w:szCs w:val="21"/>
        </w:rPr>
      </w:r>
      <w:bookmarkStart w:name="3、营业周期" w:id="179"/>
      <w:bookmarkEnd w:id="179"/>
      <w:r>
        <w:rPr>
          <w:rFonts w:ascii="宋体" w:hAnsi="宋体" w:cs="宋体" w:eastAsia="宋体" w:hint="default"/>
          <w:spacing w:val="-68"/>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60"/>
        <w:ind w:left="233" w:right="0"/>
        <w:jc w:val="left"/>
      </w:pPr>
      <w:r>
        <w:rPr/>
        <w:t>本公司营业周期为正常</w:t>
      </w:r>
      <w:r>
        <w:rPr>
          <w:rFonts w:ascii="Times New Roman" w:hAnsi="Times New Roman" w:cs="Times New Roman" w:eastAsia="Times New Roman" w:hint="default"/>
        </w:rPr>
        <w:t>12</w:t>
      </w:r>
      <w:r>
        <w:rPr/>
        <w:t>个月的营业周期。</w:t>
      </w:r>
    </w:p>
    <w:p>
      <w:pPr>
        <w:spacing w:line="240" w:lineRule="auto" w:before="10"/>
        <w:rPr>
          <w:rFonts w:ascii="宋体" w:hAnsi="宋体" w:cs="宋体" w:eastAsia="宋体" w:hint="default"/>
          <w:sz w:val="24"/>
          <w:szCs w:val="24"/>
        </w:rPr>
      </w:pPr>
    </w:p>
    <w:p>
      <w:pPr>
        <w:spacing w:line="520" w:lineRule="auto" w:before="0"/>
        <w:ind w:left="233" w:right="3848" w:firstLine="0"/>
        <w:jc w:val="left"/>
        <w:rPr>
          <w:rFonts w:ascii="宋体" w:hAnsi="宋体" w:cs="宋体" w:eastAsia="宋体" w:hint="default"/>
          <w:sz w:val="21"/>
          <w:szCs w:val="21"/>
        </w:rPr>
      </w:pPr>
      <w:bookmarkStart w:name="4、记账本位币" w:id="180"/>
      <w:bookmarkEnd w:id="18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spacing w:val="-103"/>
          <w:sz w:val="21"/>
          <w:szCs w:val="21"/>
        </w:rPr>
        <w:t> </w:t>
      </w:r>
      <w:r>
        <w:rPr>
          <w:rFonts w:ascii="宋体" w:hAnsi="宋体" w:cs="宋体" w:eastAsia="宋体" w:hint="default"/>
          <w:spacing w:val="-2"/>
          <w:sz w:val="21"/>
          <w:szCs w:val="21"/>
        </w:rPr>
        <w:t>人民币为本公司的主要交易货币，本公司以人民币为记账本位币。</w:t>
      </w:r>
      <w:r>
        <w:rPr>
          <w:rFonts w:ascii="宋体" w:hAnsi="宋体" w:cs="宋体" w:eastAsia="宋体" w:hint="default"/>
          <w:spacing w:val="-48"/>
          <w:sz w:val="21"/>
          <w:szCs w:val="21"/>
        </w:rPr>
        <w:t> </w:t>
      </w:r>
      <w:r>
        <w:rPr>
          <w:rFonts w:ascii="宋体" w:hAnsi="宋体" w:cs="宋体" w:eastAsia="宋体" w:hint="default"/>
          <w:spacing w:val="-48"/>
          <w:sz w:val="21"/>
          <w:szCs w:val="21"/>
        </w:rPr>
      </w:r>
      <w:bookmarkStart w:name="5、同一控制下和非同一控制下企业合并的会计处理方法" w:id="181"/>
      <w:bookmarkEnd w:id="181"/>
      <w:r>
        <w:rPr>
          <w:rFonts w:ascii="宋体" w:hAnsi="宋体" w:cs="宋体" w:eastAsia="宋体" w:hint="default"/>
          <w:spacing w:val="-48"/>
          <w:sz w:val="21"/>
          <w:szCs w:val="21"/>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pStyle w:val="BodyText"/>
        <w:spacing w:line="314" w:lineRule="auto" w:before="76"/>
        <w:ind w:left="646" w:right="0" w:hanging="53"/>
        <w:jc w:val="left"/>
      </w:pPr>
      <w:r>
        <w:rPr/>
        <w:t>企业合并分为同一控制下的企业合并和非同一控制下的企业合并。</w:t>
      </w:r>
      <w:r>
        <w:rPr>
          <w:w w:val="100"/>
        </w:rPr>
        <w:t> </w:t>
      </w:r>
      <w:r>
        <w:rPr>
          <w:rFonts w:ascii="宋体" w:hAnsi="宋体" w:cs="宋体" w:eastAsia="宋体" w:hint="default"/>
          <w:spacing w:val="-2"/>
        </w:rPr>
        <w:t>1.</w:t>
      </w:r>
      <w:r>
        <w:rPr>
          <w:spacing w:val="-2"/>
        </w:rPr>
        <w:t>同一控制下的企业合并，在合并中取得的资产和负债，按照合并日被合并方在最终控制方合并财务</w:t>
      </w:r>
    </w:p>
    <w:p>
      <w:pPr>
        <w:pStyle w:val="BodyText"/>
        <w:spacing w:line="240" w:lineRule="auto" w:before="15"/>
        <w:ind w:left="233" w:right="0"/>
        <w:jc w:val="left"/>
      </w:pPr>
      <w:r>
        <w:rPr>
          <w:spacing w:val="-4"/>
        </w:rPr>
        <w:t>报表中的账面价值计量。合并方取得的净资产账面价值与支付的合并对价账面价值（或发行股份面值总额）</w:t>
      </w:r>
    </w:p>
    <w:p>
      <w:pPr>
        <w:spacing w:after="0" w:line="240" w:lineRule="auto"/>
        <w:jc w:val="left"/>
        <w:sectPr>
          <w:pgSz w:w="11910" w:h="16840"/>
          <w:pgMar w:header="460" w:footer="979" w:top="1060" w:bottom="1160" w:left="900" w:right="0"/>
        </w:sectPr>
      </w:pPr>
    </w:p>
    <w:p>
      <w:pPr>
        <w:spacing w:line="240" w:lineRule="auto" w:before="3"/>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2"/>
          <w:szCs w:val="22"/>
        </w:rPr>
      </w:pPr>
    </w:p>
    <w:p>
      <w:pPr>
        <w:pStyle w:val="BodyText"/>
        <w:spacing w:line="314" w:lineRule="auto" w:before="36"/>
        <w:ind w:right="1030"/>
        <w:jc w:val="both"/>
      </w:pPr>
      <w:r>
        <w:rPr/>
        <w:t>的差额，调整资本公积；资本公积不足冲减的，调整留存收益。发行权益性证券发生的手续费、佣金等，</w:t>
      </w:r>
      <w:r>
        <w:rPr>
          <w:spacing w:val="-30"/>
        </w:rPr>
        <w:t> </w:t>
      </w:r>
      <w:r>
        <w:rPr>
          <w:spacing w:val="-30"/>
        </w:rPr>
      </w:r>
      <w:r>
        <w:rPr/>
        <w:t>抵减权益性证券溢价收入，溢价收入不足冲减的，冲减留存收益。</w:t>
      </w:r>
    </w:p>
    <w:p>
      <w:pPr>
        <w:pStyle w:val="BodyText"/>
        <w:spacing w:line="314" w:lineRule="auto" w:before="15"/>
        <w:ind w:right="1126" w:firstLine="412"/>
        <w:jc w:val="both"/>
      </w:pPr>
      <w:r>
        <w:rPr>
          <w:spacing w:val="-2"/>
        </w:rPr>
        <w:t>为进行企业合并发生的各项直接相关费用，包括为进行企业合并而支付的审计费用、评估费用、法律</w:t>
      </w:r>
      <w:r>
        <w:rPr>
          <w:w w:val="100"/>
        </w:rPr>
        <w:t> </w:t>
      </w:r>
      <w:r>
        <w:rPr/>
        <w:t>服务费用等，于发生时计入当期损益。</w:t>
      </w:r>
    </w:p>
    <w:p>
      <w:pPr>
        <w:pStyle w:val="BodyText"/>
        <w:spacing w:line="314" w:lineRule="auto"/>
        <w:ind w:right="1124" w:firstLine="412"/>
        <w:jc w:val="both"/>
      </w:pPr>
      <w:r>
        <w:rPr>
          <w:spacing w:val="-2"/>
        </w:rPr>
        <w:t>被合并方采用的会计政策与本公司不一致的，在合并日按照本公司会计政策进行调整，在此基础上按</w:t>
      </w:r>
      <w:r>
        <w:rPr>
          <w:w w:val="100"/>
        </w:rPr>
        <w:t> </w:t>
      </w:r>
      <w:r>
        <w:rPr>
          <w:spacing w:val="-2"/>
        </w:rPr>
        <w:t>照企业会计准则规定确认，编制合并日的合并资产负债表、合并利润表和合并现金流量表。合并资产负债</w:t>
      </w:r>
      <w:r>
        <w:rPr>
          <w:spacing w:val="-33"/>
        </w:rPr>
        <w:t> </w:t>
      </w:r>
      <w:r>
        <w:rPr>
          <w:spacing w:val="-33"/>
        </w:rPr>
      </w:r>
      <w:r>
        <w:rPr>
          <w:spacing w:val="-2"/>
        </w:rPr>
        <w:t>表中被合并方的各项资产、负债，按其账面价值计量。合并利润表包括参与合并各方自合并当期期初至合</w:t>
      </w:r>
      <w:r>
        <w:rPr>
          <w:spacing w:val="-33"/>
        </w:rPr>
        <w:t> </w:t>
      </w:r>
      <w:r>
        <w:rPr>
          <w:spacing w:val="-33"/>
        </w:rPr>
      </w:r>
      <w:r>
        <w:rPr>
          <w:spacing w:val="-2"/>
        </w:rPr>
        <w:t>并日所发生的收入、费用和利润。被合并方在合并前实现的净利润，在合并利润表中单列项目反映。合并</w:t>
      </w:r>
      <w:r>
        <w:rPr>
          <w:spacing w:val="-33"/>
        </w:rPr>
        <w:t> </w:t>
      </w:r>
      <w:r>
        <w:rPr>
          <w:spacing w:val="-33"/>
        </w:rPr>
      </w:r>
      <w:r>
        <w:rPr/>
        <w:t>现金流量表包括参与合并各方自合并当期期初至合并日的现金流量。</w:t>
      </w:r>
    </w:p>
    <w:p>
      <w:pPr>
        <w:pStyle w:val="BodyText"/>
        <w:spacing w:line="314" w:lineRule="auto"/>
        <w:ind w:right="1125" w:firstLine="422"/>
        <w:jc w:val="both"/>
      </w:pPr>
      <w:r>
        <w:rPr>
          <w:rFonts w:ascii="宋体" w:hAnsi="宋体" w:cs="宋体" w:eastAsia="宋体" w:hint="default"/>
          <w:spacing w:val="-2"/>
        </w:rPr>
        <w:t>2.</w:t>
      </w:r>
      <w:r>
        <w:rPr>
          <w:spacing w:val="-2"/>
        </w:rPr>
        <w:t>非同一控制下的企业合并，本公司以购买日为取得对被购买方的控制权而付出的资产、发生或承担</w:t>
      </w:r>
      <w:r>
        <w:rPr>
          <w:w w:val="100"/>
        </w:rPr>
        <w:t> </w:t>
      </w:r>
      <w:r>
        <w:rPr>
          <w:spacing w:val="-2"/>
        </w:rPr>
        <w:t>的负债以及发行的权益性证券的公允价值作为合并成本。为进行企业合并发生的各项直接相关费用，于发</w:t>
      </w:r>
      <w:r>
        <w:rPr>
          <w:spacing w:val="-33"/>
        </w:rPr>
        <w:t> </w:t>
      </w:r>
      <w:r>
        <w:rPr>
          <w:spacing w:val="-33"/>
        </w:rPr>
      </w:r>
      <w:r>
        <w:rPr>
          <w:spacing w:val="-2"/>
        </w:rPr>
        <w:t>生时计入当期损益；发行权益性证券或债务性证券的交易费用，计入权益性证券或债务性证券的初始确认</w:t>
      </w:r>
      <w:r>
        <w:rPr>
          <w:spacing w:val="-32"/>
        </w:rPr>
        <w:t> </w:t>
      </w:r>
      <w:r>
        <w:rPr>
          <w:spacing w:val="-32"/>
        </w:rPr>
      </w:r>
      <w:r>
        <w:rPr>
          <w:spacing w:val="-2"/>
        </w:rPr>
        <w:t>金额。对作为企业合并对价付出的资产、发生或承担的负债按照公允价值计量，公允价值与其账面价值的</w:t>
      </w:r>
      <w:r>
        <w:rPr>
          <w:spacing w:val="-33"/>
        </w:rPr>
        <w:t> </w:t>
      </w:r>
      <w:r>
        <w:rPr>
          <w:spacing w:val="-33"/>
        </w:rPr>
      </w:r>
      <w:r>
        <w:rPr/>
        <w:t>差额，计入当期损益。</w:t>
      </w:r>
    </w:p>
    <w:p>
      <w:pPr>
        <w:pStyle w:val="BodyText"/>
        <w:spacing w:line="314" w:lineRule="auto" w:before="15"/>
        <w:ind w:right="1125" w:firstLine="422"/>
        <w:jc w:val="both"/>
      </w:pPr>
      <w:r>
        <w:rPr>
          <w:spacing w:val="-2"/>
        </w:rPr>
        <w:t>对合并成本大于合并中取得的被购买方可辨认净资产公允价值份额的差额，确认为商誉。对合并成本</w:t>
      </w:r>
      <w:r>
        <w:rPr>
          <w:w w:val="100"/>
        </w:rPr>
        <w:t> </w:t>
      </w:r>
      <w:r>
        <w:rPr>
          <w:spacing w:val="-2"/>
        </w:rPr>
        <w:t>小于合并中取得的被购买方可辨认净资产公允价值份额，以取得的被购买方各项可辨认资产、负债及或有</w:t>
      </w:r>
      <w:r>
        <w:rPr>
          <w:spacing w:val="-33"/>
        </w:rPr>
        <w:t> </w:t>
      </w:r>
      <w:r>
        <w:rPr>
          <w:spacing w:val="-33"/>
        </w:rPr>
      </w:r>
      <w:r>
        <w:rPr>
          <w:spacing w:val="-2"/>
        </w:rPr>
        <w:t>负债的公允价值以及合并成本的计量进行复核；经复核后合并成本仍小于合并中取得的被购买方可辨认净</w:t>
      </w:r>
      <w:r>
        <w:rPr>
          <w:spacing w:val="-33"/>
        </w:rPr>
        <w:t> </w:t>
      </w:r>
      <w:r>
        <w:rPr>
          <w:spacing w:val="-33"/>
        </w:rPr>
      </w:r>
      <w:r>
        <w:rPr/>
        <w:t>资产公允价值份额的，其差额计入当期损益。</w:t>
      </w:r>
    </w:p>
    <w:p>
      <w:pPr>
        <w:pStyle w:val="BodyText"/>
        <w:spacing w:line="314" w:lineRule="auto" w:before="15"/>
        <w:ind w:right="1123" w:firstLine="422"/>
        <w:jc w:val="right"/>
      </w:pPr>
      <w:r>
        <w:rPr>
          <w:spacing w:val="-2"/>
        </w:rPr>
        <w:t>在合并中取得的被购买方除无形资产外的其他各项资产（不仅限于被购买方原已确认的资产），其所</w:t>
      </w:r>
      <w:r>
        <w:rPr>
          <w:w w:val="100"/>
        </w:rPr>
        <w:t> </w:t>
      </w:r>
      <w:r>
        <w:rPr>
          <w:spacing w:val="-2"/>
        </w:rPr>
        <w:t>带来的经济利益很可能流入本公司且公允价值能够可靠计量的，单独确认并按公允价值计量；公允价值能</w:t>
      </w:r>
      <w:r>
        <w:rPr>
          <w:spacing w:val="-47"/>
        </w:rPr>
        <w:t> </w:t>
      </w:r>
      <w:r>
        <w:rPr>
          <w:spacing w:val="-47"/>
        </w:rPr>
      </w:r>
      <w:r>
        <w:rPr>
          <w:spacing w:val="-2"/>
        </w:rPr>
        <w:t>够可靠计量的无形资产，单独确认为无形资产并按公允价值计量；取得的被购买方除或有负债以外的其他</w:t>
      </w:r>
      <w:r>
        <w:rPr>
          <w:spacing w:val="-47"/>
        </w:rPr>
        <w:t> </w:t>
      </w:r>
      <w:r>
        <w:rPr>
          <w:spacing w:val="-47"/>
        </w:rPr>
      </w:r>
      <w:r>
        <w:rPr>
          <w:spacing w:val="-2"/>
        </w:rPr>
        <w:t>各项负债，履行有关义务很可能导致经济利益流出本公司且公允价值能够可靠计量的，单独确认并按照公</w:t>
      </w:r>
      <w:r>
        <w:rPr>
          <w:spacing w:val="-47"/>
        </w:rPr>
        <w:t> </w:t>
      </w:r>
      <w:r>
        <w:rPr>
          <w:spacing w:val="-47"/>
        </w:rPr>
      </w:r>
      <w:r>
        <w:rPr>
          <w:spacing w:val="-7"/>
        </w:rPr>
        <w:t>允价值计量；取得的被购买方或有负债，其公允价值能可靠计量的，单独确认为负债并按照公允价值计量。</w:t>
      </w:r>
      <w:r>
        <w:rPr>
          <w:spacing w:val="-20"/>
        </w:rPr>
        <w:t> </w:t>
      </w:r>
      <w:r>
        <w:rPr>
          <w:spacing w:val="-20"/>
        </w:rPr>
      </w:r>
      <w:r>
        <w:rPr>
          <w:spacing w:val="-2"/>
        </w:rPr>
        <w:t>本公司编制购买日的合并资产负债表，因企业合并取得的被购买方各项可辨认资产、负债及或有负债</w:t>
      </w:r>
    </w:p>
    <w:p>
      <w:pPr>
        <w:pStyle w:val="BodyText"/>
        <w:spacing w:line="240" w:lineRule="auto"/>
        <w:ind w:right="0"/>
        <w:jc w:val="left"/>
      </w:pPr>
      <w:r>
        <w:rPr/>
        <w:t>以公允价值列示。</w:t>
      </w:r>
    </w:p>
    <w:p>
      <w:pPr>
        <w:spacing w:line="240" w:lineRule="auto" w:before="11"/>
        <w:rPr>
          <w:rFonts w:ascii="宋体" w:hAnsi="宋体" w:cs="宋体" w:eastAsia="宋体" w:hint="default"/>
          <w:sz w:val="27"/>
          <w:szCs w:val="27"/>
        </w:rPr>
      </w:pPr>
    </w:p>
    <w:p>
      <w:pPr>
        <w:pStyle w:val="Heading3"/>
        <w:spacing w:line="240" w:lineRule="auto"/>
        <w:ind w:right="0"/>
        <w:jc w:val="left"/>
        <w:rPr>
          <w:b w:val="0"/>
          <w:bCs w:val="0"/>
        </w:rPr>
      </w:pPr>
      <w:bookmarkStart w:name="6、合并财务报表的编制方法" w:id="182"/>
      <w:bookmarkEnd w:id="182"/>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3"/>
        <w:rPr>
          <w:rFonts w:ascii="宋体" w:hAnsi="宋体" w:cs="宋体" w:eastAsia="宋体" w:hint="default"/>
          <w:b/>
          <w:bCs/>
          <w:sz w:val="26"/>
          <w:szCs w:val="26"/>
        </w:rPr>
      </w:pPr>
    </w:p>
    <w:p>
      <w:pPr>
        <w:pStyle w:val="BodyText"/>
        <w:spacing w:line="314" w:lineRule="auto" w:before="0"/>
        <w:ind w:left="575" w:right="0"/>
        <w:jc w:val="left"/>
      </w:pPr>
      <w:r>
        <w:rPr>
          <w:rFonts w:ascii="宋体" w:hAnsi="宋体" w:cs="宋体" w:eastAsia="宋体" w:hint="default"/>
        </w:rPr>
        <w:t>1.</w:t>
      </w:r>
      <w:r>
        <w:rPr/>
        <w:t>合并范围的确定原则</w:t>
      </w:r>
      <w:r>
        <w:rPr>
          <w:w w:val="100"/>
        </w:rPr>
        <w:t> </w:t>
      </w:r>
      <w:r>
        <w:rPr>
          <w:spacing w:val="-2"/>
        </w:rPr>
        <w:t>合并财务报表的合并范围以控制为基础予以确定。控制是指投资方拥有对被投资方的权力，通过参与</w:t>
      </w:r>
    </w:p>
    <w:p>
      <w:pPr>
        <w:pStyle w:val="BodyText"/>
        <w:spacing w:line="314" w:lineRule="auto" w:before="15"/>
        <w:ind w:left="575" w:right="0" w:hanging="423"/>
        <w:jc w:val="left"/>
      </w:pPr>
      <w:r>
        <w:rPr/>
        <w:t>被投资方的相关活动而享有可变回报，并且有能力运用对被投资方的权力影响其回报金额。</w:t>
      </w:r>
      <w:r>
        <w:rPr>
          <w:spacing w:val="-102"/>
        </w:rPr>
        <w:t> </w:t>
      </w:r>
      <w:r>
        <w:rPr>
          <w:spacing w:val="-102"/>
        </w:rPr>
      </w:r>
      <w:r>
        <w:rPr>
          <w:rFonts w:ascii="宋体" w:hAnsi="宋体" w:cs="宋体" w:eastAsia="宋体" w:hint="default"/>
        </w:rPr>
        <w:t>2.</w:t>
      </w:r>
      <w:r>
        <w:rPr/>
        <w:t>合并财务报表编制的原则、程序及方法</w:t>
      </w:r>
      <w:r>
        <w:rPr>
          <w:w w:val="100"/>
        </w:rPr>
        <w:t> </w:t>
      </w:r>
      <w:r>
        <w:rPr>
          <w:spacing w:val="-2"/>
        </w:rPr>
        <w:t>本公司合并财务报表按照《企业会计准则第</w:t>
      </w:r>
      <w:r>
        <w:rPr>
          <w:rFonts w:ascii="宋体" w:hAnsi="宋体" w:cs="宋体" w:eastAsia="宋体" w:hint="default"/>
          <w:spacing w:val="-2"/>
        </w:rPr>
        <w:t>33</w:t>
      </w:r>
      <w:r>
        <w:rPr>
          <w:spacing w:val="-2"/>
        </w:rPr>
        <w:t>号－合并财务报表》及相关规定的要求编制，合并时合</w:t>
      </w:r>
    </w:p>
    <w:p>
      <w:pPr>
        <w:pStyle w:val="BodyText"/>
        <w:spacing w:line="312" w:lineRule="auto"/>
        <w:ind w:right="1123"/>
        <w:jc w:val="both"/>
      </w:pPr>
      <w:r>
        <w:rPr/>
        <w:t>并范围内的所有重大内部交易和往来业务已抵销。子公司的股东权益中不属于母公司所拥有的部分作为</w:t>
      </w:r>
      <w:r>
        <w:rPr>
          <w:spacing w:val="60"/>
        </w:rPr>
        <w:t> </w:t>
      </w:r>
      <w:r>
        <w:rPr>
          <w:spacing w:val="60"/>
        </w:rPr>
      </w:r>
      <w:r>
        <w:rPr>
          <w:spacing w:val="-2"/>
        </w:rPr>
        <w:t>“少数股东权益”在合并财务报表中股东权益项下单独列示。子公司当期净损益中属于少数股东权益的份</w:t>
      </w:r>
      <w:r>
        <w:rPr>
          <w:spacing w:val="-33"/>
        </w:rPr>
        <w:t> </w:t>
      </w:r>
      <w:r>
        <w:rPr>
          <w:spacing w:val="-33"/>
        </w:rPr>
      </w:r>
      <w:r>
        <w:rPr>
          <w:spacing w:val="-2"/>
        </w:rPr>
        <w:t>额，在合并利润表中净利润项目下以“少数股东损益”项目列示。少数股东分担的子公司的亏损超过了少</w:t>
      </w:r>
      <w:r>
        <w:rPr>
          <w:spacing w:val="-32"/>
        </w:rPr>
        <w:t> </w:t>
      </w:r>
      <w:r>
        <w:rPr>
          <w:spacing w:val="-32"/>
        </w:rPr>
      </w:r>
      <w:r>
        <w:rPr/>
        <w:t>数股东在该子公司期初股东权益中所享有的份额，其余额仍冲减少数股东权益。</w:t>
      </w:r>
    </w:p>
    <w:p>
      <w:pPr>
        <w:pStyle w:val="BodyText"/>
        <w:spacing w:line="309" w:lineRule="auto" w:before="22"/>
        <w:ind w:right="1125" w:firstLine="422"/>
        <w:jc w:val="both"/>
      </w:pPr>
      <w:r>
        <w:rPr>
          <w:spacing w:val="-2"/>
        </w:rPr>
        <w:t>子公司与本公司采用的会计政策不一致的，在编制合并财务报表时，按照本公司的会计政策对子公司</w:t>
      </w:r>
      <w:r>
        <w:rPr>
          <w:w w:val="100"/>
        </w:rPr>
        <w:t> </w:t>
      </w:r>
      <w:r>
        <w:rPr/>
        <w:t>财务报表进行必要的调整。</w:t>
      </w:r>
    </w:p>
    <w:p>
      <w:pPr>
        <w:spacing w:after="0" w:line="309" w:lineRule="auto"/>
        <w:jc w:val="both"/>
        <w:sectPr>
          <w:pgSz w:w="11910" w:h="16840"/>
          <w:pgMar w:header="460" w:footer="979" w:top="1060" w:bottom="1160" w:left="980" w:right="0"/>
        </w:sectPr>
      </w:pPr>
    </w:p>
    <w:p>
      <w:pPr>
        <w:spacing w:line="240" w:lineRule="auto" w:before="11"/>
        <w:rPr>
          <w:rFonts w:ascii="宋体" w:hAnsi="宋体" w:cs="宋体" w:eastAsia="宋体" w:hint="default"/>
          <w:sz w:val="25"/>
          <w:szCs w:val="25"/>
        </w:rPr>
      </w:pPr>
    </w:p>
    <w:p>
      <w:pPr>
        <w:pStyle w:val="BodyText"/>
        <w:spacing w:line="312" w:lineRule="auto" w:before="36"/>
        <w:ind w:right="1123" w:firstLine="422"/>
        <w:jc w:val="both"/>
      </w:pPr>
      <w:r>
        <w:rPr>
          <w:spacing w:val="-2"/>
        </w:rPr>
        <w:t>对于非同一控制下企业合并取得的子公司，在编制合并财务报表时，以购买日可辨认净资产公允价值</w:t>
      </w:r>
      <w:r>
        <w:rPr>
          <w:w w:val="100"/>
        </w:rPr>
        <w:t> </w:t>
      </w:r>
      <w:r>
        <w:rPr>
          <w:spacing w:val="-2"/>
        </w:rPr>
        <w:t>为基础对其个别财务报表进行调整；对于同一控制下企业合并取得的子公司，在编制合并财务报表时，视</w:t>
      </w:r>
      <w:r>
        <w:rPr>
          <w:spacing w:val="-31"/>
        </w:rPr>
        <w:t> </w:t>
      </w:r>
      <w:r>
        <w:rPr>
          <w:spacing w:val="-31"/>
        </w:rPr>
      </w:r>
      <w:r>
        <w:rPr>
          <w:spacing w:val="-2"/>
        </w:rPr>
        <w:t>同合并后形成的报告主体自最终控制方开始实施控制时一直是一体化存续下来的，对合并资产负债表的年</w:t>
      </w:r>
      <w:r>
        <w:rPr>
          <w:spacing w:val="-33"/>
        </w:rPr>
        <w:t> </w:t>
      </w:r>
      <w:r>
        <w:rPr>
          <w:spacing w:val="-33"/>
        </w:rPr>
      </w:r>
      <w:r>
        <w:rPr/>
        <w:t>初数进行调整，同时对比较报表的相关项目进行调整。</w:t>
      </w:r>
    </w:p>
    <w:p>
      <w:pPr>
        <w:pStyle w:val="BodyText"/>
        <w:spacing w:line="312" w:lineRule="auto" w:before="22"/>
        <w:ind w:right="1125" w:firstLine="422"/>
        <w:jc w:val="both"/>
      </w:pPr>
      <w:r>
        <w:rPr>
          <w:spacing w:val="-2"/>
        </w:rPr>
        <w:t>对于购买子公司少数股权或因处置部分股权投资但没有丧失对该子公司控制权的交易，作为权益性交</w:t>
      </w:r>
      <w:r>
        <w:rPr>
          <w:w w:val="100"/>
        </w:rPr>
        <w:t> </w:t>
      </w:r>
      <w:r>
        <w:rPr>
          <w:spacing w:val="-2"/>
        </w:rPr>
        <w:t>易核算，调整归属于母公司股东权益和少数股东权益的账面价值以反映其在子公司中相关权益的变化。少</w:t>
      </w:r>
      <w:r>
        <w:rPr>
          <w:spacing w:val="-33"/>
        </w:rPr>
        <w:t> </w:t>
      </w:r>
      <w:r>
        <w:rPr>
          <w:spacing w:val="-33"/>
        </w:rPr>
      </w:r>
      <w:r>
        <w:rPr/>
        <w:t>数股东权益的调整额与支付</w:t>
      </w:r>
      <w:r>
        <w:rPr>
          <w:rFonts w:ascii="宋体" w:hAnsi="宋体" w:cs="宋体" w:eastAsia="宋体" w:hint="default"/>
        </w:rPr>
        <w:t>/</w:t>
      </w:r>
      <w:r>
        <w:rPr/>
        <w:t>收到对价的公允价值之间的差额调整资本公积，资本公积不足冲减的，调整</w:t>
      </w:r>
      <w:r>
        <w:rPr>
          <w:spacing w:val="-30"/>
        </w:rPr>
        <w:t> </w:t>
      </w:r>
      <w:r>
        <w:rPr>
          <w:spacing w:val="-30"/>
        </w:rPr>
      </w:r>
      <w:r>
        <w:rPr/>
        <w:t>留存收益。</w:t>
      </w:r>
    </w:p>
    <w:p>
      <w:pPr>
        <w:pStyle w:val="BodyText"/>
        <w:spacing w:line="312" w:lineRule="auto" w:before="22"/>
        <w:ind w:right="1124" w:firstLine="422"/>
        <w:jc w:val="both"/>
      </w:pPr>
      <w:r>
        <w:rPr>
          <w:spacing w:val="-2"/>
        </w:rPr>
        <w:t>因处置部分股权投资或其他原因丧失了对原有子公司控制权的，剩余股权按照其在丧失控制权日的公</w:t>
      </w:r>
      <w:r>
        <w:rPr>
          <w:w w:val="100"/>
        </w:rPr>
        <w:t> </w:t>
      </w:r>
      <w:r>
        <w:rPr>
          <w:spacing w:val="-2"/>
        </w:rPr>
        <w:t>允价值进行重新计量。处置股权取得的对价与剩余股权公允价值之和，减去按原持股比例计算应享有原子</w:t>
      </w:r>
      <w:r>
        <w:rPr>
          <w:spacing w:val="-33"/>
        </w:rPr>
        <w:t> </w:t>
      </w:r>
      <w:r>
        <w:rPr>
          <w:spacing w:val="-33"/>
        </w:rPr>
      </w:r>
      <w:r>
        <w:rPr>
          <w:spacing w:val="-2"/>
        </w:rPr>
        <w:t>公司自购买日或合并日开始持续计算的净资产的份额之间的差额，计入丧失控制权当期的投资收益，同时</w:t>
      </w:r>
      <w:r>
        <w:rPr>
          <w:spacing w:val="-33"/>
        </w:rPr>
        <w:t> </w:t>
      </w:r>
      <w:r>
        <w:rPr>
          <w:spacing w:val="-33"/>
        </w:rPr>
      </w:r>
      <w:r>
        <w:rPr/>
        <w:t>冲减商誉。与原有子公司股权投资相关的其他综合收益，在丧失控制权时转为当期投资收益。</w:t>
      </w:r>
    </w:p>
    <w:p>
      <w:pPr>
        <w:spacing w:line="634" w:lineRule="exact" w:before="39"/>
        <w:ind w:left="575" w:right="0" w:hanging="423"/>
        <w:jc w:val="left"/>
        <w:rPr>
          <w:rFonts w:ascii="宋体" w:hAnsi="宋体" w:cs="宋体" w:eastAsia="宋体" w:hint="default"/>
          <w:sz w:val="21"/>
          <w:szCs w:val="21"/>
        </w:rPr>
      </w:pPr>
      <w:bookmarkStart w:name="7、合营安排分类及共同经营会计处理方法" w:id="183"/>
      <w:bookmarkEnd w:id="183"/>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合营安排，是指一项由两个或两个以上的参与方共同控制的安排。本公司根据在合营安排中享有的权</w:t>
      </w:r>
    </w:p>
    <w:p>
      <w:pPr>
        <w:pStyle w:val="BodyText"/>
        <w:spacing w:line="314" w:lineRule="auto" w:before="0"/>
        <w:ind w:right="0"/>
        <w:jc w:val="left"/>
      </w:pPr>
      <w:r>
        <w:rPr>
          <w:spacing w:val="-2"/>
        </w:rPr>
        <w:t>利和承担的义务，将合营安排分为共同经营和合营企业。共同经营，是指本公司享有该安排相关资产且承</w:t>
      </w:r>
      <w:r>
        <w:rPr>
          <w:spacing w:val="-31"/>
        </w:rPr>
        <w:t> </w:t>
      </w:r>
      <w:r>
        <w:rPr>
          <w:spacing w:val="-31"/>
        </w:rPr>
      </w:r>
      <w:r>
        <w:rPr/>
        <w:t>担该安排相关负债的合营安排。合营企业，是指本公司仅对该安排的净资产享有权利的合营安排。</w:t>
      </w:r>
    </w:p>
    <w:p>
      <w:pPr>
        <w:pStyle w:val="BodyText"/>
        <w:spacing w:line="309" w:lineRule="auto"/>
        <w:ind w:right="1134" w:firstLine="422"/>
        <w:jc w:val="both"/>
      </w:pPr>
      <w:r>
        <w:rPr/>
        <w:t>本公司按照《企业会计准则第</w:t>
      </w:r>
      <w:r>
        <w:rPr>
          <w:rFonts w:ascii="宋体" w:hAnsi="宋体" w:cs="宋体" w:eastAsia="宋体" w:hint="default"/>
        </w:rPr>
        <w:t>2</w:t>
      </w:r>
      <w:r>
        <w:rPr/>
        <w:t>号——长期股权投资》的规定对合营企业的投资进行会计处理，对合</w:t>
      </w:r>
      <w:r>
        <w:rPr>
          <w:w w:val="100"/>
        </w:rPr>
        <w:t> </w:t>
      </w:r>
      <w:r>
        <w:rPr/>
        <w:t>营企业不享有共同控制的，根据本公司对该合营企业的影响程度进行会计处理：</w:t>
      </w:r>
    </w:p>
    <w:p>
      <w:pPr>
        <w:pStyle w:val="BodyText"/>
        <w:spacing w:line="314" w:lineRule="auto" w:before="24"/>
        <w:ind w:right="1123" w:firstLine="422"/>
        <w:jc w:val="both"/>
      </w:pPr>
      <w:r>
        <w:rPr>
          <w:spacing w:val="-2"/>
        </w:rPr>
        <w:t>（</w:t>
      </w:r>
      <w:r>
        <w:rPr>
          <w:rFonts w:ascii="宋体" w:hAnsi="宋体" w:cs="宋体" w:eastAsia="宋体" w:hint="default"/>
          <w:spacing w:val="-2"/>
        </w:rPr>
        <w:t>1</w:t>
      </w:r>
      <w:r>
        <w:rPr>
          <w:spacing w:val="-2"/>
        </w:rPr>
        <w:t>）对该合营企业具有重大影响的，按照《企业会计准则第</w:t>
      </w:r>
      <w:r>
        <w:rPr>
          <w:rFonts w:ascii="宋体" w:hAnsi="宋体" w:cs="宋体" w:eastAsia="宋体" w:hint="default"/>
          <w:spacing w:val="-2"/>
        </w:rPr>
        <w:t>2</w:t>
      </w:r>
      <w:r>
        <w:rPr>
          <w:spacing w:val="-2"/>
        </w:rPr>
        <w:t>号——长期股权投资》的规定进行会计</w:t>
      </w:r>
      <w:r>
        <w:rPr>
          <w:w w:val="100"/>
        </w:rPr>
        <w:t> </w:t>
      </w:r>
      <w:r>
        <w:rPr/>
        <w:t>处理。</w:t>
      </w:r>
    </w:p>
    <w:p>
      <w:pPr>
        <w:pStyle w:val="BodyText"/>
        <w:spacing w:line="314" w:lineRule="auto" w:before="15"/>
        <w:ind w:right="1127" w:firstLine="422"/>
        <w:jc w:val="both"/>
      </w:pPr>
      <w:r>
        <w:rPr/>
        <w:t>（</w:t>
      </w:r>
      <w:r>
        <w:rPr>
          <w:rFonts w:ascii="宋体" w:hAnsi="宋体" w:cs="宋体" w:eastAsia="宋体" w:hint="default"/>
        </w:rPr>
        <w:t>2</w:t>
      </w:r>
      <w:r>
        <w:rPr/>
        <w:t>）对该合营企业不具有重大影响的，按照《企业会计准则第</w:t>
      </w:r>
      <w:r>
        <w:rPr>
          <w:rFonts w:ascii="宋体" w:hAnsi="宋体" w:cs="宋体" w:eastAsia="宋体" w:hint="default"/>
        </w:rPr>
        <w:t>22</w:t>
      </w:r>
      <w:r>
        <w:rPr/>
        <w:t>号——金融工具确认和计量》的规</w:t>
      </w:r>
      <w:r>
        <w:rPr>
          <w:w w:val="100"/>
        </w:rPr>
        <w:t> </w:t>
      </w:r>
      <w:r>
        <w:rPr/>
        <w:t>定进行会计处理。</w:t>
      </w:r>
    </w:p>
    <w:p>
      <w:pPr>
        <w:pStyle w:val="BodyText"/>
        <w:spacing w:line="312" w:lineRule="auto"/>
        <w:ind w:right="1119" w:firstLine="422"/>
        <w:jc w:val="both"/>
      </w:pPr>
      <w:r>
        <w:rPr>
          <w:spacing w:val="-2"/>
        </w:rPr>
        <w:t>本公司作为合营方对共同经营，确认本公司单独所持有的资产，以及按份额确认共同持有的资产；确</w:t>
      </w:r>
      <w:r>
        <w:rPr>
          <w:w w:val="100"/>
        </w:rPr>
        <w:t> </w:t>
      </w:r>
      <w:r>
        <w:rPr>
          <w:spacing w:val="-2"/>
        </w:rPr>
        <w:t>认本公司单独所承担的负债，以及按份额确认共同承担的负债；确认出售本公司享有的共同经营产出份额</w:t>
      </w:r>
      <w:r>
        <w:rPr>
          <w:spacing w:val="-33"/>
        </w:rPr>
        <w:t> </w:t>
      </w:r>
      <w:r>
        <w:rPr>
          <w:spacing w:val="-33"/>
        </w:rPr>
      </w:r>
      <w:r>
        <w:rPr>
          <w:spacing w:val="-2"/>
        </w:rPr>
        <w:t>所产生的收入；按份额确认共同经营因出售产出所产生的收入；确认本公司单独所发生的费用，以及按其</w:t>
      </w:r>
      <w:r>
        <w:rPr>
          <w:spacing w:val="-33"/>
        </w:rPr>
        <w:t> </w:t>
      </w:r>
      <w:r>
        <w:rPr>
          <w:spacing w:val="-33"/>
        </w:rPr>
      </w:r>
      <w:r>
        <w:rPr/>
        <w:t>份额确认共同经营发生的费用。</w:t>
      </w:r>
    </w:p>
    <w:p>
      <w:pPr>
        <w:pStyle w:val="BodyText"/>
        <w:spacing w:line="314" w:lineRule="auto" w:before="22"/>
        <w:ind w:right="0" w:firstLine="422"/>
        <w:jc w:val="left"/>
      </w:pPr>
      <w:r>
        <w:rPr>
          <w:spacing w:val="-2"/>
        </w:rPr>
        <w:t>当本公司作为合营方向共同经营投出或出售资产（该资产不构成业务，下同）、或者自共同经营购买</w:t>
      </w:r>
      <w:r>
        <w:rPr>
          <w:w w:val="100"/>
        </w:rPr>
        <w:t> </w:t>
      </w:r>
      <w:r>
        <w:rPr>
          <w:spacing w:val="-2"/>
        </w:rPr>
        <w:t>资产时，在该等资产出售给第三方之前，本公司仅确认因该交易产生的损益中归属于共同经营其他参与方</w:t>
      </w:r>
      <w:r>
        <w:rPr>
          <w:spacing w:val="-33"/>
        </w:rPr>
        <w:t> </w:t>
      </w:r>
      <w:r>
        <w:rPr>
          <w:spacing w:val="-33"/>
        </w:rPr>
      </w:r>
      <w:r>
        <w:rPr/>
        <w:t>的部分。该等资产发生符合《企业会计准则第</w:t>
      </w:r>
      <w:r>
        <w:rPr>
          <w:rFonts w:ascii="宋体" w:hAnsi="宋体" w:cs="宋体" w:eastAsia="宋体" w:hint="default"/>
        </w:rPr>
        <w:t>8</w:t>
      </w:r>
      <w:r>
        <w:rPr/>
        <w:t>号——资产减值》等规定的资产减值损失的，对于由本公</w:t>
      </w:r>
      <w:r>
        <w:rPr>
          <w:spacing w:val="-30"/>
        </w:rPr>
        <w:t> </w:t>
      </w:r>
      <w:r>
        <w:rPr>
          <w:spacing w:val="-30"/>
        </w:rPr>
      </w:r>
      <w:r>
        <w:rPr/>
        <w:t>司向共同经营投出或出售资产的情况，本公司全额确认该损失；对于本公司自共同经营购买资产的情况，</w:t>
      </w:r>
      <w:r>
        <w:rPr>
          <w:spacing w:val="-30"/>
        </w:rPr>
        <w:t> </w:t>
      </w:r>
      <w:r>
        <w:rPr>
          <w:spacing w:val="-30"/>
        </w:rPr>
      </w:r>
      <w:r>
        <w:rPr/>
        <w:t>本公司按承担的份额确认该损失。</w:t>
      </w:r>
    </w:p>
    <w:p>
      <w:pPr>
        <w:spacing w:line="240" w:lineRule="auto" w:before="6"/>
        <w:rPr>
          <w:rFonts w:ascii="宋体" w:hAnsi="宋体" w:cs="宋体" w:eastAsia="宋体" w:hint="default"/>
          <w:sz w:val="21"/>
          <w:szCs w:val="21"/>
        </w:rPr>
      </w:pPr>
    </w:p>
    <w:p>
      <w:pPr>
        <w:spacing w:line="640" w:lineRule="atLeast" w:before="0"/>
        <w:ind w:left="575" w:right="0" w:hanging="423"/>
        <w:jc w:val="left"/>
        <w:rPr>
          <w:rFonts w:ascii="宋体" w:hAnsi="宋体" w:cs="宋体" w:eastAsia="宋体" w:hint="default"/>
          <w:sz w:val="21"/>
          <w:szCs w:val="21"/>
        </w:rPr>
      </w:pPr>
      <w:bookmarkStart w:name="8、现金及现金等价物的确定标准" w:id="184"/>
      <w:bookmarkEnd w:id="18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spacing w:val="-100"/>
          <w:sz w:val="21"/>
          <w:szCs w:val="21"/>
        </w:rPr>
        <w:t> </w:t>
      </w:r>
      <w:r>
        <w:rPr>
          <w:rFonts w:ascii="宋体" w:hAnsi="宋体" w:cs="宋体" w:eastAsia="宋体" w:hint="default"/>
          <w:spacing w:val="-2"/>
          <w:sz w:val="21"/>
          <w:szCs w:val="21"/>
        </w:rPr>
        <w:t>在编制现金流量表时，现金是指公司库存现金以及可以随时用于支付的存款；现金等价物是指持有的</w:t>
      </w:r>
    </w:p>
    <w:p>
      <w:pPr>
        <w:pStyle w:val="BodyText"/>
        <w:spacing w:line="240" w:lineRule="auto" w:before="85"/>
        <w:ind w:right="0"/>
        <w:jc w:val="left"/>
      </w:pPr>
      <w:r>
        <w:rPr/>
        <w:t>期限短（从购买日起</w:t>
      </w:r>
      <w:r>
        <w:rPr>
          <w:rFonts w:ascii="宋体" w:hAnsi="宋体" w:cs="宋体" w:eastAsia="宋体" w:hint="default"/>
        </w:rPr>
        <w:t>3</w:t>
      </w:r>
      <w:r>
        <w:rPr/>
        <w:t>个月到期）、流动性强、易于转换为已知金额现金、价值变动风险很小的投资等。</w:t>
      </w:r>
    </w:p>
    <w:p>
      <w:pPr>
        <w:spacing w:after="0" w:line="240" w:lineRule="auto"/>
        <w:jc w:val="left"/>
        <w:sectPr>
          <w:pgSz w:w="11910" w:h="16840"/>
          <w:pgMar w:header="460"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spacing w:line="240" w:lineRule="auto" w:before="36"/>
        <w:ind w:right="0"/>
        <w:jc w:val="left"/>
        <w:rPr>
          <w:b w:val="0"/>
          <w:bCs w:val="0"/>
        </w:rPr>
      </w:pPr>
      <w:bookmarkStart w:name="9、外币业务和外币报表折算" w:id="185"/>
      <w:bookmarkEnd w:id="185"/>
      <w:r>
        <w:rPr>
          <w:b w:val="0"/>
          <w:bCs w:val="0"/>
        </w:rPr>
      </w:r>
      <w:r>
        <w:rPr>
          <w:rFonts w:ascii="宋体" w:hAnsi="宋体" w:cs="宋体" w:eastAsia="宋体" w:hint="default"/>
        </w:rPr>
        <w:t>9</w:t>
      </w:r>
      <w:r>
        <w:rPr/>
        <w:t>、外币业务和外币报表折算</w:t>
      </w:r>
      <w:r>
        <w:rPr>
          <w:b w:val="0"/>
          <w:bCs w:val="0"/>
        </w:rPr>
      </w:r>
    </w:p>
    <w:p>
      <w:pPr>
        <w:spacing w:line="240" w:lineRule="auto" w:before="4"/>
        <w:rPr>
          <w:rFonts w:ascii="宋体" w:hAnsi="宋体" w:cs="宋体" w:eastAsia="宋体" w:hint="default"/>
          <w:b/>
          <w:bCs/>
          <w:sz w:val="29"/>
          <w:szCs w:val="29"/>
        </w:rPr>
      </w:pPr>
    </w:p>
    <w:p>
      <w:pPr>
        <w:pStyle w:val="BodyText"/>
        <w:spacing w:line="314" w:lineRule="auto" w:before="0"/>
        <w:ind w:left="575" w:right="1004"/>
        <w:jc w:val="left"/>
      </w:pPr>
      <w:r>
        <w:rPr>
          <w:rFonts w:ascii="宋体" w:hAnsi="宋体" w:cs="宋体" w:eastAsia="宋体" w:hint="default"/>
        </w:rPr>
        <w:t>1.</w:t>
      </w:r>
      <w:r>
        <w:rPr/>
        <w:t>外币业务</w:t>
      </w:r>
      <w:r>
        <w:rPr>
          <w:spacing w:val="-99"/>
        </w:rPr>
        <w:t> </w:t>
      </w:r>
      <w:r>
        <w:rPr>
          <w:spacing w:val="-2"/>
        </w:rPr>
        <w:t>本公司的外币交易在初始确认时，采用交易发生日的即期汇率（通常指中国人民银行公布的当日外汇</w:t>
      </w:r>
    </w:p>
    <w:p>
      <w:pPr>
        <w:pStyle w:val="BodyText"/>
        <w:spacing w:line="314" w:lineRule="auto"/>
        <w:ind w:left="575" w:right="0" w:hanging="423"/>
        <w:jc w:val="left"/>
      </w:pPr>
      <w:r>
        <w:rPr/>
        <w:t>牌价的中间价，下同）将外币金额折算为人民币金额记账。</w:t>
      </w:r>
      <w:r>
        <w:rPr>
          <w:w w:val="100"/>
        </w:rPr>
        <w:t> </w:t>
      </w:r>
      <w:r>
        <w:rPr>
          <w:spacing w:val="-2"/>
        </w:rPr>
        <w:t>在资产负债表日，对外币货币性资产和负债，采用资产负债表日即期汇率折算为人民币。因资产负债</w:t>
      </w:r>
    </w:p>
    <w:p>
      <w:pPr>
        <w:pStyle w:val="BodyText"/>
        <w:spacing w:line="314" w:lineRule="auto" w:before="15"/>
        <w:ind w:right="1125"/>
        <w:jc w:val="both"/>
      </w:pPr>
      <w:r>
        <w:rPr>
          <w:spacing w:val="-2"/>
        </w:rPr>
        <w:t>表日即期汇率与初始确认时或者前一资产负债表日即期汇率不同而产生的汇兑差额，除了按照《企业会计</w:t>
      </w:r>
      <w:r>
        <w:rPr>
          <w:spacing w:val="-33"/>
        </w:rPr>
        <w:t> </w:t>
      </w:r>
      <w:r>
        <w:rPr>
          <w:spacing w:val="-33"/>
        </w:rPr>
      </w:r>
      <w:r>
        <w:rPr>
          <w:spacing w:val="-2"/>
        </w:rPr>
        <w:t>准则</w:t>
      </w:r>
      <w:r>
        <w:rPr>
          <w:rFonts w:ascii="宋体" w:hAnsi="宋体" w:cs="宋体" w:eastAsia="宋体" w:hint="default"/>
          <w:spacing w:val="-2"/>
        </w:rPr>
        <w:t>17</w:t>
      </w:r>
      <w:r>
        <w:rPr>
          <w:spacing w:val="-2"/>
        </w:rPr>
        <w:t>号</w:t>
      </w:r>
      <w:r>
        <w:rPr>
          <w:rFonts w:ascii="宋体" w:hAnsi="宋体" w:cs="宋体" w:eastAsia="宋体" w:hint="default"/>
          <w:spacing w:val="-2"/>
        </w:rPr>
        <w:t>--</w:t>
      </w:r>
      <w:r>
        <w:rPr>
          <w:spacing w:val="-2"/>
        </w:rPr>
        <w:t>借款费用》的规定，与购建或生产符合资本化条件的资产相关的外币借款产生的汇兑差额，在</w:t>
      </w:r>
      <w:r>
        <w:rPr>
          <w:spacing w:val="-29"/>
        </w:rPr>
        <w:t> </w:t>
      </w:r>
      <w:r>
        <w:rPr>
          <w:spacing w:val="-29"/>
        </w:rPr>
      </w:r>
      <w:r>
        <w:rPr>
          <w:spacing w:val="-2"/>
        </w:rPr>
        <w:t>资本化期间内，外币借款本金及利息的汇兑差额，予以资本化，计入符合资本化条件的资产的成本外，计</w:t>
      </w:r>
      <w:r>
        <w:rPr>
          <w:spacing w:val="-33"/>
        </w:rPr>
        <w:t> </w:t>
      </w:r>
      <w:r>
        <w:rPr>
          <w:spacing w:val="-33"/>
        </w:rPr>
      </w:r>
      <w:r>
        <w:rPr/>
        <w:t>入当期的财务费用；</w:t>
      </w:r>
    </w:p>
    <w:p>
      <w:pPr>
        <w:pStyle w:val="BodyText"/>
        <w:spacing w:line="314" w:lineRule="auto" w:before="15"/>
        <w:ind w:right="0" w:firstLine="422"/>
        <w:jc w:val="left"/>
      </w:pPr>
      <w:r>
        <w:rPr>
          <w:spacing w:val="-5"/>
        </w:rPr>
        <w:t>以历史成本计量的外币非货币性项目，仍采用交易发生日的即期汇率折算，不改变其记账本位币金额；</w:t>
      </w:r>
      <w:r>
        <w:rPr>
          <w:w w:val="100"/>
        </w:rPr>
        <w:t> </w:t>
      </w:r>
      <w:r>
        <w:rPr/>
        <w:t>以公允价值计量的外币非货币性项目，采用公允价值确定日的即期汇率折算，由其产生的汇兑差额，计入</w:t>
      </w:r>
      <w:r>
        <w:rPr>
          <w:w w:val="100"/>
        </w:rPr>
        <w:t> </w:t>
      </w:r>
      <w:r>
        <w:rPr/>
        <w:t>当期损益或其他综合收益。</w:t>
      </w:r>
    </w:p>
    <w:p>
      <w:pPr>
        <w:pStyle w:val="BodyText"/>
        <w:spacing w:line="309" w:lineRule="auto"/>
        <w:ind w:left="575" w:right="0"/>
        <w:jc w:val="left"/>
      </w:pPr>
      <w:r>
        <w:rPr>
          <w:rFonts w:ascii="宋体" w:hAnsi="宋体" w:cs="宋体" w:eastAsia="宋体" w:hint="default"/>
        </w:rPr>
        <w:t>2.</w:t>
      </w:r>
      <w:r>
        <w:rPr/>
        <w:t>外币财务报表的折算方法</w:t>
      </w:r>
      <w:r>
        <w:rPr>
          <w:spacing w:val="-101"/>
        </w:rPr>
        <w:t> </w:t>
      </w:r>
      <w:r>
        <w:rPr>
          <w:spacing w:val="-101"/>
        </w:rPr>
      </w:r>
      <w:r>
        <w:rPr>
          <w:spacing w:val="2"/>
        </w:rPr>
        <w:t>对于境外子公司以外币表示的会计报表和境内子公司采用母公司记账本位币以外的货币编报的会计</w:t>
      </w:r>
    </w:p>
    <w:p>
      <w:pPr>
        <w:pStyle w:val="BodyText"/>
        <w:spacing w:line="314" w:lineRule="auto" w:before="24"/>
        <w:ind w:right="1125"/>
        <w:jc w:val="both"/>
      </w:pPr>
      <w:r>
        <w:rPr>
          <w:spacing w:val="-2"/>
        </w:rPr>
        <w:t>报表，按照以下规定，将其会计报表各项目的数额折算为母公司记账本位币表示的会计报表，并以折算为</w:t>
      </w:r>
      <w:r>
        <w:rPr>
          <w:spacing w:val="-33"/>
        </w:rPr>
        <w:t> </w:t>
      </w:r>
      <w:r>
        <w:rPr>
          <w:spacing w:val="-33"/>
        </w:rPr>
      </w:r>
      <w:r>
        <w:rPr/>
        <w:t>母公司记账本位币后的会计报表编制合并会计报表。</w:t>
      </w:r>
    </w:p>
    <w:p>
      <w:pPr>
        <w:pStyle w:val="BodyText"/>
        <w:spacing w:line="240" w:lineRule="auto"/>
        <w:ind w:left="575" w:right="0"/>
        <w:jc w:val="left"/>
      </w:pPr>
      <w:r>
        <w:rPr/>
        <w:t>（</w:t>
      </w:r>
      <w:r>
        <w:rPr>
          <w:rFonts w:ascii="宋体" w:hAnsi="宋体" w:cs="宋体" w:eastAsia="宋体" w:hint="default"/>
        </w:rPr>
        <w:t>1</w:t>
      </w:r>
      <w:r>
        <w:rPr/>
        <w:t>）所有资产、负债类项目均采用资产负债表日的即期汇率折算。</w:t>
      </w:r>
    </w:p>
    <w:p>
      <w:pPr>
        <w:pStyle w:val="BodyText"/>
        <w:spacing w:line="240" w:lineRule="auto" w:before="80"/>
        <w:ind w:left="575" w:right="0"/>
        <w:jc w:val="left"/>
      </w:pPr>
      <w:r>
        <w:rPr/>
        <w:t>（</w:t>
      </w:r>
      <w:r>
        <w:rPr>
          <w:rFonts w:ascii="宋体" w:hAnsi="宋体" w:cs="宋体" w:eastAsia="宋体" w:hint="default"/>
        </w:rPr>
        <w:t>2</w:t>
      </w:r>
      <w:r>
        <w:rPr/>
        <w:t>）所有者权益类项目除“未分配利润”项目外，均按照发生日的即期汇率折算。</w:t>
      </w:r>
    </w:p>
    <w:p>
      <w:pPr>
        <w:pStyle w:val="BodyText"/>
        <w:spacing w:line="240" w:lineRule="auto" w:before="85"/>
        <w:ind w:left="575" w:right="0"/>
        <w:jc w:val="left"/>
      </w:pPr>
      <w:r>
        <w:rPr/>
        <w:t>（</w:t>
      </w:r>
      <w:r>
        <w:rPr>
          <w:rFonts w:ascii="宋体" w:hAnsi="宋体" w:cs="宋体" w:eastAsia="宋体" w:hint="default"/>
        </w:rPr>
        <w:t>3</w:t>
      </w:r>
      <w:r>
        <w:rPr/>
        <w:t>）“未分配利润”项目以折算后的利润分配表中该项目的数额作为其数额列示。</w:t>
      </w:r>
    </w:p>
    <w:p>
      <w:pPr>
        <w:pStyle w:val="BodyText"/>
        <w:spacing w:line="240" w:lineRule="auto" w:before="85"/>
        <w:ind w:left="575" w:right="0"/>
        <w:jc w:val="left"/>
      </w:pPr>
      <w:r>
        <w:rPr/>
        <w:t>（</w:t>
      </w:r>
      <w:r>
        <w:rPr>
          <w:rFonts w:ascii="宋体" w:hAnsi="宋体" w:cs="宋体" w:eastAsia="宋体" w:hint="default"/>
        </w:rPr>
        <w:t>4</w:t>
      </w:r>
      <w:r>
        <w:rPr/>
        <w:t>）折算后资产项目与负债项目和所有者权益项目合计数的差额作为“其他综合收益”。</w:t>
      </w:r>
    </w:p>
    <w:p>
      <w:pPr>
        <w:pStyle w:val="BodyText"/>
        <w:spacing w:line="240" w:lineRule="auto" w:before="85"/>
        <w:ind w:left="575" w:right="0"/>
        <w:jc w:val="left"/>
      </w:pPr>
      <w:r>
        <w:rPr/>
        <w:t>（</w:t>
      </w:r>
      <w:r>
        <w:rPr>
          <w:rFonts w:ascii="宋体" w:hAnsi="宋体" w:cs="宋体" w:eastAsia="宋体" w:hint="default"/>
        </w:rPr>
        <w:t>5</w:t>
      </w:r>
      <w:r>
        <w:rPr/>
        <w:t>）利润表所有项目和利润分配表中的收入和费用项目，采用交易发生日的即期汇率折算。</w:t>
      </w:r>
    </w:p>
    <w:p>
      <w:pPr>
        <w:pStyle w:val="BodyText"/>
        <w:spacing w:line="240" w:lineRule="auto" w:before="80"/>
        <w:ind w:left="575" w:right="0"/>
        <w:jc w:val="left"/>
      </w:pPr>
      <w:r>
        <w:rPr/>
        <w:t>（</w:t>
      </w:r>
      <w:r>
        <w:rPr>
          <w:rFonts w:ascii="宋体" w:hAnsi="宋体" w:cs="宋体" w:eastAsia="宋体" w:hint="default"/>
        </w:rPr>
        <w:t>6</w:t>
      </w:r>
      <w:r>
        <w:rPr/>
        <w:t>）利润分配表中“未分配利润”项目，按折算后的利润分配表中的其他各项目的数额计算列示。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3"/>
        <w:spacing w:line="240" w:lineRule="auto"/>
        <w:ind w:right="0"/>
        <w:jc w:val="left"/>
        <w:rPr>
          <w:b w:val="0"/>
          <w:bCs w:val="0"/>
        </w:rPr>
      </w:pPr>
      <w:bookmarkStart w:name="10、金融工具" w:id="186"/>
      <w:bookmarkEnd w:id="186"/>
      <w:r>
        <w:rPr>
          <w:b w:val="0"/>
          <w:bCs w:val="0"/>
        </w:rPr>
      </w:r>
      <w:r>
        <w:rPr>
          <w:rFonts w:ascii="宋体" w:hAnsi="宋体" w:cs="宋体" w:eastAsia="宋体" w:hint="default"/>
        </w:rPr>
        <w:t>10</w:t>
      </w:r>
      <w:r>
        <w:rPr/>
        <w:t>、金融工具</w:t>
      </w:r>
      <w:r>
        <w:rPr>
          <w:b w:val="0"/>
          <w:bCs w:val="0"/>
        </w:rPr>
      </w:r>
    </w:p>
    <w:p>
      <w:pPr>
        <w:spacing w:line="240" w:lineRule="auto" w:before="8"/>
        <w:rPr>
          <w:rFonts w:ascii="宋体" w:hAnsi="宋体" w:cs="宋体" w:eastAsia="宋体" w:hint="default"/>
          <w:b/>
          <w:bCs/>
          <w:sz w:val="29"/>
          <w:szCs w:val="29"/>
        </w:rPr>
      </w:pPr>
    </w:p>
    <w:p>
      <w:pPr>
        <w:pStyle w:val="BodyText"/>
        <w:spacing w:line="309" w:lineRule="auto" w:before="0"/>
        <w:ind w:left="575" w:right="1121"/>
        <w:jc w:val="left"/>
      </w:pPr>
      <w:r>
        <w:rPr>
          <w:rFonts w:ascii="宋体" w:hAnsi="宋体" w:cs="宋体" w:eastAsia="宋体" w:hint="default"/>
        </w:rPr>
        <w:t>1.</w:t>
      </w:r>
      <w:r>
        <w:rPr/>
        <w:t>金融资产和金融负债的分类</w:t>
      </w:r>
      <w:r>
        <w:rPr>
          <w:spacing w:val="-100"/>
        </w:rPr>
        <w:t> </w:t>
      </w:r>
      <w:r>
        <w:rPr>
          <w:spacing w:val="-100"/>
        </w:rPr>
      </w:r>
      <w:r>
        <w:rPr/>
        <w:t>金融资产在初始确认时划分为以下三类：（</w:t>
      </w:r>
      <w:r>
        <w:rPr>
          <w:rFonts w:ascii="宋体" w:hAnsi="宋体" w:cs="宋体" w:eastAsia="宋体" w:hint="default"/>
        </w:rPr>
        <w:t>1</w:t>
      </w:r>
      <w:r>
        <w:rPr/>
        <w:t>）以摊余成本计量的金融资产；（</w:t>
      </w:r>
      <w:r>
        <w:rPr>
          <w:rFonts w:ascii="宋体" w:hAnsi="宋体" w:cs="宋体" w:eastAsia="宋体" w:hint="default"/>
        </w:rPr>
        <w:t>2</w:t>
      </w:r>
      <w:r>
        <w:rPr/>
        <w:t>）</w:t>
      </w:r>
      <w:r>
        <w:rPr>
          <w:spacing w:val="73"/>
        </w:rPr>
        <w:t> </w:t>
      </w:r>
      <w:r>
        <w:rPr/>
        <w:t>以公允价值计量</w:t>
      </w:r>
    </w:p>
    <w:p>
      <w:pPr>
        <w:pStyle w:val="BodyText"/>
        <w:spacing w:line="314" w:lineRule="auto" w:before="24"/>
        <w:ind w:left="575" w:right="0" w:hanging="423"/>
        <w:jc w:val="left"/>
      </w:pPr>
      <w:r>
        <w:rPr/>
        <w:t>且其变动计入其他综合收益的金融资产；（</w:t>
      </w:r>
      <w:r>
        <w:rPr>
          <w:rFonts w:ascii="宋体" w:hAnsi="宋体" w:cs="宋体" w:eastAsia="宋体" w:hint="default"/>
        </w:rPr>
        <w:t>3</w:t>
      </w:r>
      <w:r>
        <w:rPr/>
        <w:t>）以公允价值计量且其变动计入当期损益的金融资产。</w:t>
      </w:r>
      <w:r>
        <w:rPr>
          <w:spacing w:val="-102"/>
        </w:rPr>
        <w:t> </w:t>
      </w:r>
      <w:r>
        <w:rPr>
          <w:spacing w:val="-102"/>
        </w:rPr>
      </w:r>
      <w:r>
        <w:rPr/>
        <w:t>金融负债在初始确认时划分为以下四类：（</w:t>
      </w:r>
      <w:r>
        <w:rPr>
          <w:rFonts w:ascii="宋体" w:hAnsi="宋体" w:cs="宋体" w:eastAsia="宋体" w:hint="default"/>
        </w:rPr>
        <w:t>1</w:t>
      </w:r>
      <w:r>
        <w:rPr/>
        <w:t>）以公允价值计量且其变动计入当期损益的金融负债；</w:t>
      </w:r>
    </w:p>
    <w:p>
      <w:pPr>
        <w:pStyle w:val="BodyText"/>
        <w:spacing w:line="240" w:lineRule="auto"/>
        <w:ind w:right="0"/>
        <w:jc w:val="left"/>
      </w:pPr>
      <w:r>
        <w:rPr/>
        <w:t>（</w:t>
      </w:r>
      <w:r>
        <w:rPr>
          <w:rFonts w:ascii="宋体" w:hAnsi="宋体" w:cs="宋体" w:eastAsia="宋体" w:hint="default"/>
        </w:rPr>
        <w:t>2</w:t>
      </w:r>
      <w:r>
        <w:rPr/>
        <w:t>）金融资产转移不符合终止确认条件或继续涉入被转移金融资产所形成的金融负债；（</w:t>
      </w:r>
      <w:r>
        <w:rPr>
          <w:rFonts w:ascii="宋体" w:hAnsi="宋体" w:cs="宋体" w:eastAsia="宋体" w:hint="default"/>
        </w:rPr>
        <w:t>3</w:t>
      </w:r>
      <w:r>
        <w:rPr/>
        <w:t>）不属于上述</w:t>
      </w:r>
    </w:p>
    <w:p>
      <w:pPr>
        <w:pStyle w:val="BodyText"/>
        <w:spacing w:line="314" w:lineRule="auto" w:before="80"/>
        <w:ind w:right="1127"/>
        <w:jc w:val="both"/>
      </w:pPr>
      <w:r>
        <w:rPr>
          <w:spacing w:val="-2"/>
        </w:rPr>
        <w:t>（</w:t>
      </w:r>
      <w:r>
        <w:rPr>
          <w:rFonts w:ascii="宋体" w:hAnsi="宋体" w:cs="宋体" w:eastAsia="宋体" w:hint="default"/>
          <w:spacing w:val="-2"/>
        </w:rPr>
        <w:t>1</w:t>
      </w:r>
      <w:r>
        <w:rPr>
          <w:spacing w:val="-2"/>
        </w:rPr>
        <w:t>）或（</w:t>
      </w:r>
      <w:r>
        <w:rPr>
          <w:rFonts w:ascii="宋体" w:hAnsi="宋体" w:cs="宋体" w:eastAsia="宋体" w:hint="default"/>
          <w:spacing w:val="-2"/>
        </w:rPr>
        <w:t>2</w:t>
      </w:r>
      <w:r>
        <w:rPr>
          <w:spacing w:val="-2"/>
        </w:rPr>
        <w:t>）的财务担保合同，以及不属于上述（</w:t>
      </w:r>
      <w:r>
        <w:rPr>
          <w:rFonts w:ascii="宋体" w:hAnsi="宋体" w:cs="宋体" w:eastAsia="宋体" w:hint="default"/>
          <w:spacing w:val="-2"/>
        </w:rPr>
        <w:t>1</w:t>
      </w:r>
      <w:r>
        <w:rPr>
          <w:spacing w:val="-2"/>
        </w:rPr>
        <w:t>）并以低于市场利率贷款的贷款承诺；（</w:t>
      </w:r>
      <w:r>
        <w:rPr>
          <w:rFonts w:ascii="宋体" w:hAnsi="宋体" w:cs="宋体" w:eastAsia="宋体" w:hint="default"/>
          <w:spacing w:val="-2"/>
        </w:rPr>
        <w:t>4</w:t>
      </w:r>
      <w:r>
        <w:rPr>
          <w:spacing w:val="-2"/>
        </w:rPr>
        <w:t>）以摊余成</w:t>
      </w:r>
      <w:r>
        <w:rPr>
          <w:spacing w:val="-32"/>
        </w:rPr>
        <w:t> </w:t>
      </w:r>
      <w:r>
        <w:rPr>
          <w:spacing w:val="-32"/>
        </w:rPr>
      </w:r>
      <w:r>
        <w:rPr/>
        <w:t>本计量的金融负债。</w:t>
      </w:r>
    </w:p>
    <w:p>
      <w:pPr>
        <w:pStyle w:val="BodyText"/>
        <w:spacing w:line="240" w:lineRule="auto"/>
        <w:ind w:left="575" w:right="0"/>
        <w:jc w:val="left"/>
      </w:pPr>
      <w:r>
        <w:rPr>
          <w:rFonts w:ascii="宋体" w:hAnsi="宋体" w:cs="宋体" w:eastAsia="宋体" w:hint="default"/>
        </w:rPr>
        <w:t>2.</w:t>
      </w:r>
      <w:r>
        <w:rPr/>
        <w:t>金融资产和金融负债的确认依据、计量方法和终止确认条件</w:t>
      </w:r>
    </w:p>
    <w:p>
      <w:pPr>
        <w:pStyle w:val="BodyText"/>
        <w:spacing w:line="309" w:lineRule="auto" w:before="85"/>
        <w:ind w:left="575" w:right="0"/>
        <w:jc w:val="left"/>
      </w:pPr>
      <w:r>
        <w:rPr/>
        <w:t>（</w:t>
      </w:r>
      <w:r>
        <w:rPr>
          <w:rFonts w:ascii="宋体" w:hAnsi="宋体" w:cs="宋体" w:eastAsia="宋体" w:hint="default"/>
        </w:rPr>
        <w:t>1</w:t>
      </w:r>
      <w:r>
        <w:rPr/>
        <w:t>）金融资产和金融负债的确认依据和初始计量方法</w:t>
      </w:r>
      <w:r>
        <w:rPr>
          <w:w w:val="100"/>
        </w:rPr>
        <w:t> </w:t>
      </w:r>
      <w:r>
        <w:rPr/>
        <w:t>公司成为金融工具合同的一方时，确认一项金融资产或金融负债。初始确认金融资产或金融负债时，</w:t>
      </w:r>
    </w:p>
    <w:p>
      <w:pPr>
        <w:spacing w:after="0" w:line="309" w:lineRule="auto"/>
        <w:jc w:val="left"/>
        <w:sectPr>
          <w:pgSz w:w="11910" w:h="16840"/>
          <w:pgMar w:header="460" w:footer="979" w:top="1060" w:bottom="1160" w:left="980" w:right="0"/>
        </w:sectPr>
      </w:pPr>
    </w:p>
    <w:p>
      <w:pPr>
        <w:spacing w:line="240" w:lineRule="auto" w:before="11"/>
        <w:rPr>
          <w:rFonts w:ascii="宋体" w:hAnsi="宋体" w:cs="宋体" w:eastAsia="宋体" w:hint="default"/>
          <w:sz w:val="25"/>
          <w:szCs w:val="25"/>
        </w:rPr>
      </w:pPr>
    </w:p>
    <w:p>
      <w:pPr>
        <w:pStyle w:val="BodyText"/>
        <w:spacing w:line="312" w:lineRule="auto" w:before="36"/>
        <w:ind w:right="1125"/>
        <w:jc w:val="both"/>
      </w:pPr>
      <w:r>
        <w:rPr>
          <w:spacing w:val="-2"/>
        </w:rPr>
        <w:t>按照公允价值计量；对于以公允价值计量且其变动计入当期损益的金融资产和金融负债，相关交易费用直</w:t>
      </w:r>
      <w:r>
        <w:rPr>
          <w:spacing w:val="-33"/>
        </w:rPr>
        <w:t> </w:t>
      </w:r>
      <w:r>
        <w:rPr>
          <w:spacing w:val="-33"/>
        </w:rPr>
      </w:r>
      <w:r>
        <w:rPr>
          <w:spacing w:val="-2"/>
        </w:rPr>
        <w:t>接计入当期损益；对于其他类别的金融资产或金融负债，相关交易费用计入初始确认金额。但是，公司初</w:t>
      </w:r>
      <w:r>
        <w:rPr>
          <w:spacing w:val="-33"/>
        </w:rPr>
        <w:t> </w:t>
      </w:r>
      <w:r>
        <w:rPr>
          <w:spacing w:val="-33"/>
        </w:rPr>
      </w:r>
      <w:r>
        <w:rPr>
          <w:spacing w:val="-2"/>
        </w:rPr>
        <w:t>始确认的应收账款未包含重大融资成分或公司不考虑未超过一年的合同中的融资成分的，按照交易价格进</w:t>
      </w:r>
      <w:r>
        <w:rPr>
          <w:spacing w:val="-33"/>
        </w:rPr>
        <w:t> </w:t>
      </w:r>
      <w:r>
        <w:rPr>
          <w:spacing w:val="-33"/>
        </w:rPr>
      </w:r>
      <w:r>
        <w:rPr/>
        <w:t>行初始计量。</w:t>
      </w:r>
    </w:p>
    <w:p>
      <w:pPr>
        <w:pStyle w:val="BodyText"/>
        <w:spacing w:line="314" w:lineRule="auto" w:before="22"/>
        <w:ind w:left="575" w:right="6054"/>
        <w:jc w:val="left"/>
      </w:pPr>
      <w:r>
        <w:rPr>
          <w:spacing w:val="-1"/>
        </w:rPr>
        <w:t>（</w:t>
      </w:r>
      <w:r>
        <w:rPr>
          <w:rFonts w:ascii="宋体" w:hAnsi="宋体" w:cs="宋体" w:eastAsia="宋体" w:hint="default"/>
          <w:spacing w:val="-1"/>
        </w:rPr>
        <w:t>2</w:t>
      </w:r>
      <w:r>
        <w:rPr>
          <w:spacing w:val="-1"/>
        </w:rPr>
        <w:t>）金融资产的后续计量方法</w:t>
      </w:r>
      <w:r>
        <w:rPr>
          <w:spacing w:val="-85"/>
        </w:rPr>
        <w:t> </w:t>
      </w:r>
      <w:r>
        <w:rPr>
          <w:spacing w:val="-85"/>
        </w:rPr>
      </w:r>
      <w:r>
        <w:rPr>
          <w:rFonts w:ascii="宋体" w:hAnsi="宋体" w:cs="宋体" w:eastAsia="宋体" w:hint="default"/>
          <w:spacing w:val="-1"/>
        </w:rPr>
        <w:t>1</w:t>
      </w:r>
      <w:r>
        <w:rPr>
          <w:spacing w:val="-1"/>
        </w:rPr>
        <w:t>）以摊余成本计量的金融资产</w:t>
      </w:r>
    </w:p>
    <w:p>
      <w:pPr>
        <w:pStyle w:val="BodyText"/>
        <w:spacing w:line="314" w:lineRule="auto" w:before="15"/>
        <w:ind w:right="1027" w:firstLine="422"/>
        <w:jc w:val="both"/>
      </w:pPr>
      <w:r>
        <w:rPr/>
        <w:t>采用实际利率法，按照摊余成本进行后续计量。以摊余成本计量且不属于任何套期关系的一部分的金</w:t>
      </w:r>
      <w:r>
        <w:rPr>
          <w:w w:val="100"/>
        </w:rPr>
        <w:t> </w:t>
      </w:r>
      <w:r>
        <w:rPr/>
        <w:t>融资产所产生的利得或损失，在终止确认、重分类、按照实际利率法摊销或确认减值时，计入当期损益。</w:t>
      </w:r>
    </w:p>
    <w:p>
      <w:pPr>
        <w:pStyle w:val="BodyText"/>
        <w:spacing w:line="314" w:lineRule="auto"/>
        <w:ind w:left="575" w:right="0"/>
        <w:jc w:val="left"/>
      </w:pPr>
      <w:r>
        <w:rPr>
          <w:rFonts w:ascii="宋体" w:hAnsi="宋体" w:cs="宋体" w:eastAsia="宋体" w:hint="default"/>
        </w:rPr>
        <w:t>2</w:t>
      </w:r>
      <w:r>
        <w:rPr/>
        <w:t>）以公允价值计量且其变动计入其他综合收益的债务工具投资</w:t>
      </w:r>
      <w:r>
        <w:rPr>
          <w:spacing w:val="-102"/>
        </w:rPr>
        <w:t> </w:t>
      </w:r>
      <w:r>
        <w:rPr>
          <w:spacing w:val="-102"/>
        </w:rPr>
      </w:r>
      <w:r>
        <w:rPr>
          <w:spacing w:val="-5"/>
        </w:rPr>
        <w:t>采用公允价值进行后续计量。采用实际利率法计算的利息、减值损失或利得及汇兑损益计入当期损益，</w:t>
      </w:r>
    </w:p>
    <w:p>
      <w:pPr>
        <w:pStyle w:val="BodyText"/>
        <w:spacing w:line="314" w:lineRule="auto" w:before="15"/>
        <w:ind w:right="1125"/>
        <w:jc w:val="both"/>
      </w:pPr>
      <w:r>
        <w:rPr>
          <w:spacing w:val="-2"/>
        </w:rPr>
        <w:t>其他利得或损失计入其他综合收益。终止确认时，将之前计入其他综合收益的累计利得或损失从其他综合</w:t>
      </w:r>
      <w:r>
        <w:rPr>
          <w:spacing w:val="-33"/>
        </w:rPr>
        <w:t> </w:t>
      </w:r>
      <w:r>
        <w:rPr>
          <w:spacing w:val="-33"/>
        </w:rPr>
      </w:r>
      <w:r>
        <w:rPr/>
        <w:t>收益中转出，计入当期损益。</w:t>
      </w:r>
    </w:p>
    <w:p>
      <w:pPr>
        <w:pStyle w:val="BodyText"/>
        <w:spacing w:line="314" w:lineRule="auto"/>
        <w:ind w:left="575" w:right="0"/>
        <w:jc w:val="left"/>
      </w:pPr>
      <w:r>
        <w:rPr>
          <w:rFonts w:ascii="宋体" w:hAnsi="宋体" w:cs="宋体" w:eastAsia="宋体" w:hint="default"/>
        </w:rPr>
        <w:t>3</w:t>
      </w:r>
      <w:r>
        <w:rPr/>
        <w:t>）以公允价值计量且其变动计入其他综合收益的权益工具投资</w:t>
      </w:r>
      <w:r>
        <w:rPr>
          <w:spacing w:val="-101"/>
        </w:rPr>
        <w:t> </w:t>
      </w:r>
      <w:r>
        <w:rPr>
          <w:spacing w:val="-101"/>
        </w:rPr>
      </w:r>
      <w:r>
        <w:rPr>
          <w:spacing w:val="-2"/>
        </w:rPr>
        <w:t>采用公允价值进行后续计量。获得的股利（属于投资成本收回部分的除外）计入当期损益，其他利得</w:t>
      </w:r>
    </w:p>
    <w:p>
      <w:pPr>
        <w:pStyle w:val="BodyText"/>
        <w:spacing w:line="314" w:lineRule="auto" w:before="15"/>
        <w:ind w:right="1125"/>
        <w:jc w:val="both"/>
      </w:pPr>
      <w:r>
        <w:rPr>
          <w:spacing w:val="-2"/>
        </w:rPr>
        <w:t>或损失计入其他综合收益。终止确认时，将之前计入其他综合收益的累计利得或损失从其他综合收益中转</w:t>
      </w:r>
      <w:r>
        <w:rPr>
          <w:spacing w:val="-33"/>
        </w:rPr>
        <w:t> </w:t>
      </w:r>
      <w:r>
        <w:rPr>
          <w:spacing w:val="-33"/>
        </w:rPr>
      </w:r>
      <w:r>
        <w:rPr/>
        <w:t>出，计入留存收益。</w:t>
      </w:r>
    </w:p>
    <w:p>
      <w:pPr>
        <w:pStyle w:val="BodyText"/>
        <w:spacing w:line="314" w:lineRule="auto"/>
        <w:ind w:left="575" w:right="0"/>
        <w:jc w:val="left"/>
      </w:pPr>
      <w:r>
        <w:rPr>
          <w:rFonts w:ascii="宋体" w:hAnsi="宋体" w:cs="宋体" w:eastAsia="宋体" w:hint="default"/>
        </w:rPr>
        <w:t>4</w:t>
      </w:r>
      <w:r>
        <w:rPr/>
        <w:t>）以公允价值计量且其变动计入当期损益的金融资产</w:t>
      </w:r>
      <w:r>
        <w:rPr>
          <w:w w:val="100"/>
        </w:rPr>
        <w:t> </w:t>
      </w:r>
      <w:r>
        <w:rPr/>
        <w:t>采用公允价值进行后续计量，产生的利得或损失（包括利息和股利收入</w:t>
      </w:r>
      <w:r>
        <w:rPr>
          <w:rFonts w:ascii="宋体" w:hAnsi="宋体" w:cs="宋体" w:eastAsia="宋体" w:hint="default"/>
        </w:rPr>
        <w:t>)</w:t>
      </w:r>
      <w:r>
        <w:rPr/>
        <w:t>计入当期损益，除非该金融</w:t>
      </w:r>
    </w:p>
    <w:p>
      <w:pPr>
        <w:pStyle w:val="BodyText"/>
        <w:spacing w:line="240" w:lineRule="auto" w:before="15"/>
        <w:ind w:right="0"/>
        <w:jc w:val="both"/>
      </w:pPr>
      <w:r>
        <w:rPr/>
        <w:t>资产属于套期关系的一部分。</w:t>
      </w:r>
    </w:p>
    <w:p>
      <w:pPr>
        <w:pStyle w:val="BodyText"/>
        <w:spacing w:line="314" w:lineRule="auto" w:before="85"/>
        <w:ind w:left="575" w:right="4340"/>
        <w:jc w:val="left"/>
      </w:pPr>
      <w:r>
        <w:rPr/>
        <w:t>（</w:t>
      </w:r>
      <w:r>
        <w:rPr>
          <w:rFonts w:ascii="宋体" w:hAnsi="宋体" w:cs="宋体" w:eastAsia="宋体" w:hint="default"/>
        </w:rPr>
        <w:t>3</w:t>
      </w:r>
      <w:r>
        <w:rPr/>
        <w:t>）金融负债的后续计量方法</w:t>
      </w:r>
      <w:r>
        <w:rPr>
          <w:spacing w:val="-99"/>
        </w:rPr>
        <w:t> </w:t>
      </w:r>
      <w:r>
        <w:rPr>
          <w:spacing w:val="-99"/>
        </w:rPr>
      </w:r>
      <w:r>
        <w:rPr>
          <w:rFonts w:ascii="宋体" w:hAnsi="宋体" w:cs="宋体" w:eastAsia="宋体" w:hint="default"/>
          <w:spacing w:val="-2"/>
        </w:rPr>
        <w:t>1</w:t>
      </w:r>
      <w:r>
        <w:rPr>
          <w:spacing w:val="-2"/>
        </w:rPr>
        <w:t>）以公允价值计量且其变动计入当期损益的金融负债</w:t>
      </w:r>
    </w:p>
    <w:p>
      <w:pPr>
        <w:pStyle w:val="BodyText"/>
        <w:spacing w:line="312" w:lineRule="auto"/>
        <w:ind w:right="1124" w:firstLine="422"/>
        <w:jc w:val="both"/>
      </w:pPr>
      <w:r>
        <w:rPr>
          <w:spacing w:val="-2"/>
        </w:rPr>
        <w:t>此类金融负债包括交易性金融负债（含属于金融负债的衍生工具）和指定为以公允价值计量且其变动</w:t>
      </w:r>
      <w:r>
        <w:rPr>
          <w:w w:val="100"/>
        </w:rPr>
        <w:t> </w:t>
      </w:r>
      <w:r>
        <w:rPr>
          <w:spacing w:val="-2"/>
        </w:rPr>
        <w:t>计入当期损益的金融负债。对于此类金融负债以公允价值进行后续计量。因公司自身信用风险变动引起的</w:t>
      </w:r>
      <w:r>
        <w:rPr>
          <w:spacing w:val="-33"/>
        </w:rPr>
        <w:t> </w:t>
      </w:r>
      <w:r>
        <w:rPr>
          <w:spacing w:val="-33"/>
        </w:rPr>
      </w:r>
      <w:r>
        <w:rPr>
          <w:spacing w:val="-2"/>
        </w:rPr>
        <w:t>指定为以公允价值计量且其变动计入当期损益的金融负债的公允价值变动金额计入其他综合收益，除非该</w:t>
      </w:r>
      <w:r>
        <w:rPr>
          <w:spacing w:val="-33"/>
        </w:rPr>
        <w:t> </w:t>
      </w:r>
      <w:r>
        <w:rPr>
          <w:spacing w:val="-33"/>
        </w:rPr>
      </w:r>
      <w:r>
        <w:rPr>
          <w:spacing w:val="-2"/>
        </w:rPr>
        <w:t>处理会造成或扩大损益中的会计错配。此类金融负债产生的其他利得或损失（包括利息费用、除因公司自</w:t>
      </w:r>
      <w:r>
        <w:rPr>
          <w:spacing w:val="-33"/>
        </w:rPr>
        <w:t> </w:t>
      </w:r>
      <w:r>
        <w:rPr>
          <w:spacing w:val="-33"/>
        </w:rPr>
      </w:r>
      <w:r>
        <w:rPr>
          <w:spacing w:val="-2"/>
        </w:rPr>
        <w:t>身信用风险变动引起的公允价值变动）计入当期损益，除非该金融负债属于套期关系的一部分。终止确认</w:t>
      </w:r>
      <w:r>
        <w:rPr>
          <w:spacing w:val="-33"/>
        </w:rPr>
        <w:t> </w:t>
      </w:r>
      <w:r>
        <w:rPr>
          <w:spacing w:val="-33"/>
        </w:rPr>
      </w:r>
      <w:r>
        <w:rPr/>
        <w:t>时，将之前计入其他综合收益的累计利得或损失从其他综合收益中转出，计入留存收益。</w:t>
      </w:r>
    </w:p>
    <w:p>
      <w:pPr>
        <w:pStyle w:val="BodyText"/>
        <w:spacing w:line="314" w:lineRule="auto" w:before="22"/>
        <w:ind w:left="575" w:right="2115"/>
        <w:jc w:val="left"/>
      </w:pPr>
      <w:r>
        <w:rPr>
          <w:rFonts w:ascii="宋体" w:hAnsi="宋体" w:cs="宋体" w:eastAsia="宋体" w:hint="default"/>
          <w:spacing w:val="-2"/>
        </w:rPr>
        <w:t>2</w:t>
      </w:r>
      <w:r>
        <w:rPr>
          <w:spacing w:val="-2"/>
        </w:rPr>
        <w:t>）金融资产转移不符合终止确认条件或继续涉入被转移金融资产所形成的金融负债</w:t>
      </w:r>
      <w:r>
        <w:rPr>
          <w:spacing w:val="-33"/>
        </w:rPr>
        <w:t> </w:t>
      </w:r>
      <w:r>
        <w:rPr>
          <w:spacing w:val="-33"/>
        </w:rPr>
      </w:r>
      <w:r>
        <w:rPr/>
        <w:t>按照《企业会计准则第 </w:t>
      </w:r>
      <w:r>
        <w:rPr>
          <w:rFonts w:ascii="宋体" w:hAnsi="宋体" w:cs="宋体" w:eastAsia="宋体" w:hint="default"/>
        </w:rPr>
        <w:t>23</w:t>
      </w:r>
      <w:r>
        <w:rPr>
          <w:rFonts w:ascii="宋体" w:hAnsi="宋体" w:cs="宋体" w:eastAsia="宋体" w:hint="default"/>
          <w:spacing w:val="2"/>
        </w:rPr>
        <w:t> </w:t>
      </w:r>
      <w:r>
        <w:rPr/>
        <w:t>号——金融资产转移》相关规定进行计量。</w:t>
      </w:r>
    </w:p>
    <w:p>
      <w:pPr>
        <w:pStyle w:val="BodyText"/>
        <w:spacing w:line="312" w:lineRule="auto"/>
        <w:ind w:right="1118" w:firstLine="422"/>
        <w:jc w:val="both"/>
      </w:pPr>
      <w:r>
        <w:rPr>
          <w:rFonts w:ascii="宋体" w:hAnsi="宋体" w:cs="宋体" w:eastAsia="宋体" w:hint="default"/>
        </w:rPr>
        <w:t>3</w:t>
      </w:r>
      <w:r>
        <w:rPr/>
        <w:t>）不属于上述 </w:t>
      </w:r>
      <w:r>
        <w:rPr>
          <w:rFonts w:ascii="宋体" w:hAnsi="宋体" w:cs="宋体" w:eastAsia="宋体" w:hint="default"/>
        </w:rPr>
        <w:t>1</w:t>
      </w:r>
      <w:r>
        <w:rPr/>
        <w:t>）或</w:t>
      </w:r>
      <w:r>
        <w:rPr>
          <w:spacing w:val="-15"/>
        </w:rPr>
        <w:t> </w:t>
      </w:r>
      <w:r>
        <w:rPr>
          <w:rFonts w:ascii="宋体" w:hAnsi="宋体" w:cs="宋体" w:eastAsia="宋体" w:hint="default"/>
        </w:rPr>
        <w:t>2</w:t>
      </w:r>
      <w:r>
        <w:rPr/>
        <w:t>）的财务担保合同，以及不属于上述</w:t>
      </w:r>
      <w:r>
        <w:rPr>
          <w:rFonts w:ascii="宋体" w:hAnsi="宋体" w:cs="宋体" w:eastAsia="宋体" w:hint="default"/>
        </w:rPr>
        <w:t>1</w:t>
      </w:r>
      <w:r>
        <w:rPr/>
        <w:t>）并以低于市场利率贷款的贷款承诺在</w:t>
      </w:r>
      <w:r>
        <w:rPr>
          <w:w w:val="100"/>
        </w:rPr>
        <w:t> </w:t>
      </w:r>
      <w:r>
        <w:rPr/>
        <w:t>初始确认后按照下列两项金额之中的较高者进行后续计量：①</w:t>
      </w:r>
      <w:r>
        <w:rPr>
          <w:spacing w:val="62"/>
        </w:rPr>
        <w:t> </w:t>
      </w:r>
      <w:r>
        <w:rPr/>
        <w:t>按照金融工具的减值规定确定的损失准备</w:t>
      </w:r>
      <w:r>
        <w:rPr>
          <w:spacing w:val="-91"/>
        </w:rPr>
        <w:t> </w:t>
      </w:r>
      <w:r>
        <w:rPr>
          <w:spacing w:val="-91"/>
        </w:rPr>
      </w:r>
      <w:r>
        <w:rPr/>
        <w:t>金额；②</w:t>
      </w:r>
      <w:r>
        <w:rPr>
          <w:spacing w:val="-1"/>
        </w:rPr>
        <w:t> </w:t>
      </w:r>
      <w:r>
        <w:rPr/>
        <w:t>初始确认金额扣除按照相关规定所确定的累计摊销额后的余额。</w:t>
      </w:r>
    </w:p>
    <w:p>
      <w:pPr>
        <w:pStyle w:val="BodyText"/>
        <w:spacing w:line="314" w:lineRule="auto" w:before="22"/>
        <w:ind w:left="575" w:right="0"/>
        <w:jc w:val="left"/>
      </w:pPr>
      <w:r>
        <w:rPr>
          <w:rFonts w:ascii="宋体" w:hAnsi="宋体" w:cs="宋体" w:eastAsia="宋体" w:hint="default"/>
        </w:rPr>
        <w:t>4</w:t>
      </w:r>
      <w:r>
        <w:rPr/>
        <w:t>）以摊余成本计量的金融负债</w:t>
      </w:r>
      <w:r>
        <w:rPr>
          <w:spacing w:val="-99"/>
        </w:rPr>
        <w:t> </w:t>
      </w:r>
      <w:r>
        <w:rPr>
          <w:spacing w:val="-99"/>
        </w:rPr>
      </w:r>
      <w:r>
        <w:rPr>
          <w:spacing w:val="-2"/>
        </w:rPr>
        <w:t>采用实际利率法以摊余成本计量。以摊余成本计量且不属于任何套期关系的一部分的金融负债所产生</w:t>
      </w:r>
    </w:p>
    <w:p>
      <w:pPr>
        <w:pStyle w:val="BodyText"/>
        <w:spacing w:line="240" w:lineRule="auto" w:before="15"/>
        <w:ind w:right="0"/>
        <w:jc w:val="both"/>
      </w:pPr>
      <w:r>
        <w:rPr/>
        <w:t>的利得或损失，在终止确认、按照实际利率法摊销时计入当期损益。</w:t>
      </w:r>
    </w:p>
    <w:p>
      <w:pPr>
        <w:pStyle w:val="BodyText"/>
        <w:spacing w:line="314" w:lineRule="auto" w:before="85"/>
        <w:ind w:left="575" w:right="4340"/>
        <w:jc w:val="left"/>
      </w:pPr>
      <w:r>
        <w:rPr/>
        <w:t>（</w:t>
      </w:r>
      <w:r>
        <w:rPr>
          <w:rFonts w:ascii="宋体" w:hAnsi="宋体" w:cs="宋体" w:eastAsia="宋体" w:hint="default"/>
        </w:rPr>
        <w:t>4</w:t>
      </w:r>
      <w:r>
        <w:rPr/>
        <w:t>）金融资产和金融负债的终止确认</w:t>
      </w:r>
      <w:r>
        <w:rPr>
          <w:spacing w:val="-101"/>
        </w:rPr>
        <w:t> </w:t>
      </w:r>
      <w:r>
        <w:rPr>
          <w:spacing w:val="-101"/>
        </w:rPr>
      </w:r>
      <w:r>
        <w:rPr>
          <w:rFonts w:ascii="宋体" w:hAnsi="宋体" w:cs="宋体" w:eastAsia="宋体" w:hint="default"/>
          <w:spacing w:val="-2"/>
        </w:rPr>
        <w:t>1</w:t>
      </w:r>
      <w:r>
        <w:rPr>
          <w:spacing w:val="-2"/>
        </w:rPr>
        <w:t>）当满足下列条件之一时，终止确认金融资产：</w:t>
      </w:r>
    </w:p>
    <w:p>
      <w:pPr>
        <w:pStyle w:val="BodyText"/>
        <w:spacing w:line="240" w:lineRule="auto"/>
        <w:ind w:left="575" w:right="0"/>
        <w:jc w:val="left"/>
      </w:pPr>
      <w:r>
        <w:rPr/>
        <w:t>①收取金融资产现金流量的合同权利已终止；</w:t>
      </w:r>
    </w:p>
    <w:p>
      <w:pPr>
        <w:pStyle w:val="BodyText"/>
        <w:spacing w:line="240" w:lineRule="auto" w:before="80"/>
        <w:ind w:left="575" w:right="0"/>
        <w:jc w:val="left"/>
      </w:pPr>
      <w:r>
        <w:rPr/>
        <w:t>②金融资产已转移，且该转移满足《企业会计准则第 </w:t>
      </w:r>
      <w:r>
        <w:rPr>
          <w:rFonts w:ascii="宋体" w:hAnsi="宋体" w:cs="宋体" w:eastAsia="宋体" w:hint="default"/>
        </w:rPr>
        <w:t>23</w:t>
      </w:r>
      <w:r>
        <w:rPr>
          <w:rFonts w:ascii="宋体" w:hAnsi="宋体" w:cs="宋体" w:eastAsia="宋体" w:hint="default"/>
          <w:spacing w:val="-22"/>
        </w:rPr>
        <w:t> </w:t>
      </w:r>
      <w:r>
        <w:rPr/>
        <w:t>号——金融资产转移》关于金融资产终止确</w:t>
      </w:r>
    </w:p>
    <w:p>
      <w:pPr>
        <w:spacing w:after="0" w:line="240" w:lineRule="auto"/>
        <w:jc w:val="left"/>
        <w:sectPr>
          <w:pgSz w:w="11910" w:h="16840"/>
          <w:pgMar w:header="460" w:footer="979" w:top="1060" w:bottom="1160" w:left="980" w:right="0"/>
        </w:sectPr>
      </w:pPr>
    </w:p>
    <w:p>
      <w:pPr>
        <w:spacing w:line="240" w:lineRule="auto" w:before="11"/>
        <w:rPr>
          <w:rFonts w:ascii="宋体" w:hAnsi="宋体" w:cs="宋体" w:eastAsia="宋体" w:hint="default"/>
          <w:sz w:val="25"/>
          <w:szCs w:val="25"/>
        </w:rPr>
      </w:pPr>
    </w:p>
    <w:p>
      <w:pPr>
        <w:pStyle w:val="BodyText"/>
        <w:spacing w:line="240" w:lineRule="auto" w:before="36"/>
        <w:ind w:right="0"/>
        <w:jc w:val="left"/>
      </w:pPr>
      <w:r>
        <w:rPr/>
        <w:t>认的规定。</w:t>
      </w:r>
    </w:p>
    <w:p>
      <w:pPr>
        <w:pStyle w:val="BodyText"/>
        <w:spacing w:line="309" w:lineRule="auto" w:before="85"/>
        <w:ind w:right="1135" w:firstLine="422"/>
        <w:jc w:val="both"/>
      </w:pPr>
      <w:r>
        <w:rPr>
          <w:rFonts w:ascii="宋体" w:hAnsi="宋体" w:cs="宋体" w:eastAsia="宋体" w:hint="default"/>
        </w:rPr>
        <w:t>2</w:t>
      </w:r>
      <w:r>
        <w:rPr/>
        <w:t>）当金融负债（或其一部分）的现时义务已经解除时，相应终止确认该金融负债（或该部分金融负</w:t>
      </w:r>
      <w:r>
        <w:rPr>
          <w:w w:val="100"/>
        </w:rPr>
        <w:t> </w:t>
      </w:r>
      <w:r>
        <w:rPr/>
        <w:t>债）。</w:t>
      </w:r>
    </w:p>
    <w:p>
      <w:pPr>
        <w:pStyle w:val="BodyText"/>
        <w:spacing w:line="314" w:lineRule="auto" w:before="25"/>
        <w:ind w:left="575" w:right="0"/>
        <w:jc w:val="left"/>
      </w:pPr>
      <w:r>
        <w:rPr>
          <w:rFonts w:ascii="宋体" w:hAnsi="宋体" w:cs="宋体" w:eastAsia="宋体" w:hint="default"/>
        </w:rPr>
        <w:t>3.</w:t>
      </w:r>
      <w:r>
        <w:rPr/>
        <w:t>金融资产转移的确认依据和计量方法</w:t>
      </w:r>
      <w:r>
        <w:rPr>
          <w:spacing w:val="-100"/>
        </w:rPr>
        <w:t> </w:t>
      </w:r>
      <w:r>
        <w:rPr>
          <w:spacing w:val="-100"/>
        </w:rPr>
      </w:r>
      <w:r>
        <w:rPr>
          <w:spacing w:val="-2"/>
        </w:rPr>
        <w:t>公司转移了金融资产所有权上几乎所有的风险和报酬的，终止确认该金融资产，并将转移中产生或保</w:t>
      </w:r>
    </w:p>
    <w:p>
      <w:pPr>
        <w:pStyle w:val="BodyText"/>
        <w:spacing w:line="314" w:lineRule="auto"/>
        <w:ind w:right="1125"/>
        <w:jc w:val="both"/>
      </w:pPr>
      <w:r>
        <w:rPr>
          <w:spacing w:val="-2"/>
        </w:rPr>
        <w:t>留的权利和义务单独确认为资产或负债；保留了金融资产所有权上几乎所有的风险和报酬的，继续确认所</w:t>
      </w:r>
      <w:r>
        <w:rPr>
          <w:spacing w:val="-33"/>
        </w:rPr>
        <w:t> </w:t>
      </w:r>
      <w:r>
        <w:rPr>
          <w:spacing w:val="-33"/>
        </w:rPr>
      </w:r>
      <w:r>
        <w:rPr>
          <w:spacing w:val="-2"/>
        </w:rPr>
        <w:t>转移的金融资产。公司既没有转移也没有保留金融资产所有权上几乎所有的风险和报酬的，分别下列情况</w:t>
      </w:r>
      <w:r>
        <w:rPr>
          <w:spacing w:val="-33"/>
        </w:rPr>
        <w:t> </w:t>
      </w:r>
      <w:r>
        <w:rPr>
          <w:spacing w:val="-33"/>
        </w:rPr>
      </w:r>
      <w:r>
        <w:rPr/>
        <w:t>处理：（</w:t>
      </w:r>
      <w:r>
        <w:rPr>
          <w:rFonts w:ascii="宋体" w:hAnsi="宋体" w:cs="宋体" w:eastAsia="宋体" w:hint="default"/>
        </w:rPr>
        <w:t>1</w:t>
      </w:r>
      <w:r>
        <w:rPr/>
        <w:t>）未保留对该金融资产控制的，终止确认该金融资产，并将转移中产生或保留的权利和义务单</w:t>
      </w:r>
      <w:r>
        <w:rPr>
          <w:spacing w:val="-31"/>
        </w:rPr>
        <w:t> </w:t>
      </w:r>
      <w:r>
        <w:rPr>
          <w:spacing w:val="-31"/>
        </w:rPr>
      </w:r>
      <w:r>
        <w:rPr/>
        <w:t>独确认为资产或负债；（</w:t>
      </w:r>
      <w:r>
        <w:rPr>
          <w:rFonts w:ascii="宋体" w:hAnsi="宋体" w:cs="宋体" w:eastAsia="宋体" w:hint="default"/>
        </w:rPr>
        <w:t>2</w:t>
      </w:r>
      <w:r>
        <w:rPr/>
        <w:t>）保留了对该金融资产控制的，按照继续涉入所转移金融资产的程度确认有关</w:t>
      </w:r>
      <w:r>
        <w:rPr>
          <w:spacing w:val="-30"/>
        </w:rPr>
        <w:t> </w:t>
      </w:r>
      <w:r>
        <w:rPr>
          <w:spacing w:val="-30"/>
        </w:rPr>
      </w:r>
      <w:r>
        <w:rPr/>
        <w:t>金融资产，并相应确认有关负债。</w:t>
      </w:r>
    </w:p>
    <w:p>
      <w:pPr>
        <w:pStyle w:val="BodyText"/>
        <w:spacing w:line="314" w:lineRule="auto" w:before="15"/>
        <w:ind w:right="1123" w:firstLine="422"/>
        <w:jc w:val="both"/>
      </w:pPr>
      <w:r>
        <w:rPr/>
        <w:t>金融资产整体转移满足终止确认条件的，将下列两项金额的差额计入当期损益：（</w:t>
      </w:r>
      <w:r>
        <w:rPr>
          <w:rFonts w:ascii="宋体" w:hAnsi="宋体" w:cs="宋体" w:eastAsia="宋体" w:hint="default"/>
        </w:rPr>
        <w:t>1</w:t>
      </w:r>
      <w:r>
        <w:rPr/>
        <w:t>）所转移金融资</w:t>
      </w:r>
      <w:r>
        <w:rPr>
          <w:w w:val="100"/>
        </w:rPr>
        <w:t> </w:t>
      </w:r>
      <w:r>
        <w:rPr/>
        <w:t>产在终止确认日的账面价值；（</w:t>
      </w:r>
      <w:r>
        <w:rPr>
          <w:rFonts w:ascii="宋体" w:hAnsi="宋体" w:cs="宋体" w:eastAsia="宋体" w:hint="default"/>
        </w:rPr>
        <w:t>2</w:t>
      </w:r>
      <w:r>
        <w:rPr/>
        <w:t>）因转移金融资产而收到的对价，与原直接计入其他综合收益的公允价</w:t>
      </w:r>
      <w:r>
        <w:rPr>
          <w:spacing w:val="-30"/>
        </w:rPr>
        <w:t> </w:t>
      </w:r>
      <w:r>
        <w:rPr>
          <w:spacing w:val="-30"/>
        </w:rPr>
      </w:r>
      <w:r>
        <w:rPr>
          <w:spacing w:val="-2"/>
        </w:rPr>
        <w:t>值变动累计额中对应终止确认部分的金额（涉及转移的金融资产为以公允价值计量且其变动计入其他综合</w:t>
      </w:r>
      <w:r>
        <w:rPr>
          <w:spacing w:val="-33"/>
        </w:rPr>
        <w:t> </w:t>
      </w:r>
      <w:r>
        <w:rPr>
          <w:spacing w:val="-33"/>
        </w:rPr>
      </w:r>
      <w:r>
        <w:rPr>
          <w:spacing w:val="-2"/>
        </w:rPr>
        <w:t>收益的债务工具投资）之和。转移了金融资产的一部分，且该被转移部分整体满足终止确认条件的，将转</w:t>
      </w:r>
      <w:r>
        <w:rPr>
          <w:spacing w:val="-33"/>
        </w:rPr>
        <w:t> </w:t>
      </w:r>
      <w:r>
        <w:rPr>
          <w:spacing w:val="-33"/>
        </w:rPr>
      </w:r>
      <w:r>
        <w:rPr>
          <w:spacing w:val="-2"/>
        </w:rPr>
        <w:t>移前金融资产整体的账面价值，在终止确认部分和继续确认部分之间，按照转移日各自的相对公允价值进</w:t>
      </w:r>
      <w:r>
        <w:rPr>
          <w:spacing w:val="-33"/>
        </w:rPr>
        <w:t> </w:t>
      </w:r>
      <w:r>
        <w:rPr>
          <w:spacing w:val="-33"/>
        </w:rPr>
      </w:r>
      <w:r>
        <w:rPr>
          <w:spacing w:val="-2"/>
        </w:rPr>
        <w:t>行分摊，并将下列两项金额的差额计入当期损益：（</w:t>
      </w:r>
      <w:r>
        <w:rPr>
          <w:rFonts w:ascii="宋体" w:hAnsi="宋体" w:cs="宋体" w:eastAsia="宋体" w:hint="default"/>
          <w:spacing w:val="-2"/>
        </w:rPr>
        <w:t>1</w:t>
      </w:r>
      <w:r>
        <w:rPr>
          <w:spacing w:val="-2"/>
        </w:rPr>
        <w:t>）终止确认部分的账面价值；（</w:t>
      </w:r>
      <w:r>
        <w:rPr>
          <w:rFonts w:ascii="宋体" w:hAnsi="宋体" w:cs="宋体" w:eastAsia="宋体" w:hint="default"/>
          <w:spacing w:val="-2"/>
        </w:rPr>
        <w:t>2</w:t>
      </w:r>
      <w:r>
        <w:rPr>
          <w:spacing w:val="-2"/>
        </w:rPr>
        <w:t>）终止确认部分的</w:t>
      </w:r>
      <w:r>
        <w:rPr>
          <w:spacing w:val="-33"/>
        </w:rPr>
        <w:t> </w:t>
      </w:r>
      <w:r>
        <w:rPr>
          <w:spacing w:val="-33"/>
        </w:rPr>
      </w:r>
      <w:r>
        <w:rPr>
          <w:spacing w:val="-2"/>
        </w:rPr>
        <w:t>对价，与原直接计入其他综合收益的公允价值变动累计额中对应终止确认部分的金额（涉及转移的金融资</w:t>
      </w:r>
      <w:r>
        <w:rPr>
          <w:spacing w:val="-31"/>
        </w:rPr>
        <w:t> </w:t>
      </w:r>
      <w:r>
        <w:rPr>
          <w:spacing w:val="-31"/>
        </w:rPr>
      </w:r>
      <w:r>
        <w:rPr/>
        <w:t>产为以公允价值计量且其变动计入其他综合收益的债务工具投资）之和。</w:t>
      </w:r>
    </w:p>
    <w:p>
      <w:pPr>
        <w:pStyle w:val="BodyText"/>
        <w:spacing w:line="314" w:lineRule="auto" w:before="15"/>
        <w:ind w:left="575" w:right="0"/>
        <w:jc w:val="left"/>
      </w:pPr>
      <w:r>
        <w:rPr>
          <w:rFonts w:ascii="宋体" w:hAnsi="宋体" w:cs="宋体" w:eastAsia="宋体" w:hint="default"/>
        </w:rPr>
        <w:t>4.</w:t>
      </w:r>
      <w:r>
        <w:rPr/>
        <w:t>金融资产和金融负债的公允价值确定方法</w:t>
      </w:r>
      <w:r>
        <w:rPr>
          <w:spacing w:val="-103"/>
        </w:rPr>
        <w:t> </w:t>
      </w:r>
      <w:r>
        <w:rPr>
          <w:spacing w:val="-103"/>
        </w:rPr>
      </w:r>
      <w:r>
        <w:rPr>
          <w:spacing w:val="2"/>
        </w:rPr>
        <w:t>公司采用在当前情况下适用并且有足够可利用数据和其他信息支持的估值技术确定相关金融资产和</w:t>
      </w:r>
    </w:p>
    <w:p>
      <w:pPr>
        <w:pStyle w:val="BodyText"/>
        <w:spacing w:line="240" w:lineRule="auto"/>
        <w:ind w:right="0"/>
        <w:jc w:val="left"/>
      </w:pPr>
      <w:r>
        <w:rPr/>
        <w:t>金融负债的公允价值。公司将估值技术使用的输入值分以下层级，并依次使用：</w:t>
      </w:r>
    </w:p>
    <w:p>
      <w:pPr>
        <w:pStyle w:val="BodyText"/>
        <w:spacing w:line="240" w:lineRule="auto" w:before="85"/>
        <w:ind w:left="575" w:right="0"/>
        <w:jc w:val="left"/>
      </w:pPr>
      <w:r>
        <w:rPr/>
        <w:t>（</w:t>
      </w:r>
      <w:r>
        <w:rPr>
          <w:rFonts w:ascii="宋体" w:hAnsi="宋体" w:cs="宋体" w:eastAsia="宋体" w:hint="default"/>
        </w:rPr>
        <w:t>1</w:t>
      </w:r>
      <w:r>
        <w:rPr/>
        <w:t>）第一层次输入值是在计量日能够取得的相同资产或负债在活跃市场上未经调整的报价；</w:t>
      </w:r>
    </w:p>
    <w:p>
      <w:pPr>
        <w:pStyle w:val="BodyText"/>
        <w:spacing w:line="314" w:lineRule="auto" w:before="80"/>
        <w:ind w:left="575" w:right="0"/>
        <w:jc w:val="left"/>
      </w:pPr>
      <w:r>
        <w:rPr/>
        <w:t>（</w:t>
      </w:r>
      <w:r>
        <w:rPr>
          <w:rFonts w:ascii="宋体" w:hAnsi="宋体" w:cs="宋体" w:eastAsia="宋体" w:hint="default"/>
        </w:rPr>
        <w:t>2</w:t>
      </w:r>
      <w:r>
        <w:rPr/>
        <w:t>）第二层次输入值是除第一层次输入值外相关资产或负债直接或间接可观察的输入值，包括：</w:t>
      </w:r>
      <w:r>
        <w:rPr>
          <w:w w:val="100"/>
        </w:rPr>
        <w:t> </w:t>
      </w:r>
      <w:r>
        <w:rPr>
          <w:spacing w:val="-2"/>
        </w:rPr>
        <w:t>活跃市场中类似资产或负债的报价；非活跃市场中相同或类似资产或负债的报价；除报价以外的其他</w:t>
      </w:r>
    </w:p>
    <w:p>
      <w:pPr>
        <w:pStyle w:val="BodyText"/>
        <w:spacing w:line="240" w:lineRule="auto"/>
        <w:ind w:right="0"/>
        <w:jc w:val="left"/>
      </w:pPr>
      <w:r>
        <w:rPr/>
        <w:t>可观察输入值，如在正常报价间隔期间可观察的利率和收益率曲线等；市场验证的输入值等；</w:t>
      </w:r>
    </w:p>
    <w:p>
      <w:pPr>
        <w:pStyle w:val="BodyText"/>
        <w:spacing w:line="312" w:lineRule="auto" w:before="85"/>
        <w:ind w:right="1125" w:firstLine="422"/>
        <w:jc w:val="both"/>
      </w:pPr>
      <w:r>
        <w:rPr/>
        <w:t>（</w:t>
      </w:r>
      <w:r>
        <w:rPr>
          <w:rFonts w:ascii="宋体" w:hAnsi="宋体" w:cs="宋体" w:eastAsia="宋体" w:hint="default"/>
        </w:rPr>
        <w:t>3</w:t>
      </w:r>
      <w:r>
        <w:rPr/>
        <w:t>）第三层次输入值是相关资产或负债的不可观察输入值，包括不能直接观察或无法由可观察市场</w:t>
      </w:r>
      <w:r>
        <w:rPr>
          <w:w w:val="100"/>
        </w:rPr>
        <w:t> </w:t>
      </w:r>
      <w:r>
        <w:rPr>
          <w:spacing w:val="-2"/>
        </w:rPr>
        <w:t>数据验证的利率、股票波动率、企业合并中承担的弃置义务的未来现金流量、使用自身数据作出的财务预</w:t>
      </w:r>
      <w:r>
        <w:rPr>
          <w:spacing w:val="-33"/>
        </w:rPr>
        <w:t> </w:t>
      </w:r>
      <w:r>
        <w:rPr>
          <w:spacing w:val="-33"/>
        </w:rPr>
      </w:r>
      <w:r>
        <w:rPr/>
        <w:t>测等。</w:t>
      </w:r>
    </w:p>
    <w:p>
      <w:pPr>
        <w:pStyle w:val="BodyText"/>
        <w:spacing w:line="240" w:lineRule="auto" w:before="22"/>
        <w:ind w:left="575" w:right="0"/>
        <w:jc w:val="left"/>
      </w:pPr>
      <w:r>
        <w:rPr>
          <w:rFonts w:ascii="宋体" w:hAnsi="宋体" w:cs="宋体" w:eastAsia="宋体" w:hint="default"/>
        </w:rPr>
        <w:t>5.</w:t>
      </w:r>
      <w:r>
        <w:rPr/>
        <w:t>金融工具减值</w:t>
      </w:r>
    </w:p>
    <w:p>
      <w:pPr>
        <w:pStyle w:val="BodyText"/>
        <w:spacing w:line="309" w:lineRule="auto" w:before="85"/>
        <w:ind w:left="575" w:right="0"/>
        <w:jc w:val="left"/>
      </w:pPr>
      <w:r>
        <w:rPr/>
        <w:t>（</w:t>
      </w:r>
      <w:r>
        <w:rPr>
          <w:rFonts w:ascii="宋体" w:hAnsi="宋体" w:cs="宋体" w:eastAsia="宋体" w:hint="default"/>
        </w:rPr>
        <w:t>1</w:t>
      </w:r>
      <w:r>
        <w:rPr/>
        <w:t>）金融工具减值计量和会计处理</w:t>
      </w:r>
      <w:r>
        <w:rPr>
          <w:spacing w:val="-102"/>
        </w:rPr>
        <w:t> </w:t>
      </w:r>
      <w:r>
        <w:rPr>
          <w:spacing w:val="-102"/>
        </w:rPr>
      </w:r>
      <w:r>
        <w:rPr>
          <w:spacing w:val="-2"/>
        </w:rPr>
        <w:t>本公司对于以摊余成本计量的金融资产、以公允价值计量且其变动计入其他综合收益的债权投资、合</w:t>
      </w:r>
    </w:p>
    <w:p>
      <w:pPr>
        <w:pStyle w:val="BodyText"/>
        <w:spacing w:line="314" w:lineRule="auto" w:before="24"/>
        <w:ind w:left="575" w:right="1004" w:hanging="423"/>
        <w:jc w:val="left"/>
      </w:pPr>
      <w:r>
        <w:rPr/>
        <w:t>同资产、租赁应收 款、贷款承诺及财务担保合同等，以预期信用损失为基础确认损失准备。</w:t>
      </w:r>
      <w:r>
        <w:rPr>
          <w:w w:val="100"/>
        </w:rPr>
        <w:t> </w:t>
      </w:r>
      <w:r>
        <w:rPr>
          <w:rFonts w:ascii="宋体" w:hAnsi="宋体" w:cs="宋体" w:eastAsia="宋体" w:hint="default"/>
        </w:rPr>
        <w:t>1</w:t>
      </w:r>
      <w:r>
        <w:rPr/>
        <w:t>）预期信用损失的计量</w:t>
      </w:r>
      <w:r>
        <w:rPr>
          <w:w w:val="100"/>
        </w:rPr>
        <w:t> </w:t>
      </w:r>
      <w:r>
        <w:rPr>
          <w:spacing w:val="-2"/>
        </w:rPr>
        <w:t>本公司考虑有关过去事项、当前状况以及对未来经济状况的预测等合理且有依据的信息，以发生违约</w:t>
      </w:r>
    </w:p>
    <w:p>
      <w:pPr>
        <w:pStyle w:val="BodyText"/>
        <w:spacing w:line="314" w:lineRule="auto" w:before="15"/>
        <w:ind w:right="1125"/>
        <w:jc w:val="both"/>
      </w:pPr>
      <w:r>
        <w:rPr>
          <w:spacing w:val="-2"/>
        </w:rPr>
        <w:t>的风险为权重，计算合同应收的现金流量与预期能收到的现金流量之间差额的现值的概率加权金额，确认</w:t>
      </w:r>
      <w:r>
        <w:rPr>
          <w:spacing w:val="-33"/>
        </w:rPr>
        <w:t> </w:t>
      </w:r>
      <w:r>
        <w:rPr>
          <w:spacing w:val="-33"/>
        </w:rPr>
      </w:r>
      <w:r>
        <w:rPr/>
        <w:t>预期信用损失。</w:t>
      </w:r>
    </w:p>
    <w:p>
      <w:pPr>
        <w:pStyle w:val="BodyText"/>
        <w:spacing w:line="312" w:lineRule="auto"/>
        <w:ind w:right="1125" w:firstLine="422"/>
        <w:jc w:val="both"/>
      </w:pPr>
      <w:r>
        <w:rPr>
          <w:spacing w:val="-2"/>
        </w:rPr>
        <w:t>在每个资产负债表日，本公司对于处于不同阶段的金融工具的预期信用损失分别进行计量。金融工具</w:t>
      </w:r>
      <w:r>
        <w:rPr>
          <w:w w:val="100"/>
        </w:rPr>
        <w:t> </w:t>
      </w:r>
      <w:r>
        <w:rPr/>
        <w:t>自初始确认后信用风险未显著增加的，处于第一阶段，本公司按照未来</w:t>
      </w:r>
      <w:r>
        <w:rPr>
          <w:rFonts w:ascii="宋体" w:hAnsi="宋体" w:cs="宋体" w:eastAsia="宋体" w:hint="default"/>
        </w:rPr>
        <w:t>12</w:t>
      </w:r>
      <w:r>
        <w:rPr>
          <w:rFonts w:ascii="宋体" w:hAnsi="宋体" w:cs="宋体" w:eastAsia="宋体" w:hint="default"/>
          <w:spacing w:val="63"/>
        </w:rPr>
        <w:t> </w:t>
      </w:r>
      <w:r>
        <w:rPr/>
        <w:t>个月内的预期信用损失计量损</w:t>
      </w:r>
      <w:r>
        <w:rPr>
          <w:spacing w:val="-93"/>
        </w:rPr>
        <w:t> </w:t>
      </w:r>
      <w:r>
        <w:rPr>
          <w:spacing w:val="-93"/>
        </w:rPr>
      </w:r>
      <w:r>
        <w:rPr/>
        <w:t>失准备；金融工具自初始确认后信用</w:t>
      </w:r>
      <w:r>
        <w:rPr>
          <w:spacing w:val="75"/>
        </w:rPr>
        <w:t> </w:t>
      </w:r>
      <w:r>
        <w:rPr/>
        <w:t>风险已显著增加但尚未发生信用减值的，处于第二阶段，本公司按</w:t>
      </w:r>
    </w:p>
    <w:p>
      <w:pPr>
        <w:spacing w:after="0" w:line="312" w:lineRule="auto"/>
        <w:jc w:val="both"/>
        <w:sectPr>
          <w:pgSz w:w="11910" w:h="16840"/>
          <w:pgMar w:header="460" w:footer="979" w:top="1060" w:bottom="1160" w:left="980" w:right="0"/>
        </w:sectPr>
      </w:pPr>
    </w:p>
    <w:p>
      <w:pPr>
        <w:spacing w:line="240" w:lineRule="auto" w:before="11"/>
        <w:rPr>
          <w:rFonts w:ascii="宋体" w:hAnsi="宋体" w:cs="宋体" w:eastAsia="宋体" w:hint="default"/>
          <w:sz w:val="25"/>
          <w:szCs w:val="25"/>
        </w:rPr>
      </w:pPr>
    </w:p>
    <w:p>
      <w:pPr>
        <w:pStyle w:val="BodyText"/>
        <w:spacing w:line="314" w:lineRule="auto" w:before="36"/>
        <w:ind w:right="1125"/>
        <w:jc w:val="both"/>
      </w:pPr>
      <w:r>
        <w:rPr>
          <w:spacing w:val="-2"/>
        </w:rPr>
        <w:t>照该工具整个存续期的预期信用损失计量损失准备；金融工具自初始确认后已经发生信用减值的，处于第</w:t>
      </w:r>
      <w:r>
        <w:rPr>
          <w:spacing w:val="-33"/>
        </w:rPr>
        <w:t> </w:t>
      </w:r>
      <w:r>
        <w:rPr>
          <w:spacing w:val="-33"/>
        </w:rPr>
      </w:r>
      <w:r>
        <w:rPr/>
        <w:t>三阶段，本公司按照该工具整个存续期的预期信用损失计量损失准备。</w:t>
      </w:r>
    </w:p>
    <w:p>
      <w:pPr>
        <w:pStyle w:val="BodyText"/>
        <w:spacing w:line="314" w:lineRule="auto" w:before="15"/>
        <w:ind w:right="1121" w:firstLine="422"/>
        <w:jc w:val="both"/>
      </w:pPr>
      <w:r>
        <w:rPr>
          <w:spacing w:val="-2"/>
        </w:rPr>
        <w:t>对于在资产负债表日具有较低信用风险的金融工具，本公司假设其信用风险自初始确认后并未显著增</w:t>
      </w:r>
      <w:r>
        <w:rPr>
          <w:w w:val="100"/>
        </w:rPr>
        <w:t> </w:t>
      </w:r>
      <w:r>
        <w:rPr/>
        <w:t>加，按照未来</w:t>
      </w:r>
      <w:r>
        <w:rPr>
          <w:rFonts w:ascii="宋体" w:hAnsi="宋体" w:cs="宋体" w:eastAsia="宋体" w:hint="default"/>
        </w:rPr>
        <w:t>12</w:t>
      </w:r>
      <w:r>
        <w:rPr>
          <w:rFonts w:ascii="宋体" w:hAnsi="宋体" w:cs="宋体" w:eastAsia="宋体" w:hint="default"/>
          <w:spacing w:val="-2"/>
        </w:rPr>
        <w:t> </w:t>
      </w:r>
      <w:r>
        <w:rPr/>
        <w:t>个月内的预期信用损失计量损失准备。</w:t>
      </w:r>
    </w:p>
    <w:p>
      <w:pPr>
        <w:pStyle w:val="BodyText"/>
        <w:spacing w:line="312" w:lineRule="auto"/>
        <w:ind w:right="1123" w:firstLine="422"/>
        <w:jc w:val="both"/>
      </w:pPr>
      <w:r>
        <w:rPr>
          <w:spacing w:val="-2"/>
        </w:rPr>
        <w:t>本公司对于处于第一阶段和第二阶段、以及较低信用风险的金融工具，按照其未扣除减值准备的账面</w:t>
      </w:r>
      <w:r>
        <w:rPr>
          <w:w w:val="100"/>
        </w:rPr>
        <w:t> </w:t>
      </w:r>
      <w:r>
        <w:rPr>
          <w:spacing w:val="-2"/>
        </w:rPr>
        <w:t>余额和实际利率计算利息收入。对于处于第三阶段的金融工具，按照其账面余额减已计提减值准备后的摊</w:t>
      </w:r>
      <w:r>
        <w:rPr>
          <w:spacing w:val="-31"/>
        </w:rPr>
        <w:t> </w:t>
      </w:r>
      <w:r>
        <w:rPr>
          <w:spacing w:val="-31"/>
        </w:rPr>
      </w:r>
      <w:r>
        <w:rPr/>
        <w:t>余成本和实际利率计算利息收入。</w:t>
      </w:r>
    </w:p>
    <w:p>
      <w:pPr>
        <w:pStyle w:val="BodyText"/>
        <w:spacing w:line="314" w:lineRule="auto" w:before="22"/>
        <w:ind w:left="575" w:right="0"/>
        <w:jc w:val="left"/>
      </w:pPr>
      <w:r>
        <w:rPr/>
        <w:t>①信用风险显著增加</w:t>
      </w:r>
      <w:r>
        <w:rPr>
          <w:spacing w:val="-100"/>
        </w:rPr>
        <w:t> </w:t>
      </w:r>
      <w:r>
        <w:rPr>
          <w:spacing w:val="-100"/>
        </w:rPr>
      </w:r>
      <w:r>
        <w:rPr>
          <w:spacing w:val="2"/>
        </w:rPr>
        <w:t>本公司通过比较金融工具在资产负债表日所确定的预计存续期内的违约概率与在初始确认时所确定</w:t>
      </w:r>
    </w:p>
    <w:p>
      <w:pPr>
        <w:pStyle w:val="BodyText"/>
        <w:spacing w:line="312" w:lineRule="auto"/>
        <w:ind w:right="1125"/>
        <w:jc w:val="both"/>
      </w:pPr>
      <w:r>
        <w:rPr>
          <w:spacing w:val="-2"/>
        </w:rPr>
        <w:t>的预计存续期内的违约概率，以确定金融工具预计存续期内发生违约概率的相对变化，以评估金融工具的</w:t>
      </w:r>
      <w:r>
        <w:rPr>
          <w:spacing w:val="-33"/>
        </w:rPr>
        <w:t> </w:t>
      </w:r>
      <w:r>
        <w:rPr>
          <w:spacing w:val="-33"/>
        </w:rPr>
      </w:r>
      <w:r>
        <w:rPr>
          <w:spacing w:val="-2"/>
        </w:rPr>
        <w:t>信用风险自初始确认后是否已显著增加。在确定信用风险自初始确认后是否显著增加时，本公司考虑无须</w:t>
      </w:r>
      <w:r>
        <w:rPr>
          <w:spacing w:val="-33"/>
        </w:rPr>
        <w:t> </w:t>
      </w:r>
      <w:r>
        <w:rPr>
          <w:spacing w:val="-33"/>
        </w:rPr>
      </w:r>
      <w:r>
        <w:rPr/>
        <w:t>付出不必要的额外成本或努力即可获得的合理且有依</w:t>
      </w:r>
      <w:r>
        <w:rPr>
          <w:spacing w:val="66"/>
        </w:rPr>
        <w:t> </w:t>
      </w:r>
      <w:r>
        <w:rPr/>
        <w:t>据的信息，包括前瞻性信息。本公司考虑的信息包</w:t>
      </w:r>
      <w:r>
        <w:rPr>
          <w:spacing w:val="-95"/>
        </w:rPr>
        <w:t> </w:t>
      </w:r>
      <w:r>
        <w:rPr>
          <w:spacing w:val="-95"/>
        </w:rPr>
      </w:r>
      <w:r>
        <w:rPr/>
        <w:t>括：</w:t>
      </w:r>
    </w:p>
    <w:p>
      <w:pPr>
        <w:pStyle w:val="BodyText"/>
        <w:spacing w:line="312" w:lineRule="auto" w:before="22"/>
        <w:ind w:left="575" w:right="0"/>
        <w:jc w:val="left"/>
      </w:pPr>
      <w:r>
        <w:rPr>
          <w:rFonts w:ascii="宋体" w:hAnsi="宋体" w:cs="宋体" w:eastAsia="宋体" w:hint="default"/>
        </w:rPr>
        <w:t>a.</w:t>
      </w:r>
      <w:r>
        <w:rPr/>
        <w:t>信用风险变化所导致的内部价格指标是否发生显著变化；</w:t>
      </w:r>
      <w:r>
        <w:rPr>
          <w:w w:val="100"/>
        </w:rPr>
        <w:t> </w:t>
      </w:r>
      <w:r>
        <w:rPr>
          <w:rFonts w:ascii="宋体" w:hAnsi="宋体" w:cs="宋体" w:eastAsia="宋体" w:hint="default"/>
        </w:rPr>
        <w:t>b.</w:t>
      </w:r>
      <w:r>
        <w:rPr/>
        <w:t>预期将导致债务人履行其偿债义务的能力是否发生显著变化的业务、财务或经济状况的不利变化；</w:t>
      </w:r>
      <w:r>
        <w:rPr>
          <w:spacing w:val="-35"/>
        </w:rPr>
        <w:t> </w:t>
      </w:r>
      <w:r>
        <w:rPr>
          <w:spacing w:val="-35"/>
        </w:rPr>
      </w:r>
      <w:r>
        <w:rPr>
          <w:rFonts w:ascii="宋体" w:hAnsi="宋体" w:cs="宋体" w:eastAsia="宋体" w:hint="default"/>
          <w:spacing w:val="-2"/>
        </w:rPr>
        <w:t>c.</w:t>
      </w:r>
      <w:r>
        <w:rPr>
          <w:spacing w:val="-2"/>
        </w:rPr>
        <w:t>债务人经营成果实际或预期是否发生显著变化；债务人所处的监管、经济或技术环境是否发生显著</w:t>
      </w:r>
    </w:p>
    <w:p>
      <w:pPr>
        <w:pStyle w:val="BodyText"/>
        <w:spacing w:line="240" w:lineRule="auto" w:before="22"/>
        <w:ind w:right="0"/>
        <w:jc w:val="both"/>
      </w:pPr>
      <w:r>
        <w:rPr/>
        <w:t>不利变化；</w:t>
      </w:r>
    </w:p>
    <w:p>
      <w:pPr>
        <w:pStyle w:val="BodyText"/>
        <w:spacing w:line="312" w:lineRule="auto" w:before="85"/>
        <w:ind w:right="1126" w:firstLine="422"/>
        <w:jc w:val="both"/>
      </w:pPr>
      <w:r>
        <w:rPr>
          <w:rFonts w:ascii="宋体" w:hAnsi="宋体" w:cs="宋体" w:eastAsia="宋体" w:hint="default"/>
          <w:spacing w:val="-2"/>
        </w:rPr>
        <w:t>d.</w:t>
      </w:r>
      <w:r>
        <w:rPr>
          <w:spacing w:val="-2"/>
        </w:rPr>
        <w:t>作为债务抵押的担保物价值或第三方提供的担保或信用增级质量是否发生显著变化。这些变化预期</w:t>
      </w:r>
      <w:r>
        <w:rPr>
          <w:w w:val="100"/>
        </w:rPr>
        <w:t> </w:t>
      </w:r>
      <w:r>
        <w:rPr/>
        <w:t>将降低债务人按</w:t>
      </w:r>
      <w:r>
        <w:rPr>
          <w:spacing w:val="65"/>
        </w:rPr>
        <w:t> </w:t>
      </w:r>
      <w:r>
        <w:rPr/>
        <w:t>合同规定期限还款的经济动机或者影响违约概率；</w:t>
      </w:r>
      <w:r>
        <w:rPr>
          <w:rFonts w:ascii="宋体" w:hAnsi="宋体" w:cs="宋体" w:eastAsia="宋体" w:hint="default"/>
        </w:rPr>
        <w:t>e.</w:t>
      </w:r>
      <w:r>
        <w:rPr/>
        <w:t>预期将降低债务人按合同约定期限</w:t>
      </w:r>
      <w:r>
        <w:rPr>
          <w:spacing w:val="-94"/>
        </w:rPr>
        <w:t> </w:t>
      </w:r>
      <w:r>
        <w:rPr>
          <w:spacing w:val="-94"/>
        </w:rPr>
      </w:r>
      <w:r>
        <w:rPr/>
        <w:t>还款的经济动机是否发生显著变化；</w:t>
      </w:r>
    </w:p>
    <w:p>
      <w:pPr>
        <w:pStyle w:val="BodyText"/>
        <w:spacing w:line="314" w:lineRule="auto" w:before="22"/>
        <w:ind w:right="1125" w:firstLine="422"/>
        <w:jc w:val="both"/>
      </w:pPr>
      <w:r>
        <w:rPr>
          <w:rFonts w:ascii="宋体" w:hAnsi="宋体" w:cs="宋体" w:eastAsia="宋体" w:hint="default"/>
          <w:spacing w:val="-2"/>
        </w:rPr>
        <w:t>f.</w:t>
      </w:r>
      <w:r>
        <w:rPr>
          <w:spacing w:val="-2"/>
        </w:rPr>
        <w:t>借款合同的预期变更，包括预计违反合同的行为是否可能导致的合同义务的免除或修订、给予免息</w:t>
      </w:r>
      <w:r>
        <w:rPr>
          <w:w w:val="100"/>
        </w:rPr>
        <w:t> </w:t>
      </w:r>
      <w:r>
        <w:rPr/>
        <w:t>期、利率跳升、</w:t>
      </w:r>
      <w:r>
        <w:rPr>
          <w:spacing w:val="-1"/>
        </w:rPr>
        <w:t> </w:t>
      </w:r>
      <w:r>
        <w:rPr/>
        <w:t>要求追加抵押品或担保或者对金融工具的合同框架做出其他变更；</w:t>
      </w:r>
    </w:p>
    <w:p>
      <w:pPr>
        <w:pStyle w:val="BodyText"/>
        <w:spacing w:line="314" w:lineRule="auto" w:before="15"/>
        <w:ind w:left="575" w:right="0"/>
        <w:jc w:val="left"/>
      </w:pPr>
      <w:r>
        <w:rPr>
          <w:rFonts w:ascii="宋体" w:hAnsi="宋体" w:cs="宋体" w:eastAsia="宋体" w:hint="default"/>
        </w:rPr>
        <w:t>g.</w:t>
      </w:r>
      <w:r>
        <w:rPr/>
        <w:t>债务人预期表现和还款行为是否发生显著变化。</w:t>
      </w:r>
      <w:r>
        <w:rPr>
          <w:w w:val="100"/>
        </w:rPr>
        <w:t> </w:t>
      </w:r>
      <w:r>
        <w:rPr>
          <w:spacing w:val="-2"/>
        </w:rPr>
        <w:t>根据金融工具的性质，本公司以单项金融工具或金融工具组合为基础评估信用风险是否显著增加。以</w:t>
      </w:r>
    </w:p>
    <w:p>
      <w:pPr>
        <w:pStyle w:val="BodyText"/>
        <w:spacing w:line="314" w:lineRule="auto"/>
        <w:ind w:right="1125"/>
        <w:jc w:val="both"/>
      </w:pPr>
      <w:r>
        <w:rPr>
          <w:spacing w:val="-2"/>
        </w:rPr>
        <w:t>金融工具组合为基础进行评估时，本公司可基于共同信用风险特征对金融工具进行分类，例如逾期信息和</w:t>
      </w:r>
      <w:r>
        <w:rPr>
          <w:spacing w:val="-33"/>
        </w:rPr>
        <w:t> </w:t>
      </w:r>
      <w:r>
        <w:rPr>
          <w:spacing w:val="-33"/>
        </w:rPr>
      </w:r>
      <w:r>
        <w:rPr/>
        <w:t>信用风险评级。</w:t>
      </w:r>
    </w:p>
    <w:p>
      <w:pPr>
        <w:pStyle w:val="BodyText"/>
        <w:spacing w:line="314" w:lineRule="auto" w:before="16"/>
        <w:ind w:left="575" w:right="0"/>
        <w:jc w:val="left"/>
      </w:pPr>
      <w:r>
        <w:rPr/>
        <w:t>②已发生信用减值的金融资产</w:t>
      </w:r>
      <w:r>
        <w:rPr>
          <w:spacing w:val="-100"/>
        </w:rPr>
        <w:t> </w:t>
      </w:r>
      <w:r>
        <w:rPr>
          <w:spacing w:val="-100"/>
        </w:rPr>
      </w:r>
      <w:r>
        <w:rPr>
          <w:spacing w:val="2"/>
        </w:rPr>
        <w:t>本公司在资产负债表日评估以摊余成本计量的金融资产和以公允价值计量且其变动计入其他综合收</w:t>
      </w:r>
    </w:p>
    <w:p>
      <w:pPr>
        <w:pStyle w:val="BodyText"/>
        <w:spacing w:line="314" w:lineRule="auto"/>
        <w:ind w:right="1125"/>
        <w:jc w:val="both"/>
      </w:pPr>
      <w:r>
        <w:rPr>
          <w:spacing w:val="-2"/>
        </w:rPr>
        <w:t>益的债权投资是否已发生信用减值。当对金融资产预期未来现金流量具有不利影响的一项或多项事件发生</w:t>
      </w:r>
      <w:r>
        <w:rPr>
          <w:spacing w:val="-33"/>
        </w:rPr>
        <w:t> </w:t>
      </w:r>
      <w:r>
        <w:rPr>
          <w:spacing w:val="-33"/>
        </w:rPr>
      </w:r>
      <w:r>
        <w:rPr>
          <w:spacing w:val="-2"/>
        </w:rPr>
        <w:t>时，该金融资产成为已发生信用减值。金融资产已发生信用减值的证据包括下列可观察信息：发行方或债</w:t>
      </w:r>
      <w:r>
        <w:rPr>
          <w:spacing w:val="-34"/>
        </w:rPr>
        <w:t> </w:t>
      </w:r>
      <w:r>
        <w:rPr>
          <w:spacing w:val="-34"/>
        </w:rPr>
      </w:r>
      <w:r>
        <w:rPr>
          <w:spacing w:val="-2"/>
        </w:rPr>
        <w:t>务人发生重大财务困难；债务人违反合同，如偿付利息或本金违约或逾期等；债权人出于与债务人财务困</w:t>
      </w:r>
      <w:r>
        <w:rPr>
          <w:spacing w:val="-33"/>
        </w:rPr>
        <w:t> </w:t>
      </w:r>
      <w:r>
        <w:rPr>
          <w:spacing w:val="-33"/>
        </w:rPr>
      </w:r>
      <w:r>
        <w:rPr>
          <w:spacing w:val="-2"/>
        </w:rPr>
        <w:t>难有关的经济或合同考虑，给予债务人在任何其他情况下都不会做出的让步；债务人很可能破产或进行其</w:t>
      </w:r>
      <w:r>
        <w:rPr>
          <w:spacing w:val="-33"/>
        </w:rPr>
        <w:t> </w:t>
      </w:r>
      <w:r>
        <w:rPr>
          <w:spacing w:val="-33"/>
        </w:rPr>
      </w:r>
      <w:r>
        <w:rPr>
          <w:spacing w:val="-2"/>
        </w:rPr>
        <w:t>他财务重组；发行方或债务人财务困难导致该金融资产的活跃市场消失；以大幅折扣购买或源生一项金融</w:t>
      </w:r>
      <w:r>
        <w:rPr>
          <w:spacing w:val="-33"/>
        </w:rPr>
        <w:t> </w:t>
      </w:r>
      <w:r>
        <w:rPr>
          <w:spacing w:val="-33"/>
        </w:rPr>
      </w:r>
      <w:r>
        <w:rPr/>
        <w:t>资产，该折扣反映了发生信用损失的事实。</w:t>
      </w:r>
    </w:p>
    <w:p>
      <w:pPr>
        <w:pStyle w:val="BodyText"/>
        <w:spacing w:line="314" w:lineRule="auto" w:before="15"/>
        <w:ind w:left="575" w:right="0" w:firstLine="105"/>
        <w:jc w:val="left"/>
      </w:pPr>
      <w:r>
        <w:rPr/>
        <w:t>③预期信用损失准备的列报</w:t>
      </w:r>
      <w:r>
        <w:rPr>
          <w:w w:val="100"/>
        </w:rPr>
        <w:t> </w:t>
      </w:r>
      <w:r>
        <w:rPr>
          <w:spacing w:val="-2"/>
        </w:rPr>
        <w:t>为反映金融工具的信用风险自初始确认后的变化，本公司在每个资产负债表日重新计量预期信用损失，</w:t>
      </w:r>
    </w:p>
    <w:p>
      <w:pPr>
        <w:pStyle w:val="BodyText"/>
        <w:spacing w:line="312" w:lineRule="auto"/>
        <w:ind w:right="1125"/>
        <w:jc w:val="both"/>
      </w:pPr>
      <w:r>
        <w:rPr>
          <w:spacing w:val="-2"/>
        </w:rPr>
        <w:t>由此形成的损失准备的增加或转回金额，应当作为减值损失或利得计入当期损益。对于以摊余成本计量的</w:t>
      </w:r>
      <w:r>
        <w:rPr>
          <w:spacing w:val="-33"/>
        </w:rPr>
        <w:t> </w:t>
      </w:r>
      <w:r>
        <w:rPr>
          <w:spacing w:val="-33"/>
        </w:rPr>
      </w:r>
      <w:r>
        <w:rPr>
          <w:spacing w:val="-2"/>
        </w:rPr>
        <w:t>金融资产，损失准备抵减该金融资产在资产负债表中列示的账面价值；对于以公允价值计量且其变动计入</w:t>
      </w:r>
      <w:r>
        <w:rPr>
          <w:spacing w:val="-33"/>
        </w:rPr>
        <w:t> </w:t>
      </w:r>
      <w:r>
        <w:rPr>
          <w:spacing w:val="-33"/>
        </w:rPr>
      </w:r>
      <w:r>
        <w:rPr/>
        <w:t>其他综合收益的债权投资，本公司在其他综合收益中确认其损失准备，不抵减该金融资产的账面价值。</w:t>
      </w:r>
    </w:p>
    <w:p>
      <w:pPr>
        <w:spacing w:after="0" w:line="312" w:lineRule="auto"/>
        <w:jc w:val="both"/>
        <w:sectPr>
          <w:pgSz w:w="11910" w:h="16840"/>
          <w:pgMar w:header="460" w:footer="979" w:top="1060" w:bottom="1160" w:left="980" w:right="0"/>
        </w:sectPr>
      </w:pPr>
    </w:p>
    <w:p>
      <w:pPr>
        <w:spacing w:line="240" w:lineRule="auto" w:before="11"/>
        <w:rPr>
          <w:rFonts w:ascii="宋体" w:hAnsi="宋体" w:cs="宋体" w:eastAsia="宋体" w:hint="default"/>
          <w:sz w:val="25"/>
          <w:szCs w:val="25"/>
        </w:rPr>
      </w:pPr>
    </w:p>
    <w:p>
      <w:pPr>
        <w:pStyle w:val="BodyText"/>
        <w:spacing w:line="314" w:lineRule="auto" w:before="36"/>
        <w:ind w:left="575" w:right="1004" w:firstLine="105"/>
        <w:jc w:val="left"/>
      </w:pPr>
      <w:r>
        <w:rPr/>
        <w:t>④核销</w:t>
      </w:r>
      <w:r>
        <w:rPr>
          <w:w w:val="100"/>
        </w:rPr>
        <w:t> </w:t>
      </w:r>
      <w:r>
        <w:rPr>
          <w:spacing w:val="-2"/>
        </w:rPr>
        <w:t>如果本公司不再合理预期金融资产合同现金流量能够全部或部分收回，则直接减记该金融资产的账面</w:t>
      </w:r>
    </w:p>
    <w:p>
      <w:pPr>
        <w:pStyle w:val="BodyText"/>
        <w:spacing w:line="314" w:lineRule="auto" w:before="15"/>
        <w:ind w:right="1124"/>
        <w:jc w:val="both"/>
      </w:pPr>
      <w:r>
        <w:rPr>
          <w:spacing w:val="-2"/>
        </w:rPr>
        <w:t>余额，这种减记构成相关金融资产的终止确认。这种情况通常发生在本公司确定债务人没有资产或收入来</w:t>
      </w:r>
      <w:r>
        <w:rPr>
          <w:spacing w:val="-33"/>
        </w:rPr>
        <w:t> </w:t>
      </w:r>
      <w:r>
        <w:rPr>
          <w:spacing w:val="-33"/>
        </w:rPr>
      </w:r>
      <w:r>
        <w:rPr>
          <w:spacing w:val="-2"/>
        </w:rPr>
        <w:t>源可产生足够的现金流量以偿还将被减记的金额。已减记的金融资产以后又收回的，作为减值损失的转回</w:t>
      </w:r>
      <w:r>
        <w:rPr>
          <w:spacing w:val="-32"/>
        </w:rPr>
        <w:t> </w:t>
      </w:r>
      <w:r>
        <w:rPr>
          <w:spacing w:val="-32"/>
        </w:rPr>
      </w:r>
      <w:r>
        <w:rPr/>
        <w:t>计入收回当期的损益。</w:t>
      </w:r>
    </w:p>
    <w:p>
      <w:pPr>
        <w:pStyle w:val="BodyText"/>
        <w:spacing w:line="309" w:lineRule="auto"/>
        <w:ind w:left="575" w:right="0"/>
        <w:jc w:val="left"/>
      </w:pPr>
      <w:r>
        <w:rPr>
          <w:rFonts w:ascii="宋体" w:hAnsi="宋体" w:cs="宋体" w:eastAsia="宋体" w:hint="default"/>
        </w:rPr>
        <w:t>6.</w:t>
      </w:r>
      <w:r>
        <w:rPr/>
        <w:t>金融资产和金融负债的抵销</w:t>
      </w:r>
      <w:r>
        <w:rPr>
          <w:spacing w:val="-100"/>
        </w:rPr>
        <w:t> </w:t>
      </w:r>
      <w:r>
        <w:rPr>
          <w:spacing w:val="-100"/>
        </w:rPr>
      </w:r>
      <w:r>
        <w:rPr>
          <w:spacing w:val="-2"/>
        </w:rPr>
        <w:t>金融资产和金融负债在资产负债表内分别列示，不相互抵销。但同时满足下列条件的，公司以相互抵</w:t>
      </w:r>
    </w:p>
    <w:p>
      <w:pPr>
        <w:pStyle w:val="BodyText"/>
        <w:spacing w:line="314" w:lineRule="auto" w:before="24"/>
        <w:ind w:right="1134"/>
        <w:jc w:val="both"/>
      </w:pPr>
      <w:r>
        <w:rPr/>
        <w:t>销后的净额在资产负债表内列示：（</w:t>
      </w:r>
      <w:r>
        <w:rPr>
          <w:rFonts w:ascii="宋体" w:hAnsi="宋体" w:cs="宋体" w:eastAsia="宋体" w:hint="default"/>
        </w:rPr>
        <w:t>1</w:t>
      </w:r>
      <w:r>
        <w:rPr/>
        <w:t>）公司具有抵销已确认金额的法定权利，且该种法定权利是当前可</w:t>
      </w:r>
      <w:r>
        <w:rPr>
          <w:spacing w:val="-30"/>
        </w:rPr>
        <w:t> </w:t>
      </w:r>
      <w:r>
        <w:rPr>
          <w:spacing w:val="-30"/>
        </w:rPr>
      </w:r>
      <w:r>
        <w:rPr/>
        <w:t>执行的；（</w:t>
      </w:r>
      <w:r>
        <w:rPr>
          <w:rFonts w:ascii="宋体" w:hAnsi="宋体" w:cs="宋体" w:eastAsia="宋体" w:hint="default"/>
        </w:rPr>
        <w:t>2</w:t>
      </w:r>
      <w:r>
        <w:rPr/>
        <w:t>）公司计划以净额结算，或同时变现该金融资产和清偿该金融负债。</w:t>
      </w:r>
    </w:p>
    <w:p>
      <w:pPr>
        <w:pStyle w:val="BodyText"/>
        <w:spacing w:line="240" w:lineRule="auto"/>
        <w:ind w:left="575" w:right="0"/>
        <w:jc w:val="left"/>
      </w:pPr>
      <w:r>
        <w:rPr/>
        <w:t>不满足终止确认条件的金融资产转移，公司不对已转移的金融资产和相关负债进行抵销。</w:t>
      </w:r>
    </w:p>
    <w:p>
      <w:pPr>
        <w:spacing w:line="240" w:lineRule="auto" w:before="5"/>
        <w:rPr>
          <w:rFonts w:ascii="宋体" w:hAnsi="宋体" w:cs="宋体" w:eastAsia="宋体" w:hint="default"/>
          <w:sz w:val="27"/>
          <w:szCs w:val="27"/>
        </w:rPr>
      </w:pPr>
    </w:p>
    <w:p>
      <w:pPr>
        <w:pStyle w:val="Heading3"/>
        <w:spacing w:line="240" w:lineRule="auto"/>
        <w:ind w:right="0"/>
        <w:jc w:val="both"/>
        <w:rPr>
          <w:b w:val="0"/>
          <w:bCs w:val="0"/>
        </w:rPr>
      </w:pPr>
      <w:bookmarkStart w:name="11、应收票据" w:id="187"/>
      <w:bookmarkEnd w:id="187"/>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8"/>
        <w:rPr>
          <w:rFonts w:ascii="宋体" w:hAnsi="宋体" w:cs="宋体" w:eastAsia="宋体" w:hint="default"/>
          <w:b/>
          <w:bCs/>
          <w:sz w:val="26"/>
          <w:szCs w:val="26"/>
        </w:rPr>
      </w:pPr>
    </w:p>
    <w:p>
      <w:pPr>
        <w:pStyle w:val="BodyText"/>
        <w:spacing w:line="312" w:lineRule="auto" w:before="0"/>
        <w:ind w:right="1125" w:firstLine="422"/>
        <w:jc w:val="both"/>
      </w:pPr>
      <w:r>
        <w:rPr>
          <w:spacing w:val="-2"/>
        </w:rPr>
        <w:t>对于存在客观证据表明存在减值，以及其他适用于单项评估的应收票据单独进行减值测试，确认预期</w:t>
      </w:r>
      <w:r>
        <w:rPr>
          <w:w w:val="100"/>
        </w:rPr>
        <w:t> </w:t>
      </w:r>
      <w:r>
        <w:rPr>
          <w:spacing w:val="-2"/>
        </w:rPr>
        <w:t>信用损失，计提单项减值准备。对于不存在减值客观证据的应收票据，本公司依据信用风险特征将应收票</w:t>
      </w:r>
      <w:r>
        <w:rPr>
          <w:spacing w:val="-33"/>
        </w:rPr>
        <w:t> </w:t>
      </w:r>
      <w:r>
        <w:rPr>
          <w:spacing w:val="-33"/>
        </w:rPr>
      </w:r>
      <w:r>
        <w:rPr/>
        <w:t>据划分为若干组合，在组合基础上计算预期信用损失，确定组合的依据如下：</w:t>
      </w:r>
    </w:p>
    <w:p>
      <w:pPr>
        <w:pStyle w:val="BodyText"/>
        <w:spacing w:line="240" w:lineRule="auto" w:before="22"/>
        <w:ind w:left="575" w:right="0"/>
        <w:jc w:val="left"/>
      </w:pPr>
      <w:r>
        <w:rPr/>
        <w:t>应收票据确定组合的依据如下：</w:t>
      </w:r>
    </w:p>
    <w:p>
      <w:pPr>
        <w:spacing w:line="240" w:lineRule="auto" w:before="11"/>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4254"/>
        <w:gridCol w:w="4363"/>
      </w:tblGrid>
      <w:tr>
        <w:trPr>
          <w:trHeight w:val="394"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1--</w:t>
            </w:r>
            <w:r>
              <w:rPr>
                <w:rFonts w:ascii="宋体" w:hAnsi="宋体" w:cs="宋体" w:eastAsia="宋体" w:hint="default"/>
                <w:sz w:val="21"/>
                <w:szCs w:val="21"/>
              </w:rPr>
              <w:t>银行承兑汇票</w:t>
            </w:r>
          </w:p>
        </w:tc>
        <w:tc>
          <w:tcPr>
            <w:tcW w:w="43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left="4" w:right="0"/>
              <w:jc w:val="left"/>
              <w:rPr>
                <w:rFonts w:ascii="宋体" w:hAnsi="宋体" w:cs="宋体" w:eastAsia="宋体" w:hint="default"/>
                <w:sz w:val="21"/>
                <w:szCs w:val="21"/>
              </w:rPr>
            </w:pPr>
            <w:r>
              <w:rPr>
                <w:rFonts w:ascii="宋体" w:hAnsi="宋体" w:cs="宋体" w:eastAsia="宋体" w:hint="default"/>
                <w:sz w:val="21"/>
                <w:szCs w:val="21"/>
              </w:rPr>
              <w:t>信用风险较低的银行</w:t>
            </w:r>
          </w:p>
        </w:tc>
      </w:tr>
      <w:tr>
        <w:trPr>
          <w:trHeight w:val="394"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2--</w:t>
            </w:r>
            <w:r>
              <w:rPr>
                <w:rFonts w:ascii="宋体" w:hAnsi="宋体" w:cs="宋体" w:eastAsia="宋体" w:hint="default"/>
                <w:sz w:val="21"/>
                <w:szCs w:val="21"/>
              </w:rPr>
              <w:t>商业承兑汇票</w:t>
            </w:r>
          </w:p>
        </w:tc>
        <w:tc>
          <w:tcPr>
            <w:tcW w:w="43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8"/>
              <w:ind w:left="4" w:right="0"/>
              <w:jc w:val="left"/>
              <w:rPr>
                <w:rFonts w:ascii="宋体" w:hAnsi="宋体" w:cs="宋体" w:eastAsia="宋体" w:hint="default"/>
                <w:sz w:val="21"/>
                <w:szCs w:val="21"/>
              </w:rPr>
            </w:pPr>
            <w:r>
              <w:rPr>
                <w:rFonts w:ascii="宋体" w:hAnsi="宋体" w:cs="宋体" w:eastAsia="宋体" w:hint="default"/>
                <w:sz w:val="21"/>
                <w:szCs w:val="21"/>
              </w:rPr>
              <w:t>信用风险较高的企业</w:t>
            </w:r>
          </w:p>
        </w:tc>
      </w:tr>
    </w:tbl>
    <w:p>
      <w:pPr>
        <w:pStyle w:val="BodyText"/>
        <w:spacing w:line="314" w:lineRule="auto" w:before="9"/>
        <w:ind w:right="0" w:firstLine="422"/>
        <w:jc w:val="left"/>
      </w:pPr>
      <w:r>
        <w:rPr>
          <w:spacing w:val="-2"/>
        </w:rPr>
        <w:t>对于划分为组合的应收票据，本公司参考历史信用损失经验，结合当前状况以及对未来经济状况的预</w:t>
      </w:r>
      <w:r>
        <w:rPr>
          <w:w w:val="100"/>
        </w:rPr>
        <w:t> </w:t>
      </w:r>
      <w:r>
        <w:rPr/>
        <w:t>测，通过违约风险敞口和整个存续期预期信用损失率，计算预期信用损失。</w:t>
      </w:r>
    </w:p>
    <w:p>
      <w:pPr>
        <w:spacing w:line="240" w:lineRule="auto" w:before="12"/>
        <w:rPr>
          <w:rFonts w:ascii="宋体" w:hAnsi="宋体" w:cs="宋体" w:eastAsia="宋体" w:hint="default"/>
          <w:sz w:val="23"/>
          <w:szCs w:val="23"/>
        </w:rPr>
      </w:pPr>
    </w:p>
    <w:p>
      <w:pPr>
        <w:pStyle w:val="Heading3"/>
        <w:spacing w:line="240" w:lineRule="auto"/>
        <w:ind w:right="0"/>
        <w:jc w:val="both"/>
        <w:rPr>
          <w:b w:val="0"/>
          <w:bCs w:val="0"/>
        </w:rPr>
      </w:pPr>
      <w:bookmarkStart w:name="12、应收账款" w:id="188"/>
      <w:bookmarkEnd w:id="188"/>
      <w:r>
        <w:rPr>
          <w:b w:val="0"/>
          <w:bCs w:val="0"/>
        </w:rPr>
      </w:r>
      <w:r>
        <w:rPr>
          <w:rFonts w:ascii="宋体" w:hAnsi="宋体" w:cs="宋体" w:eastAsia="宋体" w:hint="default"/>
        </w:rPr>
        <w:t>12</w:t>
      </w:r>
      <w:r>
        <w:rPr/>
        <w:t>、应收账款</w:t>
      </w:r>
      <w:r>
        <w:rPr>
          <w:b w:val="0"/>
          <w:bCs w:val="0"/>
        </w:rPr>
      </w:r>
    </w:p>
    <w:p>
      <w:pPr>
        <w:spacing w:line="240" w:lineRule="auto" w:before="8"/>
        <w:rPr>
          <w:rFonts w:ascii="宋体" w:hAnsi="宋体" w:cs="宋体" w:eastAsia="宋体" w:hint="default"/>
          <w:b/>
          <w:bCs/>
          <w:sz w:val="29"/>
          <w:szCs w:val="29"/>
        </w:rPr>
      </w:pPr>
    </w:p>
    <w:p>
      <w:pPr>
        <w:pStyle w:val="BodyText"/>
        <w:spacing w:line="314" w:lineRule="auto" w:before="0"/>
        <w:ind w:right="1125"/>
        <w:jc w:val="both"/>
      </w:pPr>
      <w:r>
        <w:rPr>
          <w:spacing w:val="-2"/>
        </w:rPr>
        <w:t>对于存在客观证据表明存在减值，以及其他适用于单项评估的应收账款单独进行减值测试，确认预期信用</w:t>
      </w:r>
      <w:r>
        <w:rPr>
          <w:spacing w:val="-33"/>
        </w:rPr>
        <w:t> </w:t>
      </w:r>
      <w:r>
        <w:rPr>
          <w:spacing w:val="-33"/>
        </w:rPr>
      </w:r>
      <w:r>
        <w:rPr>
          <w:spacing w:val="-2"/>
        </w:rPr>
        <w:t>损失，计提单项减值准备。对于不存在减值客观证据的应收账款，本公司依据信用风险特征将应收账款划</w:t>
      </w:r>
      <w:r>
        <w:rPr>
          <w:spacing w:val="-33"/>
        </w:rPr>
        <w:t> </w:t>
      </w:r>
      <w:r>
        <w:rPr>
          <w:spacing w:val="-33"/>
        </w:rPr>
      </w:r>
      <w:r>
        <w:rPr/>
        <w:t>分为若干组合，在组合基础上计算预期信用损失，确定组合的依据如下：</w:t>
      </w:r>
    </w:p>
    <w:p>
      <w:pPr>
        <w:pStyle w:val="BodyText"/>
        <w:spacing w:line="240" w:lineRule="auto" w:before="16"/>
        <w:ind w:left="575" w:right="0"/>
        <w:jc w:val="left"/>
      </w:pPr>
      <w:r>
        <w:rPr/>
        <w:t>应收账款确定组合的依据如下：</w:t>
      </w:r>
    </w:p>
    <w:p>
      <w:pPr>
        <w:spacing w:line="240" w:lineRule="auto" w:before="11"/>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4254"/>
        <w:gridCol w:w="4363"/>
      </w:tblGrid>
      <w:tr>
        <w:trPr>
          <w:trHeight w:val="394"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1</w:t>
            </w:r>
          </w:p>
        </w:tc>
        <w:tc>
          <w:tcPr>
            <w:tcW w:w="43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8"/>
              <w:ind w:left="4" w:right="0"/>
              <w:jc w:val="left"/>
              <w:rPr>
                <w:rFonts w:ascii="宋体" w:hAnsi="宋体" w:cs="宋体" w:eastAsia="宋体" w:hint="default"/>
                <w:sz w:val="21"/>
                <w:szCs w:val="21"/>
              </w:rPr>
            </w:pPr>
            <w:r>
              <w:rPr>
                <w:rFonts w:ascii="宋体" w:hAnsi="宋体" w:cs="宋体" w:eastAsia="宋体" w:hint="default"/>
                <w:sz w:val="21"/>
                <w:szCs w:val="21"/>
              </w:rPr>
              <w:t>账龄组合</w:t>
            </w:r>
          </w:p>
        </w:tc>
      </w:tr>
      <w:tr>
        <w:trPr>
          <w:trHeight w:val="394"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2</w:t>
            </w:r>
          </w:p>
        </w:tc>
        <w:tc>
          <w:tcPr>
            <w:tcW w:w="43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8"/>
              <w:ind w:left="4" w:right="0"/>
              <w:jc w:val="left"/>
              <w:rPr>
                <w:rFonts w:ascii="宋体" w:hAnsi="宋体" w:cs="宋体" w:eastAsia="宋体" w:hint="default"/>
                <w:sz w:val="21"/>
                <w:szCs w:val="21"/>
              </w:rPr>
            </w:pPr>
            <w:r>
              <w:rPr>
                <w:rFonts w:ascii="宋体" w:hAnsi="宋体" w:cs="宋体" w:eastAsia="宋体" w:hint="default"/>
                <w:sz w:val="21"/>
                <w:szCs w:val="21"/>
              </w:rPr>
              <w:t>合并范围内关联方</w:t>
            </w:r>
          </w:p>
        </w:tc>
      </w:tr>
    </w:tbl>
    <w:p>
      <w:pPr>
        <w:pStyle w:val="BodyText"/>
        <w:spacing w:line="314" w:lineRule="auto" w:before="9"/>
        <w:ind w:right="0" w:firstLine="422"/>
        <w:jc w:val="left"/>
      </w:pPr>
      <w:r>
        <w:rPr>
          <w:spacing w:val="-2"/>
        </w:rPr>
        <w:t>对于划分为组合的应收账款，本公司参考历史信用损失经验，结合当前状况以及对未来经济状况的预</w:t>
      </w:r>
      <w:r>
        <w:rPr>
          <w:w w:val="100"/>
        </w:rPr>
        <w:t> </w:t>
      </w:r>
      <w:r>
        <w:rPr/>
        <w:t>测，编制应收账款账龄与整个存续期预期信用损失率对照表，计算预期信用损失。</w:t>
      </w:r>
    </w:p>
    <w:p>
      <w:pPr>
        <w:spacing w:line="240" w:lineRule="auto" w:before="4"/>
        <w:rPr>
          <w:rFonts w:ascii="宋体" w:hAnsi="宋体" w:cs="宋体" w:eastAsia="宋体" w:hint="default"/>
          <w:sz w:val="24"/>
          <w:szCs w:val="24"/>
        </w:rPr>
      </w:pPr>
    </w:p>
    <w:p>
      <w:pPr>
        <w:pStyle w:val="Heading3"/>
        <w:spacing w:line="240" w:lineRule="auto"/>
        <w:ind w:right="0"/>
        <w:jc w:val="left"/>
        <w:rPr>
          <w:b w:val="0"/>
          <w:bCs w:val="0"/>
        </w:rPr>
      </w:pPr>
      <w:bookmarkStart w:name="13、应收款项融资" w:id="189"/>
      <w:bookmarkEnd w:id="189"/>
      <w:r>
        <w:rPr>
          <w:b w:val="0"/>
          <w:bCs w:val="0"/>
        </w:rPr>
      </w:r>
      <w:r>
        <w:rPr>
          <w:rFonts w:ascii="宋体" w:hAnsi="宋体" w:cs="宋体" w:eastAsia="宋体" w:hint="default"/>
        </w:rPr>
        <w:t>13</w:t>
      </w:r>
      <w:r>
        <w:rPr/>
        <w:t>、应收款项融资</w:t>
      </w:r>
      <w:r>
        <w:rPr>
          <w:b w:val="0"/>
          <w:bCs w:val="0"/>
        </w:rPr>
      </w:r>
    </w:p>
    <w:p>
      <w:pPr>
        <w:spacing w:line="240" w:lineRule="auto" w:before="8"/>
        <w:rPr>
          <w:rFonts w:ascii="宋体" w:hAnsi="宋体" w:cs="宋体" w:eastAsia="宋体" w:hint="default"/>
          <w:b/>
          <w:bCs/>
          <w:sz w:val="29"/>
          <w:szCs w:val="29"/>
        </w:rPr>
      </w:pPr>
    </w:p>
    <w:p>
      <w:pPr>
        <w:pStyle w:val="BodyText"/>
        <w:spacing w:line="312" w:lineRule="auto" w:before="0"/>
        <w:ind w:right="0"/>
        <w:jc w:val="left"/>
      </w:pPr>
      <w:r>
        <w:rPr/>
        <w:t>对于存在客观证据表明存在减值，以及其他适用于单项评估的应收款项融资及长期</w:t>
      </w:r>
      <w:r>
        <w:rPr>
          <w:spacing w:val="1"/>
        </w:rPr>
        <w:t> </w:t>
      </w:r>
      <w:r>
        <w:rPr/>
        <w:t>应收款等单独进行减</w:t>
      </w:r>
      <w:r>
        <w:rPr>
          <w:w w:val="100"/>
        </w:rPr>
        <w:t> </w:t>
      </w:r>
      <w:r>
        <w:rPr>
          <w:spacing w:val="-2"/>
        </w:rPr>
        <w:t>值测试，确认预期信用损失，计提单项减值准备。对于不存在减值客观证据的应收款项融资或当单项金融</w:t>
      </w:r>
      <w:r>
        <w:rPr>
          <w:spacing w:val="-33"/>
        </w:rPr>
        <w:t> </w:t>
      </w:r>
      <w:r>
        <w:rPr>
          <w:spacing w:val="-33"/>
        </w:rPr>
      </w:r>
      <w:r>
        <w:rPr>
          <w:spacing w:val="-2"/>
        </w:rPr>
        <w:t>资产无法以合理成本评估预期信用损失的信息时，本公司依据信用风险特征将应收款项融资及长期应收款</w:t>
      </w:r>
      <w:r>
        <w:rPr>
          <w:spacing w:val="-33"/>
        </w:rPr>
        <w:t> </w:t>
      </w:r>
      <w:r>
        <w:rPr>
          <w:spacing w:val="-33"/>
        </w:rPr>
      </w:r>
      <w:r>
        <w:rPr/>
        <w:t>等划分为若干组合，在组合基础上计算预期信用损失。</w:t>
      </w:r>
    </w:p>
    <w:p>
      <w:pPr>
        <w:spacing w:after="0" w:line="312" w:lineRule="auto"/>
        <w:jc w:val="left"/>
        <w:sectPr>
          <w:pgSz w:w="11910" w:h="16840"/>
          <w:pgMar w:header="460" w:footer="979" w:top="1060" w:bottom="1160" w:left="980" w:right="0"/>
        </w:sectPr>
      </w:pPr>
    </w:p>
    <w:p>
      <w:pPr>
        <w:spacing w:line="240" w:lineRule="auto" w:before="11"/>
        <w:rPr>
          <w:rFonts w:ascii="宋体" w:hAnsi="宋体" w:cs="宋体" w:eastAsia="宋体" w:hint="default"/>
          <w:sz w:val="25"/>
          <w:szCs w:val="25"/>
        </w:rPr>
      </w:pPr>
    </w:p>
    <w:p>
      <w:pPr>
        <w:pStyle w:val="Heading3"/>
        <w:spacing w:line="240" w:lineRule="auto" w:before="36"/>
        <w:ind w:right="0"/>
        <w:jc w:val="left"/>
        <w:rPr>
          <w:b w:val="0"/>
          <w:bCs w:val="0"/>
        </w:rPr>
      </w:pPr>
      <w:bookmarkStart w:name="14、其他应收款" w:id="190"/>
      <w:bookmarkEnd w:id="190"/>
      <w:r>
        <w:rPr>
          <w:b w:val="0"/>
          <w:bCs w:val="0"/>
        </w:rPr>
      </w:r>
      <w:r>
        <w:rPr>
          <w:rFonts w:ascii="宋体" w:hAnsi="宋体" w:cs="宋体" w:eastAsia="宋体" w:hint="default"/>
        </w:rPr>
        <w:t>14</w:t>
      </w:r>
      <w:r>
        <w:rPr/>
        <w:t>、其他应收款</w:t>
      </w:r>
      <w:r>
        <w:rPr>
          <w:b w:val="0"/>
          <w:bCs w:val="0"/>
        </w:rPr>
      </w:r>
    </w:p>
    <w:p>
      <w:pPr>
        <w:spacing w:line="240" w:lineRule="auto" w:before="8"/>
        <w:rPr>
          <w:rFonts w:ascii="宋体" w:hAnsi="宋体" w:cs="宋体" w:eastAsia="宋体" w:hint="default"/>
          <w:b/>
          <w:bCs/>
          <w:sz w:val="29"/>
          <w:szCs w:val="29"/>
        </w:rPr>
      </w:pPr>
    </w:p>
    <w:p>
      <w:pPr>
        <w:pStyle w:val="BodyText"/>
        <w:spacing w:line="324" w:lineRule="auto" w:before="0"/>
        <w:ind w:right="0"/>
        <w:jc w:val="left"/>
      </w:pPr>
      <w:r>
        <w:rPr/>
        <w:t>其他应收款的预期信用损失的确定方法及会计处理方法</w:t>
      </w:r>
      <w:r>
        <w:rPr>
          <w:w w:val="100"/>
        </w:rPr>
        <w:t> </w:t>
      </w:r>
      <w:r>
        <w:rPr>
          <w:spacing w:val="-2"/>
        </w:rPr>
        <w:t>对于存在客观证据表明存在减值，以及其他适用于单项评估的其他应收款单独进行减值测试，确认预期信</w:t>
      </w:r>
      <w:r>
        <w:rPr>
          <w:spacing w:val="-33"/>
        </w:rPr>
        <w:t> </w:t>
      </w:r>
      <w:r>
        <w:rPr>
          <w:spacing w:val="-33"/>
        </w:rPr>
      </w:r>
      <w:r>
        <w:rPr>
          <w:spacing w:val="-2"/>
        </w:rPr>
        <w:t>用损失，计提单项减值准备。对于不存在减值客观证据的其他应收款，本公司依据信用风险特征将其他应</w:t>
      </w:r>
      <w:r>
        <w:rPr>
          <w:spacing w:val="-33"/>
        </w:rPr>
        <w:t> </w:t>
      </w:r>
      <w:r>
        <w:rPr>
          <w:spacing w:val="-33"/>
        </w:rPr>
      </w:r>
      <w:r>
        <w:rPr/>
        <w:t>收款划分为若干组合，在组合基础上计算预期信用损失，确定组合的依据如下：</w:t>
      </w:r>
    </w:p>
    <w:p>
      <w:pPr>
        <w:pStyle w:val="BodyText"/>
        <w:spacing w:line="240" w:lineRule="auto" w:before="11"/>
        <w:ind w:left="575" w:right="0"/>
        <w:jc w:val="left"/>
      </w:pPr>
      <w:r>
        <w:rPr/>
        <w:t>其他应收款确定组合的依据如下：</w:t>
      </w:r>
    </w:p>
    <w:p>
      <w:pPr>
        <w:spacing w:line="240" w:lineRule="auto" w:before="6"/>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4254"/>
        <w:gridCol w:w="4363"/>
      </w:tblGrid>
      <w:tr>
        <w:trPr>
          <w:trHeight w:val="394"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1</w:t>
            </w:r>
          </w:p>
        </w:tc>
        <w:tc>
          <w:tcPr>
            <w:tcW w:w="43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4"/>
              <w:ind w:left="4" w:right="0"/>
              <w:jc w:val="left"/>
              <w:rPr>
                <w:rFonts w:ascii="宋体" w:hAnsi="宋体" w:cs="宋体" w:eastAsia="宋体" w:hint="default"/>
                <w:sz w:val="21"/>
                <w:szCs w:val="21"/>
              </w:rPr>
            </w:pPr>
            <w:r>
              <w:rPr>
                <w:rFonts w:ascii="宋体" w:hAnsi="宋体" w:cs="宋体" w:eastAsia="宋体" w:hint="default"/>
                <w:sz w:val="21"/>
                <w:szCs w:val="21"/>
              </w:rPr>
              <w:t>应收利息</w:t>
            </w:r>
          </w:p>
        </w:tc>
      </w:tr>
      <w:tr>
        <w:trPr>
          <w:trHeight w:val="394"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2</w:t>
            </w:r>
          </w:p>
        </w:tc>
        <w:tc>
          <w:tcPr>
            <w:tcW w:w="43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left="4" w:right="0"/>
              <w:jc w:val="left"/>
              <w:rPr>
                <w:rFonts w:ascii="宋体" w:hAnsi="宋体" w:cs="宋体" w:eastAsia="宋体" w:hint="default"/>
                <w:sz w:val="21"/>
                <w:szCs w:val="21"/>
              </w:rPr>
            </w:pPr>
            <w:r>
              <w:rPr>
                <w:rFonts w:ascii="宋体" w:hAnsi="宋体" w:cs="宋体" w:eastAsia="宋体" w:hint="default"/>
                <w:sz w:val="21"/>
                <w:szCs w:val="21"/>
              </w:rPr>
              <w:t>应收股利</w:t>
            </w:r>
          </w:p>
        </w:tc>
      </w:tr>
      <w:tr>
        <w:trPr>
          <w:trHeight w:val="394"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3</w:t>
            </w:r>
          </w:p>
        </w:tc>
        <w:tc>
          <w:tcPr>
            <w:tcW w:w="43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left="4" w:right="0"/>
              <w:jc w:val="left"/>
              <w:rPr>
                <w:rFonts w:ascii="宋体" w:hAnsi="宋体" w:cs="宋体" w:eastAsia="宋体" w:hint="default"/>
                <w:sz w:val="21"/>
                <w:szCs w:val="21"/>
              </w:rPr>
            </w:pPr>
            <w:r>
              <w:rPr>
                <w:rFonts w:ascii="宋体" w:hAnsi="宋体" w:cs="宋体" w:eastAsia="宋体" w:hint="default"/>
                <w:sz w:val="21"/>
                <w:szCs w:val="21"/>
              </w:rPr>
              <w:t>账龄组合</w:t>
            </w:r>
          </w:p>
        </w:tc>
      </w:tr>
      <w:tr>
        <w:trPr>
          <w:trHeight w:val="398"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4</w:t>
            </w:r>
          </w:p>
        </w:tc>
        <w:tc>
          <w:tcPr>
            <w:tcW w:w="43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left="4" w:right="0"/>
              <w:jc w:val="left"/>
              <w:rPr>
                <w:rFonts w:ascii="宋体" w:hAnsi="宋体" w:cs="宋体" w:eastAsia="宋体" w:hint="default"/>
                <w:sz w:val="21"/>
                <w:szCs w:val="21"/>
              </w:rPr>
            </w:pPr>
            <w:r>
              <w:rPr>
                <w:rFonts w:ascii="宋体" w:hAnsi="宋体" w:cs="宋体" w:eastAsia="宋体" w:hint="default"/>
                <w:sz w:val="21"/>
                <w:szCs w:val="21"/>
              </w:rPr>
              <w:t>合并范围内关联方</w:t>
            </w:r>
          </w:p>
        </w:tc>
      </w:tr>
    </w:tbl>
    <w:p>
      <w:pPr>
        <w:pStyle w:val="BodyText"/>
        <w:spacing w:line="309" w:lineRule="auto" w:before="9"/>
        <w:ind w:right="0" w:firstLine="422"/>
        <w:jc w:val="left"/>
      </w:pPr>
      <w:r>
        <w:rPr>
          <w:spacing w:val="-2"/>
        </w:rPr>
        <w:t>对于划分为组合的其他应收款，本公司参考历史信用损失经验，结合当前状况以及对未来经济状况的</w:t>
      </w:r>
      <w:r>
        <w:rPr>
          <w:w w:val="100"/>
        </w:rPr>
        <w:t> </w:t>
      </w:r>
      <w:r>
        <w:rPr/>
        <w:t>预测，编制其他应收款账龄与整个存续期预期信用损失率对照表，计算预期信用损失。</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bookmarkStart w:name="15、存货" w:id="191"/>
      <w:bookmarkEnd w:id="191"/>
      <w:r>
        <w:rPr>
          <w:b w:val="0"/>
          <w:bCs w:val="0"/>
        </w:rPr>
      </w:r>
      <w:r>
        <w:rPr>
          <w:rFonts w:ascii="宋体" w:hAnsi="宋体" w:cs="宋体" w:eastAsia="宋体" w:hint="default"/>
        </w:rPr>
        <w:t>15</w:t>
      </w:r>
      <w:r>
        <w:rPr/>
        <w:t>、存货</w:t>
      </w:r>
      <w:r>
        <w:rPr>
          <w:b w:val="0"/>
          <w:bCs w:val="0"/>
        </w:rPr>
      </w:r>
    </w:p>
    <w:p>
      <w:pPr>
        <w:spacing w:line="240" w:lineRule="auto" w:before="8"/>
        <w:rPr>
          <w:rFonts w:ascii="宋体" w:hAnsi="宋体" w:cs="宋体" w:eastAsia="宋体" w:hint="default"/>
          <w:b/>
          <w:bCs/>
          <w:sz w:val="29"/>
          <w:szCs w:val="29"/>
        </w:rPr>
      </w:pPr>
    </w:p>
    <w:p>
      <w:pPr>
        <w:pStyle w:val="BodyText"/>
        <w:spacing w:line="240" w:lineRule="auto" w:before="0"/>
        <w:ind w:left="575" w:right="0"/>
        <w:jc w:val="left"/>
      </w:pPr>
      <w:r>
        <w:rPr>
          <w:rFonts w:ascii="宋体" w:hAnsi="宋体" w:cs="宋体" w:eastAsia="宋体" w:hint="default"/>
        </w:rPr>
        <w:t>1.</w:t>
      </w:r>
      <w:r>
        <w:rPr/>
        <w:t>存货的分类：本公司存货分为原材料、低值易耗品、在产品、库存商品等。</w:t>
      </w:r>
    </w:p>
    <w:p>
      <w:pPr>
        <w:pStyle w:val="BodyText"/>
        <w:spacing w:line="309" w:lineRule="auto" w:before="85"/>
        <w:ind w:right="0" w:firstLine="422"/>
        <w:jc w:val="left"/>
      </w:pPr>
      <w:r>
        <w:rPr>
          <w:rFonts w:ascii="宋体" w:hAnsi="宋体" w:cs="宋体" w:eastAsia="宋体" w:hint="default"/>
          <w:spacing w:val="-2"/>
        </w:rPr>
        <w:t>2.</w:t>
      </w:r>
      <w:r>
        <w:rPr>
          <w:spacing w:val="-2"/>
        </w:rPr>
        <w:t>存货取得和发出的计价方法：存货中各类材料均按实际发生的历史成本核算；领用发出时采用加权</w:t>
      </w:r>
      <w:r>
        <w:rPr>
          <w:w w:val="100"/>
        </w:rPr>
        <w:t> </w:t>
      </w:r>
      <w:r>
        <w:rPr/>
        <w:t>平均法计价；低值易耗品采用领用时一次摊销法进行摊销。</w:t>
      </w:r>
    </w:p>
    <w:p>
      <w:pPr>
        <w:pStyle w:val="BodyText"/>
        <w:spacing w:line="314" w:lineRule="auto" w:before="24"/>
        <w:ind w:left="575" w:right="0"/>
        <w:jc w:val="left"/>
      </w:pPr>
      <w:r>
        <w:rPr>
          <w:rFonts w:ascii="宋体" w:hAnsi="宋体" w:cs="宋体" w:eastAsia="宋体" w:hint="default"/>
        </w:rPr>
        <w:t>3.</w:t>
      </w:r>
      <w:r>
        <w:rPr/>
        <w:t>存货可变现净值的确定依据及存货跌价准备的计提方法</w:t>
      </w:r>
      <w:r>
        <w:rPr>
          <w:w w:val="100"/>
        </w:rPr>
        <w:t> </w:t>
      </w:r>
      <w:r>
        <w:rPr>
          <w:spacing w:val="-2"/>
        </w:rPr>
        <w:t>本公司在资产负债表日，对存货进行全面检查后，对遭受损失，全部或部分陈旧过时或销售价格低于</w:t>
      </w:r>
    </w:p>
    <w:p>
      <w:pPr>
        <w:pStyle w:val="BodyText"/>
        <w:spacing w:line="309" w:lineRule="auto"/>
        <w:ind w:left="575" w:right="0" w:hanging="423"/>
        <w:jc w:val="left"/>
      </w:pPr>
      <w:r>
        <w:rPr/>
        <w:t>成本的存货，按存货成本与可变现净值孰低提取或调整存货跌价准备。</w:t>
      </w:r>
      <w:r>
        <w:rPr>
          <w:spacing w:val="-103"/>
        </w:rPr>
        <w:t> </w:t>
      </w:r>
      <w:r>
        <w:rPr>
          <w:spacing w:val="-103"/>
        </w:rPr>
      </w:r>
      <w:r>
        <w:rPr>
          <w:spacing w:val="-2"/>
        </w:rPr>
        <w:t>存货可变现净值系根据本公司在正常经营过程中，以估计售价减去估计完工成本及销售所必须的估计</w:t>
      </w:r>
    </w:p>
    <w:p>
      <w:pPr>
        <w:pStyle w:val="BodyText"/>
        <w:spacing w:line="314" w:lineRule="auto" w:before="24"/>
        <w:ind w:left="575" w:right="1004" w:hanging="423"/>
        <w:jc w:val="left"/>
      </w:pPr>
      <w:r>
        <w:rPr/>
        <w:t>费用后的价值。</w:t>
      </w:r>
      <w:r>
        <w:rPr>
          <w:spacing w:val="-102"/>
        </w:rPr>
        <w:t> </w:t>
      </w:r>
      <w:r>
        <w:rPr>
          <w:spacing w:val="-102"/>
        </w:rPr>
      </w:r>
      <w:r>
        <w:rPr>
          <w:spacing w:val="-2"/>
        </w:rPr>
        <w:t>对单价较高的存货按单个项目成本高于可变现净值的差额计提存货跌价准备；对于数量繁多、单价较</w:t>
      </w:r>
    </w:p>
    <w:p>
      <w:pPr>
        <w:pStyle w:val="BodyText"/>
        <w:spacing w:line="312" w:lineRule="auto"/>
        <w:ind w:right="1122"/>
        <w:jc w:val="both"/>
      </w:pPr>
      <w:r>
        <w:rPr>
          <w:spacing w:val="-2"/>
        </w:rPr>
        <w:t>低的存货，按存货类别计提存货跌价准备；与在同一地区生产和销售的产品系列相关、具有相同或类似最</w:t>
      </w:r>
      <w:r>
        <w:rPr>
          <w:spacing w:val="-33"/>
        </w:rPr>
        <w:t> </w:t>
      </w:r>
      <w:r>
        <w:rPr>
          <w:spacing w:val="-33"/>
        </w:rPr>
      </w:r>
      <w:r>
        <w:rPr>
          <w:spacing w:val="-2"/>
        </w:rPr>
        <w:t>终用途或目的，且难以与其他项目分开计量的存货，则合并计提存货跌价准备，并计入当期损益。存货可</w:t>
      </w:r>
      <w:r>
        <w:rPr>
          <w:spacing w:val="-30"/>
        </w:rPr>
        <w:t> </w:t>
      </w:r>
      <w:r>
        <w:rPr>
          <w:spacing w:val="-30"/>
        </w:rPr>
      </w:r>
      <w:r>
        <w:rPr/>
        <w:t>变现净值以存货估计售价减去估计的销售费用和相关税费后的金额确定。</w:t>
      </w:r>
    </w:p>
    <w:p>
      <w:pPr>
        <w:pStyle w:val="BodyText"/>
        <w:spacing w:line="314" w:lineRule="auto" w:before="22"/>
        <w:ind w:right="0" w:firstLine="422"/>
        <w:jc w:val="left"/>
      </w:pPr>
      <w:r>
        <w:rPr>
          <w:spacing w:val="-2"/>
        </w:rPr>
        <w:t>存货可变现净值的确定以取得的可靠证据为基础，并且考虑取得存货的目的、资产负债表日后事项的</w:t>
      </w:r>
      <w:r>
        <w:rPr>
          <w:w w:val="100"/>
        </w:rPr>
        <w:t> </w:t>
      </w:r>
      <w:r>
        <w:rPr/>
        <w:t>影响等因素，具体方法如下：</w:t>
      </w:r>
    </w:p>
    <w:p>
      <w:pPr>
        <w:pStyle w:val="BodyText"/>
        <w:spacing w:line="314" w:lineRule="auto" w:before="15"/>
        <w:ind w:right="0" w:firstLine="422"/>
        <w:jc w:val="left"/>
      </w:pPr>
      <w:r>
        <w:rPr/>
        <w:t>（</w:t>
      </w:r>
      <w:r>
        <w:rPr>
          <w:rFonts w:ascii="宋体" w:hAnsi="宋体" w:cs="宋体" w:eastAsia="宋体" w:hint="default"/>
        </w:rPr>
        <w:t>1</w:t>
      </w:r>
      <w:r>
        <w:rPr/>
        <w:t>）需要经过加工的材料存货，在正常生产经营过程中，以所生产的产成品估计售价减去至完工时</w:t>
      </w:r>
      <w:r>
        <w:rPr>
          <w:w w:val="100"/>
        </w:rPr>
        <w:t> </w:t>
      </w:r>
      <w:r>
        <w:rPr/>
        <w:t>估计将要发生的成本，估计销售费用和相关税费后的金额确定其可变现净值。如果可变现净值高于成本，</w:t>
      </w:r>
      <w:r>
        <w:rPr>
          <w:spacing w:val="-30"/>
        </w:rPr>
        <w:t> </w:t>
      </w:r>
      <w:r>
        <w:rPr>
          <w:spacing w:val="-30"/>
        </w:rPr>
      </w:r>
      <w:r>
        <w:rPr>
          <w:spacing w:val="-2"/>
        </w:rPr>
        <w:t>则该材料存货按成本计量，如果材料的价格下降导致生产的产成品的可变现净值低于成本，则该材料按可</w:t>
      </w:r>
      <w:r>
        <w:rPr>
          <w:spacing w:val="-33"/>
        </w:rPr>
        <w:t> </w:t>
      </w:r>
      <w:r>
        <w:rPr>
          <w:spacing w:val="-33"/>
        </w:rPr>
      </w:r>
      <w:r>
        <w:rPr/>
        <w:t>变现净值计量。</w:t>
      </w:r>
    </w:p>
    <w:p>
      <w:pPr>
        <w:pStyle w:val="BodyText"/>
        <w:spacing w:line="314" w:lineRule="auto" w:before="15"/>
        <w:ind w:right="0" w:firstLine="422"/>
        <w:jc w:val="left"/>
      </w:pPr>
      <w:r>
        <w:rPr/>
        <w:t>（</w:t>
      </w:r>
      <w:r>
        <w:rPr>
          <w:rFonts w:ascii="宋体" w:hAnsi="宋体" w:cs="宋体" w:eastAsia="宋体" w:hint="default"/>
        </w:rPr>
        <w:t>2</w:t>
      </w:r>
      <w:r>
        <w:rPr/>
        <w:t>）产成品、库存商品和用于出售的材料等直接用于出售的商品存货，在正常生产经营过程中，以</w:t>
      </w:r>
      <w:r>
        <w:rPr>
          <w:w w:val="100"/>
        </w:rPr>
        <w:t> </w:t>
      </w:r>
      <w:r>
        <w:rPr/>
        <w:t>该存货的估计售价减去估计的销售费用和相关税费后的金额确定其可变现净值的计算基础。</w:t>
      </w:r>
    </w:p>
    <w:p>
      <w:pPr>
        <w:pStyle w:val="BodyText"/>
        <w:spacing w:line="314" w:lineRule="auto"/>
        <w:ind w:right="0" w:firstLine="422"/>
        <w:jc w:val="left"/>
      </w:pPr>
      <w:r>
        <w:rPr/>
        <w:t>（</w:t>
      </w:r>
      <w:r>
        <w:rPr>
          <w:rFonts w:ascii="宋体" w:hAnsi="宋体" w:cs="宋体" w:eastAsia="宋体" w:hint="default"/>
        </w:rPr>
        <w:t>3</w:t>
      </w:r>
      <w:r>
        <w:rPr/>
        <w:t>）为执行销售合同或劳务合同而持有的存货，以产成品或商品的合同价格做为可变现净值的计算</w:t>
      </w:r>
      <w:r>
        <w:rPr>
          <w:w w:val="100"/>
        </w:rPr>
        <w:t> </w:t>
      </w:r>
      <w:r>
        <w:rPr>
          <w:spacing w:val="-2"/>
        </w:rPr>
        <w:t>基础。如果持有存货的数量高于销售合同订购的数量，超出部分存货的可变现净值以一般销售价格为计量</w:t>
      </w:r>
    </w:p>
    <w:p>
      <w:pPr>
        <w:spacing w:after="0" w:line="314" w:lineRule="auto"/>
        <w:jc w:val="left"/>
        <w:sectPr>
          <w:pgSz w:w="11910" w:h="16840"/>
          <w:pgMar w:header="460" w:footer="979" w:top="1060" w:bottom="1160" w:left="980" w:right="0"/>
        </w:sectPr>
      </w:pPr>
    </w:p>
    <w:p>
      <w:pPr>
        <w:spacing w:line="240" w:lineRule="auto" w:before="11"/>
        <w:rPr>
          <w:rFonts w:ascii="宋体" w:hAnsi="宋体" w:cs="宋体" w:eastAsia="宋体" w:hint="default"/>
          <w:sz w:val="25"/>
          <w:szCs w:val="25"/>
        </w:rPr>
      </w:pPr>
    </w:p>
    <w:p>
      <w:pPr>
        <w:pStyle w:val="BodyText"/>
        <w:spacing w:line="240" w:lineRule="auto" w:before="36"/>
        <w:ind w:right="0"/>
        <w:jc w:val="left"/>
      </w:pPr>
      <w:r>
        <w:rPr/>
        <w:t>基础。</w:t>
      </w:r>
    </w:p>
    <w:p>
      <w:pPr>
        <w:pStyle w:val="BodyText"/>
        <w:spacing w:line="312" w:lineRule="auto" w:before="85"/>
        <w:ind w:right="0" w:firstLine="422"/>
        <w:jc w:val="left"/>
      </w:pPr>
      <w:r>
        <w:rPr>
          <w:spacing w:val="-2"/>
        </w:rPr>
        <w:t>以前减记存货价值的影响因素已经消失的，减记的金额予以恢复，并在原已计提的存货跌价准备金额</w:t>
      </w:r>
      <w:r>
        <w:rPr>
          <w:w w:val="100"/>
        </w:rPr>
        <w:t> </w:t>
      </w:r>
      <w:r>
        <w:rPr/>
        <w:t>内转回，转回的金额计入当期损益。</w:t>
      </w:r>
      <w:r>
        <w:rPr>
          <w:spacing w:val="-101"/>
        </w:rPr>
        <w:t> </w:t>
      </w:r>
      <w:r>
        <w:rPr>
          <w:spacing w:val="-101"/>
        </w:rPr>
      </w:r>
      <w:r>
        <w:rPr>
          <w:rFonts w:ascii="宋体" w:hAnsi="宋体" w:cs="宋体" w:eastAsia="宋体" w:hint="default"/>
          <w:spacing w:val="-2"/>
        </w:rPr>
        <w:t>4.</w:t>
      </w:r>
      <w:r>
        <w:rPr>
          <w:spacing w:val="-2"/>
        </w:rPr>
        <w:t>本公司存货采用永续盘存制。一年进行两次实地清查、盘点，盘点结果如果与账面记录不符，于期末前</w:t>
      </w:r>
      <w:r>
        <w:rPr>
          <w:spacing w:val="-28"/>
        </w:rPr>
        <w:t> </w:t>
      </w:r>
      <w:r>
        <w:rPr>
          <w:spacing w:val="-28"/>
        </w:rPr>
      </w:r>
      <w:r>
        <w:rPr/>
        <w:t>查明原因，并根据企业的管理权限，经股东大会或董事会批准后，在期末结账前处理完毕。盘盈的存货，</w:t>
      </w:r>
      <w:r>
        <w:rPr>
          <w:spacing w:val="-30"/>
        </w:rPr>
        <w:t> </w:t>
      </w:r>
      <w:r>
        <w:rPr>
          <w:spacing w:val="-30"/>
        </w:rPr>
      </w:r>
      <w:r>
        <w:rPr>
          <w:spacing w:val="-2"/>
        </w:rPr>
        <w:t>冲减当期的管理费用；盘亏的存货，在减去过失人或者保险公司等赔款和残料价值之后，计入当期管理费</w:t>
      </w:r>
      <w:r>
        <w:rPr>
          <w:spacing w:val="-33"/>
        </w:rPr>
        <w:t> </w:t>
      </w:r>
      <w:r>
        <w:rPr>
          <w:spacing w:val="-33"/>
        </w:rPr>
      </w:r>
      <w:r>
        <w:rPr/>
        <w:t>用，属于非常损失的，计入营业外支出。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56"/>
        <w:ind w:right="0"/>
        <w:jc w:val="left"/>
        <w:rPr>
          <w:b w:val="0"/>
          <w:bCs w:val="0"/>
        </w:rPr>
      </w:pPr>
      <w:bookmarkStart w:name="16、合同资产" w:id="192"/>
      <w:bookmarkEnd w:id="192"/>
      <w:r>
        <w:rPr>
          <w:b w:val="0"/>
          <w:bCs w:val="0"/>
        </w:rPr>
      </w:r>
      <w:r>
        <w:rPr>
          <w:rFonts w:ascii="宋体" w:hAnsi="宋体" w:cs="宋体" w:eastAsia="宋体" w:hint="default"/>
        </w:rPr>
        <w:t>16</w:t>
      </w:r>
      <w:r>
        <w:rPr/>
        <w:t>、合同资产</w:t>
      </w:r>
      <w:r>
        <w:rPr>
          <w:b w:val="0"/>
          <w:bCs w:val="0"/>
        </w:rPr>
      </w:r>
    </w:p>
    <w:p>
      <w:pPr>
        <w:spacing w:line="240" w:lineRule="auto" w:before="8"/>
        <w:rPr>
          <w:rFonts w:ascii="宋体" w:hAnsi="宋体" w:cs="宋体" w:eastAsia="宋体" w:hint="default"/>
          <w:b/>
          <w:bCs/>
          <w:sz w:val="29"/>
          <w:szCs w:val="29"/>
        </w:rPr>
      </w:pPr>
    </w:p>
    <w:p>
      <w:pPr>
        <w:pStyle w:val="Heading3"/>
        <w:spacing w:line="240" w:lineRule="auto"/>
        <w:ind w:right="0"/>
        <w:jc w:val="left"/>
        <w:rPr>
          <w:b w:val="0"/>
          <w:bCs w:val="0"/>
        </w:rPr>
      </w:pPr>
      <w:bookmarkStart w:name="17、合同成本" w:id="193"/>
      <w:bookmarkEnd w:id="193"/>
      <w:r>
        <w:rPr>
          <w:b w:val="0"/>
          <w:bCs w:val="0"/>
        </w:rPr>
      </w:r>
      <w:r>
        <w:rPr>
          <w:rFonts w:ascii="宋体" w:hAnsi="宋体" w:cs="宋体" w:eastAsia="宋体" w:hint="default"/>
        </w:rPr>
        <w:t>17</w:t>
      </w:r>
      <w:r>
        <w:rPr/>
        <w:t>、合同成本</w:t>
      </w:r>
      <w:r>
        <w:rPr>
          <w:b w:val="0"/>
          <w:bCs w:val="0"/>
        </w:rPr>
      </w:r>
    </w:p>
    <w:p>
      <w:pPr>
        <w:spacing w:line="240" w:lineRule="auto" w:before="4"/>
        <w:rPr>
          <w:rFonts w:ascii="宋体" w:hAnsi="宋体" w:cs="宋体" w:eastAsia="宋体" w:hint="default"/>
          <w:b/>
          <w:bCs/>
          <w:sz w:val="29"/>
          <w:szCs w:val="29"/>
        </w:rPr>
      </w:pPr>
    </w:p>
    <w:p>
      <w:pPr>
        <w:pStyle w:val="Heading3"/>
        <w:spacing w:line="240" w:lineRule="auto"/>
        <w:ind w:right="0"/>
        <w:jc w:val="left"/>
        <w:rPr>
          <w:b w:val="0"/>
          <w:bCs w:val="0"/>
        </w:rPr>
      </w:pPr>
      <w:bookmarkStart w:name="18、持有待售资产" w:id="194"/>
      <w:bookmarkEnd w:id="194"/>
      <w:r>
        <w:rPr>
          <w:b w:val="0"/>
          <w:bCs w:val="0"/>
        </w:rPr>
      </w:r>
      <w:r>
        <w:rPr>
          <w:rFonts w:ascii="宋体" w:hAnsi="宋体" w:cs="宋体" w:eastAsia="宋体" w:hint="default"/>
        </w:rPr>
        <w:t>18</w:t>
      </w:r>
      <w:r>
        <w:rPr/>
        <w:t>、持有待售资产</w:t>
      </w:r>
      <w:r>
        <w:rPr>
          <w:b w:val="0"/>
          <w:bCs w:val="0"/>
        </w:rPr>
      </w:r>
    </w:p>
    <w:p>
      <w:pPr>
        <w:spacing w:line="240" w:lineRule="auto" w:before="3"/>
        <w:rPr>
          <w:rFonts w:ascii="宋体" w:hAnsi="宋体" w:cs="宋体" w:eastAsia="宋体" w:hint="default"/>
          <w:b/>
          <w:bCs/>
          <w:sz w:val="29"/>
          <w:szCs w:val="29"/>
        </w:rPr>
      </w:pPr>
    </w:p>
    <w:p>
      <w:pPr>
        <w:pStyle w:val="BodyText"/>
        <w:spacing w:line="314" w:lineRule="auto" w:before="0"/>
        <w:ind w:right="1124" w:firstLine="422"/>
        <w:jc w:val="both"/>
      </w:pPr>
      <w:r>
        <w:rPr>
          <w:rFonts w:ascii="宋体" w:hAnsi="宋体" w:cs="宋体" w:eastAsia="宋体" w:hint="default"/>
          <w:spacing w:val="-2"/>
        </w:rPr>
        <w:t>1.</w:t>
      </w:r>
      <w:r>
        <w:rPr>
          <w:spacing w:val="-2"/>
        </w:rPr>
        <w:t>持有待售资产的分类：主要通过出售（包括具有商业实质的非货币性资产交换，下同）而非持续使</w:t>
      </w:r>
      <w:r>
        <w:rPr>
          <w:w w:val="100"/>
        </w:rPr>
        <w:t> </w:t>
      </w:r>
      <w:r>
        <w:rPr>
          <w:spacing w:val="-2"/>
        </w:rPr>
        <w:t>用一项非流动资产或处置组收回其账面价值的，将其划分为持有待售类别。公司将同时满足下列条件的资</w:t>
      </w:r>
      <w:r>
        <w:rPr>
          <w:spacing w:val="-32"/>
        </w:rPr>
        <w:t> </w:t>
      </w:r>
      <w:r>
        <w:rPr>
          <w:spacing w:val="-32"/>
        </w:rPr>
      </w:r>
      <w:r>
        <w:rPr/>
        <w:t>产划分为持有待售资产：</w:t>
      </w:r>
    </w:p>
    <w:p>
      <w:pPr>
        <w:pStyle w:val="BodyText"/>
        <w:spacing w:line="240" w:lineRule="auto" w:before="15"/>
        <w:ind w:left="575" w:right="0"/>
        <w:jc w:val="left"/>
      </w:pPr>
      <w:r>
        <w:rPr/>
        <w:t>（</w:t>
      </w:r>
      <w:r>
        <w:rPr>
          <w:rFonts w:ascii="宋体" w:hAnsi="宋体" w:cs="宋体" w:eastAsia="宋体" w:hint="default"/>
        </w:rPr>
        <w:t>1</w:t>
      </w:r>
      <w:r>
        <w:rPr/>
        <w:t>）根据类似交易中出售此类资产或处置组的惯例，在当前状况下即可立即出售；</w:t>
      </w:r>
    </w:p>
    <w:p>
      <w:pPr>
        <w:pStyle w:val="BodyText"/>
        <w:spacing w:line="314" w:lineRule="auto" w:before="85"/>
        <w:ind w:right="1135" w:firstLine="422"/>
        <w:jc w:val="both"/>
      </w:pPr>
      <w:r>
        <w:rPr/>
        <w:t>（</w:t>
      </w:r>
      <w:r>
        <w:rPr>
          <w:rFonts w:ascii="宋体" w:hAnsi="宋体" w:cs="宋体" w:eastAsia="宋体" w:hint="default"/>
        </w:rPr>
        <w:t>2</w:t>
      </w:r>
      <w:r>
        <w:rPr/>
        <w:t>）出售极可能发生，即已经就一项出售计划作出决议且获得确定的购买承诺，预计出售将在一年</w:t>
      </w:r>
      <w:r>
        <w:rPr>
          <w:w w:val="100"/>
        </w:rPr>
        <w:t> </w:t>
      </w:r>
      <w:r>
        <w:rPr/>
        <w:t>内完成。有关规定要求公司相关权力机构或者监管部门批准后方可出售的，已经获得批准。</w:t>
      </w:r>
    </w:p>
    <w:p>
      <w:pPr>
        <w:pStyle w:val="BodyText"/>
        <w:spacing w:line="312" w:lineRule="auto"/>
        <w:ind w:right="816" w:firstLine="422"/>
        <w:jc w:val="left"/>
      </w:pPr>
      <w:r>
        <w:rPr>
          <w:spacing w:val="-2"/>
        </w:rPr>
        <w:t>公司专为转售而取得的非流动资产或处置组，在取得日满足“预计出售将在一年内完成”的规定条件，</w:t>
      </w:r>
      <w:r>
        <w:rPr>
          <w:w w:val="100"/>
        </w:rPr>
        <w:t> </w:t>
      </w:r>
      <w:r>
        <w:rPr/>
        <w:t>且短期（通常为</w:t>
      </w:r>
      <w:r>
        <w:rPr>
          <w:rFonts w:ascii="宋体" w:hAnsi="宋体" w:cs="宋体" w:eastAsia="宋体" w:hint="default"/>
        </w:rPr>
        <w:t>3</w:t>
      </w:r>
      <w:r>
        <w:rPr/>
        <w:t>个月）内很可能满足持有待售类别的其他划分条件的，在取得日将其划分为持有待售类</w:t>
      </w:r>
      <w:r>
        <w:rPr>
          <w:spacing w:val="-27"/>
        </w:rPr>
        <w:t> </w:t>
      </w:r>
      <w:r>
        <w:rPr>
          <w:spacing w:val="-27"/>
        </w:rPr>
      </w:r>
      <w:r>
        <w:rPr/>
        <w:t>别。</w:t>
      </w:r>
    </w:p>
    <w:p>
      <w:pPr>
        <w:pStyle w:val="BodyText"/>
        <w:spacing w:line="312" w:lineRule="auto" w:before="22"/>
        <w:ind w:right="0" w:firstLine="422"/>
        <w:jc w:val="left"/>
      </w:pPr>
      <w:r>
        <w:rPr>
          <w:spacing w:val="-2"/>
        </w:rPr>
        <w:t>持有待售的非流动资产或处置组不再满足持有待售类别划分条件的，不继续将其划分为持有待售类别。</w:t>
      </w:r>
      <w:r>
        <w:rPr>
          <w:w w:val="100"/>
        </w:rPr>
        <w:t> </w:t>
      </w:r>
      <w:r>
        <w:rPr/>
        <w:t>部分资产或负债从持有待售的处置组中移除后，处置组中剩余资产或负债新组成的处置组仍然满足持有待</w:t>
      </w:r>
      <w:r>
        <w:rPr>
          <w:w w:val="100"/>
        </w:rPr>
        <w:t> </w:t>
      </w:r>
      <w:r>
        <w:rPr/>
        <w:t>售类别划分条件的，将新组成的处置组划分为持有待售类别，否则将满足持有待售类别划分条件的非流动</w:t>
      </w:r>
      <w:r>
        <w:rPr>
          <w:w w:val="100"/>
        </w:rPr>
        <w:t> </w:t>
      </w:r>
      <w:r>
        <w:rPr/>
        <w:t>资产单独划分为持有待售类别。</w:t>
      </w:r>
    </w:p>
    <w:p>
      <w:pPr>
        <w:pStyle w:val="BodyText"/>
        <w:spacing w:line="312" w:lineRule="auto" w:before="22"/>
        <w:ind w:right="1125" w:firstLine="422"/>
        <w:jc w:val="both"/>
      </w:pPr>
      <w:r>
        <w:rPr>
          <w:rFonts w:ascii="宋体" w:hAnsi="宋体" w:cs="宋体" w:eastAsia="宋体" w:hint="default"/>
          <w:spacing w:val="-2"/>
        </w:rPr>
        <w:t>2.</w:t>
      </w:r>
      <w:r>
        <w:rPr>
          <w:spacing w:val="-2"/>
        </w:rPr>
        <w:t>持有待售资产的计量：初始计量或在资产负债表日重新计量持有待售的非流动资产或处置组时，其</w:t>
      </w:r>
      <w:r>
        <w:rPr>
          <w:w w:val="100"/>
        </w:rPr>
        <w:t> </w:t>
      </w:r>
      <w:r>
        <w:rPr>
          <w:spacing w:val="-2"/>
        </w:rPr>
        <w:t>账面价值高于公允价值减去出售费用后的净额的，将账面价值减记至公允价值减去出售费用后的净额，减</w:t>
      </w:r>
      <w:r>
        <w:rPr>
          <w:spacing w:val="-33"/>
        </w:rPr>
        <w:t> </w:t>
      </w:r>
      <w:r>
        <w:rPr>
          <w:spacing w:val="-33"/>
        </w:rPr>
      </w:r>
      <w:r>
        <w:rPr/>
        <w:t>记的金额确认为资产减值损失，计入当期损益，同时计提持有待售资产减值准备。</w:t>
      </w:r>
    </w:p>
    <w:p>
      <w:pPr>
        <w:pStyle w:val="BodyText"/>
        <w:spacing w:line="312" w:lineRule="auto" w:before="22"/>
        <w:ind w:right="1125" w:firstLine="422"/>
        <w:jc w:val="both"/>
      </w:pPr>
      <w:r>
        <w:rPr>
          <w:spacing w:val="-2"/>
        </w:rPr>
        <w:t>对于取得日划分为持有待售类别的非流动资产或处置组，在初始计量时比较假定其不划分为持有待售</w:t>
      </w:r>
      <w:r>
        <w:rPr>
          <w:w w:val="100"/>
        </w:rPr>
        <w:t> </w:t>
      </w:r>
      <w:r>
        <w:rPr>
          <w:spacing w:val="-2"/>
        </w:rPr>
        <w:t>类别情况下的初始计量金额和公允价值减去出售费用后的净额，以两者孰低计量。除企业合并中取得的非</w:t>
      </w:r>
      <w:r>
        <w:rPr>
          <w:spacing w:val="-33"/>
        </w:rPr>
        <w:t> </w:t>
      </w:r>
      <w:r>
        <w:rPr>
          <w:spacing w:val="-33"/>
        </w:rPr>
      </w:r>
      <w:r>
        <w:rPr>
          <w:spacing w:val="-2"/>
        </w:rPr>
        <w:t>流动资产或处置组外，由非流动资产或处置组以公允价值减去出售费用后的净额作为初始计量金额而产生</w:t>
      </w:r>
      <w:r>
        <w:rPr>
          <w:spacing w:val="-33"/>
        </w:rPr>
        <w:t> </w:t>
      </w:r>
      <w:r>
        <w:rPr>
          <w:spacing w:val="-33"/>
        </w:rPr>
      </w:r>
      <w:r>
        <w:rPr/>
        <w:t>的差额，计入当期损益。</w:t>
      </w:r>
    </w:p>
    <w:p>
      <w:pPr>
        <w:pStyle w:val="BodyText"/>
        <w:spacing w:line="312" w:lineRule="auto" w:before="22"/>
        <w:ind w:right="1123" w:firstLine="422"/>
        <w:jc w:val="both"/>
      </w:pPr>
      <w:r>
        <w:rPr>
          <w:spacing w:val="-2"/>
        </w:rPr>
        <w:t>后续资产负债表日持有待售的非流动资产或处置组公允价值减去出售费用后的净额增加的，以前减记</w:t>
      </w:r>
      <w:r>
        <w:rPr>
          <w:w w:val="100"/>
        </w:rPr>
        <w:t> </w:t>
      </w:r>
      <w:r>
        <w:rPr>
          <w:spacing w:val="-2"/>
        </w:rPr>
        <w:t>的金额予以恢复，并在划分为持有待售类别后确认的资产减值损失金额内转回，转回金额根据处置组中除</w:t>
      </w:r>
      <w:r>
        <w:rPr>
          <w:spacing w:val="-31"/>
        </w:rPr>
        <w:t> </w:t>
      </w:r>
      <w:r>
        <w:rPr>
          <w:spacing w:val="-31"/>
        </w:rPr>
      </w:r>
      <w:r>
        <w:rPr>
          <w:spacing w:val="-2"/>
        </w:rPr>
        <w:t>商誉外的各项非流动资产账面价值所占比重，按比例增加其账面价值，计入当期损益。已抵减的商誉账面</w:t>
      </w:r>
      <w:r>
        <w:rPr>
          <w:spacing w:val="-33"/>
        </w:rPr>
        <w:t> </w:t>
      </w:r>
      <w:r>
        <w:rPr>
          <w:spacing w:val="-33"/>
        </w:rPr>
      </w:r>
      <w:r>
        <w:rPr/>
        <w:t>价值，在划分为持有待售类别前确认的资产减值损失不得转回。</w:t>
      </w:r>
    </w:p>
    <w:p>
      <w:pPr>
        <w:spacing w:after="0" w:line="312" w:lineRule="auto"/>
        <w:jc w:val="both"/>
        <w:sectPr>
          <w:pgSz w:w="11910" w:h="16840"/>
          <w:pgMar w:header="460" w:footer="979" w:top="1060" w:bottom="1160" w:left="980" w:right="0"/>
        </w:sectPr>
      </w:pPr>
    </w:p>
    <w:p>
      <w:pPr>
        <w:spacing w:line="240" w:lineRule="auto" w:before="11"/>
        <w:rPr>
          <w:rFonts w:ascii="宋体" w:hAnsi="宋体" w:cs="宋体" w:eastAsia="宋体" w:hint="default"/>
          <w:sz w:val="25"/>
          <w:szCs w:val="25"/>
        </w:rPr>
      </w:pPr>
    </w:p>
    <w:p>
      <w:pPr>
        <w:pStyle w:val="BodyText"/>
        <w:spacing w:line="314" w:lineRule="auto" w:before="36"/>
        <w:ind w:right="1126" w:firstLine="422"/>
        <w:jc w:val="both"/>
      </w:pPr>
      <w:r>
        <w:rPr>
          <w:spacing w:val="-2"/>
        </w:rPr>
        <w:t>持有待售的非流动资产或处置组中的非流动资产不计提折旧或摊销，持有待售的处置组中负债的利息</w:t>
      </w:r>
      <w:r>
        <w:rPr>
          <w:w w:val="100"/>
        </w:rPr>
        <w:t> </w:t>
      </w:r>
      <w:r>
        <w:rPr/>
        <w:t>和其他费用继续予以确认。</w:t>
      </w:r>
    </w:p>
    <w:p>
      <w:pPr>
        <w:pStyle w:val="BodyText"/>
        <w:spacing w:line="314" w:lineRule="auto" w:before="15"/>
        <w:ind w:right="1129" w:firstLine="422"/>
        <w:jc w:val="both"/>
      </w:pPr>
      <w:r>
        <w:rPr>
          <w:spacing w:val="2"/>
        </w:rPr>
        <w:t>非流动资产或处置组因不再满足持有待售类别的划分条件而不再继续划分为持有待售类别或非流动</w:t>
      </w:r>
      <w:r>
        <w:rPr>
          <w:w w:val="100"/>
        </w:rPr>
        <w:t> </w:t>
      </w:r>
      <w:r>
        <w:rPr/>
        <w:t>资产从持有待售的处置组中移除时，按照以下两者孰低计量：</w:t>
      </w:r>
    </w:p>
    <w:p>
      <w:pPr>
        <w:pStyle w:val="BodyText"/>
        <w:spacing w:line="314" w:lineRule="auto"/>
        <w:ind w:right="1135" w:firstLine="422"/>
        <w:jc w:val="both"/>
      </w:pPr>
      <w:r>
        <w:rPr/>
        <w:t>（</w:t>
      </w:r>
      <w:r>
        <w:rPr>
          <w:rFonts w:ascii="宋体" w:hAnsi="宋体" w:cs="宋体" w:eastAsia="宋体" w:hint="default"/>
        </w:rPr>
        <w:t>1</w:t>
      </w:r>
      <w:r>
        <w:rPr/>
        <w:t>）划分为持有待售类别前的账面价值，按照假定不划分为持有待售类别情况下应确认的折旧、摊</w:t>
      </w:r>
      <w:r>
        <w:rPr>
          <w:w w:val="100"/>
        </w:rPr>
        <w:t> </w:t>
      </w:r>
      <w:r>
        <w:rPr/>
        <w:t>销或减值等进行调整后的金额；</w:t>
      </w:r>
    </w:p>
    <w:p>
      <w:pPr>
        <w:pStyle w:val="BodyText"/>
        <w:spacing w:line="314" w:lineRule="auto" w:before="15"/>
        <w:ind w:right="2115" w:firstLine="422"/>
        <w:jc w:val="left"/>
      </w:pPr>
      <w:r>
        <w:rPr/>
        <w:t>（</w:t>
      </w:r>
      <w:r>
        <w:rPr>
          <w:rFonts w:ascii="宋体" w:hAnsi="宋体" w:cs="宋体" w:eastAsia="宋体" w:hint="default"/>
        </w:rPr>
        <w:t>2</w:t>
      </w:r>
      <w:r>
        <w:rPr/>
        <w:t>）可收回金额。</w:t>
      </w:r>
      <w:r>
        <w:rPr>
          <w:w w:val="100"/>
        </w:rPr>
        <w:t> </w:t>
      </w:r>
      <w:r>
        <w:rPr>
          <w:spacing w:val="-2"/>
        </w:rPr>
        <w:t>终止确认持有待售的非流动资产或处置组时，将尚未确认的利得或损失计入当期损益。</w:t>
      </w:r>
    </w:p>
    <w:p>
      <w:pPr>
        <w:pStyle w:val="BodyText"/>
        <w:spacing w:line="314" w:lineRule="auto"/>
        <w:ind w:right="1004" w:firstLine="528"/>
        <w:jc w:val="left"/>
      </w:pPr>
      <w:r>
        <w:rPr/>
        <w:t>持有待售负债：反映资产负债表日处置组中与划分为持有待售类别的资产直接相关的负债的期末账</w:t>
      </w:r>
      <w:r>
        <w:rPr>
          <w:w w:val="100"/>
        </w:rPr>
        <w:t> </w:t>
      </w:r>
      <w:r>
        <w:rPr/>
        <w:t>面价值。</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19、债权投资" w:id="195"/>
      <w:bookmarkEnd w:id="195"/>
      <w:r>
        <w:rPr>
          <w:b w:val="0"/>
          <w:bCs w:val="0"/>
        </w:rPr>
      </w:r>
      <w:r>
        <w:rPr>
          <w:rFonts w:ascii="宋体" w:hAnsi="宋体" w:cs="宋体" w:eastAsia="宋体" w:hint="default"/>
        </w:rPr>
        <w:t>19</w:t>
      </w:r>
      <w:r>
        <w:rPr/>
        <w:t>、债权投资</w:t>
      </w:r>
      <w:r>
        <w:rPr>
          <w:b w:val="0"/>
          <w:bCs w:val="0"/>
        </w:rPr>
      </w:r>
    </w:p>
    <w:p>
      <w:pPr>
        <w:spacing w:line="240" w:lineRule="auto" w:before="9"/>
        <w:rPr>
          <w:rFonts w:ascii="宋体" w:hAnsi="宋体" w:cs="宋体" w:eastAsia="宋体" w:hint="default"/>
          <w:b/>
          <w:bCs/>
          <w:sz w:val="29"/>
          <w:szCs w:val="29"/>
        </w:rPr>
      </w:pPr>
    </w:p>
    <w:p>
      <w:pPr>
        <w:pStyle w:val="Heading3"/>
        <w:spacing w:line="240" w:lineRule="auto"/>
        <w:ind w:right="0"/>
        <w:jc w:val="left"/>
        <w:rPr>
          <w:b w:val="0"/>
          <w:bCs w:val="0"/>
        </w:rPr>
      </w:pPr>
      <w:bookmarkStart w:name="20、其他债权投资" w:id="196"/>
      <w:bookmarkEnd w:id="196"/>
      <w:r>
        <w:rPr>
          <w:b w:val="0"/>
          <w:bCs w:val="0"/>
        </w:rPr>
      </w:r>
      <w:r>
        <w:rPr>
          <w:rFonts w:ascii="宋体" w:hAnsi="宋体" w:cs="宋体" w:eastAsia="宋体" w:hint="default"/>
        </w:rPr>
        <w:t>20</w:t>
      </w:r>
      <w:r>
        <w:rPr/>
        <w:t>、其他债权投资</w:t>
      </w:r>
      <w:r>
        <w:rPr>
          <w:b w:val="0"/>
          <w:bCs w:val="0"/>
        </w:rPr>
      </w:r>
    </w:p>
    <w:p>
      <w:pPr>
        <w:spacing w:line="240" w:lineRule="auto" w:before="3"/>
        <w:rPr>
          <w:rFonts w:ascii="宋体" w:hAnsi="宋体" w:cs="宋体" w:eastAsia="宋体" w:hint="default"/>
          <w:b/>
          <w:bCs/>
          <w:sz w:val="29"/>
          <w:szCs w:val="29"/>
        </w:rPr>
      </w:pPr>
    </w:p>
    <w:p>
      <w:pPr>
        <w:pStyle w:val="Heading3"/>
        <w:spacing w:line="240" w:lineRule="auto"/>
        <w:ind w:right="0"/>
        <w:jc w:val="left"/>
        <w:rPr>
          <w:b w:val="0"/>
          <w:bCs w:val="0"/>
        </w:rPr>
      </w:pPr>
      <w:bookmarkStart w:name="21、长期应收款" w:id="197"/>
      <w:bookmarkEnd w:id="197"/>
      <w:r>
        <w:rPr>
          <w:b w:val="0"/>
          <w:bCs w:val="0"/>
        </w:rPr>
      </w:r>
      <w:r>
        <w:rPr>
          <w:rFonts w:ascii="宋体" w:hAnsi="宋体" w:cs="宋体" w:eastAsia="宋体" w:hint="default"/>
        </w:rPr>
        <w:t>21</w:t>
      </w:r>
      <w:r>
        <w:rPr/>
        <w:t>、长期应收款</w:t>
      </w:r>
      <w:r>
        <w:rPr>
          <w:b w:val="0"/>
          <w:bCs w:val="0"/>
        </w:rPr>
      </w:r>
    </w:p>
    <w:p>
      <w:pPr>
        <w:pStyle w:val="BodyText"/>
        <w:spacing w:line="650" w:lineRule="atLeast" w:before="12"/>
        <w:ind w:left="575" w:right="0" w:hanging="423"/>
        <w:jc w:val="left"/>
      </w:pPr>
      <w:bookmarkStart w:name="22、长期股权投资" w:id="198"/>
      <w:bookmarkEnd w:id="198"/>
      <w:r>
        <w:rPr/>
      </w:r>
      <w:r>
        <w:rPr>
          <w:rFonts w:ascii="宋体" w:hAnsi="宋体" w:cs="宋体" w:eastAsia="宋体" w:hint="default"/>
          <w:b/>
          <w:bCs/>
        </w:rPr>
        <w:t>22</w:t>
      </w:r>
      <w:r>
        <w:rPr>
          <w:rFonts w:ascii="宋体" w:hAnsi="宋体" w:cs="宋体" w:eastAsia="宋体" w:hint="default"/>
          <w:b/>
          <w:bCs/>
        </w:rPr>
        <w:t>、长期股权投资</w:t>
      </w:r>
      <w:r>
        <w:rPr>
          <w:rFonts w:ascii="宋体" w:hAnsi="宋体" w:cs="宋体" w:eastAsia="宋体" w:hint="default"/>
          <w:b/>
          <w:bCs/>
          <w:spacing w:val="-104"/>
        </w:rPr>
        <w:t> </w:t>
      </w:r>
      <w:r>
        <w:rPr>
          <w:spacing w:val="-2"/>
        </w:rPr>
        <w:t>公司长期股权投资指对被投资方实施控制、重大影响的权益性投资，包括子公司和联营企业，以及对</w:t>
      </w:r>
    </w:p>
    <w:p>
      <w:pPr>
        <w:pStyle w:val="BodyText"/>
        <w:spacing w:line="309" w:lineRule="auto" w:before="85"/>
        <w:ind w:left="575" w:right="6054" w:hanging="423"/>
        <w:jc w:val="left"/>
      </w:pPr>
      <w:r>
        <w:rPr>
          <w:spacing w:val="-2"/>
        </w:rPr>
        <w:t>能够共同控制的合营企业的权益性投资。</w:t>
      </w:r>
      <w:r>
        <w:rPr>
          <w:spacing w:val="-68"/>
        </w:rPr>
        <w:t> </w:t>
      </w:r>
      <w:r>
        <w:rPr>
          <w:spacing w:val="-68"/>
        </w:rPr>
      </w:r>
      <w:r>
        <w:rPr>
          <w:rFonts w:ascii="宋体" w:hAnsi="宋体" w:cs="宋体" w:eastAsia="宋体" w:hint="default"/>
          <w:spacing w:val="-1"/>
        </w:rPr>
        <w:t>1.</w:t>
      </w:r>
      <w:r>
        <w:rPr>
          <w:spacing w:val="-1"/>
        </w:rPr>
        <w:t>长期股权投资初始投资成本的确定</w:t>
      </w:r>
    </w:p>
    <w:p>
      <w:pPr>
        <w:pStyle w:val="BodyText"/>
        <w:spacing w:line="314" w:lineRule="auto" w:before="24"/>
        <w:ind w:right="1122" w:firstLine="422"/>
        <w:jc w:val="both"/>
      </w:pPr>
      <w:r>
        <w:rPr/>
        <w:t>（</w:t>
      </w:r>
      <w:r>
        <w:rPr>
          <w:rFonts w:ascii="宋体" w:hAnsi="宋体" w:cs="宋体" w:eastAsia="宋体" w:hint="default"/>
        </w:rPr>
        <w:t>1</w:t>
      </w:r>
      <w:r>
        <w:rPr/>
        <w:t>）同一控制下企业合并形成的，公司以支付现金、转让非现金资产、承担债务或发行权益性证券</w:t>
      </w:r>
      <w:r>
        <w:rPr>
          <w:w w:val="100"/>
        </w:rPr>
        <w:t> </w:t>
      </w:r>
      <w:r>
        <w:rPr>
          <w:spacing w:val="-2"/>
        </w:rPr>
        <w:t>作为合并对价的，在合并日按照取得被合并方所有者权益在最终控制方合并财务报表中的账面价值的份额</w:t>
      </w:r>
      <w:r>
        <w:rPr>
          <w:spacing w:val="-33"/>
        </w:rPr>
        <w:t> </w:t>
      </w:r>
      <w:r>
        <w:rPr>
          <w:spacing w:val="-33"/>
        </w:rPr>
      </w:r>
      <w:r>
        <w:rPr>
          <w:spacing w:val="-2"/>
        </w:rPr>
        <w:t>作为其初始投资成本。长期股权投资初始投资成本与支付的合并对价的账面价值或发行股份的面值总额之</w:t>
      </w:r>
      <w:r>
        <w:rPr>
          <w:spacing w:val="-33"/>
        </w:rPr>
        <w:t> </w:t>
      </w:r>
      <w:r>
        <w:rPr>
          <w:spacing w:val="-33"/>
        </w:rPr>
      </w:r>
      <w:r>
        <w:rPr>
          <w:spacing w:val="-2"/>
        </w:rPr>
        <w:t>间的差额调整资本公积；资本公积不足冲减的，调整留存收益。合并发生的各项直接相关费用，包括为进</w:t>
      </w:r>
      <w:r>
        <w:rPr>
          <w:spacing w:val="-30"/>
        </w:rPr>
        <w:t> </w:t>
      </w:r>
      <w:r>
        <w:rPr>
          <w:spacing w:val="-30"/>
        </w:rPr>
      </w:r>
      <w:r>
        <w:rPr/>
        <w:t>行合并而支付的审计费用、评估费用、法律服务费用等，于发生时计入当期损益。</w:t>
      </w:r>
    </w:p>
    <w:p>
      <w:pPr>
        <w:pStyle w:val="BodyText"/>
        <w:spacing w:line="314" w:lineRule="auto"/>
        <w:ind w:right="1123" w:firstLine="422"/>
        <w:jc w:val="both"/>
      </w:pPr>
      <w:r>
        <w:rPr/>
        <w:t>（</w:t>
      </w:r>
      <w:r>
        <w:rPr>
          <w:rFonts w:ascii="宋体" w:hAnsi="宋体" w:cs="宋体" w:eastAsia="宋体" w:hint="default"/>
        </w:rPr>
        <w:t>2</w:t>
      </w:r>
      <w:r>
        <w:rPr/>
        <w:t>）非同一控制下企业合并形成的，合并成本为购买日公司为取得对被购买方的控制权而付出的资</w:t>
      </w:r>
      <w:r>
        <w:rPr>
          <w:w w:val="100"/>
        </w:rPr>
        <w:t> </w:t>
      </w:r>
      <w:r>
        <w:rPr>
          <w:spacing w:val="-2"/>
        </w:rPr>
        <w:t>产、发生或承担的负债以及发行的权益性证券的公允价值。其中：①一次交易交换形成的企业合并，合并</w:t>
      </w:r>
      <w:r>
        <w:rPr>
          <w:spacing w:val="-33"/>
        </w:rPr>
        <w:t> </w:t>
      </w:r>
      <w:r>
        <w:rPr>
          <w:spacing w:val="-33"/>
        </w:rPr>
      </w:r>
      <w:r>
        <w:rPr>
          <w:spacing w:val="-2"/>
        </w:rPr>
        <w:t>成本为本公司在购买日为取得对被购买方的控制权而付出的资产、发生或承担的债务、以及发行权益性证</w:t>
      </w:r>
      <w:r>
        <w:rPr>
          <w:spacing w:val="-33"/>
        </w:rPr>
        <w:t> </w:t>
      </w:r>
      <w:r>
        <w:rPr>
          <w:spacing w:val="-33"/>
        </w:rPr>
      </w:r>
      <w:r>
        <w:rPr>
          <w:spacing w:val="-2"/>
        </w:rPr>
        <w:t>券的公允价值；②通过多次交换交易分步实现的企业合并，合并成本为每一次单项交易之和。在合并合同</w:t>
      </w:r>
      <w:r>
        <w:rPr>
          <w:spacing w:val="-33"/>
        </w:rPr>
        <w:t> </w:t>
      </w:r>
      <w:r>
        <w:rPr>
          <w:spacing w:val="-33"/>
        </w:rPr>
      </w:r>
      <w:r>
        <w:rPr>
          <w:spacing w:val="-2"/>
        </w:rPr>
        <w:t>中对可能影响合并成本的未来事项作出约定的，购买日如果估计未来事项很可能发生并且对合并成本的影</w:t>
      </w:r>
      <w:r>
        <w:rPr>
          <w:spacing w:val="-31"/>
        </w:rPr>
        <w:t> </w:t>
      </w:r>
      <w:r>
        <w:rPr>
          <w:spacing w:val="-31"/>
        </w:rPr>
      </w:r>
      <w:r>
        <w:rPr/>
        <w:t>响金额能够可靠计量的，也计入合并成本。</w:t>
      </w:r>
    </w:p>
    <w:p>
      <w:pPr>
        <w:pStyle w:val="BodyText"/>
        <w:spacing w:line="314" w:lineRule="auto" w:before="15"/>
        <w:ind w:right="1125" w:firstLine="422"/>
        <w:jc w:val="both"/>
      </w:pPr>
      <w:r>
        <w:rPr>
          <w:spacing w:val="-2"/>
        </w:rPr>
        <w:t>为进行企业合并发生的各项直接相关费用，于发生时计入当期损益；发行权益性证券或债务性证券的</w:t>
      </w:r>
      <w:r>
        <w:rPr>
          <w:w w:val="100"/>
        </w:rPr>
        <w:t> </w:t>
      </w:r>
      <w:r>
        <w:rPr/>
        <w:t>交易费用，计入权益性证券或债务性证券的初始确认金额。</w:t>
      </w:r>
    </w:p>
    <w:p>
      <w:pPr>
        <w:pStyle w:val="BodyText"/>
        <w:spacing w:line="314" w:lineRule="auto"/>
        <w:ind w:right="1125" w:firstLine="422"/>
        <w:jc w:val="both"/>
      </w:pPr>
      <w:r>
        <w:rPr>
          <w:spacing w:val="-2"/>
        </w:rPr>
        <w:t>对合并成本大于合并中取得的被购买方可辨认净资产公允价值份额的差额，确认为商誉，对取得的被</w:t>
      </w:r>
      <w:r>
        <w:rPr>
          <w:w w:val="100"/>
        </w:rPr>
        <w:t> </w:t>
      </w:r>
      <w:r>
        <w:rPr/>
        <w:t>购买方可辨认净资产公允价值份额大于合并成本的差额，经复核后进入当期损益。</w:t>
      </w:r>
    </w:p>
    <w:p>
      <w:pPr>
        <w:pStyle w:val="BodyText"/>
        <w:spacing w:line="314" w:lineRule="auto" w:before="15"/>
        <w:ind w:right="1119" w:firstLine="422"/>
        <w:jc w:val="both"/>
      </w:pPr>
      <w:r>
        <w:rPr>
          <w:spacing w:val="-2"/>
        </w:rPr>
        <w:t>（</w:t>
      </w:r>
      <w:r>
        <w:rPr>
          <w:rFonts w:ascii="宋体" w:hAnsi="宋体" w:cs="宋体" w:eastAsia="宋体" w:hint="default"/>
          <w:spacing w:val="-2"/>
        </w:rPr>
        <w:t>3</w:t>
      </w:r>
      <w:r>
        <w:rPr>
          <w:spacing w:val="-2"/>
        </w:rPr>
        <w:t>）除企业合并形成以外的</w:t>
      </w:r>
      <w:r>
        <w:rPr>
          <w:rFonts w:ascii="宋体" w:hAnsi="宋体" w:cs="宋体" w:eastAsia="宋体" w:hint="default"/>
          <w:spacing w:val="-2"/>
        </w:rPr>
        <w:t>,</w:t>
      </w:r>
      <w:r>
        <w:rPr>
          <w:spacing w:val="-2"/>
        </w:rPr>
        <w:t>其他方式取得的长期股权投资，按照下列规定确定其初始投资成本：①</w:t>
      </w:r>
      <w:r>
        <w:rPr>
          <w:w w:val="100"/>
        </w:rPr>
        <w:t> </w:t>
      </w:r>
      <w:r>
        <w:rPr>
          <w:spacing w:val="-2"/>
        </w:rPr>
        <w:t>以支付现金取得的长期股权投资，按照实际支付的购买价款作为初始投资成本，包括与取得长期股权投资</w:t>
      </w:r>
    </w:p>
    <w:p>
      <w:pPr>
        <w:spacing w:after="0" w:line="314" w:lineRule="auto"/>
        <w:jc w:val="both"/>
        <w:sectPr>
          <w:pgSz w:w="11910" w:h="16840"/>
          <w:pgMar w:header="460" w:footer="979" w:top="1060" w:bottom="1160" w:left="980" w:right="0"/>
        </w:sectPr>
      </w:pPr>
    </w:p>
    <w:p>
      <w:pPr>
        <w:spacing w:line="240" w:lineRule="auto" w:before="11"/>
        <w:rPr>
          <w:rFonts w:ascii="宋体" w:hAnsi="宋体" w:cs="宋体" w:eastAsia="宋体" w:hint="default"/>
          <w:sz w:val="25"/>
          <w:szCs w:val="25"/>
        </w:rPr>
      </w:pPr>
    </w:p>
    <w:p>
      <w:pPr>
        <w:pStyle w:val="BodyText"/>
        <w:spacing w:line="314" w:lineRule="auto" w:before="36"/>
        <w:ind w:right="1125"/>
        <w:jc w:val="both"/>
      </w:pPr>
      <w:r>
        <w:rPr>
          <w:spacing w:val="-2"/>
        </w:rPr>
        <w:t>直接相关的费用、税金及其他必要支出；②以发行权益性证券取得的长期股权投资，按照发行权益性证券</w:t>
      </w:r>
      <w:r>
        <w:rPr>
          <w:spacing w:val="-33"/>
        </w:rPr>
        <w:t> </w:t>
      </w:r>
      <w:r>
        <w:rPr>
          <w:spacing w:val="-33"/>
        </w:rPr>
      </w:r>
      <w:r>
        <w:rPr>
          <w:spacing w:val="-2"/>
        </w:rPr>
        <w:t>的公允价值作为初始投资成本；③投资者投入的长期股权投资，按照投资合同或协议约定的价值（扣除已</w:t>
      </w:r>
      <w:r>
        <w:rPr>
          <w:spacing w:val="-33"/>
        </w:rPr>
        <w:t> </w:t>
      </w:r>
      <w:r>
        <w:rPr>
          <w:spacing w:val="-33"/>
        </w:rPr>
      </w:r>
      <w:r>
        <w:rPr>
          <w:spacing w:val="-2"/>
        </w:rPr>
        <w:t>宣告但尚未发放的现金股利或利润）作为初始投资成本，但合同或协议约定价值不公允的除外；④在非货</w:t>
      </w:r>
      <w:r>
        <w:rPr>
          <w:spacing w:val="-33"/>
        </w:rPr>
        <w:t> </w:t>
      </w:r>
      <w:r>
        <w:rPr>
          <w:spacing w:val="-33"/>
        </w:rPr>
      </w:r>
      <w:r>
        <w:rPr>
          <w:spacing w:val="-2"/>
        </w:rPr>
        <w:t>币性资产交换具备商业实质和换入资产或换出资产的公允价值能够可靠计量的前提下，通过非货币性资产</w:t>
      </w:r>
      <w:r>
        <w:rPr>
          <w:spacing w:val="-33"/>
        </w:rPr>
        <w:t> </w:t>
      </w:r>
      <w:r>
        <w:rPr>
          <w:spacing w:val="-33"/>
        </w:rPr>
      </w:r>
      <w:r>
        <w:rPr>
          <w:spacing w:val="-2"/>
        </w:rPr>
        <w:t>交换取得的长期股权投资，其初始投资成本以换出资产的公允价值为基础确定其初始投资成本，除非有确</w:t>
      </w:r>
      <w:r>
        <w:rPr>
          <w:spacing w:val="-33"/>
        </w:rPr>
        <w:t> </w:t>
      </w:r>
      <w:r>
        <w:rPr>
          <w:spacing w:val="-33"/>
        </w:rPr>
      </w:r>
      <w:r>
        <w:rPr>
          <w:spacing w:val="-2"/>
        </w:rPr>
        <w:t>凿证据表明换入资产的公允价值更加可靠；不满足上述前提的非货币性资产交换，以换出资产的账面价值</w:t>
      </w:r>
      <w:r>
        <w:rPr>
          <w:spacing w:val="-33"/>
        </w:rPr>
        <w:t> </w:t>
      </w:r>
      <w:r>
        <w:rPr>
          <w:spacing w:val="-33"/>
        </w:rPr>
      </w:r>
      <w:r>
        <w:rPr>
          <w:spacing w:val="-2"/>
        </w:rPr>
        <w:t>和应支付的相关税费作为换入长期股权投资的初始投资成本；⑤通过债务重组取得的长期股权投资，其初</w:t>
      </w:r>
      <w:r>
        <w:rPr>
          <w:spacing w:val="-33"/>
        </w:rPr>
        <w:t> </w:t>
      </w:r>
      <w:r>
        <w:rPr>
          <w:spacing w:val="-33"/>
        </w:rPr>
      </w:r>
      <w:r>
        <w:rPr/>
        <w:t>始投资成本按照债务重组准则确定。</w:t>
      </w:r>
    </w:p>
    <w:p>
      <w:pPr>
        <w:pStyle w:val="BodyText"/>
        <w:spacing w:line="240" w:lineRule="auto"/>
        <w:ind w:left="575" w:right="0"/>
        <w:jc w:val="left"/>
      </w:pPr>
      <w:r>
        <w:rPr>
          <w:rFonts w:ascii="宋体" w:hAnsi="宋体" w:cs="宋体" w:eastAsia="宋体" w:hint="default"/>
        </w:rPr>
        <w:t>2.</w:t>
      </w:r>
      <w:r>
        <w:rPr/>
        <w:t>长期投资后续计量及收益确认</w:t>
      </w:r>
    </w:p>
    <w:p>
      <w:pPr>
        <w:pStyle w:val="BodyText"/>
        <w:spacing w:line="309" w:lineRule="auto" w:before="85"/>
        <w:ind w:left="575" w:right="0"/>
        <w:jc w:val="left"/>
      </w:pPr>
      <w:r>
        <w:rPr/>
        <w:t>（</w:t>
      </w:r>
      <w:r>
        <w:rPr>
          <w:rFonts w:ascii="宋体" w:hAnsi="宋体" w:cs="宋体" w:eastAsia="宋体" w:hint="default"/>
        </w:rPr>
        <w:t>1</w:t>
      </w:r>
      <w:r>
        <w:rPr/>
        <w:t>）后续计量</w:t>
      </w:r>
      <w:r>
        <w:rPr>
          <w:spacing w:val="-103"/>
        </w:rPr>
        <w:t> </w:t>
      </w:r>
      <w:r>
        <w:rPr>
          <w:spacing w:val="-103"/>
        </w:rPr>
      </w:r>
      <w:r>
        <w:rPr>
          <w:spacing w:val="-2"/>
        </w:rPr>
        <w:t>本公司对能够对被投资单位实施控制的长期股权投资采用成本法核算，在编制合并财务报表时按照权</w:t>
      </w:r>
    </w:p>
    <w:p>
      <w:pPr>
        <w:pStyle w:val="BodyText"/>
        <w:spacing w:line="314" w:lineRule="auto" w:before="24"/>
        <w:ind w:left="575" w:right="0" w:hanging="423"/>
        <w:jc w:val="left"/>
      </w:pPr>
      <w:r>
        <w:rPr/>
        <w:t>益法进行调整；对具有共同控制或重大影响的长期股权投资，采用权益法核算。</w:t>
      </w:r>
      <w:r>
        <w:rPr>
          <w:w w:val="100"/>
        </w:rPr>
        <w:t> </w:t>
      </w:r>
      <w:r>
        <w:rPr>
          <w:spacing w:val="-2"/>
        </w:rPr>
        <w:t>初始投资成本大于投资时应享有被投资单位可辨认净资产公允价值份额的差额，不调整长期股权投资</w:t>
      </w:r>
    </w:p>
    <w:p>
      <w:pPr>
        <w:pStyle w:val="BodyText"/>
        <w:spacing w:line="309" w:lineRule="auto"/>
        <w:ind w:right="1125"/>
        <w:jc w:val="both"/>
      </w:pPr>
      <w:r>
        <w:rPr>
          <w:spacing w:val="-2"/>
        </w:rPr>
        <w:t>的初始投资成本；初始投资成本小于投资时应享有被投资单位可辨认净资产公允价值份额的差额，计入当</w:t>
      </w:r>
      <w:r>
        <w:rPr>
          <w:spacing w:val="-33"/>
        </w:rPr>
        <w:t> </w:t>
      </w:r>
      <w:r>
        <w:rPr>
          <w:spacing w:val="-33"/>
        </w:rPr>
      </w:r>
      <w:r>
        <w:rPr/>
        <w:t>期损益。</w:t>
      </w:r>
    </w:p>
    <w:p>
      <w:pPr>
        <w:pStyle w:val="BodyText"/>
        <w:spacing w:line="314" w:lineRule="auto" w:before="24"/>
        <w:ind w:right="1125" w:firstLine="422"/>
        <w:jc w:val="both"/>
      </w:pPr>
      <w:r>
        <w:rPr>
          <w:spacing w:val="-2"/>
        </w:rPr>
        <w:t>被投资单位除净损益以外所有者权益其他变动的处理：对于被投资单位除净损益以外所有者权益的其</w:t>
      </w:r>
      <w:r>
        <w:rPr>
          <w:w w:val="100"/>
        </w:rPr>
        <w:t> </w:t>
      </w:r>
      <w:r>
        <w:rPr>
          <w:spacing w:val="-2"/>
        </w:rPr>
        <w:t>他变动，在持股比例不变的情况下，公司按照持股比例计算应享有或承担的部分，调整长期股权投资的账</w:t>
      </w:r>
      <w:r>
        <w:rPr>
          <w:spacing w:val="-33"/>
        </w:rPr>
        <w:t> </w:t>
      </w:r>
      <w:r>
        <w:rPr>
          <w:spacing w:val="-33"/>
        </w:rPr>
      </w:r>
      <w:r>
        <w:rPr/>
        <w:t>面价值，同时增加或减少资本公积（其他资本公积）。</w:t>
      </w:r>
    </w:p>
    <w:p>
      <w:pPr>
        <w:pStyle w:val="BodyText"/>
        <w:spacing w:line="314" w:lineRule="auto" w:before="15"/>
        <w:ind w:left="575" w:right="0"/>
        <w:jc w:val="left"/>
      </w:pPr>
      <w:r>
        <w:rPr/>
        <w:t>（</w:t>
      </w:r>
      <w:r>
        <w:rPr>
          <w:rFonts w:ascii="宋体" w:hAnsi="宋体" w:cs="宋体" w:eastAsia="宋体" w:hint="default"/>
        </w:rPr>
        <w:t>2</w:t>
      </w:r>
      <w:r>
        <w:rPr/>
        <w:t>）损益确认</w:t>
      </w:r>
      <w:r>
        <w:rPr>
          <w:spacing w:val="-103"/>
        </w:rPr>
        <w:t> </w:t>
      </w:r>
      <w:r>
        <w:rPr>
          <w:spacing w:val="-103"/>
        </w:rPr>
      </w:r>
      <w:r>
        <w:rPr>
          <w:spacing w:val="-2"/>
        </w:rPr>
        <w:t>成本法下，自</w:t>
      </w:r>
      <w:r>
        <w:rPr>
          <w:rFonts w:ascii="宋体" w:hAnsi="宋体" w:cs="宋体" w:eastAsia="宋体" w:hint="default"/>
          <w:spacing w:val="-2"/>
        </w:rPr>
        <w:t>2009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日起，除取得投资时实际支付的价款或对价中包含的已宣告但尚未发放的现</w:t>
      </w:r>
    </w:p>
    <w:p>
      <w:pPr>
        <w:pStyle w:val="BodyText"/>
        <w:spacing w:line="314" w:lineRule="auto"/>
        <w:ind w:right="1125"/>
        <w:jc w:val="both"/>
      </w:pPr>
      <w:r>
        <w:rPr>
          <w:spacing w:val="-2"/>
        </w:rPr>
        <w:t>金股利或利润外，公司按照享有被投资单位宣告发放的现金股利或利润确认投资收益，不再划分是否属于</w:t>
      </w:r>
      <w:r>
        <w:rPr>
          <w:spacing w:val="-33"/>
        </w:rPr>
        <w:t> </w:t>
      </w:r>
      <w:r>
        <w:rPr>
          <w:spacing w:val="-33"/>
        </w:rPr>
      </w:r>
      <w:r>
        <w:rPr/>
        <w:t>投资前和投资后被投资单位实现的净利润。</w:t>
      </w:r>
    </w:p>
    <w:p>
      <w:pPr>
        <w:pStyle w:val="BodyText"/>
        <w:spacing w:line="314" w:lineRule="auto" w:before="15"/>
        <w:ind w:right="1126" w:firstLine="422"/>
        <w:jc w:val="both"/>
      </w:pPr>
      <w:r>
        <w:rPr>
          <w:spacing w:val="-2"/>
        </w:rPr>
        <w:t>在本公司按照上述规定确认自被投资单位应分得的现金股利或利润后，会考虑长期股权投资是否发生</w:t>
      </w:r>
      <w:r>
        <w:rPr>
          <w:w w:val="100"/>
        </w:rPr>
        <w:t> </w:t>
      </w:r>
      <w:r>
        <w:rPr/>
        <w:t>减值。</w:t>
      </w:r>
    </w:p>
    <w:p>
      <w:pPr>
        <w:pStyle w:val="BodyText"/>
        <w:spacing w:line="312" w:lineRule="auto"/>
        <w:ind w:right="1121" w:firstLine="422"/>
        <w:jc w:val="both"/>
      </w:pPr>
      <w:r>
        <w:rPr>
          <w:spacing w:val="-2"/>
        </w:rPr>
        <w:t>权益法下，以取得被投资单位股权后，在计算投资收益时按本公司的会计政策及会计期间对被投资单</w:t>
      </w:r>
      <w:r>
        <w:rPr>
          <w:w w:val="100"/>
        </w:rPr>
        <w:t> </w:t>
      </w:r>
      <w:r>
        <w:rPr>
          <w:spacing w:val="-2"/>
        </w:rPr>
        <w:t>位报表进行调整，同时抵消本公司与联营企业、合营企业之间发生的内部交易，计算本公司应享有或分担</w:t>
      </w:r>
      <w:r>
        <w:rPr>
          <w:spacing w:val="-33"/>
        </w:rPr>
        <w:t> </w:t>
      </w:r>
      <w:r>
        <w:rPr>
          <w:spacing w:val="-33"/>
        </w:rPr>
      </w:r>
      <w:r>
        <w:rPr/>
        <w:t>的部分。以计算后的净损益为基础确认投资收益，并调整长期股权投资的账面价值。</w:t>
      </w:r>
    </w:p>
    <w:p>
      <w:pPr>
        <w:pStyle w:val="BodyText"/>
        <w:spacing w:line="312" w:lineRule="auto" w:before="22"/>
        <w:ind w:right="1120" w:firstLine="422"/>
        <w:jc w:val="both"/>
      </w:pPr>
      <w:r>
        <w:rPr>
          <w:spacing w:val="-2"/>
        </w:rPr>
        <w:t>在公司确认应分担被投资单位发生的亏损时，按照以下顺序进行处理：首先，冲减长期股权投资的账</w:t>
      </w:r>
      <w:r>
        <w:rPr>
          <w:w w:val="100"/>
        </w:rPr>
        <w:t> </w:t>
      </w:r>
      <w:r>
        <w:rPr>
          <w:spacing w:val="-2"/>
        </w:rPr>
        <w:t>面价值。其次，长期股权投资的账面价值不足以冲减的，以其他实质上构成对被投资单位净投资的长期权</w:t>
      </w:r>
      <w:r>
        <w:rPr>
          <w:spacing w:val="-33"/>
        </w:rPr>
        <w:t> </w:t>
      </w:r>
      <w:r>
        <w:rPr>
          <w:spacing w:val="-33"/>
        </w:rPr>
      </w:r>
      <w:r>
        <w:rPr>
          <w:spacing w:val="-2"/>
        </w:rPr>
        <w:t>益账面价值为限继续确认投资损失，冲减长期应收项目等的账面价值。最后，经过上述处理，按照投资合</w:t>
      </w:r>
      <w:r>
        <w:rPr>
          <w:spacing w:val="-33"/>
        </w:rPr>
        <w:t> </w:t>
      </w:r>
      <w:r>
        <w:rPr>
          <w:spacing w:val="-33"/>
        </w:rPr>
      </w:r>
      <w:r>
        <w:rPr/>
        <w:t>同或协议约定企业仍承担额外义务的，按预计承担的义务确认预计负债，计入当期投资损失。</w:t>
      </w:r>
    </w:p>
    <w:p>
      <w:pPr>
        <w:pStyle w:val="BodyText"/>
        <w:spacing w:line="314" w:lineRule="auto" w:before="22"/>
        <w:ind w:right="1120" w:firstLine="422"/>
        <w:jc w:val="both"/>
      </w:pPr>
      <w:r>
        <w:rPr>
          <w:spacing w:val="-2"/>
        </w:rPr>
        <w:t>被投资单位以后期间实现盈利的，公司在扣除未确认的亏损分担额后，按与上述相反的顺序处理，减</w:t>
      </w:r>
      <w:r>
        <w:rPr>
          <w:w w:val="100"/>
        </w:rPr>
        <w:t> </w:t>
      </w:r>
      <w:r>
        <w:rPr>
          <w:spacing w:val="-2"/>
        </w:rPr>
        <w:t>记已确认预计负债的账面余额、恢复其他实质上构成对被投资单位净投资的长期权益及长期股权投资的账</w:t>
      </w:r>
      <w:r>
        <w:rPr>
          <w:spacing w:val="-32"/>
        </w:rPr>
        <w:t> </w:t>
      </w:r>
      <w:r>
        <w:rPr>
          <w:spacing w:val="-32"/>
        </w:rPr>
      </w:r>
      <w:r>
        <w:rPr/>
        <w:t>面价值，同时确认投资收益。</w:t>
      </w:r>
    </w:p>
    <w:p>
      <w:pPr>
        <w:pStyle w:val="BodyText"/>
        <w:spacing w:line="314" w:lineRule="auto" w:before="15"/>
        <w:ind w:left="575" w:right="0"/>
        <w:jc w:val="left"/>
      </w:pPr>
      <w:r>
        <w:rPr>
          <w:rFonts w:ascii="宋体" w:hAnsi="宋体" w:cs="宋体" w:eastAsia="宋体" w:hint="default"/>
        </w:rPr>
        <w:t>3.</w:t>
      </w:r>
      <w:r>
        <w:rPr/>
        <w:t>被投资单位具有共同控制、重大影响的依据</w:t>
      </w:r>
      <w:r>
        <w:rPr>
          <w:spacing w:val="-101"/>
        </w:rPr>
        <w:t> </w:t>
      </w:r>
      <w:r>
        <w:rPr>
          <w:spacing w:val="-101"/>
        </w:rPr>
      </w:r>
      <w:r>
        <w:rPr>
          <w:spacing w:val="-2"/>
        </w:rPr>
        <w:t>按照合同约定对某项经济活动所共有的控制，仅在与该项经济活动相关的重要财务和经营决策需要分</w:t>
      </w:r>
    </w:p>
    <w:p>
      <w:pPr>
        <w:pStyle w:val="BodyText"/>
        <w:spacing w:line="312" w:lineRule="auto"/>
        <w:ind w:right="1125"/>
        <w:jc w:val="both"/>
      </w:pPr>
      <w:r>
        <w:rPr>
          <w:spacing w:val="-2"/>
        </w:rPr>
        <w:t>享控制权的投资方一致同意时存在，则视为与其他方对被投资单位实施共同控制；对一个企业的财务和经</w:t>
      </w:r>
      <w:r>
        <w:rPr>
          <w:spacing w:val="-33"/>
        </w:rPr>
        <w:t> </w:t>
      </w:r>
      <w:r>
        <w:rPr>
          <w:spacing w:val="-33"/>
        </w:rPr>
      </w:r>
      <w:r>
        <w:rPr>
          <w:spacing w:val="-2"/>
        </w:rPr>
        <w:t>营决策有参与决策的权力，但并不能够控制或者与其他方一起共同控制这些政策的制定，则视为投资企业</w:t>
      </w:r>
      <w:r>
        <w:rPr>
          <w:spacing w:val="-33"/>
        </w:rPr>
        <w:t> </w:t>
      </w:r>
      <w:r>
        <w:rPr>
          <w:spacing w:val="-33"/>
        </w:rPr>
      </w:r>
      <w:r>
        <w:rPr/>
        <w:t>能够对被投资单位施加重大影响。</w:t>
      </w:r>
    </w:p>
    <w:p>
      <w:pPr>
        <w:spacing w:after="0" w:line="312" w:lineRule="auto"/>
        <w:jc w:val="both"/>
        <w:sectPr>
          <w:pgSz w:w="11910" w:h="16840"/>
          <w:pgMar w:header="460" w:footer="979" w:top="1060" w:bottom="1160" w:left="980" w:right="0"/>
        </w:sectPr>
      </w:pPr>
    </w:p>
    <w:p>
      <w:pPr>
        <w:spacing w:line="240" w:lineRule="auto" w:before="11"/>
        <w:rPr>
          <w:rFonts w:ascii="宋体" w:hAnsi="宋体" w:cs="宋体" w:eastAsia="宋体" w:hint="default"/>
          <w:sz w:val="25"/>
          <w:szCs w:val="25"/>
        </w:rPr>
      </w:pPr>
    </w:p>
    <w:p>
      <w:pPr>
        <w:pStyle w:val="BodyText"/>
        <w:spacing w:line="314" w:lineRule="auto" w:before="36"/>
        <w:ind w:left="575" w:right="0"/>
        <w:jc w:val="left"/>
      </w:pPr>
      <w:r>
        <w:rPr>
          <w:rFonts w:ascii="宋体" w:hAnsi="宋体" w:cs="宋体" w:eastAsia="宋体" w:hint="default"/>
        </w:rPr>
        <w:t>4.</w:t>
      </w:r>
      <w:r>
        <w:rPr/>
        <w:t>长期投资减值的确认</w:t>
      </w:r>
      <w:r>
        <w:rPr>
          <w:w w:val="100"/>
        </w:rPr>
        <w:t> </w:t>
      </w:r>
      <w:r>
        <w:rPr>
          <w:spacing w:val="-2"/>
        </w:rPr>
        <w:t>本公司在资产负债表日对长期股权投资进行逐项检查，根据被投资单位经营政策、法律环境、市场需</w:t>
      </w:r>
    </w:p>
    <w:p>
      <w:pPr>
        <w:pStyle w:val="BodyText"/>
        <w:spacing w:line="314" w:lineRule="auto" w:before="15"/>
        <w:ind w:left="575" w:right="0" w:hanging="423"/>
        <w:jc w:val="left"/>
      </w:pPr>
      <w:r>
        <w:rPr/>
        <w:t>求、行业及盈利能力等各种变化判断长期股权投资是否存在减值迹象。</w:t>
      </w:r>
      <w:r>
        <w:rPr>
          <w:spacing w:val="-103"/>
        </w:rPr>
        <w:t> </w:t>
      </w:r>
      <w:r>
        <w:rPr>
          <w:spacing w:val="-103"/>
        </w:rPr>
      </w:r>
      <w:r>
        <w:rPr>
          <w:spacing w:val="-2"/>
        </w:rPr>
        <w:t>除因企业合并形成的商誉以外的存在减值迹象的其他长期股权投资，如果可收回金额的计量结果表明，</w:t>
      </w:r>
    </w:p>
    <w:p>
      <w:pPr>
        <w:pStyle w:val="BodyText"/>
        <w:spacing w:line="312" w:lineRule="auto"/>
        <w:ind w:left="575" w:right="0" w:hanging="423"/>
        <w:jc w:val="left"/>
      </w:pPr>
      <w:r>
        <w:rPr/>
        <w:t>该长期股权投资的可收回金额低于其账面价值的，将差额确认为减值损失。</w:t>
      </w:r>
      <w:r>
        <w:rPr>
          <w:w w:val="100"/>
        </w:rPr>
        <w:t> </w:t>
      </w:r>
      <w:r>
        <w:rPr/>
        <w:t>因企业合并形成的商誉，无论是否存在减值迹象，每年都进行减值测试。</w:t>
      </w:r>
      <w:r>
        <w:rPr>
          <w:w w:val="100"/>
        </w:rPr>
        <w:t> </w:t>
      </w:r>
      <w:r>
        <w:rPr/>
        <w:t>长期股权投资减值损失一经确认，不再转回。</w:t>
      </w:r>
      <w:r>
        <w:rPr>
          <w:w w:val="100"/>
        </w:rPr>
        <w:t> </w:t>
      </w:r>
      <w:r>
        <w:rPr>
          <w:rFonts w:ascii="宋体" w:hAnsi="宋体" w:cs="宋体" w:eastAsia="宋体" w:hint="default"/>
          <w:spacing w:val="-2"/>
        </w:rPr>
        <w:t>5.</w:t>
      </w:r>
      <w:r>
        <w:rPr>
          <w:spacing w:val="-2"/>
        </w:rPr>
        <w:t>处置长期股权投资，其账面价值与实际取得价款的差额，应当计入当期损益。采用权益法核算的长</w:t>
      </w:r>
    </w:p>
    <w:p>
      <w:pPr>
        <w:pStyle w:val="BodyText"/>
        <w:spacing w:line="314" w:lineRule="auto" w:before="22"/>
        <w:ind w:right="0"/>
        <w:jc w:val="left"/>
      </w:pPr>
      <w:r>
        <w:rPr>
          <w:spacing w:val="-2"/>
        </w:rPr>
        <w:t>期股权投资，因被投资单位除净损益以外所有者权益的其他变动而计入所有者权益的，处置该项投资时应</w:t>
      </w:r>
      <w:r>
        <w:rPr>
          <w:spacing w:val="-31"/>
        </w:rPr>
        <w:t> </w:t>
      </w:r>
      <w:r>
        <w:rPr>
          <w:spacing w:val="-31"/>
        </w:rPr>
      </w:r>
      <w:r>
        <w:rPr/>
        <w:t>当将原计入所有者权益的部分按相应比例转入当期损益。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76" w:lineRule="auto" w:before="150"/>
        <w:ind w:left="153" w:right="8661" w:firstLine="0"/>
        <w:jc w:val="left"/>
        <w:rPr>
          <w:rFonts w:ascii="宋体" w:hAnsi="宋体" w:cs="宋体" w:eastAsia="宋体" w:hint="default"/>
          <w:sz w:val="21"/>
          <w:szCs w:val="21"/>
        </w:rPr>
      </w:pPr>
      <w:bookmarkStart w:name="23、投资性房地产" w:id="199"/>
      <w:bookmarkEnd w:id="199"/>
      <w:r>
        <w:rPr/>
      </w:r>
      <w:r>
        <w:rPr>
          <w:rFonts w:ascii="宋体" w:hAnsi="宋体" w:cs="宋体" w:eastAsia="宋体" w:hint="default"/>
          <w:b/>
          <w:bCs/>
          <w:sz w:val="21"/>
          <w:szCs w:val="21"/>
        </w:rPr>
        <w:t>23</w:t>
      </w:r>
      <w:r>
        <w:rPr>
          <w:rFonts w:ascii="宋体" w:hAnsi="宋体" w:cs="宋体" w:eastAsia="宋体" w:hint="default"/>
          <w:b/>
          <w:bCs/>
          <w:sz w:val="21"/>
          <w:szCs w:val="21"/>
        </w:rPr>
        <w:t>、投资性房地产</w:t>
      </w:r>
      <w:r>
        <w:rPr>
          <w:rFonts w:ascii="宋体" w:hAnsi="宋体" w:cs="宋体" w:eastAsia="宋体" w:hint="default"/>
          <w:b/>
          <w:bCs/>
          <w:spacing w:val="-104"/>
          <w:sz w:val="21"/>
          <w:szCs w:val="21"/>
        </w:rPr>
        <w:t> </w:t>
      </w:r>
      <w:r>
        <w:rPr>
          <w:rFonts w:ascii="宋体" w:hAnsi="宋体" w:cs="宋体" w:eastAsia="宋体" w:hint="default"/>
          <w:spacing w:val="-1"/>
          <w:sz w:val="21"/>
          <w:szCs w:val="21"/>
        </w:rPr>
        <w:t>投资性房地产计量模式</w:t>
      </w:r>
      <w:r>
        <w:rPr>
          <w:rFonts w:ascii="宋体" w:hAnsi="宋体" w:cs="宋体" w:eastAsia="宋体" w:hint="default"/>
          <w:spacing w:val="-93"/>
          <w:sz w:val="21"/>
          <w:szCs w:val="21"/>
        </w:rPr>
        <w:t> </w:t>
      </w:r>
      <w:r>
        <w:rPr>
          <w:rFonts w:ascii="宋体" w:hAnsi="宋体" w:cs="宋体" w:eastAsia="宋体" w:hint="default"/>
          <w:spacing w:val="-93"/>
          <w:sz w:val="21"/>
          <w:szCs w:val="21"/>
        </w:rPr>
      </w:r>
      <w:bookmarkStart w:name="24、固定资产" w:id="200"/>
      <w:bookmarkEnd w:id="200"/>
      <w:r>
        <w:rPr>
          <w:rFonts w:ascii="宋体" w:hAnsi="宋体" w:cs="宋体" w:eastAsia="宋体" w:hint="default"/>
          <w:spacing w:val="-93"/>
          <w:sz w:val="21"/>
          <w:szCs w:val="21"/>
        </w:rPr>
      </w:r>
      <w:r>
        <w:rPr>
          <w:rFonts w:ascii="宋体" w:hAnsi="宋体" w:cs="宋体" w:eastAsia="宋体" w:hint="default"/>
          <w:b/>
          <w:bCs/>
          <w:sz w:val="21"/>
          <w:szCs w:val="21"/>
        </w:rPr>
        <w:t>24</w:t>
      </w:r>
      <w:r>
        <w:rPr>
          <w:rFonts w:ascii="宋体" w:hAnsi="宋体" w:cs="宋体" w:eastAsia="宋体" w:hint="default"/>
          <w:b/>
          <w:bCs/>
          <w:sz w:val="21"/>
          <w:szCs w:val="21"/>
        </w:rPr>
        <w:t>、固定资产</w:t>
      </w:r>
      <w:r>
        <w:rPr>
          <w:rFonts w:ascii="宋体" w:hAnsi="宋体" w:cs="宋体" w:eastAsia="宋体" w:hint="default"/>
          <w:sz w:val="21"/>
          <w:szCs w:val="21"/>
        </w:rPr>
      </w:r>
    </w:p>
    <w:p>
      <w:pPr>
        <w:pStyle w:val="Heading3"/>
        <w:spacing w:line="240" w:lineRule="auto" w:before="89"/>
        <w:ind w:right="0"/>
        <w:jc w:val="left"/>
        <w:rPr>
          <w:b w:val="0"/>
          <w:bCs w:val="0"/>
        </w:rPr>
      </w:pPr>
      <w:bookmarkStart w:name="（1）确认条件" w:id="201"/>
      <w:bookmarkEnd w:id="201"/>
      <w:r>
        <w:rPr>
          <w:b w:val="0"/>
          <w:bCs w:val="0"/>
        </w:rPr>
      </w:r>
      <w:r>
        <w:rPr/>
        <w:t>（</w:t>
      </w:r>
      <w:r>
        <w:rPr>
          <w:rFonts w:ascii="宋体" w:hAnsi="宋体" w:cs="宋体" w:eastAsia="宋体" w:hint="default"/>
        </w:rPr>
        <w:t>1</w:t>
      </w:r>
      <w:r>
        <w:rPr/>
        <w:t>）确认条件</w:t>
      </w:r>
      <w:r>
        <w:rPr>
          <w:b w:val="0"/>
          <w:bCs w:val="0"/>
        </w:rPr>
      </w:r>
    </w:p>
    <w:p>
      <w:pPr>
        <w:spacing w:line="240" w:lineRule="auto" w:before="8"/>
        <w:rPr>
          <w:rFonts w:ascii="宋体" w:hAnsi="宋体" w:cs="宋体" w:eastAsia="宋体" w:hint="default"/>
          <w:b/>
          <w:bCs/>
          <w:sz w:val="29"/>
          <w:szCs w:val="29"/>
        </w:rPr>
      </w:pPr>
    </w:p>
    <w:p>
      <w:pPr>
        <w:pStyle w:val="BodyText"/>
        <w:spacing w:line="314" w:lineRule="auto" w:before="0"/>
        <w:ind w:right="0"/>
        <w:jc w:val="left"/>
      </w:pPr>
      <w:r>
        <w:rPr/>
        <w:t>固定资产是指为生产商品、提供劳务、出租或经营管理持有的，使用寿命超过一个会计年度的有形资产；</w:t>
      </w:r>
      <w:r>
        <w:rPr>
          <w:spacing w:val="-33"/>
        </w:rPr>
        <w:t> </w:t>
      </w:r>
      <w:r>
        <w:rPr>
          <w:spacing w:val="-33"/>
        </w:rPr>
      </w:r>
      <w:r>
        <w:rPr/>
        <w:t>同时与该固定资产有关的经济利益很可能流入企业，该固定资产的成本能够可靠地计量。</w:t>
      </w:r>
    </w:p>
    <w:p>
      <w:pPr>
        <w:spacing w:line="240" w:lineRule="auto" w:before="4"/>
        <w:rPr>
          <w:rFonts w:ascii="宋体" w:hAnsi="宋体" w:cs="宋体" w:eastAsia="宋体" w:hint="default"/>
          <w:sz w:val="24"/>
          <w:szCs w:val="24"/>
        </w:rPr>
      </w:pPr>
    </w:p>
    <w:p>
      <w:pPr>
        <w:pStyle w:val="Heading3"/>
        <w:spacing w:line="240" w:lineRule="auto"/>
        <w:ind w:right="0"/>
        <w:jc w:val="left"/>
        <w:rPr>
          <w:b w:val="0"/>
          <w:bCs w:val="0"/>
        </w:rPr>
      </w:pPr>
      <w:bookmarkStart w:name="（2）折旧方法" w:id="202"/>
      <w:bookmarkEnd w:id="202"/>
      <w:r>
        <w:rPr>
          <w:b w:val="0"/>
          <w:bCs w:val="0"/>
        </w:rPr>
      </w:r>
      <w:r>
        <w:rPr/>
        <w:t>（</w:t>
      </w:r>
      <w:r>
        <w:rPr>
          <w:rFonts w:ascii="宋体" w:hAnsi="宋体" w:cs="宋体" w:eastAsia="宋体" w:hint="default"/>
        </w:rPr>
        <w:t>2</w:t>
      </w:r>
      <w:r>
        <w:rPr/>
        <w:t>）折旧方法</w:t>
      </w:r>
      <w:r>
        <w:rPr>
          <w:b w:val="0"/>
          <w:bCs w:val="0"/>
        </w:rPr>
      </w:r>
    </w:p>
    <w:p>
      <w:pPr>
        <w:spacing w:line="240" w:lineRule="auto" w:before="7"/>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4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3"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21"/>
                <w:szCs w:val="21"/>
              </w:rPr>
            </w:pPr>
            <w:r>
              <w:rPr>
                <w:rFonts w:ascii="宋体" w:hAnsi="宋体" w:cs="宋体" w:eastAsia="宋体" w:hint="default"/>
                <w:sz w:val="21"/>
                <w:szCs w:val="21"/>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38"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45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20-50</w:t>
            </w:r>
            <w:r>
              <w:rPr>
                <w:rFonts w:ascii="宋体" w:hAnsi="宋体" w:cs="宋体" w:eastAsia="宋体" w:hint="default"/>
                <w:spacing w:val="-49"/>
                <w:sz w:val="21"/>
                <w:szCs w:val="21"/>
              </w:rPr>
              <w:t> </w:t>
            </w:r>
            <w:r>
              <w:rPr>
                <w:rFonts w:ascii="宋体" w:hAnsi="宋体" w:cs="宋体" w:eastAsia="宋体" w:hint="default"/>
                <w:sz w:val="21"/>
                <w:szCs w:val="21"/>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sz w:val="21"/>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sz w:val="21"/>
              </w:rPr>
              <w:t>1.80-4.50</w:t>
            </w:r>
          </w:p>
        </w:tc>
      </w:tr>
      <w:tr>
        <w:trPr>
          <w:trHeight w:val="44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21"/>
                <w:szCs w:val="21"/>
              </w:rPr>
            </w:pPr>
            <w:r>
              <w:rPr>
                <w:rFonts w:ascii="宋体"/>
                <w:sz w:val="21"/>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21"/>
                <w:szCs w:val="21"/>
              </w:rPr>
            </w:pPr>
            <w:r>
              <w:rPr>
                <w:rFonts w:ascii="宋体"/>
                <w:sz w:val="21"/>
              </w:rPr>
              <w:t>9.00</w:t>
            </w:r>
          </w:p>
        </w:tc>
      </w:tr>
      <w:tr>
        <w:trPr>
          <w:trHeight w:val="45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sz w:val="21"/>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sz w:val="21"/>
              </w:rPr>
              <w:t>18.00</w:t>
            </w:r>
          </w:p>
        </w:tc>
      </w:tr>
      <w:tr>
        <w:trPr>
          <w:trHeight w:val="44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21"/>
                <w:szCs w:val="21"/>
              </w:rPr>
            </w:pPr>
            <w:r>
              <w:rPr>
                <w:rFonts w:ascii="宋体" w:hAnsi="宋体" w:cs="宋体" w:eastAsia="宋体" w:hint="default"/>
                <w:spacing w:val="-5"/>
                <w:sz w:val="21"/>
                <w:szCs w:val="21"/>
              </w:rPr>
              <w:t>通讯、电子电器设备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21"/>
                <w:szCs w:val="21"/>
              </w:rPr>
            </w:pPr>
            <w:r>
              <w:rPr>
                <w:rFonts w:ascii="宋体"/>
                <w:sz w:val="21"/>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21"/>
                <w:szCs w:val="21"/>
              </w:rPr>
            </w:pPr>
            <w:r>
              <w:rPr>
                <w:rFonts w:ascii="宋体"/>
                <w:sz w:val="21"/>
              </w:rPr>
              <w:t>18.00</w:t>
            </w:r>
          </w:p>
        </w:tc>
      </w:tr>
      <w:tr>
        <w:trPr>
          <w:trHeight w:val="45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sz w:val="21"/>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sz w:val="21"/>
              </w:rPr>
              <w:t>18.00</w:t>
            </w:r>
          </w:p>
        </w:tc>
      </w:tr>
    </w:tbl>
    <w:p>
      <w:pPr>
        <w:pStyle w:val="BodyText"/>
        <w:spacing w:line="312" w:lineRule="auto" w:before="9"/>
        <w:ind w:right="1125" w:firstLine="422"/>
        <w:jc w:val="both"/>
      </w:pPr>
      <w:r>
        <w:rPr>
          <w:spacing w:val="-2"/>
        </w:rPr>
        <w:t>除已提足折旧仍继续使用的固定资产等外，本公司对所有固定资产按照资产类别、预计使用寿命和预</w:t>
      </w:r>
      <w:r>
        <w:rPr>
          <w:w w:val="100"/>
        </w:rPr>
        <w:t> </w:t>
      </w:r>
      <w:r>
        <w:rPr>
          <w:spacing w:val="-2"/>
        </w:rPr>
        <w:t>计净残值率确定折旧率，并采用年限平均法分类计提折旧；融资租赁方式租入的固定资产，能合理确定租</w:t>
      </w:r>
      <w:r>
        <w:rPr>
          <w:spacing w:val="-33"/>
        </w:rPr>
        <w:t> </w:t>
      </w:r>
      <w:r>
        <w:rPr>
          <w:spacing w:val="-33"/>
        </w:rPr>
      </w:r>
      <w:r>
        <w:rPr>
          <w:spacing w:val="-2"/>
        </w:rPr>
        <w:t>赁期届满时将会取得租赁资产所有权的，在租赁资产尚可使用年限内计提折旧；无法合理确定租赁期届满</w:t>
      </w:r>
      <w:r>
        <w:rPr>
          <w:spacing w:val="-33"/>
        </w:rPr>
        <w:t> </w:t>
      </w:r>
      <w:r>
        <w:rPr>
          <w:spacing w:val="-33"/>
        </w:rPr>
      </w:r>
      <w:r>
        <w:rPr/>
        <w:t>时能够取得租赁资产所有权的，在租赁期与租赁资产尚可使用年限两者中较短的期间内计提折旧。</w:t>
      </w:r>
    </w:p>
    <w:p>
      <w:pPr>
        <w:pStyle w:val="BodyText"/>
        <w:spacing w:line="314" w:lineRule="auto" w:before="22"/>
        <w:ind w:right="1027" w:firstLine="422"/>
        <w:jc w:val="both"/>
      </w:pPr>
      <w:r>
        <w:rPr>
          <w:spacing w:val="-2"/>
        </w:rPr>
        <w:t>每年年度终了，本公司对固定资产的使用寿命、预计净残值和折旧方法进行复核，如果使用寿命预计</w:t>
      </w:r>
      <w:r>
        <w:rPr>
          <w:w w:val="100"/>
        </w:rPr>
        <w:t> </w:t>
      </w:r>
      <w:r>
        <w:rPr>
          <w:spacing w:val="-2"/>
        </w:rPr>
        <w:t>数、预计净残值预计数与原先估计数有差异的，作为会计估计变更根据复核结果调整固定资产使用寿命和</w:t>
      </w:r>
      <w:r>
        <w:rPr>
          <w:spacing w:val="-33"/>
        </w:rPr>
        <w:t> </w:t>
      </w:r>
      <w:r>
        <w:rPr>
          <w:spacing w:val="-33"/>
        </w:rPr>
      </w:r>
      <w:r>
        <w:rPr/>
        <w:t>预计净残值；如果与固定资产有关的经济利益预期实现方式发生重大改变的，则改变固定资产折旧方法。</w:t>
      </w:r>
    </w:p>
    <w:p>
      <w:pPr>
        <w:spacing w:after="0" w:line="314" w:lineRule="auto"/>
        <w:jc w:val="both"/>
        <w:sectPr>
          <w:pgSz w:w="11910" w:h="16840"/>
          <w:pgMar w:header="460"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spacing w:line="240" w:lineRule="auto" w:before="36"/>
        <w:ind w:right="0"/>
        <w:jc w:val="both"/>
        <w:rPr>
          <w:b w:val="0"/>
          <w:bCs w:val="0"/>
        </w:rPr>
      </w:pPr>
      <w:bookmarkStart w:name="（3）融资租入固定资产的认定依据、计价和折旧方法" w:id="203"/>
      <w:bookmarkEnd w:id="203"/>
      <w:r>
        <w:rPr>
          <w:b w:val="0"/>
          <w:bCs w:val="0"/>
        </w:rPr>
      </w:r>
      <w:r>
        <w:rPr/>
        <w:t>（</w:t>
      </w:r>
      <w:r>
        <w:rPr>
          <w:rFonts w:ascii="宋体" w:hAnsi="宋体" w:cs="宋体" w:eastAsia="宋体"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9"/>
          <w:szCs w:val="29"/>
        </w:rPr>
      </w:pPr>
    </w:p>
    <w:p>
      <w:pPr>
        <w:pStyle w:val="BodyText"/>
        <w:spacing w:line="314" w:lineRule="auto" w:before="0"/>
        <w:ind w:right="1122"/>
        <w:jc w:val="both"/>
      </w:pPr>
      <w:r>
        <w:rPr>
          <w:spacing w:val="-4"/>
          <w:w w:val="100"/>
        </w:rPr>
        <w:t>公司与租赁方所签订的租赁协议条款中规定了下列条件之一的，确认为融资租入资产：（</w:t>
      </w:r>
      <w:r>
        <w:rPr>
          <w:rFonts w:ascii="宋体" w:hAnsi="宋体" w:cs="宋体" w:eastAsia="宋体" w:hint="default"/>
          <w:spacing w:val="-4"/>
          <w:w w:val="100"/>
        </w:rPr>
        <w:t>1</w:t>
      </w:r>
      <w:r>
        <w:rPr>
          <w:spacing w:val="-4"/>
          <w:w w:val="100"/>
        </w:rPr>
        <w:t>）租赁期满后租</w:t>
      </w:r>
      <w:r>
        <w:rPr>
          <w:spacing w:val="-96"/>
          <w:w w:val="100"/>
        </w:rPr>
        <w:t> </w:t>
      </w:r>
      <w:r>
        <w:rPr>
          <w:spacing w:val="-96"/>
          <w:w w:val="100"/>
        </w:rPr>
      </w:r>
      <w:r>
        <w:rPr>
          <w:spacing w:val="-4"/>
          <w:w w:val="100"/>
        </w:rPr>
        <w:t>赁资产的所有权归属于本公司；（</w:t>
      </w:r>
      <w:r>
        <w:rPr>
          <w:rFonts w:ascii="宋体" w:hAnsi="宋体" w:cs="宋体" w:eastAsia="宋体" w:hint="default"/>
          <w:spacing w:val="-4"/>
          <w:w w:val="100"/>
        </w:rPr>
        <w:t>2</w:t>
      </w:r>
      <w:r>
        <w:rPr>
          <w:spacing w:val="-4"/>
          <w:w w:val="100"/>
        </w:rPr>
        <w:t>）公司具有购买资产的选择权，购买价款远低于行使选择权时该资产的</w:t>
      </w:r>
      <w:r>
        <w:rPr>
          <w:spacing w:val="-99"/>
          <w:w w:val="100"/>
        </w:rPr>
        <w:t> </w:t>
      </w:r>
      <w:r>
        <w:rPr>
          <w:spacing w:val="-99"/>
          <w:w w:val="100"/>
        </w:rPr>
      </w:r>
      <w:r>
        <w:rPr>
          <w:spacing w:val="-7"/>
          <w:w w:val="100"/>
        </w:rPr>
        <w:t>公允价值；（</w:t>
      </w:r>
      <w:r>
        <w:rPr>
          <w:rFonts w:ascii="宋体" w:hAnsi="宋体" w:cs="宋体" w:eastAsia="宋体" w:hint="default"/>
          <w:spacing w:val="-7"/>
          <w:w w:val="100"/>
        </w:rPr>
        <w:t>3</w:t>
      </w:r>
      <w:r>
        <w:rPr>
          <w:spacing w:val="-7"/>
          <w:w w:val="100"/>
        </w:rPr>
        <w:t>）租赁期占所租赁资产使用寿命的大部分；（</w:t>
      </w:r>
      <w:r>
        <w:rPr>
          <w:rFonts w:ascii="宋体" w:hAnsi="宋体" w:cs="宋体" w:eastAsia="宋体" w:hint="default"/>
          <w:spacing w:val="-7"/>
          <w:w w:val="100"/>
        </w:rPr>
        <w:t>4</w:t>
      </w:r>
      <w:r>
        <w:rPr>
          <w:spacing w:val="-7"/>
          <w:w w:val="100"/>
        </w:rPr>
        <w:t>）租赁开始日的最低租赁付款额现值，与该资</w:t>
      </w:r>
      <w:r>
        <w:rPr>
          <w:spacing w:val="-61"/>
          <w:w w:val="100"/>
        </w:rPr>
        <w:t> </w:t>
      </w:r>
      <w:r>
        <w:rPr>
          <w:spacing w:val="-61"/>
          <w:w w:val="100"/>
        </w:rPr>
      </w:r>
      <w:r>
        <w:rPr>
          <w:spacing w:val="-2"/>
        </w:rPr>
        <w:t>产的公允价值不存在较大的差异。公司在承租开始日，将租赁资产公允价值与最低租赁付款额现值两者中</w:t>
      </w:r>
      <w:r>
        <w:rPr>
          <w:spacing w:val="-33"/>
        </w:rPr>
        <w:t> </w:t>
      </w:r>
      <w:r>
        <w:rPr>
          <w:spacing w:val="-33"/>
        </w:rPr>
      </w:r>
      <w:r>
        <w:rPr>
          <w:spacing w:val="-2"/>
        </w:rPr>
        <w:t>较低者作为租入资产的入账价值，将最低租赁付款额作为长期应付款的入账价值，其差额作为未确认的融</w:t>
      </w:r>
      <w:r>
        <w:rPr>
          <w:spacing w:val="-33"/>
        </w:rPr>
        <w:t> </w:t>
      </w:r>
      <w:r>
        <w:rPr>
          <w:spacing w:val="-33"/>
        </w:rPr>
      </w:r>
      <w:r>
        <w:rPr/>
        <w:t>资费用。</w:t>
      </w:r>
    </w:p>
    <w:p>
      <w:pPr>
        <w:spacing w:line="240" w:lineRule="auto" w:before="12"/>
        <w:rPr>
          <w:rFonts w:ascii="宋体" w:hAnsi="宋体" w:cs="宋体" w:eastAsia="宋体" w:hint="default"/>
          <w:sz w:val="23"/>
          <w:szCs w:val="23"/>
        </w:rPr>
      </w:pPr>
    </w:p>
    <w:p>
      <w:pPr>
        <w:pStyle w:val="Heading3"/>
        <w:spacing w:line="240" w:lineRule="auto"/>
        <w:ind w:right="0"/>
        <w:jc w:val="both"/>
        <w:rPr>
          <w:b w:val="0"/>
          <w:bCs w:val="0"/>
        </w:rPr>
      </w:pPr>
      <w:bookmarkStart w:name="25、在建工程" w:id="204"/>
      <w:bookmarkEnd w:id="204"/>
      <w:r>
        <w:rPr>
          <w:b w:val="0"/>
          <w:bCs w:val="0"/>
        </w:rPr>
      </w:r>
      <w:r>
        <w:rPr>
          <w:rFonts w:ascii="宋体" w:hAnsi="宋体" w:cs="宋体" w:eastAsia="宋体" w:hint="default"/>
        </w:rPr>
        <w:t>25</w:t>
      </w:r>
      <w:r>
        <w:rPr/>
        <w:t>、在建工程</w:t>
      </w:r>
      <w:r>
        <w:rPr>
          <w:b w:val="0"/>
          <w:bCs w:val="0"/>
        </w:rPr>
      </w:r>
    </w:p>
    <w:p>
      <w:pPr>
        <w:spacing w:line="240" w:lineRule="auto" w:before="9"/>
        <w:rPr>
          <w:rFonts w:ascii="宋体" w:hAnsi="宋体" w:cs="宋体" w:eastAsia="宋体" w:hint="default"/>
          <w:b/>
          <w:bCs/>
          <w:sz w:val="29"/>
          <w:szCs w:val="29"/>
        </w:rPr>
      </w:pPr>
    </w:p>
    <w:p>
      <w:pPr>
        <w:pStyle w:val="BodyText"/>
        <w:spacing w:line="309" w:lineRule="auto" w:before="0"/>
        <w:ind w:left="575" w:right="0"/>
        <w:jc w:val="left"/>
      </w:pPr>
      <w:r>
        <w:rPr/>
        <w:t>本公司在建工程以立项项目分类核算。</w:t>
      </w:r>
      <w:r>
        <w:rPr>
          <w:spacing w:val="-100"/>
        </w:rPr>
        <w:t> </w:t>
      </w:r>
      <w:r>
        <w:rPr>
          <w:spacing w:val="-100"/>
        </w:rPr>
      </w:r>
      <w:r>
        <w:rPr>
          <w:rFonts w:ascii="宋体" w:hAnsi="宋体" w:cs="宋体" w:eastAsia="宋体" w:hint="default"/>
          <w:spacing w:val="-2"/>
        </w:rPr>
        <w:t>1.</w:t>
      </w:r>
      <w:r>
        <w:rPr>
          <w:spacing w:val="-2"/>
        </w:rPr>
        <w:t>在建工程同时满足经济利益很可能流入、成本能够可靠计量则予以确认。在建工程按建造该项资产</w:t>
      </w:r>
    </w:p>
    <w:p>
      <w:pPr>
        <w:pStyle w:val="BodyText"/>
        <w:spacing w:line="314" w:lineRule="auto" w:before="24"/>
        <w:ind w:left="575" w:right="0" w:hanging="423"/>
        <w:jc w:val="left"/>
      </w:pPr>
      <w:r>
        <w:rPr/>
        <w:t>达到预定可使用状态前所发生的实际成本计量。</w:t>
      </w:r>
      <w:r>
        <w:rPr>
          <w:spacing w:val="-100"/>
        </w:rPr>
        <w:t> </w:t>
      </w:r>
      <w:r>
        <w:rPr>
          <w:spacing w:val="-100"/>
        </w:rPr>
      </w:r>
      <w:r>
        <w:rPr>
          <w:spacing w:val="-2"/>
        </w:rPr>
        <w:t>工程达到预定可使用状态前试运转过程中形成的、能够对外销售的产品，其发生的成本计入在建工程</w:t>
      </w:r>
    </w:p>
    <w:p>
      <w:pPr>
        <w:pStyle w:val="BodyText"/>
        <w:spacing w:line="309" w:lineRule="auto"/>
        <w:ind w:right="1126"/>
        <w:jc w:val="both"/>
      </w:pPr>
      <w:r>
        <w:rPr>
          <w:spacing w:val="-7"/>
        </w:rPr>
        <w:t>成本，销售或转为产成品时，按实际销售收入或者预计售价冲减在建工程成本；在建工程发生的借款费用，</w:t>
      </w:r>
      <w:r>
        <w:rPr>
          <w:spacing w:val="-6"/>
        </w:rPr>
        <w:t> </w:t>
      </w:r>
      <w:r>
        <w:rPr>
          <w:spacing w:val="-6"/>
        </w:rPr>
      </w:r>
      <w:r>
        <w:rPr/>
        <w:t>符合借款费用资本化条件的，在所购建的固定资产达到预定可使用状态前，计入在建工程成本。</w:t>
      </w:r>
    </w:p>
    <w:p>
      <w:pPr>
        <w:pStyle w:val="BodyText"/>
        <w:spacing w:line="312" w:lineRule="auto" w:before="24"/>
        <w:ind w:right="1124" w:firstLine="422"/>
        <w:jc w:val="both"/>
      </w:pPr>
      <w:r>
        <w:rPr>
          <w:rFonts w:ascii="宋体" w:hAnsi="宋体" w:cs="宋体" w:eastAsia="宋体" w:hint="default"/>
          <w:spacing w:val="-2"/>
        </w:rPr>
        <w:t>2.</w:t>
      </w:r>
      <w:r>
        <w:rPr>
          <w:spacing w:val="-2"/>
        </w:rPr>
        <w:t>购建的固定资产在达到预定可使用状态时转作固定资产。购建固定资产达到预定可使用状态，但尚</w:t>
      </w:r>
      <w:r>
        <w:rPr>
          <w:w w:val="100"/>
        </w:rPr>
        <w:t> </w:t>
      </w:r>
      <w:r>
        <w:rPr>
          <w:spacing w:val="-2"/>
        </w:rPr>
        <w:t>未办理竣工决算手续的，自达到预定可使用状态之日起，根据工程预算、造价或工程实际成本等，按估计</w:t>
      </w:r>
      <w:r>
        <w:rPr>
          <w:spacing w:val="-33"/>
        </w:rPr>
        <w:t> </w:t>
      </w:r>
      <w:r>
        <w:rPr>
          <w:spacing w:val="-33"/>
        </w:rPr>
      </w:r>
      <w:r>
        <w:rPr>
          <w:spacing w:val="-2"/>
        </w:rPr>
        <w:t>的价值结转固定资产，次月起开始计提折旧。待办理了竣工决算手续后再对原估值进行调整，但不再调整</w:t>
      </w:r>
      <w:r>
        <w:rPr>
          <w:spacing w:val="-32"/>
        </w:rPr>
        <w:t> </w:t>
      </w:r>
      <w:r>
        <w:rPr>
          <w:spacing w:val="-32"/>
        </w:rPr>
      </w:r>
      <w:r>
        <w:rPr/>
        <w:t>原已计提的折旧。</w:t>
      </w:r>
    </w:p>
    <w:p>
      <w:pPr>
        <w:pStyle w:val="BodyText"/>
        <w:spacing w:line="314" w:lineRule="auto" w:before="22"/>
        <w:ind w:right="1126" w:firstLine="422"/>
        <w:jc w:val="both"/>
      </w:pPr>
      <w:r>
        <w:rPr>
          <w:spacing w:val="-2"/>
        </w:rPr>
        <w:t>购建固定资产而借入的专门借款或占用了一般性借款发生的借款利息及专门借款发生的辅助费用，在</w:t>
      </w:r>
      <w:r>
        <w:rPr>
          <w:w w:val="100"/>
        </w:rPr>
        <w:t> </w:t>
      </w:r>
      <w:r>
        <w:rPr>
          <w:spacing w:val="-2"/>
        </w:rPr>
        <w:t>构建的固定资产达到预定可使用状态前予以资本化；在相关工程达到预定可使用状态后的计入当期财务费</w:t>
      </w:r>
      <w:r>
        <w:rPr>
          <w:spacing w:val="-33"/>
        </w:rPr>
        <w:t> </w:t>
      </w:r>
      <w:r>
        <w:rPr>
          <w:spacing w:val="-33"/>
        </w:rPr>
      </w:r>
      <w:r>
        <w:rPr/>
        <w:t>用。</w:t>
      </w:r>
    </w:p>
    <w:p>
      <w:pPr>
        <w:pStyle w:val="BodyText"/>
        <w:spacing w:line="314" w:lineRule="auto" w:before="15"/>
        <w:ind w:right="1122" w:firstLine="422"/>
        <w:jc w:val="both"/>
      </w:pPr>
      <w:r>
        <w:rPr>
          <w:rFonts w:ascii="宋体" w:hAnsi="宋体" w:cs="宋体" w:eastAsia="宋体" w:hint="default"/>
          <w:spacing w:val="-2"/>
        </w:rPr>
        <w:t>3.</w:t>
      </w:r>
      <w:r>
        <w:rPr>
          <w:spacing w:val="-2"/>
        </w:rPr>
        <w:t>公司在每期末判断在建工程是否存在可能发生减值的迹象。如果存在：①在建工程长期停建并且预</w:t>
      </w:r>
      <w:r>
        <w:rPr>
          <w:w w:val="100"/>
        </w:rPr>
        <w:t> </w:t>
      </w:r>
      <w:r>
        <w:rPr/>
        <w:t>计在未来</w:t>
      </w:r>
      <w:r>
        <w:rPr>
          <w:rFonts w:ascii="宋体" w:hAnsi="宋体" w:cs="宋体" w:eastAsia="宋体" w:hint="default"/>
        </w:rPr>
        <w:t>3</w:t>
      </w:r>
      <w:r>
        <w:rPr/>
        <w:t>年内不会重新开工；②所建项目在性能上、技术上已经落后并且所带来的经济效益具有很大的</w:t>
      </w:r>
      <w:r>
        <w:rPr>
          <w:spacing w:val="-31"/>
        </w:rPr>
        <w:t> </w:t>
      </w:r>
      <w:r>
        <w:rPr>
          <w:spacing w:val="-31"/>
        </w:rPr>
      </w:r>
      <w:r>
        <w:rPr>
          <w:spacing w:val="-2"/>
        </w:rPr>
        <w:t>不确定性等减值迹象的，估计其可收回金额。可收回金额根据在建工程的公允价值减去处置费用后的净额</w:t>
      </w:r>
      <w:r>
        <w:rPr>
          <w:spacing w:val="-30"/>
        </w:rPr>
        <w:t> </w:t>
      </w:r>
      <w:r>
        <w:rPr>
          <w:spacing w:val="-30"/>
        </w:rPr>
      </w:r>
      <w:r>
        <w:rPr/>
        <w:t>与在建工程预计未来现金流量的现值两者之间较高者确定。</w:t>
      </w:r>
    </w:p>
    <w:p>
      <w:pPr>
        <w:pStyle w:val="BodyText"/>
        <w:spacing w:line="314" w:lineRule="auto" w:before="15"/>
        <w:ind w:right="1125" w:firstLine="422"/>
        <w:jc w:val="both"/>
      </w:pPr>
      <w:r>
        <w:rPr>
          <w:spacing w:val="-2"/>
        </w:rPr>
        <w:t>当在建工程的可收回金额低于其账面价值的，将在建工程的账面价值减记至可收回金额，减记的金额</w:t>
      </w:r>
      <w:r>
        <w:rPr>
          <w:w w:val="100"/>
        </w:rPr>
        <w:t> </w:t>
      </w:r>
      <w:r>
        <w:rPr/>
        <w:t>确认为在建工程减值损失，计入当期损益。</w:t>
      </w:r>
    </w:p>
    <w:p>
      <w:pPr>
        <w:pStyle w:val="BodyText"/>
        <w:spacing w:line="314" w:lineRule="auto"/>
        <w:ind w:left="575" w:right="0"/>
        <w:jc w:val="left"/>
      </w:pPr>
      <w:r>
        <w:rPr/>
        <w:t>在建工程的减值损失一经确认，在以后会计期间不再转回。</w:t>
      </w:r>
      <w:r>
        <w:rPr>
          <w:w w:val="100"/>
        </w:rPr>
        <w:t> </w:t>
      </w:r>
      <w:r>
        <w:rPr>
          <w:spacing w:val="-2"/>
        </w:rPr>
        <w:t>有迹象表明一项在建工程可能发生减值的，企业以单项在建工程为基础估计其可收回金额。企业难以</w:t>
      </w:r>
    </w:p>
    <w:p>
      <w:pPr>
        <w:pStyle w:val="BodyText"/>
        <w:spacing w:line="240" w:lineRule="auto" w:before="15"/>
        <w:ind w:right="0"/>
        <w:jc w:val="both"/>
      </w:pPr>
      <w:r>
        <w:rPr/>
        <w:t>对单项在建工程的可收回金额进行估计的，以该在建工程所属的资产组为基础确定资产组的可收回金额。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3"/>
        <w:spacing w:line="240" w:lineRule="auto"/>
        <w:ind w:right="0"/>
        <w:jc w:val="both"/>
        <w:rPr>
          <w:b w:val="0"/>
          <w:bCs w:val="0"/>
        </w:rPr>
      </w:pPr>
      <w:bookmarkStart w:name="26、借款费用" w:id="205"/>
      <w:bookmarkEnd w:id="205"/>
      <w:r>
        <w:rPr>
          <w:b w:val="0"/>
          <w:bCs w:val="0"/>
        </w:rPr>
      </w:r>
      <w:r>
        <w:rPr>
          <w:rFonts w:ascii="宋体" w:hAnsi="宋体" w:cs="宋体" w:eastAsia="宋体" w:hint="default"/>
        </w:rPr>
        <w:t>26</w:t>
      </w:r>
      <w:r>
        <w:rPr/>
        <w:t>、借款费用</w:t>
      </w:r>
      <w:r>
        <w:rPr>
          <w:b w:val="0"/>
          <w:bCs w:val="0"/>
        </w:rPr>
      </w:r>
    </w:p>
    <w:p>
      <w:pPr>
        <w:spacing w:line="240" w:lineRule="auto" w:before="8"/>
        <w:rPr>
          <w:rFonts w:ascii="宋体" w:hAnsi="宋体" w:cs="宋体" w:eastAsia="宋体" w:hint="default"/>
          <w:b/>
          <w:bCs/>
          <w:sz w:val="29"/>
          <w:szCs w:val="29"/>
        </w:rPr>
      </w:pPr>
    </w:p>
    <w:p>
      <w:pPr>
        <w:pStyle w:val="BodyText"/>
        <w:spacing w:line="240" w:lineRule="auto" w:before="0"/>
        <w:ind w:left="575" w:right="0"/>
        <w:jc w:val="left"/>
      </w:pPr>
      <w:r>
        <w:rPr>
          <w:rFonts w:ascii="宋体" w:hAnsi="宋体" w:cs="宋体" w:eastAsia="宋体" w:hint="default"/>
        </w:rPr>
        <w:t>1.</w:t>
      </w:r>
      <w:r>
        <w:rPr/>
        <w:t>借款费用的确认原则</w:t>
      </w:r>
    </w:p>
    <w:p>
      <w:pPr>
        <w:spacing w:after="0" w:line="240" w:lineRule="auto"/>
        <w:jc w:val="left"/>
        <w:sectPr>
          <w:pgSz w:w="11910" w:h="16840"/>
          <w:pgMar w:header="460" w:footer="979" w:top="1060" w:bottom="1160" w:left="980" w:right="0"/>
        </w:sectPr>
      </w:pPr>
    </w:p>
    <w:p>
      <w:pPr>
        <w:spacing w:line="240" w:lineRule="auto" w:before="11"/>
        <w:rPr>
          <w:rFonts w:ascii="宋体" w:hAnsi="宋体" w:cs="宋体" w:eastAsia="宋体" w:hint="default"/>
          <w:sz w:val="25"/>
          <w:szCs w:val="25"/>
        </w:rPr>
      </w:pPr>
    </w:p>
    <w:p>
      <w:pPr>
        <w:pStyle w:val="BodyText"/>
        <w:spacing w:line="312" w:lineRule="auto" w:before="36"/>
        <w:ind w:right="816" w:firstLine="422"/>
        <w:jc w:val="left"/>
      </w:pPr>
      <w:r>
        <w:rPr/>
        <w:t>本公司因购建符合资本化条件的资产借款发生的利息、折价或溢价的摊销和汇兑差额、专门借款发生</w:t>
      </w:r>
      <w:r>
        <w:rPr>
          <w:w w:val="100"/>
        </w:rPr>
        <w:t> </w:t>
      </w:r>
      <w:r>
        <w:rPr>
          <w:spacing w:val="-2"/>
        </w:rPr>
        <w:t>的辅助费用以及因外币借款而发生的汇兑差额等，可直接归属于符合资本化条件的资产的购建或者生产的，</w:t>
      </w:r>
      <w:r>
        <w:rPr>
          <w:spacing w:val="-35"/>
        </w:rPr>
        <w:t> </w:t>
      </w:r>
      <w:r>
        <w:rPr>
          <w:spacing w:val="-35"/>
        </w:rPr>
      </w:r>
      <w:r>
        <w:rPr/>
        <w:t>予以资本化，计入该项资产的成本；其他借款利息、折价或溢价的摊销和汇兑差额，于发生当期确认为费</w:t>
      </w:r>
      <w:r>
        <w:rPr>
          <w:w w:val="100"/>
        </w:rPr>
        <w:t> </w:t>
      </w:r>
      <w:r>
        <w:rPr/>
        <w:t>用。</w:t>
      </w:r>
    </w:p>
    <w:p>
      <w:pPr>
        <w:pStyle w:val="BodyText"/>
        <w:spacing w:line="314" w:lineRule="auto" w:before="22"/>
        <w:ind w:right="0" w:firstLine="422"/>
        <w:jc w:val="left"/>
      </w:pPr>
      <w:r>
        <w:rPr>
          <w:spacing w:val="-2"/>
        </w:rPr>
        <w:t>符合资本化条件的资产，是指需要经过相当长时间的购建或者生产活动才能达到预定可使用或者可销</w:t>
      </w:r>
      <w:r>
        <w:rPr>
          <w:w w:val="100"/>
        </w:rPr>
        <w:t> </w:t>
      </w:r>
      <w:r>
        <w:rPr/>
        <w:t>售状态的固定资产、投资性房地产和存货等资产。</w:t>
      </w:r>
    </w:p>
    <w:p>
      <w:pPr>
        <w:pStyle w:val="BodyText"/>
        <w:spacing w:line="314" w:lineRule="auto" w:before="15"/>
        <w:ind w:right="0" w:firstLine="422"/>
        <w:jc w:val="left"/>
      </w:pPr>
      <w:r>
        <w:rPr>
          <w:rFonts w:ascii="宋体" w:hAnsi="宋体" w:cs="宋体" w:eastAsia="宋体" w:hint="default"/>
          <w:spacing w:val="-2"/>
        </w:rPr>
        <w:t>2.</w:t>
      </w:r>
      <w:r>
        <w:rPr>
          <w:spacing w:val="-2"/>
        </w:rPr>
        <w:t>借款费用资本化期间：指从借款费用开始资本化时点到停止资本化时点的期间，借款费用暂停资本</w:t>
      </w:r>
      <w:r>
        <w:rPr>
          <w:w w:val="100"/>
        </w:rPr>
        <w:t> </w:t>
      </w:r>
      <w:r>
        <w:rPr/>
        <w:t>化的期间不包括在内。</w:t>
      </w:r>
    </w:p>
    <w:p>
      <w:pPr>
        <w:pStyle w:val="BodyText"/>
        <w:spacing w:line="312" w:lineRule="auto"/>
        <w:ind w:right="0" w:firstLine="422"/>
        <w:jc w:val="left"/>
      </w:pPr>
      <w:r>
        <w:rPr/>
        <w:t>（</w:t>
      </w:r>
      <w:r>
        <w:rPr>
          <w:rFonts w:ascii="宋体" w:hAnsi="宋体" w:cs="宋体" w:eastAsia="宋体" w:hint="default"/>
        </w:rPr>
        <w:t>1</w:t>
      </w:r>
      <w:r>
        <w:rPr/>
        <w:t>）开始资本化，当以下三个条件同时具备时，因借款而发生的利息、折价或溢价的摊销和汇兑差</w:t>
      </w:r>
      <w:r>
        <w:rPr>
          <w:w w:val="100"/>
        </w:rPr>
        <w:t> </w:t>
      </w:r>
      <w:r>
        <w:rPr>
          <w:spacing w:val="-4"/>
        </w:rPr>
        <w:t>额开始资本化：①资产支出已经发生，资产支出包括为购建或者生产符合资本化条件的资产而以支付现金、</w:t>
      </w:r>
      <w:r>
        <w:rPr>
          <w:spacing w:val="-47"/>
        </w:rPr>
        <w:t> </w:t>
      </w:r>
      <w:r>
        <w:rPr>
          <w:spacing w:val="-47"/>
        </w:rPr>
      </w:r>
      <w:r>
        <w:rPr>
          <w:spacing w:val="-2"/>
        </w:rPr>
        <w:t>转移非现金资产或者承担带息债务形式发生的支出；②借款费用已经发生；③为使资产达到预定可使用或</w:t>
      </w:r>
      <w:r>
        <w:rPr>
          <w:spacing w:val="-33"/>
        </w:rPr>
        <w:t> </w:t>
      </w:r>
      <w:r>
        <w:rPr>
          <w:spacing w:val="-33"/>
        </w:rPr>
      </w:r>
      <w:r>
        <w:rPr/>
        <w:t>者可销售状态或所必要的购建活动已经开始。</w:t>
      </w:r>
    </w:p>
    <w:p>
      <w:pPr>
        <w:pStyle w:val="BodyText"/>
        <w:spacing w:line="312" w:lineRule="auto" w:before="22"/>
        <w:ind w:right="1122" w:firstLine="422"/>
        <w:jc w:val="both"/>
      </w:pPr>
      <w:r>
        <w:rPr>
          <w:spacing w:val="-2"/>
        </w:rPr>
        <w:t>（</w:t>
      </w:r>
      <w:r>
        <w:rPr>
          <w:rFonts w:ascii="宋体" w:hAnsi="宋体" w:cs="宋体" w:eastAsia="宋体" w:hint="default"/>
          <w:spacing w:val="-2"/>
        </w:rPr>
        <w:t>2</w:t>
      </w:r>
      <w:r>
        <w:rPr>
          <w:spacing w:val="-2"/>
        </w:rPr>
        <w:t>）暂停资本化，若固定资产的购建活动发生非正常中断，并且中断时间连续超过</w:t>
      </w:r>
      <w:r>
        <w:rPr>
          <w:rFonts w:ascii="宋体" w:hAnsi="宋体" w:cs="宋体" w:eastAsia="宋体" w:hint="default"/>
          <w:spacing w:val="-2"/>
        </w:rPr>
        <w:t>3</w:t>
      </w:r>
      <w:r>
        <w:rPr>
          <w:spacing w:val="-2"/>
        </w:rPr>
        <w:t>个月，暂停借款</w:t>
      </w:r>
      <w:r>
        <w:rPr>
          <w:w w:val="100"/>
        </w:rPr>
        <w:t> </w:t>
      </w:r>
      <w:r>
        <w:rPr>
          <w:spacing w:val="-2"/>
        </w:rPr>
        <w:t>费用资本化；该项中断如是所购建或生产的符合资本化条件的资产达到预定可使用状态或者可销售状态必</w:t>
      </w:r>
      <w:r>
        <w:rPr>
          <w:spacing w:val="-33"/>
        </w:rPr>
        <w:t> </w:t>
      </w:r>
      <w:r>
        <w:rPr>
          <w:spacing w:val="-33"/>
        </w:rPr>
      </w:r>
      <w:r>
        <w:rPr>
          <w:spacing w:val="-2"/>
        </w:rPr>
        <w:t>要的程序，则借款费用继续资本化。在中断期间发生的借款费用确认为当期损益，直至资产的购建或者生</w:t>
      </w:r>
      <w:r>
        <w:rPr>
          <w:spacing w:val="-33"/>
        </w:rPr>
        <w:t> </w:t>
      </w:r>
      <w:r>
        <w:rPr>
          <w:spacing w:val="-33"/>
        </w:rPr>
      </w:r>
      <w:r>
        <w:rPr/>
        <w:t>产活动重新开始后借款费用继续资本化。</w:t>
      </w:r>
    </w:p>
    <w:p>
      <w:pPr>
        <w:pStyle w:val="BodyText"/>
        <w:spacing w:line="312" w:lineRule="auto" w:before="22"/>
        <w:ind w:right="0" w:firstLine="422"/>
        <w:jc w:val="left"/>
      </w:pPr>
      <w:r>
        <w:rPr/>
        <w:t>（</w:t>
      </w:r>
      <w:r>
        <w:rPr>
          <w:rFonts w:ascii="宋体" w:hAnsi="宋体" w:cs="宋体" w:eastAsia="宋体" w:hint="default"/>
        </w:rPr>
        <w:t>3</w:t>
      </w:r>
      <w:r>
        <w:rPr/>
        <w:t>）停止资本化，当所购建或者生产符合资本化条件的资产达到预定可使用或者可销售状态时、部</w:t>
      </w:r>
      <w:r>
        <w:rPr>
          <w:w w:val="100"/>
        </w:rPr>
        <w:t> </w:t>
      </w:r>
      <w:r>
        <w:rPr>
          <w:spacing w:val="-2"/>
        </w:rPr>
        <w:t>分项目分别完工且可单独使用时，停止其借款费用的资本化。购建或者生产的资产的各部分分别完工，但</w:t>
      </w:r>
      <w:r>
        <w:rPr>
          <w:spacing w:val="-33"/>
        </w:rPr>
        <w:t> </w:t>
      </w:r>
      <w:r>
        <w:rPr>
          <w:spacing w:val="-33"/>
        </w:rPr>
      </w:r>
      <w:r>
        <w:rPr/>
        <w:t>必须等到整体完工后才可使用或可对外销售的，在该资产整体完工时停止借款费用资本化。</w:t>
      </w:r>
    </w:p>
    <w:p>
      <w:pPr>
        <w:pStyle w:val="BodyText"/>
        <w:spacing w:line="240" w:lineRule="auto" w:before="22"/>
        <w:ind w:left="575" w:right="0"/>
        <w:jc w:val="left"/>
      </w:pPr>
      <w:r>
        <w:rPr>
          <w:rFonts w:ascii="宋体" w:hAnsi="宋体" w:cs="宋体" w:eastAsia="宋体" w:hint="default"/>
        </w:rPr>
        <w:t>3.</w:t>
      </w:r>
      <w:r>
        <w:rPr/>
        <w:t>借款费用资本化金额的计算方法，在资本化期间内</w:t>
      </w:r>
      <w:r>
        <w:rPr>
          <w:rFonts w:ascii="宋体" w:hAnsi="宋体" w:cs="宋体" w:eastAsia="宋体" w:hint="default"/>
        </w:rPr>
        <w:t>,</w:t>
      </w:r>
      <w:r>
        <w:rPr/>
        <w:t>每一会计期间的资本化金额</w:t>
      </w:r>
      <w:r>
        <w:rPr>
          <w:rFonts w:ascii="宋体" w:hAnsi="宋体" w:cs="宋体" w:eastAsia="宋体" w:hint="default"/>
        </w:rPr>
        <w:t>,</w:t>
      </w:r>
      <w:r>
        <w:rPr/>
        <w:t>按照下列规定确定：</w:t>
      </w:r>
    </w:p>
    <w:p>
      <w:pPr>
        <w:pStyle w:val="BodyText"/>
        <w:spacing w:line="312" w:lineRule="auto" w:before="85"/>
        <w:ind w:right="0" w:firstLine="422"/>
        <w:jc w:val="left"/>
      </w:pPr>
      <w:r>
        <w:rPr>
          <w:spacing w:val="-2"/>
        </w:rPr>
        <w:t>（</w:t>
      </w:r>
      <w:r>
        <w:rPr>
          <w:rFonts w:ascii="宋体" w:hAnsi="宋体" w:cs="宋体" w:eastAsia="宋体" w:hint="default"/>
          <w:spacing w:val="-2"/>
        </w:rPr>
        <w:t>1</w:t>
      </w:r>
      <w:r>
        <w:rPr>
          <w:spacing w:val="-2"/>
        </w:rPr>
        <w:t>）专门借款当期实际发生的利息费用，减去将尚未动用的借款资金存入银行取得的利息收入或进</w:t>
      </w:r>
      <w:r>
        <w:rPr>
          <w:w w:val="100"/>
        </w:rPr>
        <w:t> </w:t>
      </w:r>
      <w:r>
        <w:rPr/>
        <w:t>行暂时性投资取得的投资收益后的金额及其辅助费用在所购建或者生产的符合资本化条件的资产达到预</w:t>
      </w:r>
      <w:r>
        <w:rPr>
          <w:w w:val="100"/>
        </w:rPr>
        <w:t> </w:t>
      </w:r>
      <w:r>
        <w:rPr/>
        <w:t>定可使用或者可销售状态前，予以资本化。</w:t>
      </w:r>
    </w:p>
    <w:p>
      <w:pPr>
        <w:pStyle w:val="BodyText"/>
        <w:spacing w:line="314" w:lineRule="auto" w:before="22"/>
        <w:ind w:right="0" w:firstLine="422"/>
        <w:jc w:val="left"/>
      </w:pPr>
      <w:r>
        <w:rPr>
          <w:spacing w:val="-2"/>
        </w:rPr>
        <w:t>（</w:t>
      </w:r>
      <w:r>
        <w:rPr>
          <w:rFonts w:ascii="宋体" w:hAnsi="宋体" w:cs="宋体" w:eastAsia="宋体" w:hint="default"/>
          <w:spacing w:val="-2"/>
        </w:rPr>
        <w:t>2</w:t>
      </w:r>
      <w:r>
        <w:rPr>
          <w:spacing w:val="-2"/>
        </w:rPr>
        <w:t>）一般借款的资本化金额为累计资产支出超过专门借款部分的资产支出加权平均数乘以所占用一</w:t>
      </w:r>
      <w:r>
        <w:rPr>
          <w:w w:val="100"/>
        </w:rPr>
        <w:t> </w:t>
      </w:r>
      <w:r>
        <w:rPr/>
        <w:t>般借款的资本化率的乘积。</w:t>
      </w:r>
    </w:p>
    <w:p>
      <w:pPr>
        <w:pStyle w:val="BodyText"/>
        <w:spacing w:line="309" w:lineRule="auto"/>
        <w:ind w:left="575" w:right="0"/>
        <w:jc w:val="left"/>
      </w:pPr>
      <w:r>
        <w:rPr/>
        <w:t>资本化率根据一般借款加权平均利率计算确定。</w:t>
      </w:r>
      <w:r>
        <w:rPr>
          <w:spacing w:val="-100"/>
        </w:rPr>
        <w:t> </w:t>
      </w:r>
      <w:r>
        <w:rPr>
          <w:spacing w:val="-100"/>
        </w:rPr>
      </w:r>
      <w:r>
        <w:rPr>
          <w:spacing w:val="-2"/>
        </w:rPr>
        <w:t>借款存在折价或者溢价的，按照实际利率法确定每一会计期间应摊销的折价或者溢价金额，调整每期</w:t>
      </w:r>
    </w:p>
    <w:p>
      <w:pPr>
        <w:pStyle w:val="BodyText"/>
        <w:spacing w:line="240" w:lineRule="auto" w:before="24"/>
        <w:ind w:right="0"/>
        <w:jc w:val="left"/>
      </w:pPr>
      <w:r>
        <w:rPr/>
        <w:t>利息金额。</w:t>
      </w:r>
    </w:p>
    <w:p>
      <w:pPr>
        <w:pStyle w:val="BodyText"/>
        <w:spacing w:line="240" w:lineRule="auto" w:before="85"/>
        <w:ind w:left="575" w:right="0"/>
        <w:jc w:val="left"/>
      </w:pPr>
      <w:r>
        <w:rPr/>
        <w:t>资本化期间内</w:t>
      </w:r>
      <w:r>
        <w:rPr>
          <w:rFonts w:ascii="宋体" w:hAnsi="宋体" w:cs="宋体" w:eastAsia="宋体" w:hint="default"/>
        </w:rPr>
        <w:t>,</w:t>
      </w:r>
      <w:r>
        <w:rPr/>
        <w:t>每一会计期间的利息资本化金额</w:t>
      </w:r>
      <w:r>
        <w:rPr>
          <w:rFonts w:ascii="宋体" w:hAnsi="宋体" w:cs="宋体" w:eastAsia="宋体" w:hint="default"/>
        </w:rPr>
        <w:t>,</w:t>
      </w:r>
      <w:r>
        <w:rPr/>
        <w:t>不应当超过当期相关借款实际发生的利息金额。</w:t>
      </w:r>
    </w:p>
    <w:p>
      <w:pPr>
        <w:spacing w:after="0" w:line="240" w:lineRule="auto"/>
        <w:jc w:val="left"/>
        <w:sectPr>
          <w:pgSz w:w="11910" w:h="16840"/>
          <w:pgMar w:header="460" w:footer="979" w:top="1060" w:bottom="1160" w:left="980" w:right="0"/>
        </w:sectPr>
      </w:pPr>
    </w:p>
    <w:p>
      <w:pPr>
        <w:spacing w:line="240" w:lineRule="auto" w:before="11"/>
        <w:rPr>
          <w:rFonts w:ascii="宋体" w:hAnsi="宋体" w:cs="宋体" w:eastAsia="宋体" w:hint="default"/>
          <w:sz w:val="25"/>
          <w:szCs w:val="25"/>
        </w:rPr>
      </w:pPr>
    </w:p>
    <w:p>
      <w:pPr>
        <w:pStyle w:val="Heading3"/>
        <w:spacing w:line="240" w:lineRule="auto" w:before="36"/>
        <w:ind w:right="0"/>
        <w:jc w:val="left"/>
        <w:rPr>
          <w:b w:val="0"/>
          <w:bCs w:val="0"/>
        </w:rPr>
      </w:pPr>
      <w:bookmarkStart w:name="27、生物资产" w:id="206"/>
      <w:bookmarkEnd w:id="206"/>
      <w:r>
        <w:rPr>
          <w:b w:val="0"/>
          <w:bCs w:val="0"/>
        </w:rPr>
      </w:r>
      <w:r>
        <w:rPr>
          <w:rFonts w:ascii="宋体" w:hAnsi="宋体" w:cs="宋体" w:eastAsia="宋体" w:hint="default"/>
        </w:rPr>
        <w:t>27</w:t>
      </w:r>
      <w:r>
        <w:rPr/>
        <w:t>、生物资产</w:t>
      </w:r>
      <w:r>
        <w:rPr>
          <w:b w:val="0"/>
          <w:bCs w:val="0"/>
        </w:rPr>
      </w:r>
    </w:p>
    <w:p>
      <w:pPr>
        <w:spacing w:line="240" w:lineRule="auto" w:before="3"/>
        <w:rPr>
          <w:rFonts w:ascii="宋体" w:hAnsi="宋体" w:cs="宋体" w:eastAsia="宋体" w:hint="default"/>
          <w:b/>
          <w:bCs/>
          <w:sz w:val="29"/>
          <w:szCs w:val="29"/>
        </w:rPr>
      </w:pPr>
    </w:p>
    <w:p>
      <w:pPr>
        <w:pStyle w:val="Heading3"/>
        <w:spacing w:line="240" w:lineRule="auto"/>
        <w:ind w:right="0"/>
        <w:jc w:val="left"/>
        <w:rPr>
          <w:b w:val="0"/>
          <w:bCs w:val="0"/>
        </w:rPr>
      </w:pPr>
      <w:bookmarkStart w:name="28、油气资产" w:id="207"/>
      <w:bookmarkEnd w:id="207"/>
      <w:r>
        <w:rPr>
          <w:b w:val="0"/>
          <w:bCs w:val="0"/>
        </w:rPr>
      </w:r>
      <w:r>
        <w:rPr>
          <w:rFonts w:ascii="宋体" w:hAnsi="宋体" w:cs="宋体" w:eastAsia="宋体" w:hint="default"/>
        </w:rPr>
        <w:t>28</w:t>
      </w:r>
      <w:r>
        <w:rPr/>
        <w:t>、油气资产</w:t>
      </w:r>
      <w:r>
        <w:rPr>
          <w:b w:val="0"/>
          <w:bCs w:val="0"/>
        </w:rPr>
      </w:r>
    </w:p>
    <w:p>
      <w:pPr>
        <w:spacing w:line="240" w:lineRule="auto" w:before="4"/>
        <w:rPr>
          <w:rFonts w:ascii="宋体" w:hAnsi="宋体" w:cs="宋体" w:eastAsia="宋体" w:hint="default"/>
          <w:b/>
          <w:bCs/>
          <w:sz w:val="29"/>
          <w:szCs w:val="29"/>
        </w:rPr>
      </w:pPr>
    </w:p>
    <w:p>
      <w:pPr>
        <w:pStyle w:val="Heading3"/>
        <w:spacing w:line="240" w:lineRule="auto"/>
        <w:ind w:right="0"/>
        <w:jc w:val="left"/>
        <w:rPr>
          <w:b w:val="0"/>
          <w:bCs w:val="0"/>
        </w:rPr>
      </w:pPr>
      <w:bookmarkStart w:name="29、使用权资产" w:id="208"/>
      <w:bookmarkEnd w:id="208"/>
      <w:r>
        <w:rPr>
          <w:b w:val="0"/>
          <w:bCs w:val="0"/>
        </w:rPr>
      </w:r>
      <w:r>
        <w:rPr>
          <w:rFonts w:ascii="宋体" w:hAnsi="宋体" w:cs="宋体" w:eastAsia="宋体" w:hint="default"/>
        </w:rPr>
        <w:t>29</w:t>
      </w:r>
      <w:r>
        <w:rPr/>
        <w:t>、使用权资产</w:t>
      </w:r>
      <w:r>
        <w:rPr>
          <w:b w:val="0"/>
          <w:bCs w:val="0"/>
        </w:rPr>
      </w:r>
    </w:p>
    <w:p>
      <w:pPr>
        <w:spacing w:line="240" w:lineRule="auto" w:before="8"/>
        <w:rPr>
          <w:rFonts w:ascii="宋体" w:hAnsi="宋体" w:cs="宋体" w:eastAsia="宋体" w:hint="default"/>
          <w:b/>
          <w:bCs/>
          <w:sz w:val="29"/>
          <w:szCs w:val="29"/>
        </w:rPr>
      </w:pPr>
    </w:p>
    <w:p>
      <w:pPr>
        <w:pStyle w:val="Heading3"/>
        <w:spacing w:line="240" w:lineRule="auto"/>
        <w:ind w:right="0"/>
        <w:jc w:val="left"/>
        <w:rPr>
          <w:b w:val="0"/>
          <w:bCs w:val="0"/>
        </w:rPr>
      </w:pPr>
      <w:bookmarkStart w:name="30、无形资产" w:id="209"/>
      <w:bookmarkEnd w:id="209"/>
      <w:r>
        <w:rPr>
          <w:b w:val="0"/>
          <w:bCs w:val="0"/>
        </w:rPr>
      </w:r>
      <w:r>
        <w:rPr>
          <w:rFonts w:ascii="宋体" w:hAnsi="宋体" w:cs="宋体" w:eastAsia="宋体" w:hint="default"/>
        </w:rPr>
        <w:t>30</w:t>
      </w:r>
      <w:r>
        <w:rPr/>
        <w:t>、无形资产</w:t>
      </w:r>
      <w:r>
        <w:rPr>
          <w:b w:val="0"/>
          <w:bCs w:val="0"/>
        </w:rPr>
      </w:r>
    </w:p>
    <w:p>
      <w:pPr>
        <w:spacing w:line="650" w:lineRule="atLeast" w:before="8"/>
        <w:ind w:left="575" w:right="0" w:hanging="423"/>
        <w:jc w:val="left"/>
        <w:rPr>
          <w:rFonts w:ascii="宋体" w:hAnsi="宋体" w:cs="宋体" w:eastAsia="宋体" w:hint="default"/>
          <w:sz w:val="21"/>
          <w:szCs w:val="21"/>
        </w:rPr>
      </w:pPr>
      <w:bookmarkStart w:name="（1）计价方法、使用寿命、减值测试" w:id="210"/>
      <w:bookmarkEnd w:id="210"/>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spacing w:val="-100"/>
          <w:sz w:val="21"/>
          <w:szCs w:val="21"/>
        </w:rPr>
        <w:t> </w:t>
      </w:r>
      <w:r>
        <w:rPr>
          <w:rFonts w:ascii="宋体" w:hAnsi="宋体" w:cs="宋体" w:eastAsia="宋体" w:hint="default"/>
          <w:spacing w:val="-2"/>
          <w:sz w:val="21"/>
          <w:szCs w:val="21"/>
        </w:rPr>
        <w:t>无形资产系指本公司拥有或控制的没有实物形态的可辨认非货币资产。包括专利权、非专利技术、商</w:t>
      </w:r>
    </w:p>
    <w:p>
      <w:pPr>
        <w:pStyle w:val="BodyText"/>
        <w:spacing w:line="314" w:lineRule="auto" w:before="85"/>
        <w:ind w:left="575" w:right="6054" w:hanging="423"/>
        <w:jc w:val="left"/>
      </w:pPr>
      <w:r>
        <w:rPr>
          <w:spacing w:val="-2"/>
        </w:rPr>
        <w:t>标权、著作权、土地使用权、特许权等。</w:t>
      </w:r>
      <w:r>
        <w:rPr>
          <w:spacing w:val="-68"/>
        </w:rPr>
        <w:t> </w:t>
      </w:r>
      <w:r>
        <w:rPr>
          <w:spacing w:val="-68"/>
        </w:rPr>
      </w:r>
      <w:r>
        <w:rPr>
          <w:rFonts w:ascii="宋体" w:hAnsi="宋体" w:cs="宋体" w:eastAsia="宋体" w:hint="default"/>
        </w:rPr>
        <w:t>1.</w:t>
      </w:r>
      <w:r>
        <w:rPr/>
        <w:t>无形资产的初始计量</w:t>
      </w:r>
    </w:p>
    <w:p>
      <w:pPr>
        <w:pStyle w:val="BodyText"/>
        <w:spacing w:line="314" w:lineRule="auto" w:before="16"/>
        <w:ind w:right="1121" w:firstLine="422"/>
        <w:jc w:val="both"/>
      </w:pPr>
      <w:r>
        <w:rPr>
          <w:spacing w:val="-2"/>
        </w:rPr>
        <w:t>购买无形资产的成本，包括购买价款、相关税费以及直接归属于使该项资产达到预定用途所发生的其</w:t>
      </w:r>
      <w:r>
        <w:rPr>
          <w:w w:val="100"/>
        </w:rPr>
        <w:t> </w:t>
      </w:r>
      <w:r>
        <w:rPr>
          <w:spacing w:val="-2"/>
        </w:rPr>
        <w:t>他支出。购买无形资产的价款超过正常信用条件延期支付，实质上具有融资性质的，无形资产的成本以购</w:t>
      </w:r>
      <w:r>
        <w:rPr>
          <w:spacing w:val="-33"/>
        </w:rPr>
        <w:t> </w:t>
      </w:r>
      <w:r>
        <w:rPr>
          <w:spacing w:val="-33"/>
        </w:rPr>
      </w:r>
      <w:r>
        <w:rPr>
          <w:spacing w:val="-2"/>
        </w:rPr>
        <w:t>买价款的现值为基础确定。实际支付的价款与购买价款的现值之间的差额，除应予资本化的以外，在信用</w:t>
      </w:r>
      <w:r>
        <w:rPr>
          <w:spacing w:val="-33"/>
        </w:rPr>
        <w:t> </w:t>
      </w:r>
      <w:r>
        <w:rPr>
          <w:spacing w:val="-33"/>
        </w:rPr>
      </w:r>
      <w:r>
        <w:rPr/>
        <w:t>期间内计入当期损益；</w:t>
      </w:r>
    </w:p>
    <w:p>
      <w:pPr>
        <w:pStyle w:val="BodyText"/>
        <w:spacing w:line="314" w:lineRule="auto" w:before="15"/>
        <w:ind w:right="1125" w:firstLine="422"/>
        <w:jc w:val="both"/>
      </w:pPr>
      <w:r>
        <w:rPr>
          <w:spacing w:val="-2"/>
        </w:rPr>
        <w:t>投资者投入的无形资产，按照投资合同或协议约定的价值作为入账价值，但合同或协议约定价值不公</w:t>
      </w:r>
      <w:r>
        <w:rPr>
          <w:w w:val="100"/>
        </w:rPr>
        <w:t> </w:t>
      </w:r>
      <w:r>
        <w:rPr/>
        <w:t>允的除外；</w:t>
      </w:r>
    </w:p>
    <w:p>
      <w:pPr>
        <w:pStyle w:val="BodyText"/>
        <w:spacing w:line="314" w:lineRule="auto"/>
        <w:ind w:right="1125" w:firstLine="422"/>
        <w:jc w:val="both"/>
      </w:pPr>
      <w:r>
        <w:rPr>
          <w:spacing w:val="-2"/>
        </w:rPr>
        <w:t>债务重组取得债务人用以抵债的无形资产，以该无形资产的公允价值为基础确定其入账价值，并将重</w:t>
      </w:r>
      <w:r>
        <w:rPr>
          <w:w w:val="100"/>
        </w:rPr>
        <w:t> </w:t>
      </w:r>
      <w:r>
        <w:rPr/>
        <w:t>组债务的账面价值与该用以抵债的无形资产公允价值之间的差额，计入当期损益；</w:t>
      </w:r>
    </w:p>
    <w:p>
      <w:pPr>
        <w:pStyle w:val="BodyText"/>
        <w:spacing w:line="314" w:lineRule="auto" w:before="15"/>
        <w:ind w:right="1125" w:firstLine="422"/>
        <w:jc w:val="both"/>
      </w:pPr>
      <w:r>
        <w:rPr>
          <w:spacing w:val="-2"/>
        </w:rPr>
        <w:t>在非货币性资产交换具备商业实质且换入资产或换出资产的公允价值能够可靠计量的前提下，非货币</w:t>
      </w:r>
      <w:r>
        <w:rPr>
          <w:w w:val="100"/>
        </w:rPr>
        <w:t> </w:t>
      </w:r>
      <w:r>
        <w:rPr>
          <w:spacing w:val="-2"/>
        </w:rPr>
        <w:t>性资产交换换入的无形资产以换出资产的公允价值为基础确定其入账价值，除非有确凿证据表明换入资产</w:t>
      </w:r>
      <w:r>
        <w:rPr>
          <w:spacing w:val="-33"/>
        </w:rPr>
        <w:t> </w:t>
      </w:r>
      <w:r>
        <w:rPr>
          <w:spacing w:val="-33"/>
        </w:rPr>
      </w:r>
      <w:r>
        <w:rPr>
          <w:spacing w:val="-2"/>
        </w:rPr>
        <w:t>的公允价值更加可靠；不满足上述前提的非货币性资产交换，以换出资产的账面价值和应支付的相关税费</w:t>
      </w:r>
      <w:r>
        <w:rPr>
          <w:spacing w:val="-33"/>
        </w:rPr>
        <w:t> </w:t>
      </w:r>
      <w:r>
        <w:rPr>
          <w:spacing w:val="-33"/>
        </w:rPr>
      </w:r>
      <w:r>
        <w:rPr/>
        <w:t>作为换入无形资产的成本，不确认损益。</w:t>
      </w:r>
    </w:p>
    <w:p>
      <w:pPr>
        <w:pStyle w:val="BodyText"/>
        <w:spacing w:line="314" w:lineRule="auto" w:before="15"/>
        <w:ind w:right="1126" w:firstLine="422"/>
        <w:jc w:val="both"/>
      </w:pPr>
      <w:r>
        <w:rPr>
          <w:spacing w:val="-2"/>
        </w:rPr>
        <w:t>以同一控制下的企业吸收合并方式取得的无形资产按被合并方的账面价值确定其入账价值；以非同一</w:t>
      </w:r>
      <w:r>
        <w:rPr>
          <w:w w:val="100"/>
        </w:rPr>
        <w:t> </w:t>
      </w:r>
      <w:r>
        <w:rPr/>
        <w:t>控制下的企业吸收合并方式取得的无形资产按公允价值确定其入账价值。</w:t>
      </w:r>
    </w:p>
    <w:p>
      <w:pPr>
        <w:pStyle w:val="BodyText"/>
        <w:spacing w:line="312" w:lineRule="auto"/>
        <w:ind w:right="0" w:firstLine="422"/>
        <w:jc w:val="left"/>
      </w:pPr>
      <w:r>
        <w:rPr/>
        <w:t>接受捐赠的无形资产，捐赠方提供了有关凭据的，按凭据上表明的金额加上应支付的相关税费计价；</w:t>
      </w:r>
      <w:r>
        <w:rPr>
          <w:w w:val="100"/>
        </w:rPr>
        <w:t> </w:t>
      </w:r>
      <w:r>
        <w:rPr>
          <w:spacing w:val="-2"/>
        </w:rPr>
        <w:t>捐赠方没有提供有关凭据的，如果同类或类似无形资产存在活跃市场的，按同类或者类似无形资产的市场</w:t>
      </w:r>
      <w:r>
        <w:rPr>
          <w:spacing w:val="-33"/>
        </w:rPr>
        <w:t> </w:t>
      </w:r>
      <w:r>
        <w:rPr>
          <w:spacing w:val="-33"/>
        </w:rPr>
      </w:r>
      <w:r>
        <w:rPr>
          <w:spacing w:val="-2"/>
        </w:rPr>
        <w:t>价格估计的金额，加上支付的相关税费，作为入账成本；如果同类或类似无形资产不存在活跃市场的，按</w:t>
      </w:r>
      <w:r>
        <w:rPr>
          <w:spacing w:val="-33"/>
        </w:rPr>
        <w:t> </w:t>
      </w:r>
      <w:r>
        <w:rPr>
          <w:spacing w:val="-33"/>
        </w:rPr>
      </w:r>
      <w:r>
        <w:rPr/>
        <w:t>接受捐赠的无形资产的预计未来现金流量现值，作为入账价值；</w:t>
      </w:r>
    </w:p>
    <w:p>
      <w:pPr>
        <w:pStyle w:val="BodyText"/>
        <w:spacing w:line="312" w:lineRule="auto" w:before="22"/>
        <w:ind w:right="1125" w:firstLine="422"/>
        <w:jc w:val="both"/>
      </w:pPr>
      <w:r>
        <w:rPr>
          <w:spacing w:val="-7"/>
        </w:rPr>
        <w:t>内部自行开发的无形资产，系开发阶段的支出成本，包括：开发该无形资产时耗用的材料、劳务成本、</w:t>
      </w:r>
      <w:r>
        <w:rPr>
          <w:w w:val="100"/>
        </w:rPr>
        <w:t> </w:t>
      </w:r>
      <w:r>
        <w:rPr>
          <w:spacing w:val="-2"/>
        </w:rPr>
        <w:t>注册费、在开发过程中使用的其他专利权和特许权的摊销以及满足资本化条件的利息费用，以及为使该无</w:t>
      </w:r>
      <w:r>
        <w:rPr>
          <w:spacing w:val="-33"/>
        </w:rPr>
        <w:t> </w:t>
      </w:r>
      <w:r>
        <w:rPr>
          <w:spacing w:val="-33"/>
        </w:rPr>
      </w:r>
      <w:r>
        <w:rPr/>
        <w:t>形资产达到预定用途前所发生的其他直接费用。前期调研阶段的研发费用直接计入当期损益。</w:t>
      </w:r>
    </w:p>
    <w:p>
      <w:pPr>
        <w:pStyle w:val="BodyText"/>
        <w:spacing w:line="314" w:lineRule="auto" w:before="22"/>
        <w:ind w:left="575" w:right="1004"/>
        <w:jc w:val="left"/>
      </w:pPr>
      <w:r>
        <w:rPr>
          <w:rFonts w:ascii="宋体" w:hAnsi="宋体" w:cs="宋体" w:eastAsia="宋体" w:hint="default"/>
        </w:rPr>
        <w:t>2.</w:t>
      </w:r>
      <w:r>
        <w:rPr/>
        <w:t>后续计量</w:t>
      </w:r>
      <w:r>
        <w:rPr>
          <w:spacing w:val="-99"/>
        </w:rPr>
        <w:t> </w:t>
      </w:r>
      <w:r>
        <w:rPr>
          <w:spacing w:val="-2"/>
        </w:rPr>
        <w:t>根据无形资产的合同性权利或其他法定权利、同行业情况、历史经验、相关专家论证等综合因素判断</w:t>
      </w:r>
    </w:p>
    <w:p>
      <w:pPr>
        <w:pStyle w:val="BodyText"/>
        <w:spacing w:line="240" w:lineRule="auto"/>
        <w:ind w:right="0"/>
        <w:jc w:val="left"/>
      </w:pPr>
      <w:r>
        <w:rPr/>
        <w:t>其使用寿命。</w:t>
      </w:r>
    </w:p>
    <w:p>
      <w:pPr>
        <w:pStyle w:val="BodyText"/>
        <w:spacing w:line="314" w:lineRule="auto" w:before="80"/>
        <w:ind w:right="1125" w:firstLine="422"/>
        <w:jc w:val="both"/>
      </w:pPr>
      <w:r>
        <w:rPr>
          <w:spacing w:val="-2"/>
        </w:rPr>
        <w:t>能合理确定无形资产为公司带来经济利益期限的，作为使用寿命有限的无形资产。对于使用寿命有限</w:t>
      </w:r>
      <w:r>
        <w:rPr>
          <w:w w:val="100"/>
        </w:rPr>
        <w:t> </w:t>
      </w:r>
      <w:r>
        <w:rPr>
          <w:spacing w:val="-2"/>
        </w:rPr>
        <w:t>的无形资产，在为企业带来经济利益的期限内按直线法摊销；无法预见无形资产为企业带来经济利益期限</w:t>
      </w:r>
    </w:p>
    <w:p>
      <w:pPr>
        <w:spacing w:after="0" w:line="314" w:lineRule="auto"/>
        <w:jc w:val="both"/>
        <w:sectPr>
          <w:pgSz w:w="11910" w:h="16840"/>
          <w:pgMar w:header="460" w:footer="979" w:top="1060" w:bottom="1160" w:left="980" w:right="0"/>
        </w:sectPr>
      </w:pPr>
    </w:p>
    <w:p>
      <w:pPr>
        <w:spacing w:line="240" w:lineRule="auto" w:before="11"/>
        <w:rPr>
          <w:rFonts w:ascii="宋体" w:hAnsi="宋体" w:cs="宋体" w:eastAsia="宋体" w:hint="default"/>
          <w:sz w:val="25"/>
          <w:szCs w:val="25"/>
        </w:rPr>
      </w:pPr>
    </w:p>
    <w:p>
      <w:pPr>
        <w:pStyle w:val="BodyText"/>
        <w:spacing w:line="314" w:lineRule="auto" w:before="36"/>
        <w:ind w:left="575" w:right="0" w:hanging="423"/>
        <w:jc w:val="left"/>
      </w:pPr>
      <w:r>
        <w:rPr/>
        <w:t>的，视为使用寿命不确定的无形资产，不予摊销。</w:t>
      </w:r>
      <w:r>
        <w:rPr>
          <w:w w:val="100"/>
        </w:rPr>
        <w:t> </w:t>
      </w:r>
      <w:r>
        <w:rPr/>
        <w:t>对使用寿命有限的无形资产，估计其使用寿命时通常考虑以下因素：（</w:t>
      </w:r>
      <w:r>
        <w:rPr>
          <w:rFonts w:ascii="宋体" w:hAnsi="宋体" w:cs="宋体" w:eastAsia="宋体" w:hint="default"/>
        </w:rPr>
        <w:t>1</w:t>
      </w:r>
      <w:r>
        <w:rPr/>
        <w:t>）运用该资产生产的产品通</w:t>
      </w:r>
    </w:p>
    <w:p>
      <w:pPr>
        <w:pStyle w:val="BodyText"/>
        <w:spacing w:line="314" w:lineRule="auto" w:before="15"/>
        <w:ind w:right="1122"/>
        <w:jc w:val="both"/>
      </w:pPr>
      <w:r>
        <w:rPr/>
        <w:t>常的寿命周期、可获得的类似资产使用寿命的信息；（</w:t>
      </w:r>
      <w:r>
        <w:rPr>
          <w:rFonts w:ascii="宋体" w:hAnsi="宋体" w:cs="宋体" w:eastAsia="宋体" w:hint="default"/>
        </w:rPr>
        <w:t>2</w:t>
      </w:r>
      <w:r>
        <w:rPr/>
        <w:t>）技术、工艺等方面的现阶段情况及对未来发展</w:t>
      </w:r>
      <w:r>
        <w:rPr>
          <w:spacing w:val="-29"/>
        </w:rPr>
        <w:t> </w:t>
      </w:r>
      <w:r>
        <w:rPr>
          <w:spacing w:val="-29"/>
        </w:rPr>
      </w:r>
      <w:r>
        <w:rPr>
          <w:spacing w:val="-2"/>
        </w:rPr>
        <w:t>趋势的估计；（</w:t>
      </w:r>
      <w:r>
        <w:rPr>
          <w:rFonts w:ascii="宋体" w:hAnsi="宋体" w:cs="宋体" w:eastAsia="宋体" w:hint="default"/>
          <w:spacing w:val="-2"/>
        </w:rPr>
        <w:t>3</w:t>
      </w:r>
      <w:r>
        <w:rPr>
          <w:spacing w:val="-2"/>
        </w:rPr>
        <w:t>）以该资产生产的产品或提供劳务的市场需求情况；（</w:t>
      </w:r>
      <w:r>
        <w:rPr>
          <w:rFonts w:ascii="宋体" w:hAnsi="宋体" w:cs="宋体" w:eastAsia="宋体" w:hint="default"/>
          <w:spacing w:val="-2"/>
        </w:rPr>
        <w:t>4</w:t>
      </w:r>
      <w:r>
        <w:rPr>
          <w:spacing w:val="-2"/>
        </w:rPr>
        <w:t>）现在或潜在的竞争者预期采取</w:t>
      </w:r>
      <w:r>
        <w:rPr>
          <w:spacing w:val="-35"/>
        </w:rPr>
        <w:t> </w:t>
      </w:r>
      <w:r>
        <w:rPr>
          <w:spacing w:val="-35"/>
        </w:rPr>
      </w:r>
      <w:r>
        <w:rPr>
          <w:spacing w:val="-6"/>
        </w:rPr>
        <w:t>的行动；（</w:t>
      </w:r>
      <w:r>
        <w:rPr>
          <w:rFonts w:ascii="宋体" w:hAnsi="宋体" w:cs="宋体" w:eastAsia="宋体" w:hint="default"/>
          <w:spacing w:val="-6"/>
        </w:rPr>
        <w:t>5</w:t>
      </w:r>
      <w:r>
        <w:rPr>
          <w:spacing w:val="-6"/>
        </w:rPr>
        <w:t>）为维持该资产带来经济利益能力的预期维护支出，以及公司预计支付有关支出的能力；（</w:t>
      </w:r>
      <w:r>
        <w:rPr>
          <w:rFonts w:ascii="宋体" w:hAnsi="宋体" w:cs="宋体" w:eastAsia="宋体" w:hint="default"/>
          <w:spacing w:val="-6"/>
        </w:rPr>
        <w:t>6</w:t>
      </w:r>
      <w:r>
        <w:rPr>
          <w:spacing w:val="-6"/>
        </w:rPr>
        <w:t>）</w:t>
      </w:r>
      <w:r>
        <w:rPr>
          <w:spacing w:val="-45"/>
        </w:rPr>
        <w:t> </w:t>
      </w:r>
      <w:r>
        <w:rPr/>
        <w:t>对该资产控制期限的相关法律规定或类似限制，如特许使用期、租赁期等；（</w:t>
      </w:r>
      <w:r>
        <w:rPr>
          <w:rFonts w:ascii="宋体" w:hAnsi="宋体" w:cs="宋体" w:eastAsia="宋体" w:hint="default"/>
        </w:rPr>
        <w:t>7</w:t>
      </w:r>
      <w:r>
        <w:rPr/>
        <w:t>）与公司持有其他资产使</w:t>
      </w:r>
      <w:r>
        <w:rPr>
          <w:spacing w:val="-27"/>
        </w:rPr>
        <w:t> </w:t>
      </w:r>
      <w:r>
        <w:rPr>
          <w:spacing w:val="-27"/>
        </w:rPr>
      </w:r>
      <w:r>
        <w:rPr/>
        <w:t>用寿命的关联性等。</w:t>
      </w:r>
    </w:p>
    <w:p>
      <w:pPr>
        <w:pStyle w:val="BodyText"/>
        <w:spacing w:line="314" w:lineRule="auto"/>
        <w:ind w:left="575" w:right="0"/>
        <w:jc w:val="left"/>
      </w:pPr>
      <w:r>
        <w:rPr>
          <w:rFonts w:ascii="宋体" w:hAnsi="宋体" w:cs="宋体" w:eastAsia="宋体" w:hint="default"/>
        </w:rPr>
        <w:t>3.</w:t>
      </w:r>
      <w:r>
        <w:rPr/>
        <w:t>使用寿命有限的无形资产的使用寿命估计情况</w:t>
      </w:r>
      <w:r>
        <w:rPr>
          <w:spacing w:val="-100"/>
        </w:rPr>
        <w:t> </w:t>
      </w:r>
      <w:r>
        <w:rPr>
          <w:spacing w:val="-100"/>
        </w:rPr>
      </w:r>
      <w:r>
        <w:rPr>
          <w:spacing w:val="-2"/>
        </w:rPr>
        <w:t>使用寿命有限的无形资产，在使用寿命内按照与该项无形资产有关的经济利益的预期实现方式系统合</w:t>
      </w:r>
    </w:p>
    <w:p>
      <w:pPr>
        <w:pStyle w:val="BodyText"/>
        <w:spacing w:line="240" w:lineRule="auto"/>
        <w:ind w:right="0"/>
        <w:jc w:val="both"/>
      </w:pPr>
      <w:r>
        <w:rPr/>
        <w:t>理地摊销，无法可靠确定预期实现方式的，采用直线法摊销。</w:t>
      </w:r>
    </w:p>
    <w:p>
      <w:pPr>
        <w:spacing w:line="240" w:lineRule="auto" w:before="6"/>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4125"/>
        <w:gridCol w:w="4492"/>
      </w:tblGrid>
      <w:tr>
        <w:trPr>
          <w:trHeight w:val="398" w:hRule="exact"/>
        </w:trPr>
        <w:tc>
          <w:tcPr>
            <w:tcW w:w="4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4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left="3"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r>
      <w:tr>
        <w:trPr>
          <w:trHeight w:val="394" w:hRule="exact"/>
        </w:trPr>
        <w:tc>
          <w:tcPr>
            <w:tcW w:w="4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44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94" w:hRule="exact"/>
        </w:trPr>
        <w:tc>
          <w:tcPr>
            <w:tcW w:w="4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44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left="3" w:right="0"/>
              <w:jc w:val="center"/>
              <w:rPr>
                <w:rFonts w:ascii="宋体" w:hAnsi="宋体" w:cs="宋体" w:eastAsia="宋体" w:hint="default"/>
                <w:sz w:val="21"/>
                <w:szCs w:val="21"/>
              </w:rPr>
            </w:pPr>
            <w:r>
              <w:rPr>
                <w:rFonts w:ascii="宋体" w:hAnsi="宋体" w:cs="宋体" w:eastAsia="宋体" w:hint="default"/>
                <w:sz w:val="21"/>
                <w:szCs w:val="21"/>
              </w:rPr>
              <w:t>土地证登记使用年限</w:t>
            </w:r>
          </w:p>
        </w:tc>
      </w:tr>
      <w:tr>
        <w:trPr>
          <w:trHeight w:val="394" w:hRule="exact"/>
        </w:trPr>
        <w:tc>
          <w:tcPr>
            <w:tcW w:w="4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21"/>
                <w:szCs w:val="21"/>
              </w:rPr>
            </w:pPr>
            <w:r>
              <w:rPr>
                <w:rFonts w:ascii="宋体" w:hAnsi="宋体" w:cs="宋体" w:eastAsia="宋体" w:hint="default"/>
                <w:sz w:val="21"/>
                <w:szCs w:val="21"/>
              </w:rPr>
              <w:t>软件著作权及专利技术</w:t>
            </w:r>
          </w:p>
        </w:tc>
        <w:tc>
          <w:tcPr>
            <w:tcW w:w="44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94" w:hRule="exact"/>
        </w:trPr>
        <w:tc>
          <w:tcPr>
            <w:tcW w:w="4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21"/>
                <w:szCs w:val="21"/>
              </w:rPr>
            </w:pPr>
            <w:r>
              <w:rPr>
                <w:rFonts w:ascii="宋体" w:hAnsi="宋体" w:cs="宋体" w:eastAsia="宋体" w:hint="default"/>
                <w:sz w:val="21"/>
                <w:szCs w:val="21"/>
              </w:rPr>
              <w:t>域名</w:t>
            </w:r>
          </w:p>
        </w:tc>
        <w:tc>
          <w:tcPr>
            <w:tcW w:w="44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bl>
    <w:p>
      <w:pPr>
        <w:pStyle w:val="BodyText"/>
        <w:spacing w:line="312" w:lineRule="auto" w:before="9"/>
        <w:ind w:right="1125" w:firstLine="422"/>
        <w:jc w:val="both"/>
      </w:pPr>
      <w:r>
        <w:rPr>
          <w:spacing w:val="-2"/>
        </w:rPr>
        <w:t>公司于每年年度终了，对使用寿命有限的无形资产的使用寿命及摊销方法进行复核，无形资产的使用</w:t>
      </w:r>
      <w:r>
        <w:rPr>
          <w:w w:val="100"/>
        </w:rPr>
        <w:t> </w:t>
      </w:r>
      <w:r>
        <w:rPr>
          <w:spacing w:val="-2"/>
        </w:rPr>
        <w:t>寿命及摊销方法与以前估计不同的，则改变摊销期限和摊销方法；对使用寿命不确定的无形资产的使用寿</w:t>
      </w:r>
      <w:r>
        <w:rPr>
          <w:spacing w:val="-33"/>
        </w:rPr>
        <w:t> </w:t>
      </w:r>
      <w:r>
        <w:rPr>
          <w:spacing w:val="-33"/>
        </w:rPr>
      </w:r>
      <w:r>
        <w:rPr/>
        <w:t>命进行复核，如果有证据表明无形资产的使用寿命是有限的，估计其使用寿命，按准则规定处理。</w:t>
      </w:r>
    </w:p>
    <w:p>
      <w:pPr>
        <w:pStyle w:val="BodyText"/>
        <w:spacing w:line="240" w:lineRule="auto" w:before="22"/>
        <w:ind w:left="575" w:right="0"/>
        <w:jc w:val="left"/>
      </w:pPr>
      <w:r>
        <w:rPr/>
        <w:t>经复核，本报告期末无形资产的使用寿命及摊销方法与以前估计未有不同。</w:t>
      </w:r>
    </w:p>
    <w:p>
      <w:pPr>
        <w:spacing w:line="662" w:lineRule="exact" w:before="98"/>
        <w:ind w:left="575" w:right="2115" w:hanging="423"/>
        <w:jc w:val="left"/>
        <w:rPr>
          <w:rFonts w:ascii="宋体" w:hAnsi="宋体" w:cs="宋体" w:eastAsia="宋体" w:hint="default"/>
          <w:sz w:val="21"/>
          <w:szCs w:val="21"/>
        </w:rPr>
      </w:pPr>
      <w:bookmarkStart w:name="（2）内部研究开发支出会计政策" w:id="211"/>
      <w:bookmarkEnd w:id="211"/>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spacing w:val="-101"/>
          <w:sz w:val="21"/>
          <w:szCs w:val="21"/>
        </w:rPr>
        <w:t> </w:t>
      </w:r>
      <w:r>
        <w:rPr>
          <w:rFonts w:ascii="宋体" w:hAnsi="宋体" w:cs="宋体" w:eastAsia="宋体" w:hint="default"/>
          <w:spacing w:val="-2"/>
          <w:sz w:val="21"/>
          <w:szCs w:val="21"/>
        </w:rPr>
        <w:t>本公司内部研究开发项目的支出，区分研究阶段支出与开发阶段支出。</w:t>
      </w:r>
    </w:p>
    <w:p>
      <w:pPr>
        <w:pStyle w:val="BodyText"/>
        <w:spacing w:line="252" w:lineRule="exact" w:before="0"/>
        <w:ind w:left="575" w:right="0"/>
        <w:jc w:val="left"/>
      </w:pPr>
      <w:r>
        <w:rPr>
          <w:rFonts w:ascii="宋体" w:hAnsi="宋体" w:cs="宋体" w:eastAsia="宋体" w:hint="default"/>
        </w:rPr>
        <w:t>1.</w:t>
      </w:r>
      <w:r>
        <w:rPr/>
        <w:t>划分公司内部研究开发项目的研究阶段和开发阶段的标准：为获取并理解新的科学或技术知识而进</w:t>
      </w:r>
    </w:p>
    <w:p>
      <w:pPr>
        <w:pStyle w:val="BodyText"/>
        <w:spacing w:line="314" w:lineRule="auto" w:before="85"/>
        <w:ind w:right="0"/>
        <w:jc w:val="left"/>
      </w:pPr>
      <w:r>
        <w:rPr>
          <w:spacing w:val="-4"/>
        </w:rPr>
        <w:t>行的独创性的有计划调查、资料搜集及相关方面的准备活动作为研究阶段的支出，于发生时计入当期损益；</w:t>
      </w:r>
      <w:r>
        <w:rPr>
          <w:spacing w:val="-42"/>
        </w:rPr>
        <w:t> </w:t>
      </w:r>
      <w:r>
        <w:rPr>
          <w:spacing w:val="-42"/>
        </w:rPr>
      </w:r>
      <w:r>
        <w:rPr/>
        <w:t>本公司完成研究阶段工作，进行商业性生产或使用前，将研究成果或其他知识应用于某项计划或设计，以</w:t>
      </w:r>
      <w:r>
        <w:rPr>
          <w:w w:val="100"/>
        </w:rPr>
        <w:t> </w:t>
      </w:r>
      <w:r>
        <w:rPr/>
        <w:t>生产出新的或具有实质性改进的材料、装置、产品的活动作为研发阶段，研发支出予以资本化。</w:t>
      </w:r>
    </w:p>
    <w:p>
      <w:pPr>
        <w:pStyle w:val="BodyText"/>
        <w:spacing w:line="314" w:lineRule="auto" w:before="15"/>
        <w:ind w:right="0" w:firstLine="422"/>
        <w:jc w:val="left"/>
      </w:pPr>
      <w:r>
        <w:rPr>
          <w:rFonts w:ascii="宋体" w:hAnsi="宋体" w:cs="宋体" w:eastAsia="宋体" w:hint="default"/>
        </w:rPr>
        <w:t>2.</w:t>
      </w:r>
      <w:r>
        <w:rPr/>
        <w:t>研发阶段支出符合资本化的具体标准：内部研究开发项目开发阶段的支出，同时满足下列条件的，</w:t>
      </w:r>
      <w:r>
        <w:rPr>
          <w:w w:val="100"/>
        </w:rPr>
        <w:t> </w:t>
      </w:r>
      <w:r>
        <w:rPr>
          <w:spacing w:val="-2"/>
        </w:rPr>
        <w:t>确认为无形资产：（</w:t>
      </w:r>
      <w:r>
        <w:rPr>
          <w:rFonts w:ascii="宋体" w:hAnsi="宋体" w:cs="宋体" w:eastAsia="宋体" w:hint="default"/>
          <w:spacing w:val="-2"/>
        </w:rPr>
        <w:t>1</w:t>
      </w:r>
      <w:r>
        <w:rPr>
          <w:spacing w:val="-2"/>
        </w:rPr>
        <w:t>）完成该无形资产以使其能够使用或出售在技术上具有可行性；（</w:t>
      </w:r>
      <w:r>
        <w:rPr>
          <w:rFonts w:ascii="宋体" w:hAnsi="宋体" w:cs="宋体" w:eastAsia="宋体" w:hint="default"/>
          <w:spacing w:val="-2"/>
        </w:rPr>
        <w:t>2</w:t>
      </w:r>
      <w:r>
        <w:rPr>
          <w:spacing w:val="-2"/>
        </w:rPr>
        <w:t>）具有完成该无</w:t>
      </w:r>
      <w:r>
        <w:rPr>
          <w:spacing w:val="-34"/>
        </w:rPr>
        <w:t> </w:t>
      </w:r>
      <w:r>
        <w:rPr>
          <w:spacing w:val="-34"/>
        </w:rPr>
      </w:r>
      <w:r>
        <w:rPr/>
        <w:t>形资产并使用或出售的意图；（</w:t>
      </w:r>
      <w:r>
        <w:rPr>
          <w:rFonts w:ascii="宋体" w:hAnsi="宋体" w:cs="宋体" w:eastAsia="宋体" w:hint="default"/>
        </w:rPr>
        <w:t>3</w:t>
      </w:r>
      <w:r>
        <w:rPr/>
        <w:t>）无形资产产生经济利益的方式，包括能够证明运用该无形资产生产的</w:t>
      </w:r>
      <w:r>
        <w:rPr>
          <w:w w:val="100"/>
        </w:rPr>
        <w:t> </w:t>
      </w:r>
      <w:r>
        <w:rPr/>
        <w:t>产品存在市场或无形资产自身存在市场，无形资产将在内部使用的，应当证明其有用性；（</w:t>
      </w:r>
      <w:r>
        <w:rPr>
          <w:rFonts w:ascii="宋体" w:hAnsi="宋体" w:cs="宋体" w:eastAsia="宋体" w:hint="default"/>
        </w:rPr>
        <w:t>4</w:t>
      </w:r>
      <w:r>
        <w:rPr/>
        <w:t>）有足够的</w:t>
      </w:r>
      <w:r>
        <w:rPr>
          <w:spacing w:val="-103"/>
        </w:rPr>
        <w:t> </w:t>
      </w:r>
      <w:r>
        <w:rPr>
          <w:spacing w:val="-103"/>
        </w:rPr>
      </w:r>
      <w:r>
        <w:rPr/>
        <w:t>技术、财务资源和其他资源支持，以完成该无形资产的开发，并有能力使用或出售该无形资产；（</w:t>
      </w:r>
      <w:r>
        <w:rPr>
          <w:rFonts w:ascii="宋体" w:hAnsi="宋体" w:cs="宋体" w:eastAsia="宋体" w:hint="default"/>
        </w:rPr>
        <w:t>5</w:t>
      </w:r>
      <w:r>
        <w:rPr/>
        <w:t>）归</w:t>
      </w:r>
      <w:r>
        <w:rPr>
          <w:spacing w:val="-103"/>
        </w:rPr>
        <w:t> </w:t>
      </w:r>
      <w:r>
        <w:rPr/>
        <w:t>属于该无形资产开发阶段的支出能够可靠地计量。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bookmarkStart w:name="31、长期资产减值" w:id="212"/>
      <w:bookmarkEnd w:id="212"/>
      <w:r>
        <w:rPr>
          <w:b w:val="0"/>
          <w:bCs w:val="0"/>
        </w:rPr>
      </w:r>
      <w:r>
        <w:rPr>
          <w:rFonts w:ascii="宋体" w:hAnsi="宋体" w:cs="宋体" w:eastAsia="宋体" w:hint="default"/>
        </w:rPr>
        <w:t>31</w:t>
      </w:r>
      <w:r>
        <w:rPr/>
        <w:t>、长期资产减值</w:t>
      </w:r>
      <w:r>
        <w:rPr>
          <w:b w:val="0"/>
          <w:bCs w:val="0"/>
        </w:rPr>
      </w:r>
    </w:p>
    <w:p>
      <w:pPr>
        <w:spacing w:line="240" w:lineRule="auto" w:before="4"/>
        <w:rPr>
          <w:rFonts w:ascii="宋体" w:hAnsi="宋体" w:cs="宋体" w:eastAsia="宋体" w:hint="default"/>
          <w:b/>
          <w:bCs/>
          <w:sz w:val="29"/>
          <w:szCs w:val="29"/>
        </w:rPr>
      </w:pPr>
    </w:p>
    <w:p>
      <w:pPr>
        <w:pStyle w:val="BodyText"/>
        <w:spacing w:line="314" w:lineRule="auto" w:before="0"/>
        <w:ind w:left="575" w:right="0"/>
        <w:jc w:val="left"/>
      </w:pPr>
      <w:r>
        <w:rPr>
          <w:rFonts w:ascii="宋体" w:hAnsi="宋体" w:cs="宋体" w:eastAsia="宋体" w:hint="default"/>
        </w:rPr>
        <w:t>1</w:t>
      </w:r>
      <w:r>
        <w:rPr/>
        <w:t>、长期投资减值的确认</w:t>
      </w:r>
      <w:r>
        <w:rPr>
          <w:spacing w:val="-103"/>
        </w:rPr>
        <w:t> </w:t>
      </w:r>
      <w:r>
        <w:rPr>
          <w:spacing w:val="-103"/>
        </w:rPr>
      </w:r>
      <w:r>
        <w:rPr>
          <w:spacing w:val="-2"/>
        </w:rPr>
        <w:t>本公司在资产负债表日对长期股权投资进行逐项检查，根据被投资单位经营政策、法律环境、市场需</w:t>
      </w:r>
    </w:p>
    <w:p>
      <w:pPr>
        <w:spacing w:after="0" w:line="314" w:lineRule="auto"/>
        <w:jc w:val="left"/>
        <w:sectPr>
          <w:pgSz w:w="11910" w:h="16840"/>
          <w:pgMar w:header="460" w:footer="979" w:top="1060" w:bottom="1160" w:left="980" w:right="0"/>
        </w:sectPr>
      </w:pPr>
    </w:p>
    <w:p>
      <w:pPr>
        <w:spacing w:line="240" w:lineRule="auto" w:before="11"/>
        <w:rPr>
          <w:rFonts w:ascii="宋体" w:hAnsi="宋体" w:cs="宋体" w:eastAsia="宋体" w:hint="default"/>
          <w:sz w:val="25"/>
          <w:szCs w:val="25"/>
        </w:rPr>
      </w:pPr>
    </w:p>
    <w:p>
      <w:pPr>
        <w:pStyle w:val="BodyText"/>
        <w:spacing w:line="314" w:lineRule="auto" w:before="36"/>
        <w:ind w:left="575" w:right="0" w:hanging="423"/>
        <w:jc w:val="left"/>
      </w:pPr>
      <w:r>
        <w:rPr/>
        <w:t>求、行业及盈利能力等各种变化判断长期股权投资是否存在减值迹象。</w:t>
      </w:r>
      <w:r>
        <w:rPr>
          <w:spacing w:val="-103"/>
        </w:rPr>
        <w:t> </w:t>
      </w:r>
      <w:r>
        <w:rPr>
          <w:spacing w:val="-103"/>
        </w:rPr>
      </w:r>
      <w:r>
        <w:rPr>
          <w:spacing w:val="-2"/>
        </w:rPr>
        <w:t>除因企业合并形成的商誉以外的存在减值迹象的其他长期股权投资，如果可收回金额的计量结果表明，</w:t>
      </w:r>
    </w:p>
    <w:p>
      <w:pPr>
        <w:pStyle w:val="BodyText"/>
        <w:spacing w:line="314" w:lineRule="auto" w:before="15"/>
        <w:ind w:left="575" w:right="0" w:hanging="423"/>
        <w:jc w:val="left"/>
      </w:pPr>
      <w:r>
        <w:rPr/>
        <w:t>该长期股权投资的可收回金额低于其账面价值的，将差额确认为减值损失。</w:t>
      </w:r>
      <w:r>
        <w:rPr>
          <w:w w:val="100"/>
        </w:rPr>
        <w:t> </w:t>
      </w:r>
      <w:r>
        <w:rPr>
          <w:spacing w:val="-2"/>
        </w:rPr>
        <w:t>因企业合并形成的商誉，无论是否存在减值迹象，每年都进行减值测试。</w:t>
      </w:r>
      <w:r>
        <w:rPr>
          <w:w w:val="100"/>
        </w:rPr>
        <w:t> </w:t>
      </w:r>
      <w:r>
        <w:rPr/>
        <w:t>长期股权投资减值损失一经确认，不再转回。</w:t>
      </w:r>
    </w:p>
    <w:p>
      <w:pPr>
        <w:pStyle w:val="BodyText"/>
        <w:spacing w:line="309" w:lineRule="auto"/>
        <w:ind w:left="575" w:right="0"/>
        <w:jc w:val="left"/>
      </w:pPr>
      <w:r>
        <w:rPr>
          <w:rFonts w:ascii="宋体" w:hAnsi="宋体" w:cs="宋体" w:eastAsia="宋体" w:hint="default"/>
        </w:rPr>
        <w:t>2</w:t>
      </w:r>
      <w:r>
        <w:rPr/>
        <w:t>、固定资产减值的确认</w:t>
      </w:r>
      <w:r>
        <w:rPr>
          <w:spacing w:val="-103"/>
        </w:rPr>
        <w:t> </w:t>
      </w:r>
      <w:r>
        <w:rPr>
          <w:spacing w:val="-103"/>
        </w:rPr>
      </w:r>
      <w:r>
        <w:rPr>
          <w:spacing w:val="-5"/>
        </w:rPr>
        <w:t>公司在每期末判断固定资产是否存在可能发生减值的迹象，如果存在资产市价持续下跌，或技术陈旧、</w:t>
      </w:r>
    </w:p>
    <w:p>
      <w:pPr>
        <w:pStyle w:val="BodyText"/>
        <w:spacing w:line="314" w:lineRule="auto" w:before="24"/>
        <w:ind w:right="0"/>
        <w:jc w:val="left"/>
      </w:pPr>
      <w:r>
        <w:rPr>
          <w:spacing w:val="-2"/>
        </w:rPr>
        <w:t>损坏、长期闲置等减值迹象的，估计其可收回金额。可收回金额根据固定资产的公允价值减去处置费用后</w:t>
      </w:r>
      <w:r>
        <w:rPr>
          <w:spacing w:val="-33"/>
        </w:rPr>
        <w:t> </w:t>
      </w:r>
      <w:r>
        <w:rPr>
          <w:spacing w:val="-33"/>
        </w:rPr>
      </w:r>
      <w:r>
        <w:rPr/>
        <w:t>的净额与固定资产预计未来现金流量的现值两者之间较高者确定。</w:t>
      </w:r>
    </w:p>
    <w:p>
      <w:pPr>
        <w:pStyle w:val="BodyText"/>
        <w:spacing w:line="309" w:lineRule="auto"/>
        <w:ind w:right="0" w:firstLine="422"/>
        <w:jc w:val="left"/>
      </w:pPr>
      <w:r>
        <w:rPr>
          <w:spacing w:val="-2"/>
        </w:rPr>
        <w:t>当固定资产的可收回金额低于其账面价值的，将固定资产的账面价值减记至可收回金额，减记的金额</w:t>
      </w:r>
      <w:r>
        <w:rPr>
          <w:w w:val="100"/>
        </w:rPr>
        <w:t> </w:t>
      </w:r>
      <w:r>
        <w:rPr/>
        <w:t>确认为固定资产减值损失，计入当期损益，同时计提相应的固定资产减值准备。</w:t>
      </w:r>
    </w:p>
    <w:p>
      <w:pPr>
        <w:pStyle w:val="BodyText"/>
        <w:spacing w:line="314" w:lineRule="auto" w:before="24"/>
        <w:ind w:right="0" w:firstLine="422"/>
        <w:jc w:val="left"/>
      </w:pPr>
      <w:r>
        <w:rPr>
          <w:spacing w:val="-2"/>
        </w:rPr>
        <w:t>固定资产减值损失确认后，减值固定资产的折旧在未来期间作相应调整，以使该固定资产在剩余使用</w:t>
      </w:r>
      <w:r>
        <w:rPr>
          <w:w w:val="100"/>
        </w:rPr>
        <w:t> </w:t>
      </w:r>
      <w:r>
        <w:rPr/>
        <w:t>寿命内，系统地分摊调整后的固定资产账面价值（扣除预计净残值）。</w:t>
      </w:r>
    </w:p>
    <w:p>
      <w:pPr>
        <w:pStyle w:val="BodyText"/>
        <w:spacing w:line="309" w:lineRule="auto"/>
        <w:ind w:left="575" w:right="0"/>
        <w:jc w:val="left"/>
      </w:pPr>
      <w:r>
        <w:rPr/>
        <w:t>固定资产的减值损失一经确认，在以后会计期间不再转回。</w:t>
      </w:r>
      <w:r>
        <w:rPr>
          <w:w w:val="100"/>
        </w:rPr>
        <w:t> </w:t>
      </w:r>
      <w:r>
        <w:rPr>
          <w:spacing w:val="-2"/>
        </w:rPr>
        <w:t>有迹象表明一项固定资产可能发生减值的，企业以单项固定资产为基础估计其可收回金额。企业难以</w:t>
      </w:r>
    </w:p>
    <w:p>
      <w:pPr>
        <w:pStyle w:val="BodyText"/>
        <w:spacing w:line="314" w:lineRule="auto" w:before="24"/>
        <w:ind w:left="575" w:right="0" w:hanging="423"/>
        <w:jc w:val="left"/>
      </w:pPr>
      <w:r>
        <w:rPr/>
        <w:t>对单项固定资产的可收回金额进行估计的，以该固定资产所属的资产组为基础确定资产组的可收回金额。</w:t>
      </w:r>
      <w:r>
        <w:rPr>
          <w:spacing w:val="-30"/>
        </w:rPr>
        <w:t> </w:t>
      </w:r>
      <w:r>
        <w:rPr>
          <w:spacing w:val="-30"/>
        </w:rPr>
      </w:r>
      <w:r>
        <w:rPr>
          <w:rFonts w:ascii="宋体" w:hAnsi="宋体" w:cs="宋体" w:eastAsia="宋体" w:hint="default"/>
        </w:rPr>
        <w:t>3</w:t>
      </w:r>
      <w:r>
        <w:rPr/>
        <w:t>、在建工程减值的确认</w:t>
      </w:r>
      <w:r>
        <w:rPr>
          <w:w w:val="100"/>
        </w:rPr>
        <w:t> </w:t>
      </w:r>
      <w:r>
        <w:rPr/>
        <w:t>公司在每期末判断在建工程是否存在可能发生减值的迹象。如果存在：</w:t>
      </w:r>
      <w:r>
        <w:rPr>
          <w:rFonts w:ascii="宋体" w:hAnsi="宋体" w:cs="宋体" w:eastAsia="宋体" w:hint="default"/>
        </w:rPr>
        <w:t>a.</w:t>
      </w:r>
      <w:r>
        <w:rPr/>
        <w:t>在建工程长期停建并且预计</w:t>
      </w:r>
    </w:p>
    <w:p>
      <w:pPr>
        <w:pStyle w:val="BodyText"/>
        <w:spacing w:line="314" w:lineRule="auto" w:before="15"/>
        <w:ind w:right="0"/>
        <w:jc w:val="left"/>
      </w:pPr>
      <w:r>
        <w:rPr/>
        <w:t>在未来</w:t>
      </w:r>
      <w:r>
        <w:rPr>
          <w:rFonts w:ascii="宋体" w:hAnsi="宋体" w:cs="宋体" w:eastAsia="宋体" w:hint="default"/>
        </w:rPr>
        <w:t>3</w:t>
      </w:r>
      <w:r>
        <w:rPr/>
        <w:t>年内不会重新开工；</w:t>
      </w:r>
      <w:r>
        <w:rPr>
          <w:rFonts w:ascii="宋体" w:hAnsi="宋体" w:cs="宋体" w:eastAsia="宋体" w:hint="default"/>
        </w:rPr>
        <w:t>b.</w:t>
      </w:r>
      <w:r>
        <w:rPr/>
        <w:t>所建项目在性能上、技术上已经落后并且所带来的经济效益具有很大的不</w:t>
      </w:r>
      <w:r>
        <w:rPr>
          <w:w w:val="100"/>
        </w:rPr>
        <w:t> </w:t>
      </w:r>
      <w:r>
        <w:rPr>
          <w:spacing w:val="-2"/>
        </w:rPr>
        <w:t>确定性等减值迹象的，估计其可收回金额。可收回金额根据在建工程的公允价值减去处置费用后的净额与</w:t>
      </w:r>
      <w:r>
        <w:rPr>
          <w:spacing w:val="-33"/>
        </w:rPr>
        <w:t> </w:t>
      </w:r>
      <w:r>
        <w:rPr>
          <w:spacing w:val="-33"/>
        </w:rPr>
      </w:r>
      <w:r>
        <w:rPr/>
        <w:t>在建工程预计未来现金流量的现值两者之间较高者确定。</w:t>
      </w:r>
    </w:p>
    <w:p>
      <w:pPr>
        <w:pStyle w:val="BodyText"/>
        <w:spacing w:line="309" w:lineRule="auto"/>
        <w:ind w:right="0" w:firstLine="422"/>
        <w:jc w:val="left"/>
      </w:pPr>
      <w:r>
        <w:rPr>
          <w:spacing w:val="-2"/>
        </w:rPr>
        <w:t>当在建工程的可收回金额低于其账面价值的，将在建工程的账面价值减记至可收回金额，减记的金额</w:t>
      </w:r>
      <w:r>
        <w:rPr>
          <w:w w:val="100"/>
        </w:rPr>
        <w:t> </w:t>
      </w:r>
      <w:r>
        <w:rPr/>
        <w:t>确认为在建工程减值损失，计入当期损益。</w:t>
      </w:r>
    </w:p>
    <w:p>
      <w:pPr>
        <w:pStyle w:val="BodyText"/>
        <w:spacing w:line="314" w:lineRule="auto" w:before="24"/>
        <w:ind w:left="575" w:right="0"/>
        <w:jc w:val="left"/>
      </w:pPr>
      <w:r>
        <w:rPr/>
        <w:t>在建工程的减值损失一经确认，在以后会计期间不再转回。</w:t>
      </w:r>
      <w:r>
        <w:rPr>
          <w:w w:val="100"/>
        </w:rPr>
        <w:t> </w:t>
      </w:r>
      <w:r>
        <w:rPr>
          <w:spacing w:val="-2"/>
        </w:rPr>
        <w:t>有迹象表明一项在建工程可能发生减值的，企业以单项在建工程为基础估计其可收回金额。企业难以</w:t>
      </w:r>
    </w:p>
    <w:p>
      <w:pPr>
        <w:pStyle w:val="BodyText"/>
        <w:spacing w:line="312" w:lineRule="auto"/>
        <w:ind w:left="575" w:right="0" w:hanging="423"/>
        <w:jc w:val="left"/>
      </w:pPr>
      <w:r>
        <w:rPr/>
        <w:t>对单项在建工程的可收回金额进行估计的，以该在建工程所属的资产组为基础确定资产组的可收回金额。</w:t>
      </w:r>
      <w:r>
        <w:rPr>
          <w:spacing w:val="-33"/>
        </w:rPr>
        <w:t> </w:t>
      </w:r>
      <w:r>
        <w:rPr>
          <w:spacing w:val="-33"/>
        </w:rPr>
      </w:r>
      <w:r>
        <w:rPr>
          <w:rFonts w:ascii="宋体" w:hAnsi="宋体" w:cs="宋体" w:eastAsia="宋体" w:hint="default"/>
        </w:rPr>
        <w:t>4.</w:t>
      </w:r>
      <w:r>
        <w:rPr/>
        <w:t>无形资产减值的确认</w:t>
      </w:r>
      <w:r>
        <w:rPr>
          <w:w w:val="100"/>
        </w:rPr>
        <w:t> </w:t>
      </w:r>
      <w:r>
        <w:rPr/>
        <w:t>对于使用寿命确定的无形资产，如有明显减值迹象的，期末进行减值测试。对于使用寿命不确定的无</w:t>
      </w:r>
    </w:p>
    <w:p>
      <w:pPr>
        <w:pStyle w:val="BodyText"/>
        <w:spacing w:line="314" w:lineRule="auto" w:before="22"/>
        <w:ind w:left="575" w:right="0" w:hanging="423"/>
        <w:jc w:val="left"/>
      </w:pPr>
      <w:r>
        <w:rPr/>
        <w:t>形资产，每期末进行减值测试。</w:t>
      </w:r>
      <w:r>
        <w:rPr>
          <w:w w:val="100"/>
        </w:rPr>
        <w:t> </w:t>
      </w:r>
      <w:r>
        <w:rPr>
          <w:spacing w:val="-2"/>
        </w:rPr>
        <w:t>对无形资产进行减值测试，估计其可收回金额。可收回金额根据无形资产的公允价值减去处置费用后</w:t>
      </w:r>
    </w:p>
    <w:p>
      <w:pPr>
        <w:pStyle w:val="BodyText"/>
        <w:spacing w:line="314" w:lineRule="auto" w:before="15"/>
        <w:ind w:left="575" w:right="0" w:hanging="423"/>
        <w:jc w:val="left"/>
      </w:pPr>
      <w:r>
        <w:rPr/>
        <w:t>的净额与无形资产预计未来现金流量的现值两者之间较高者确定。</w:t>
      </w:r>
      <w:r>
        <w:rPr>
          <w:w w:val="100"/>
        </w:rPr>
        <w:t> </w:t>
      </w:r>
      <w:r>
        <w:rPr>
          <w:spacing w:val="-2"/>
        </w:rPr>
        <w:t>当无形资产的可收回金额低于其账面价值的，将无形资产的账面价值减记至可收回金额，减记的金额</w:t>
      </w:r>
    </w:p>
    <w:p>
      <w:pPr>
        <w:pStyle w:val="BodyText"/>
        <w:spacing w:line="314" w:lineRule="auto"/>
        <w:ind w:left="575" w:right="0" w:hanging="423"/>
        <w:jc w:val="left"/>
      </w:pPr>
      <w:r>
        <w:rPr/>
        <w:t>确认为无形资产减值损失，计入当期损益。</w:t>
      </w:r>
      <w:r>
        <w:rPr>
          <w:spacing w:val="-103"/>
        </w:rPr>
        <w:t> </w:t>
      </w:r>
      <w:r>
        <w:rPr>
          <w:spacing w:val="-103"/>
        </w:rPr>
      </w:r>
      <w:r>
        <w:rPr>
          <w:spacing w:val="-2"/>
        </w:rPr>
        <w:t>无形资产减值损失确认后，减值无形资产的折耗或者摊销费用在未来期间作相应调整，以使该无形资</w:t>
      </w:r>
    </w:p>
    <w:p>
      <w:pPr>
        <w:pStyle w:val="BodyText"/>
        <w:spacing w:line="314" w:lineRule="auto" w:before="15"/>
        <w:ind w:left="575" w:right="0" w:hanging="423"/>
        <w:jc w:val="left"/>
      </w:pPr>
      <w:r>
        <w:rPr/>
        <w:t>产在剩余使用寿命内，系统地分摊调整后的无形资产账面价值（扣除预计净残值）。</w:t>
      </w:r>
      <w:r>
        <w:rPr>
          <w:w w:val="100"/>
        </w:rPr>
        <w:t> </w:t>
      </w:r>
      <w:r>
        <w:rPr/>
        <w:t>无形资产的减值损失一经确认，在以后会计期间不再转回。</w:t>
      </w:r>
      <w:r>
        <w:rPr>
          <w:w w:val="100"/>
        </w:rPr>
        <w:t> </w:t>
      </w:r>
      <w:r>
        <w:rPr>
          <w:spacing w:val="-2"/>
        </w:rPr>
        <w:t>有迹象表明一项无形资产可能发生减值的，公司以单项无形资产为基础估计其可收回金额。公司难以</w:t>
      </w:r>
    </w:p>
    <w:p>
      <w:pPr>
        <w:pStyle w:val="BodyText"/>
        <w:spacing w:line="240" w:lineRule="auto"/>
        <w:ind w:right="0"/>
        <w:jc w:val="left"/>
      </w:pPr>
      <w:r>
        <w:rPr/>
        <w:t>对单项资产的可收回金额进行估计的，以该无形资产所属的资产组为基础确定无形资产组的可收回金额。</w:t>
      </w:r>
    </w:p>
    <w:p>
      <w:pPr>
        <w:spacing w:after="0" w:line="240" w:lineRule="auto"/>
        <w:jc w:val="left"/>
        <w:sectPr>
          <w:pgSz w:w="11910" w:h="16840"/>
          <w:pgMar w:header="460" w:footer="979" w:top="1060" w:bottom="1160" w:left="980" w:right="0"/>
        </w:sectPr>
      </w:pPr>
    </w:p>
    <w:p>
      <w:pPr>
        <w:spacing w:line="240" w:lineRule="auto" w:before="11"/>
        <w:rPr>
          <w:rFonts w:ascii="宋体" w:hAnsi="宋体" w:cs="宋体" w:eastAsia="宋体" w:hint="default"/>
          <w:sz w:val="25"/>
          <w:szCs w:val="25"/>
        </w:rPr>
      </w:pPr>
    </w:p>
    <w:p>
      <w:pPr>
        <w:pStyle w:val="Heading3"/>
        <w:spacing w:line="240" w:lineRule="auto" w:before="36"/>
        <w:ind w:right="0"/>
        <w:jc w:val="left"/>
        <w:rPr>
          <w:b w:val="0"/>
          <w:bCs w:val="0"/>
        </w:rPr>
      </w:pPr>
      <w:bookmarkStart w:name="32、长期待摊费用" w:id="213"/>
      <w:bookmarkEnd w:id="213"/>
      <w:r>
        <w:rPr>
          <w:b w:val="0"/>
          <w:bCs w:val="0"/>
        </w:rPr>
      </w:r>
      <w:r>
        <w:rPr>
          <w:rFonts w:ascii="宋体" w:hAnsi="宋体" w:cs="宋体" w:eastAsia="宋体" w:hint="default"/>
        </w:rPr>
        <w:t>32</w:t>
      </w:r>
      <w:r>
        <w:rPr/>
        <w:t>、长期待摊费用</w:t>
      </w:r>
      <w:r>
        <w:rPr>
          <w:b w:val="0"/>
          <w:bCs w:val="0"/>
        </w:rPr>
      </w:r>
    </w:p>
    <w:p>
      <w:pPr>
        <w:spacing w:line="240" w:lineRule="auto" w:before="3"/>
        <w:rPr>
          <w:rFonts w:ascii="宋体" w:hAnsi="宋体" w:cs="宋体" w:eastAsia="宋体" w:hint="default"/>
          <w:b/>
          <w:bCs/>
          <w:sz w:val="29"/>
          <w:szCs w:val="29"/>
        </w:rPr>
      </w:pPr>
    </w:p>
    <w:p>
      <w:pPr>
        <w:pStyle w:val="BodyText"/>
        <w:spacing w:line="314" w:lineRule="auto" w:before="0"/>
        <w:ind w:right="0" w:firstLine="422"/>
        <w:jc w:val="left"/>
      </w:pPr>
      <w:r>
        <w:rPr>
          <w:rFonts w:ascii="宋体" w:hAnsi="宋体" w:cs="宋体" w:eastAsia="宋体" w:hint="default"/>
          <w:spacing w:val="-4"/>
        </w:rPr>
        <w:t>1.</w:t>
      </w:r>
      <w:r>
        <w:rPr>
          <w:spacing w:val="-4"/>
        </w:rPr>
        <w:t>本公司长期待摊费用为已经支出，但受益期限在</w:t>
      </w:r>
      <w:r>
        <w:rPr>
          <w:rFonts w:ascii="宋体" w:hAnsi="宋体" w:cs="宋体" w:eastAsia="宋体" w:hint="default"/>
          <w:spacing w:val="-4"/>
        </w:rPr>
        <w:t>1</w:t>
      </w:r>
      <w:r>
        <w:rPr>
          <w:spacing w:val="-4"/>
        </w:rPr>
        <w:t>年以上的费用。长期待摊费用能够确定受益期的，</w:t>
      </w:r>
      <w:r>
        <w:rPr>
          <w:w w:val="100"/>
        </w:rPr>
        <w:t> </w:t>
      </w:r>
      <w:r>
        <w:rPr/>
        <w:t>在受益期内平均摊销；不能确定受益期的，按不超过五年的期限平均摊销。</w:t>
      </w:r>
    </w:p>
    <w:p>
      <w:pPr>
        <w:pStyle w:val="BodyText"/>
        <w:spacing w:line="240" w:lineRule="auto"/>
        <w:ind w:left="575" w:right="0"/>
        <w:jc w:val="left"/>
      </w:pPr>
      <w:r>
        <w:rPr>
          <w:rFonts w:ascii="宋体" w:hAnsi="宋体" w:cs="宋体" w:eastAsia="宋体" w:hint="default"/>
        </w:rPr>
        <w:t>2.</w:t>
      </w:r>
      <w:r>
        <w:rPr/>
        <w:t>筹建期间发生的相关筹建费用（除购建固定资产以外），计入当期损益。</w:t>
      </w:r>
    </w:p>
    <w:p>
      <w:pPr>
        <w:spacing w:line="240" w:lineRule="auto" w:before="12"/>
        <w:rPr>
          <w:rFonts w:ascii="宋体" w:hAnsi="宋体" w:cs="宋体" w:eastAsia="宋体" w:hint="default"/>
          <w:sz w:val="28"/>
          <w:szCs w:val="28"/>
        </w:rPr>
      </w:pPr>
    </w:p>
    <w:p>
      <w:pPr>
        <w:pStyle w:val="Heading3"/>
        <w:spacing w:line="240" w:lineRule="auto"/>
        <w:ind w:right="0"/>
        <w:jc w:val="left"/>
        <w:rPr>
          <w:b w:val="0"/>
          <w:bCs w:val="0"/>
        </w:rPr>
      </w:pPr>
      <w:bookmarkStart w:name="33、合同负债" w:id="214"/>
      <w:bookmarkEnd w:id="214"/>
      <w:r>
        <w:rPr>
          <w:b w:val="0"/>
          <w:bCs w:val="0"/>
        </w:rPr>
      </w:r>
      <w:r>
        <w:rPr>
          <w:rFonts w:ascii="宋体" w:hAnsi="宋体" w:cs="宋体" w:eastAsia="宋体" w:hint="default"/>
        </w:rPr>
        <w:t>33</w:t>
      </w:r>
      <w:r>
        <w:rPr/>
        <w:t>、合同负债</w:t>
      </w:r>
      <w:r>
        <w:rPr>
          <w:b w:val="0"/>
          <w:bCs w:val="0"/>
        </w:rPr>
      </w:r>
    </w:p>
    <w:p>
      <w:pPr>
        <w:spacing w:line="240" w:lineRule="auto" w:before="9"/>
        <w:rPr>
          <w:rFonts w:ascii="宋体" w:hAnsi="宋体" w:cs="宋体" w:eastAsia="宋体" w:hint="default"/>
          <w:b/>
          <w:bCs/>
          <w:sz w:val="29"/>
          <w:szCs w:val="29"/>
        </w:rPr>
      </w:pPr>
    </w:p>
    <w:p>
      <w:pPr>
        <w:pStyle w:val="Heading3"/>
        <w:spacing w:line="240" w:lineRule="auto"/>
        <w:ind w:right="0"/>
        <w:jc w:val="left"/>
        <w:rPr>
          <w:b w:val="0"/>
          <w:bCs w:val="0"/>
        </w:rPr>
      </w:pPr>
      <w:bookmarkStart w:name="34、职工薪酬" w:id="215"/>
      <w:bookmarkEnd w:id="215"/>
      <w:r>
        <w:rPr>
          <w:b w:val="0"/>
          <w:bCs w:val="0"/>
        </w:rPr>
      </w:r>
      <w:r>
        <w:rPr>
          <w:rFonts w:ascii="宋体" w:hAnsi="宋体" w:cs="宋体" w:eastAsia="宋体" w:hint="default"/>
        </w:rPr>
        <w:t>34</w:t>
      </w:r>
      <w:r>
        <w:rPr/>
        <w:t>、职工薪酬</w:t>
      </w:r>
      <w:r>
        <w:rPr>
          <w:b w:val="0"/>
          <w:bCs w:val="0"/>
        </w:rPr>
      </w:r>
    </w:p>
    <w:p>
      <w:pPr>
        <w:spacing w:line="662" w:lineRule="exact" w:before="98"/>
        <w:ind w:left="575" w:right="0" w:hanging="423"/>
        <w:jc w:val="left"/>
        <w:rPr>
          <w:rFonts w:ascii="宋体" w:hAnsi="宋体" w:cs="宋体" w:eastAsia="宋体" w:hint="default"/>
          <w:sz w:val="21"/>
          <w:szCs w:val="21"/>
        </w:rPr>
      </w:pPr>
      <w:bookmarkStart w:name="（1）短期薪酬的会计处理方法" w:id="216"/>
      <w:bookmarkEnd w:id="216"/>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spacing w:val="-102"/>
          <w:sz w:val="21"/>
          <w:szCs w:val="21"/>
        </w:rPr>
        <w:t> </w:t>
      </w:r>
      <w:r>
        <w:rPr>
          <w:rFonts w:ascii="宋体" w:hAnsi="宋体" w:cs="宋体" w:eastAsia="宋体" w:hint="default"/>
          <w:spacing w:val="-2"/>
          <w:sz w:val="21"/>
          <w:szCs w:val="21"/>
        </w:rPr>
        <w:t>短期薪酬，是指企业在职工提供相关服务的年度报告期间结束后十二个月内需要全部予以支付的职工</w:t>
      </w:r>
    </w:p>
    <w:p>
      <w:pPr>
        <w:pStyle w:val="BodyText"/>
        <w:spacing w:line="253" w:lineRule="exact" w:before="0"/>
        <w:ind w:right="0"/>
        <w:jc w:val="left"/>
      </w:pPr>
      <w:r>
        <w:rPr/>
        <w:t>薪酬，因解除与职工的劳动关系给予的补偿除外。短期薪酬具体包括：职工工资、奖金、津贴和补贴，职</w:t>
      </w:r>
    </w:p>
    <w:p>
      <w:pPr>
        <w:pStyle w:val="BodyText"/>
        <w:spacing w:line="314" w:lineRule="auto" w:before="85"/>
        <w:ind w:right="0"/>
        <w:jc w:val="left"/>
      </w:pPr>
      <w:r>
        <w:rPr>
          <w:spacing w:val="-7"/>
        </w:rPr>
        <w:t>工福利费，医疗保险费、工伤保险费和生育保险费等社会保险费，住房公积金，工会经费和职工教育经费，</w:t>
      </w:r>
      <w:r>
        <w:rPr>
          <w:spacing w:val="-12"/>
        </w:rPr>
        <w:t> </w:t>
      </w:r>
      <w:r>
        <w:rPr>
          <w:spacing w:val="-12"/>
        </w:rPr>
      </w:r>
      <w:r>
        <w:rPr/>
        <w:t>短期带薪缺勤，短期利润分享计划，非货币性福利以及其他短期薪酬。</w:t>
      </w:r>
    </w:p>
    <w:p>
      <w:pPr>
        <w:spacing w:line="658" w:lineRule="exact" w:before="36"/>
        <w:ind w:left="575" w:right="0" w:hanging="423"/>
        <w:jc w:val="left"/>
        <w:rPr>
          <w:rFonts w:ascii="宋体" w:hAnsi="宋体" w:cs="宋体" w:eastAsia="宋体" w:hint="default"/>
          <w:sz w:val="21"/>
          <w:szCs w:val="21"/>
        </w:rPr>
      </w:pPr>
      <w:bookmarkStart w:name="（2）离职后福利的会计处理方法" w:id="217"/>
      <w:bookmarkEnd w:id="217"/>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spacing w:val="-101"/>
          <w:sz w:val="21"/>
          <w:szCs w:val="21"/>
        </w:rPr>
        <w:t> </w:t>
      </w:r>
      <w:r>
        <w:rPr>
          <w:rFonts w:ascii="宋体" w:hAnsi="宋体" w:cs="宋体" w:eastAsia="宋体" w:hint="default"/>
          <w:spacing w:val="-2"/>
          <w:sz w:val="21"/>
          <w:szCs w:val="21"/>
        </w:rPr>
        <w:t>离职后福利，是指企业为获得职工提供的服务而在职工退休或与企业解除劳动关系后，提供的各种形</w:t>
      </w:r>
    </w:p>
    <w:p>
      <w:pPr>
        <w:pStyle w:val="BodyText"/>
        <w:spacing w:line="258" w:lineRule="exact" w:before="0"/>
        <w:ind w:right="0"/>
        <w:jc w:val="left"/>
      </w:pPr>
      <w:r>
        <w:rPr/>
        <w:t>式的报酬和福利，短期薪酬和辞退福利除外。</w:t>
      </w:r>
    </w:p>
    <w:p>
      <w:pPr>
        <w:spacing w:line="662" w:lineRule="exact" w:before="98"/>
        <w:ind w:left="575" w:right="0" w:hanging="423"/>
        <w:jc w:val="left"/>
        <w:rPr>
          <w:rFonts w:ascii="宋体" w:hAnsi="宋体" w:cs="宋体" w:eastAsia="宋体" w:hint="default"/>
          <w:sz w:val="21"/>
          <w:szCs w:val="21"/>
        </w:rPr>
      </w:pPr>
      <w:bookmarkStart w:name="（3）辞退福利的会计处理方法" w:id="218"/>
      <w:bookmarkEnd w:id="218"/>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spacing w:val="-102"/>
          <w:sz w:val="21"/>
          <w:szCs w:val="21"/>
        </w:rPr>
        <w:t> </w:t>
      </w:r>
      <w:r>
        <w:rPr>
          <w:rFonts w:ascii="宋体" w:hAnsi="宋体" w:cs="宋体" w:eastAsia="宋体" w:hint="default"/>
          <w:spacing w:val="-2"/>
          <w:sz w:val="21"/>
          <w:szCs w:val="21"/>
        </w:rPr>
        <w:t>辞退福利，是指企业在职工劳动合同到期之前解除与职工的劳动关系，或者为鼓励职工自愿接受裁减</w:t>
      </w:r>
    </w:p>
    <w:p>
      <w:pPr>
        <w:pStyle w:val="BodyText"/>
        <w:spacing w:line="252" w:lineRule="exact" w:before="0"/>
        <w:ind w:right="0"/>
        <w:jc w:val="left"/>
      </w:pPr>
      <w:r>
        <w:rPr/>
        <w:t>而给予职工的补偿。</w:t>
      </w:r>
    </w:p>
    <w:p>
      <w:pPr>
        <w:spacing w:line="664" w:lineRule="exact" w:before="97"/>
        <w:ind w:left="575" w:right="0" w:hanging="423"/>
        <w:jc w:val="left"/>
        <w:rPr>
          <w:rFonts w:ascii="宋体" w:hAnsi="宋体" w:cs="宋体" w:eastAsia="宋体" w:hint="default"/>
          <w:sz w:val="21"/>
          <w:szCs w:val="21"/>
        </w:rPr>
      </w:pPr>
      <w:bookmarkStart w:name="（4）其他长期职工福利的会计处理方法" w:id="219"/>
      <w:bookmarkEnd w:id="219"/>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spacing w:val="-100"/>
          <w:sz w:val="21"/>
          <w:szCs w:val="21"/>
        </w:rPr>
        <w:t> </w:t>
      </w:r>
      <w:r>
        <w:rPr>
          <w:rFonts w:ascii="宋体" w:hAnsi="宋体" w:cs="宋体" w:eastAsia="宋体" w:hint="default"/>
          <w:spacing w:val="-2"/>
          <w:sz w:val="21"/>
          <w:szCs w:val="21"/>
        </w:rPr>
        <w:t>其他长期职工福利，是指除短期薪酬、离职后福利、辞退福利之外所有的职工薪酬，包括长期带薪缺</w:t>
      </w:r>
    </w:p>
    <w:p>
      <w:pPr>
        <w:pStyle w:val="BodyText"/>
        <w:spacing w:line="257" w:lineRule="exact" w:before="0"/>
        <w:ind w:right="0"/>
        <w:jc w:val="left"/>
      </w:pPr>
      <w:r>
        <w:rPr/>
        <w:t>勤、长期残疾福利、长期利润分享计划等。</w:t>
      </w:r>
    </w:p>
    <w:p>
      <w:pPr>
        <w:spacing w:line="240" w:lineRule="auto" w:before="12"/>
        <w:rPr>
          <w:rFonts w:ascii="宋体" w:hAnsi="宋体" w:cs="宋体" w:eastAsia="宋体" w:hint="default"/>
          <w:sz w:val="28"/>
          <w:szCs w:val="28"/>
        </w:rPr>
      </w:pPr>
    </w:p>
    <w:p>
      <w:pPr>
        <w:pStyle w:val="Heading3"/>
        <w:spacing w:line="240" w:lineRule="auto"/>
        <w:ind w:right="0"/>
        <w:jc w:val="left"/>
        <w:rPr>
          <w:b w:val="0"/>
          <w:bCs w:val="0"/>
        </w:rPr>
      </w:pPr>
      <w:bookmarkStart w:name="35、租赁负债" w:id="220"/>
      <w:bookmarkEnd w:id="220"/>
      <w:r>
        <w:rPr>
          <w:b w:val="0"/>
          <w:bCs w:val="0"/>
        </w:rPr>
      </w:r>
      <w:r>
        <w:rPr>
          <w:rFonts w:ascii="宋体" w:hAnsi="宋体" w:cs="宋体" w:eastAsia="宋体" w:hint="default"/>
        </w:rPr>
        <w:t>35</w:t>
      </w:r>
      <w:r>
        <w:rPr/>
        <w:t>、租赁负债</w:t>
      </w:r>
      <w:r>
        <w:rPr>
          <w:b w:val="0"/>
          <w:bCs w:val="0"/>
        </w:rPr>
      </w:r>
    </w:p>
    <w:p>
      <w:pPr>
        <w:spacing w:line="240" w:lineRule="auto" w:before="9"/>
        <w:rPr>
          <w:rFonts w:ascii="宋体" w:hAnsi="宋体" w:cs="宋体" w:eastAsia="宋体" w:hint="default"/>
          <w:b/>
          <w:bCs/>
          <w:sz w:val="29"/>
          <w:szCs w:val="29"/>
        </w:rPr>
      </w:pPr>
    </w:p>
    <w:p>
      <w:pPr>
        <w:pStyle w:val="Heading3"/>
        <w:spacing w:line="240" w:lineRule="auto"/>
        <w:ind w:right="0"/>
        <w:jc w:val="left"/>
        <w:rPr>
          <w:b w:val="0"/>
          <w:bCs w:val="0"/>
        </w:rPr>
      </w:pPr>
      <w:bookmarkStart w:name="36、预计负债" w:id="221"/>
      <w:bookmarkEnd w:id="221"/>
      <w:r>
        <w:rPr>
          <w:b w:val="0"/>
          <w:bCs w:val="0"/>
        </w:rPr>
      </w:r>
      <w:r>
        <w:rPr>
          <w:rFonts w:ascii="宋体" w:hAnsi="宋体" w:cs="宋体" w:eastAsia="宋体" w:hint="default"/>
        </w:rPr>
        <w:t>36</w:t>
      </w:r>
      <w:r>
        <w:rPr/>
        <w:t>、预计负债</w:t>
      </w:r>
      <w:r>
        <w:rPr>
          <w:b w:val="0"/>
          <w:bCs w:val="0"/>
        </w:rPr>
      </w:r>
    </w:p>
    <w:p>
      <w:pPr>
        <w:spacing w:line="240" w:lineRule="auto" w:before="3"/>
        <w:rPr>
          <w:rFonts w:ascii="宋体" w:hAnsi="宋体" w:cs="宋体" w:eastAsia="宋体" w:hint="default"/>
          <w:b/>
          <w:bCs/>
          <w:sz w:val="29"/>
          <w:szCs w:val="29"/>
        </w:rPr>
      </w:pPr>
    </w:p>
    <w:p>
      <w:pPr>
        <w:pStyle w:val="BodyText"/>
        <w:spacing w:line="314" w:lineRule="auto" w:before="0"/>
        <w:ind w:right="0" w:firstLine="422"/>
        <w:jc w:val="left"/>
      </w:pPr>
      <w:r>
        <w:rPr>
          <w:spacing w:val="-2"/>
        </w:rPr>
        <w:t>本公司涉及诉讼、产品质量保证、债务担保、亏损合同、重组事项时，如该等事项很可能需要未来以</w:t>
      </w:r>
      <w:r>
        <w:rPr>
          <w:w w:val="100"/>
        </w:rPr>
        <w:t> </w:t>
      </w:r>
      <w:r>
        <w:rPr/>
        <w:t>交付资产或提供劳务、其金额能够可靠计量的，确认为预计负债。</w:t>
      </w:r>
    </w:p>
    <w:p>
      <w:pPr>
        <w:pStyle w:val="BodyText"/>
        <w:spacing w:line="314" w:lineRule="auto"/>
        <w:ind w:left="575" w:right="0"/>
        <w:jc w:val="left"/>
      </w:pPr>
      <w:r>
        <w:rPr>
          <w:rFonts w:ascii="宋体" w:hAnsi="宋体" w:cs="宋体" w:eastAsia="宋体" w:hint="default"/>
        </w:rPr>
        <w:t>1.</w:t>
      </w:r>
      <w:r>
        <w:rPr/>
        <w:t>预计负债确认原则</w:t>
      </w:r>
      <w:r>
        <w:rPr>
          <w:spacing w:val="-100"/>
        </w:rPr>
        <w:t> </w:t>
      </w:r>
      <w:r>
        <w:rPr>
          <w:spacing w:val="-100"/>
        </w:rPr>
      </w:r>
      <w:r>
        <w:rPr>
          <w:spacing w:val="-2"/>
        </w:rPr>
        <w:t>如果与或有事项相关的义务同时符合以下条件，公司将其确认为预计负债：（</w:t>
      </w:r>
      <w:r>
        <w:rPr>
          <w:rFonts w:ascii="宋体" w:hAnsi="宋体" w:cs="宋体" w:eastAsia="宋体" w:hint="default"/>
          <w:spacing w:val="-2"/>
        </w:rPr>
        <w:t>1</w:t>
      </w:r>
      <w:r>
        <w:rPr>
          <w:spacing w:val="-2"/>
        </w:rPr>
        <w:t>）该义务是公司承担</w:t>
      </w:r>
    </w:p>
    <w:p>
      <w:pPr>
        <w:pStyle w:val="BodyText"/>
        <w:spacing w:line="240" w:lineRule="auto" w:before="15"/>
        <w:ind w:right="0"/>
        <w:jc w:val="left"/>
      </w:pPr>
      <w:r>
        <w:rPr/>
        <w:t>的现时义务；（</w:t>
      </w:r>
      <w:r>
        <w:rPr>
          <w:rFonts w:ascii="宋体" w:hAnsi="宋体" w:cs="宋体" w:eastAsia="宋体" w:hint="default"/>
        </w:rPr>
        <w:t>2</w:t>
      </w:r>
      <w:r>
        <w:rPr/>
        <w:t>）该义务的履行很可能导致经济利益流出公司；（</w:t>
      </w:r>
      <w:r>
        <w:rPr>
          <w:rFonts w:ascii="宋体" w:hAnsi="宋体" w:cs="宋体" w:eastAsia="宋体" w:hint="default"/>
        </w:rPr>
        <w:t>3</w:t>
      </w:r>
      <w:r>
        <w:rPr/>
        <w:t>）该义务的金额能够可靠地计量。</w:t>
      </w:r>
    </w:p>
    <w:p>
      <w:pPr>
        <w:spacing w:after="0" w:line="240" w:lineRule="auto"/>
        <w:jc w:val="left"/>
        <w:sectPr>
          <w:pgSz w:w="11910" w:h="16840"/>
          <w:pgMar w:header="460" w:footer="979" w:top="1060" w:bottom="1160" w:left="980" w:right="0"/>
        </w:sectPr>
      </w:pPr>
    </w:p>
    <w:p>
      <w:pPr>
        <w:spacing w:line="240" w:lineRule="auto" w:before="11"/>
        <w:rPr>
          <w:rFonts w:ascii="宋体" w:hAnsi="宋体" w:cs="宋体" w:eastAsia="宋体" w:hint="default"/>
          <w:sz w:val="25"/>
          <w:szCs w:val="25"/>
        </w:rPr>
      </w:pPr>
    </w:p>
    <w:p>
      <w:pPr>
        <w:pStyle w:val="BodyText"/>
        <w:spacing w:line="314" w:lineRule="auto" w:before="36"/>
        <w:ind w:left="575" w:right="0"/>
        <w:jc w:val="left"/>
      </w:pPr>
      <w:r>
        <w:rPr>
          <w:rFonts w:ascii="宋体" w:hAnsi="宋体" w:cs="宋体" w:eastAsia="宋体" w:hint="default"/>
        </w:rPr>
        <w:t>2.</w:t>
      </w:r>
      <w:r>
        <w:rPr/>
        <w:t>预计负债计量方法</w:t>
      </w:r>
      <w:r>
        <w:rPr>
          <w:spacing w:val="-100"/>
        </w:rPr>
        <w:t> </w:t>
      </w:r>
      <w:r>
        <w:rPr>
          <w:spacing w:val="-100"/>
        </w:rPr>
      </w:r>
      <w:r>
        <w:rPr>
          <w:spacing w:val="-2"/>
        </w:rPr>
        <w:t>按照履行相关现时义务所需支出的最佳估计进行初始计量。本公司在确定最佳估计数时，综合考虑与</w:t>
      </w:r>
    </w:p>
    <w:p>
      <w:pPr>
        <w:pStyle w:val="BodyText"/>
        <w:spacing w:line="314" w:lineRule="auto" w:before="15"/>
        <w:ind w:right="0"/>
        <w:jc w:val="left"/>
      </w:pPr>
      <w:r>
        <w:rPr>
          <w:spacing w:val="-2"/>
        </w:rPr>
        <w:t>或有事项有关的风险、不确定性和货币时间价值等因素。对于货币时间价值影响重大的，通过对相关未来</w:t>
      </w:r>
      <w:r>
        <w:rPr>
          <w:spacing w:val="-33"/>
        </w:rPr>
        <w:t> </w:t>
      </w:r>
      <w:r>
        <w:rPr>
          <w:spacing w:val="-33"/>
        </w:rPr>
      </w:r>
      <w:r>
        <w:rPr/>
        <w:t>现金流出进行折现后确定最佳估计数。</w:t>
      </w:r>
    </w:p>
    <w:p>
      <w:pPr>
        <w:pStyle w:val="BodyText"/>
        <w:spacing w:line="312" w:lineRule="auto"/>
        <w:ind w:right="1125" w:firstLine="422"/>
        <w:jc w:val="both"/>
      </w:pPr>
      <w:r>
        <w:rPr>
          <w:spacing w:val="-2"/>
        </w:rPr>
        <w:t>所需支出存在一个连续范围，且该范围内各种结果发生的可能性相同的，最佳估计数按照该范围内的</w:t>
      </w:r>
      <w:r>
        <w:rPr>
          <w:w w:val="100"/>
        </w:rPr>
        <w:t> </w:t>
      </w:r>
      <w:r>
        <w:rPr>
          <w:spacing w:val="-2"/>
        </w:rPr>
        <w:t>中间值确定；所需支出不存在一个连续范围（或区间），或虽然存在一个连续范围但该范围内各种结果发</w:t>
      </w:r>
      <w:r>
        <w:rPr>
          <w:spacing w:val="-33"/>
        </w:rPr>
        <w:t> </w:t>
      </w:r>
      <w:r>
        <w:rPr>
          <w:spacing w:val="-33"/>
        </w:rPr>
      </w:r>
      <w:r>
        <w:rPr>
          <w:spacing w:val="-2"/>
        </w:rPr>
        <w:t>生的可能性不相同的，如或有事项涉及单个项目的，则最佳估计数按照最可能发生金额确定；如或有事项</w:t>
      </w:r>
      <w:r>
        <w:rPr>
          <w:spacing w:val="-33"/>
        </w:rPr>
        <w:t> </w:t>
      </w:r>
      <w:r>
        <w:rPr>
          <w:spacing w:val="-33"/>
        </w:rPr>
      </w:r>
      <w:r>
        <w:rPr/>
        <w:t>涉及多个项目的，则最佳估计数按各种可能结果及相关概率计算确定。</w:t>
      </w:r>
    </w:p>
    <w:p>
      <w:pPr>
        <w:pStyle w:val="BodyText"/>
        <w:spacing w:line="314" w:lineRule="auto" w:before="22"/>
        <w:ind w:right="1125" w:firstLine="422"/>
        <w:jc w:val="both"/>
      </w:pPr>
      <w:r>
        <w:rPr>
          <w:spacing w:val="-2"/>
        </w:rPr>
        <w:t>本公司清偿预计负债所需支出全部或部分预期由第三方补偿的，补偿金额在基本确定能够收到时，作</w:t>
      </w:r>
      <w:r>
        <w:rPr>
          <w:w w:val="100"/>
        </w:rPr>
        <w:t> </w:t>
      </w:r>
      <w:r>
        <w:rPr/>
        <w:t>为资产单独确认，确认的补偿金额不超过预计负债的账面价值。</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37、股份支付" w:id="222"/>
      <w:bookmarkEnd w:id="222"/>
      <w:r>
        <w:rPr>
          <w:b w:val="0"/>
          <w:bCs w:val="0"/>
        </w:rPr>
      </w:r>
      <w:r>
        <w:rPr>
          <w:rFonts w:ascii="宋体" w:hAnsi="宋体" w:cs="宋体" w:eastAsia="宋体" w:hint="default"/>
        </w:rPr>
        <w:t>37</w:t>
      </w:r>
      <w:r>
        <w:rPr/>
        <w:t>、股份支付</w:t>
      </w:r>
      <w:r>
        <w:rPr>
          <w:b w:val="0"/>
          <w:bCs w:val="0"/>
        </w:rPr>
      </w:r>
    </w:p>
    <w:p>
      <w:pPr>
        <w:spacing w:line="240" w:lineRule="auto" w:before="9"/>
        <w:rPr>
          <w:rFonts w:ascii="宋体" w:hAnsi="宋体" w:cs="宋体" w:eastAsia="宋体" w:hint="default"/>
          <w:b/>
          <w:bCs/>
          <w:sz w:val="29"/>
          <w:szCs w:val="29"/>
        </w:rPr>
      </w:pPr>
    </w:p>
    <w:p>
      <w:pPr>
        <w:pStyle w:val="Heading3"/>
        <w:spacing w:line="240" w:lineRule="auto"/>
        <w:ind w:right="0"/>
        <w:jc w:val="left"/>
        <w:rPr>
          <w:b w:val="0"/>
          <w:bCs w:val="0"/>
        </w:rPr>
      </w:pPr>
      <w:bookmarkStart w:name="38、优先股、永续债等其他金融工具" w:id="223"/>
      <w:bookmarkEnd w:id="223"/>
      <w:r>
        <w:rPr>
          <w:b w:val="0"/>
          <w:bCs w:val="0"/>
        </w:rPr>
      </w:r>
      <w:r>
        <w:rPr>
          <w:rFonts w:ascii="宋体" w:hAnsi="宋体" w:cs="宋体" w:eastAsia="宋体" w:hint="default"/>
        </w:rPr>
        <w:t>38</w:t>
      </w:r>
      <w:r>
        <w:rPr/>
        <w:t>、优先股、永续债等其他金融工具</w:t>
      </w:r>
      <w:r>
        <w:rPr>
          <w:b w:val="0"/>
          <w:bCs w:val="0"/>
        </w:rPr>
      </w:r>
    </w:p>
    <w:p>
      <w:pPr>
        <w:spacing w:line="668" w:lineRule="exact" w:before="93"/>
        <w:ind w:left="153" w:right="8661" w:firstLine="0"/>
        <w:jc w:val="left"/>
        <w:rPr>
          <w:rFonts w:ascii="宋体" w:hAnsi="宋体" w:cs="宋体" w:eastAsia="宋体" w:hint="default"/>
          <w:sz w:val="21"/>
          <w:szCs w:val="21"/>
        </w:rPr>
      </w:pPr>
      <w:bookmarkStart w:name="39、收入" w:id="224"/>
      <w:bookmarkEnd w:id="224"/>
      <w:r>
        <w:rPr/>
      </w:r>
      <w:r>
        <w:rPr>
          <w:rFonts w:ascii="宋体" w:hAnsi="宋体" w:cs="宋体" w:eastAsia="宋体" w:hint="default"/>
          <w:b/>
          <w:bCs/>
          <w:sz w:val="21"/>
          <w:szCs w:val="21"/>
        </w:rPr>
        <w:t>39</w:t>
      </w:r>
      <w:r>
        <w:rPr>
          <w:rFonts w:ascii="宋体" w:hAnsi="宋体" w:cs="宋体" w:eastAsia="宋体" w:hint="default"/>
          <w:b/>
          <w:bCs/>
          <w:sz w:val="21"/>
          <w:szCs w:val="21"/>
        </w:rPr>
        <w:t>、收入</w:t>
      </w:r>
      <w:r>
        <w:rPr>
          <w:rFonts w:ascii="宋体" w:hAnsi="宋体" w:cs="宋体" w:eastAsia="宋体" w:hint="default"/>
          <w:b/>
          <w:bCs/>
          <w:w w:val="100"/>
          <w:sz w:val="21"/>
          <w:szCs w:val="21"/>
        </w:rPr>
        <w:t> </w:t>
      </w:r>
      <w:r>
        <w:rPr>
          <w:rFonts w:ascii="宋体" w:hAnsi="宋体" w:cs="宋体" w:eastAsia="宋体" w:hint="default"/>
          <w:spacing w:val="-1"/>
          <w:sz w:val="21"/>
          <w:szCs w:val="21"/>
        </w:rPr>
        <w:t>是否已执行新收入准则</w:t>
      </w:r>
    </w:p>
    <w:p>
      <w:pPr>
        <w:pStyle w:val="BodyText"/>
        <w:spacing w:line="240" w:lineRule="auto"/>
        <w:ind w:right="0"/>
        <w:jc w:val="left"/>
      </w:pPr>
      <w:r>
        <w:rPr/>
        <w:t>□ 是 √</w:t>
      </w:r>
      <w:r>
        <w:rPr>
          <w:spacing w:val="5"/>
        </w:rPr>
        <w:t> </w:t>
      </w:r>
      <w:r>
        <w:rPr/>
        <w:t>否</w:t>
      </w:r>
    </w:p>
    <w:p>
      <w:pPr>
        <w:pStyle w:val="BodyText"/>
        <w:spacing w:line="314" w:lineRule="auto" w:before="118"/>
        <w:ind w:left="575" w:right="0"/>
        <w:jc w:val="left"/>
      </w:pPr>
      <w:r>
        <w:rPr>
          <w:rFonts w:ascii="宋体" w:hAnsi="宋体" w:cs="宋体" w:eastAsia="宋体" w:hint="default"/>
        </w:rPr>
        <w:t>1.</w:t>
      </w:r>
      <w:r>
        <w:rPr/>
        <w:t>销售商品收入确认时间的判断标准</w:t>
      </w:r>
      <w:r>
        <w:rPr>
          <w:spacing w:val="-101"/>
        </w:rPr>
        <w:t> </w:t>
      </w:r>
      <w:r>
        <w:rPr>
          <w:spacing w:val="-101"/>
        </w:rPr>
      </w:r>
      <w:r>
        <w:rPr>
          <w:spacing w:val="-2"/>
        </w:rPr>
        <w:t>公司已将商品所有权上的主要风险和报酬转移给购买方；公司既没有保留与所有权相联系的继续管理</w:t>
      </w:r>
    </w:p>
    <w:p>
      <w:pPr>
        <w:pStyle w:val="BodyText"/>
        <w:spacing w:line="314" w:lineRule="auto" w:before="15"/>
        <w:ind w:right="0"/>
        <w:jc w:val="left"/>
      </w:pPr>
      <w:r>
        <w:rPr>
          <w:spacing w:val="-7"/>
        </w:rPr>
        <w:t>权，也没有对已售出的商品实施有效控制；收入的金额能够可靠地计量；相关的经济利益很可能流入企业；</w:t>
      </w:r>
      <w:r>
        <w:rPr>
          <w:spacing w:val="-6"/>
        </w:rPr>
        <w:t> </w:t>
      </w:r>
      <w:r>
        <w:rPr>
          <w:spacing w:val="-6"/>
        </w:rPr>
      </w:r>
      <w:r>
        <w:rPr/>
        <w:t>相关的已发生或将发生的成本能够可靠地计量时，确认商品销售收入实现。</w:t>
      </w:r>
    </w:p>
    <w:p>
      <w:pPr>
        <w:pStyle w:val="BodyText"/>
        <w:spacing w:line="312" w:lineRule="auto"/>
        <w:ind w:right="1125" w:firstLine="422"/>
        <w:jc w:val="both"/>
      </w:pPr>
      <w:r>
        <w:rPr>
          <w:spacing w:val="-2"/>
        </w:rPr>
        <w:t>本公司的销售分为国内销售和自营出口销售，国内销售在签订销售合同（订单）、将商品交付且验收</w:t>
      </w:r>
      <w:r>
        <w:rPr>
          <w:w w:val="100"/>
        </w:rPr>
        <w:t> </w:t>
      </w:r>
      <w:r>
        <w:rPr/>
        <w:t>合格后确认销售收入的实现；自营出口销售视销售合同结算方式的不同，分为以下两类：（</w:t>
      </w:r>
      <w:r>
        <w:rPr>
          <w:rFonts w:ascii="宋体" w:hAnsi="宋体" w:cs="宋体" w:eastAsia="宋体" w:hint="default"/>
        </w:rPr>
        <w:t>1</w:t>
      </w:r>
      <w:r>
        <w:rPr/>
        <w:t>）以离岸价</w:t>
      </w:r>
      <w:r>
        <w:rPr>
          <w:spacing w:val="-28"/>
        </w:rPr>
        <w:t> </w:t>
      </w:r>
      <w:r>
        <w:rPr/>
        <w:t>格结算的销售，于货物办理离境手续、交付承运人装船发出后确认收入；（</w:t>
      </w:r>
      <w:r>
        <w:rPr>
          <w:rFonts w:ascii="宋体" w:hAnsi="宋体" w:cs="宋体" w:eastAsia="宋体" w:hint="default"/>
        </w:rPr>
        <w:t>2</w:t>
      </w:r>
      <w:r>
        <w:rPr/>
        <w:t>）以到岸价格结算的销售，</w:t>
      </w:r>
      <w:r>
        <w:rPr>
          <w:spacing w:val="-28"/>
        </w:rPr>
        <w:t> </w:t>
      </w:r>
      <w:r>
        <w:rPr>
          <w:spacing w:val="-28"/>
        </w:rPr>
      </w:r>
      <w:r>
        <w:rPr/>
        <w:t>于货物到港离船交付给客户后确认收入。</w:t>
      </w:r>
    </w:p>
    <w:p>
      <w:pPr>
        <w:pStyle w:val="BodyText"/>
        <w:spacing w:line="312" w:lineRule="auto" w:before="22"/>
        <w:ind w:right="1125" w:firstLine="422"/>
        <w:jc w:val="both"/>
      </w:pPr>
      <w:r>
        <w:rPr>
          <w:spacing w:val="-2"/>
        </w:rPr>
        <w:t>本公司按照从购货方已收或应收的合同或协议价款确定销售商品收入金额，但已收或应收的合同或协</w:t>
      </w:r>
      <w:r>
        <w:rPr>
          <w:w w:val="100"/>
        </w:rPr>
        <w:t> </w:t>
      </w:r>
      <w:r>
        <w:rPr>
          <w:spacing w:val="-2"/>
        </w:rPr>
        <w:t>议价款不公允的除外。合同或协议价款的收取采用递延方式，实质上具有融资性质的，按照应收的合同或</w:t>
      </w:r>
      <w:r>
        <w:rPr>
          <w:spacing w:val="-33"/>
        </w:rPr>
        <w:t> </w:t>
      </w:r>
      <w:r>
        <w:rPr>
          <w:spacing w:val="-33"/>
        </w:rPr>
      </w:r>
      <w:r>
        <w:rPr>
          <w:spacing w:val="-2"/>
        </w:rPr>
        <w:t>协议价款的公允价值确定销售商品收入金额。应收的合同或协议价款与其公允价值之间的差额，在合同或</w:t>
      </w:r>
      <w:r>
        <w:rPr>
          <w:spacing w:val="-33"/>
        </w:rPr>
        <w:t> </w:t>
      </w:r>
      <w:r>
        <w:rPr>
          <w:spacing w:val="-33"/>
        </w:rPr>
      </w:r>
      <w:r>
        <w:rPr/>
        <w:t>协议期间内采用实际利率法进行摊销，计入当期损益。</w:t>
      </w:r>
    </w:p>
    <w:p>
      <w:pPr>
        <w:pStyle w:val="BodyText"/>
        <w:spacing w:line="312" w:lineRule="auto" w:before="22"/>
        <w:ind w:right="1125" w:firstLine="422"/>
        <w:jc w:val="both"/>
      </w:pPr>
      <w:r>
        <w:rPr>
          <w:spacing w:val="-2"/>
        </w:rPr>
        <w:t>销售商品涉及现金折扣的，按照扣除现金折扣前的金额确定销售商品收入金额。销售商品涉及商业折</w:t>
      </w:r>
      <w:r>
        <w:rPr>
          <w:w w:val="100"/>
        </w:rPr>
        <w:t> </w:t>
      </w:r>
      <w:r>
        <w:rPr>
          <w:spacing w:val="-2"/>
        </w:rPr>
        <w:t>扣的，按照扣除商业折扣后的金额确定销售商品收入金额。本公司已经确认销售商品收入的售出商品发生</w:t>
      </w:r>
      <w:r>
        <w:rPr>
          <w:spacing w:val="-33"/>
        </w:rPr>
        <w:t> </w:t>
      </w:r>
      <w:r>
        <w:rPr>
          <w:spacing w:val="-33"/>
        </w:rPr>
      </w:r>
      <w:r>
        <w:rPr/>
        <w:t>销售折让的，在发生时冲减当期销售商品收入。</w:t>
      </w:r>
    </w:p>
    <w:p>
      <w:pPr>
        <w:pStyle w:val="BodyText"/>
        <w:spacing w:line="312" w:lineRule="auto" w:before="22"/>
        <w:ind w:left="489" w:right="0" w:firstLine="86"/>
        <w:jc w:val="left"/>
      </w:pPr>
      <w:r>
        <w:rPr/>
        <w:t>企业已经确认销售商品收入的售出商品发生销售退回的，在发生时冲减当期销售商品收入。</w:t>
      </w:r>
      <w:r>
        <w:rPr>
          <w:w w:val="100"/>
        </w:rPr>
        <w:t> </w:t>
      </w:r>
      <w:r>
        <w:rPr>
          <w:rFonts w:ascii="宋体" w:hAnsi="宋体" w:cs="宋体" w:eastAsia="宋体" w:hint="default"/>
        </w:rPr>
        <w:t>2.</w:t>
      </w:r>
      <w:r>
        <w:rPr/>
        <w:t>按完工百分比法确认提供劳务的收入和建造合同收入时，确定合同完工进度的依据和方法。</w:t>
      </w:r>
      <w:r>
        <w:rPr>
          <w:w w:val="100"/>
        </w:rPr>
        <w:t> </w:t>
      </w:r>
      <w:r>
        <w:rPr/>
        <w:t>在资产负债表日提供劳务交易的结果能够可靠估计的，采用完工百分比法确认提供劳务收入。</w:t>
      </w:r>
      <w:r>
        <w:rPr>
          <w:w w:val="100"/>
        </w:rPr>
        <w:t> </w:t>
      </w:r>
      <w:r>
        <w:rPr>
          <w:spacing w:val="-2"/>
        </w:rPr>
        <w:t>按照已收或应收的合同或协议价款确定提供劳务收入总额，但已收或应收的合同或协议价款不公允的</w:t>
      </w:r>
    </w:p>
    <w:p>
      <w:pPr>
        <w:pStyle w:val="BodyText"/>
        <w:spacing w:line="240" w:lineRule="auto" w:before="22"/>
        <w:ind w:right="0"/>
        <w:jc w:val="left"/>
      </w:pPr>
      <w:r>
        <w:rPr/>
        <w:t>除外。资产负债表日按照提供劳务收入总额乘以完工进度扣除以前会计期间累计已确认提供劳务收入后的</w:t>
      </w:r>
    </w:p>
    <w:p>
      <w:pPr>
        <w:spacing w:after="0" w:line="240" w:lineRule="auto"/>
        <w:jc w:val="left"/>
        <w:sectPr>
          <w:pgSz w:w="11910" w:h="16840"/>
          <w:pgMar w:header="460" w:footer="979" w:top="1060" w:bottom="1160" w:left="980" w:right="0"/>
        </w:sectPr>
      </w:pPr>
    </w:p>
    <w:p>
      <w:pPr>
        <w:spacing w:line="240" w:lineRule="auto" w:before="11"/>
        <w:rPr>
          <w:rFonts w:ascii="宋体" w:hAnsi="宋体" w:cs="宋体" w:eastAsia="宋体" w:hint="default"/>
          <w:sz w:val="25"/>
          <w:szCs w:val="25"/>
        </w:rPr>
      </w:pPr>
    </w:p>
    <w:p>
      <w:pPr>
        <w:pStyle w:val="BodyText"/>
        <w:spacing w:line="314" w:lineRule="auto" w:before="36"/>
        <w:ind w:right="1125"/>
        <w:jc w:val="both"/>
      </w:pPr>
      <w:r>
        <w:rPr>
          <w:spacing w:val="-2"/>
        </w:rPr>
        <w:t>金额，确认当期提供劳务收入；同时，按照提供劳务估计总成本乘以完工进度扣除以前会计期间累计已确</w:t>
      </w:r>
      <w:r>
        <w:rPr>
          <w:spacing w:val="-33"/>
        </w:rPr>
        <w:t> </w:t>
      </w:r>
      <w:r>
        <w:rPr>
          <w:spacing w:val="-33"/>
        </w:rPr>
      </w:r>
      <w:r>
        <w:rPr/>
        <w:t>认劳务成本后的金额，结转当期劳务成本。</w:t>
      </w:r>
    </w:p>
    <w:p>
      <w:pPr>
        <w:pStyle w:val="BodyText"/>
        <w:spacing w:line="240" w:lineRule="auto" w:before="15"/>
        <w:ind w:left="575" w:right="0"/>
        <w:jc w:val="left"/>
      </w:pPr>
      <w:r>
        <w:rPr/>
        <w:t>在资产负债表日提供劳务交易结果不能够可靠估计的，分别下列情况处理：</w:t>
      </w:r>
    </w:p>
    <w:p>
      <w:pPr>
        <w:pStyle w:val="BodyText"/>
        <w:spacing w:line="314" w:lineRule="auto" w:before="85"/>
        <w:ind w:right="0" w:firstLine="422"/>
        <w:jc w:val="left"/>
      </w:pPr>
      <w:r>
        <w:rPr/>
        <w:t>（</w:t>
      </w:r>
      <w:r>
        <w:rPr>
          <w:rFonts w:ascii="宋体" w:hAnsi="宋体" w:cs="宋体" w:eastAsia="宋体" w:hint="default"/>
        </w:rPr>
        <w:t>1</w:t>
      </w:r>
      <w:r>
        <w:rPr/>
        <w:t>）已经发生的劳务成本预计能够得到补偿的，按照已经发生的劳务成本金额确认提供劳务收入，</w:t>
      </w:r>
      <w:r>
        <w:rPr>
          <w:w w:val="100"/>
        </w:rPr>
        <w:t> </w:t>
      </w:r>
      <w:r>
        <w:rPr/>
        <w:t>并按相同金额结转劳务成本。</w:t>
      </w:r>
    </w:p>
    <w:p>
      <w:pPr>
        <w:pStyle w:val="BodyText"/>
        <w:spacing w:line="309" w:lineRule="auto"/>
        <w:ind w:right="0" w:firstLine="422"/>
        <w:jc w:val="left"/>
      </w:pPr>
      <w:r>
        <w:rPr/>
        <w:t>（</w:t>
      </w:r>
      <w:r>
        <w:rPr>
          <w:rFonts w:ascii="宋体" w:hAnsi="宋体" w:cs="宋体" w:eastAsia="宋体" w:hint="default"/>
        </w:rPr>
        <w:t>2</w:t>
      </w:r>
      <w:r>
        <w:rPr/>
        <w:t>）已经发生的劳务成本预计不能够得到补偿的，将已经发生的劳务成本计入当期损益，不确认提</w:t>
      </w:r>
      <w:r>
        <w:rPr>
          <w:w w:val="100"/>
        </w:rPr>
        <w:t> </w:t>
      </w:r>
      <w:r>
        <w:rPr/>
        <w:t>供劳务收入。</w:t>
      </w:r>
    </w:p>
    <w:p>
      <w:pPr>
        <w:pStyle w:val="BodyText"/>
        <w:spacing w:line="314" w:lineRule="auto" w:before="24"/>
        <w:ind w:left="575" w:right="0"/>
        <w:jc w:val="left"/>
      </w:pPr>
      <w:r>
        <w:rPr>
          <w:rFonts w:ascii="宋体" w:hAnsi="宋体" w:cs="宋体" w:eastAsia="宋体" w:hint="default"/>
        </w:rPr>
        <w:t>3.</w:t>
      </w:r>
      <w:r>
        <w:rPr/>
        <w:t>让渡资产使用权收入</w:t>
      </w:r>
      <w:r>
        <w:rPr>
          <w:w w:val="100"/>
        </w:rPr>
        <w:t> </w:t>
      </w:r>
      <w:r>
        <w:rPr/>
        <w:t>让渡资产使用权收入同时满足当相关的经济利益能够流入企业，并且收入的金额能够可靠地计量时，</w:t>
      </w:r>
    </w:p>
    <w:p>
      <w:pPr>
        <w:pStyle w:val="BodyText"/>
        <w:spacing w:line="240" w:lineRule="auto"/>
        <w:ind w:right="0"/>
        <w:jc w:val="both"/>
      </w:pPr>
      <w:r>
        <w:rPr/>
        <w:t>才能予以确认。</w:t>
      </w:r>
    </w:p>
    <w:p>
      <w:pPr>
        <w:pStyle w:val="BodyText"/>
        <w:spacing w:line="240" w:lineRule="auto" w:before="80"/>
        <w:ind w:left="575" w:right="0"/>
        <w:jc w:val="left"/>
      </w:pPr>
      <w:r>
        <w:rPr/>
        <w:t>（</w:t>
      </w:r>
      <w:r>
        <w:rPr>
          <w:rFonts w:ascii="宋体" w:hAnsi="宋体" w:cs="宋体" w:eastAsia="宋体" w:hint="default"/>
        </w:rPr>
        <w:t>1</w:t>
      </w:r>
      <w:r>
        <w:rPr/>
        <w:t>）利息收入金额，按照他人使用本企业货币资金的时间和实际利率计算确定。</w:t>
      </w:r>
    </w:p>
    <w:p>
      <w:pPr>
        <w:pStyle w:val="BodyText"/>
        <w:spacing w:line="576" w:lineRule="auto" w:before="85"/>
        <w:ind w:right="2115" w:firstLine="422"/>
        <w:jc w:val="left"/>
        <w:rPr>
          <w:rFonts w:ascii="宋体" w:hAnsi="宋体" w:cs="宋体" w:eastAsia="宋体" w:hint="default"/>
        </w:rPr>
      </w:pPr>
      <w:r>
        <w:rPr>
          <w:spacing w:val="-2"/>
        </w:rPr>
        <w:t>（</w:t>
      </w:r>
      <w:r>
        <w:rPr>
          <w:rFonts w:ascii="宋体" w:hAnsi="宋体" w:cs="宋体" w:eastAsia="宋体" w:hint="default"/>
          <w:spacing w:val="-2"/>
        </w:rPr>
        <w:t>2</w:t>
      </w:r>
      <w:r>
        <w:rPr>
          <w:spacing w:val="-2"/>
        </w:rPr>
        <w:t>）使用费收入金额，按照有关合同或协议约定的收费时间和方法计算确定。</w:t>
      </w:r>
      <w:r>
        <w:rPr>
          <w:w w:val="100"/>
        </w:rPr>
        <w:t> </w:t>
      </w:r>
      <w:bookmarkStart w:name="40、政府补助" w:id="225"/>
      <w:bookmarkEnd w:id="225"/>
      <w:r>
        <w:rPr>
          <w:w w:val="100"/>
        </w:rPr>
      </w:r>
      <w:r>
        <w:rPr>
          <w:rFonts w:ascii="宋体" w:hAnsi="宋体" w:cs="宋体" w:eastAsia="宋体" w:hint="default"/>
          <w:b/>
          <w:bCs/>
        </w:rPr>
        <w:t>40</w:t>
      </w:r>
      <w:r>
        <w:rPr>
          <w:rFonts w:ascii="宋体" w:hAnsi="宋体" w:cs="宋体" w:eastAsia="宋体" w:hint="default"/>
          <w:b/>
          <w:bCs/>
        </w:rPr>
        <w:t>、政府补助</w:t>
      </w:r>
      <w:r>
        <w:rPr>
          <w:rFonts w:ascii="宋体" w:hAnsi="宋体" w:cs="宋体" w:eastAsia="宋体" w:hint="default"/>
        </w:rPr>
      </w:r>
    </w:p>
    <w:p>
      <w:pPr>
        <w:pStyle w:val="BodyText"/>
        <w:spacing w:line="312" w:lineRule="auto" w:before="93"/>
        <w:ind w:right="1121" w:firstLine="422"/>
        <w:jc w:val="both"/>
      </w:pPr>
      <w:r>
        <w:rPr>
          <w:rFonts w:ascii="宋体" w:hAnsi="宋体" w:cs="宋体" w:eastAsia="宋体" w:hint="default"/>
          <w:spacing w:val="-2"/>
        </w:rPr>
        <w:t>1.</w:t>
      </w:r>
      <w:r>
        <w:rPr>
          <w:spacing w:val="-2"/>
        </w:rPr>
        <w:t>政府补助的分类：政府补助系指公司从政府无偿取得的除了资本性投入以外的货币性资产和非货币</w:t>
      </w:r>
      <w:r>
        <w:rPr>
          <w:w w:val="100"/>
        </w:rPr>
        <w:t> </w:t>
      </w:r>
      <w:r>
        <w:rPr>
          <w:spacing w:val="-2"/>
        </w:rPr>
        <w:t>性资产，包括财政拨款、财政贴息、税收返还和无偿划拨非货币性资产，可以分为与资产相关的政府补助</w:t>
      </w:r>
      <w:r>
        <w:rPr>
          <w:spacing w:val="-33"/>
        </w:rPr>
        <w:t> </w:t>
      </w:r>
      <w:r>
        <w:rPr>
          <w:spacing w:val="-33"/>
        </w:rPr>
      </w:r>
      <w:r>
        <w:rPr/>
        <w:t>和与收益相关的政府补助。</w:t>
      </w:r>
    </w:p>
    <w:p>
      <w:pPr>
        <w:pStyle w:val="BodyText"/>
        <w:spacing w:line="314" w:lineRule="auto" w:before="22"/>
        <w:ind w:left="575" w:right="0"/>
        <w:jc w:val="left"/>
      </w:pPr>
      <w:r>
        <w:rPr>
          <w:rFonts w:ascii="宋体" w:hAnsi="宋体" w:cs="宋体" w:eastAsia="宋体" w:hint="default"/>
        </w:rPr>
        <w:t>2.</w:t>
      </w:r>
      <w:r>
        <w:rPr/>
        <w:t>政府补助的确认和计量：政府补助在能够满足政府补助所附条件且能够收到时确认。</w:t>
      </w:r>
      <w:r>
        <w:rPr>
          <w:w w:val="100"/>
        </w:rPr>
        <w:t> </w:t>
      </w:r>
      <w:r>
        <w:rPr>
          <w:spacing w:val="-2"/>
        </w:rPr>
        <w:t>政府补助为货币性资产的，按照收到或应收的金额计量。政府补助为非货币性资产的，按照公允价值</w:t>
      </w:r>
    </w:p>
    <w:p>
      <w:pPr>
        <w:pStyle w:val="BodyText"/>
        <w:spacing w:line="314" w:lineRule="auto" w:before="15"/>
        <w:ind w:left="575" w:right="0" w:hanging="423"/>
        <w:jc w:val="left"/>
      </w:pPr>
      <w:r>
        <w:rPr/>
        <w:t>计量；公允价值不能可靠取得的，按照名义金额计量。</w:t>
      </w:r>
      <w:r>
        <w:rPr>
          <w:w w:val="100"/>
        </w:rPr>
        <w:t> </w:t>
      </w:r>
      <w:r>
        <w:rPr>
          <w:spacing w:val="-2"/>
        </w:rPr>
        <w:t>与资产相关的政府补助，冲减相关资产的账面价值或确认为递延收益。与资产相关的政府补助确认为</w:t>
      </w:r>
    </w:p>
    <w:p>
      <w:pPr>
        <w:pStyle w:val="BodyText"/>
        <w:spacing w:line="312" w:lineRule="auto"/>
        <w:ind w:right="1126"/>
        <w:jc w:val="both"/>
      </w:pPr>
      <w:r>
        <w:rPr>
          <w:spacing w:val="-7"/>
        </w:rPr>
        <w:t>递延收益的，在相关资产使用寿命内按照合理、系统的方法分期计入损益。按照名义金额计量的政府补助，</w:t>
      </w:r>
      <w:r>
        <w:rPr>
          <w:spacing w:val="-6"/>
        </w:rPr>
        <w:t> </w:t>
      </w:r>
      <w:r>
        <w:rPr>
          <w:spacing w:val="-6"/>
        </w:rPr>
      </w:r>
      <w:r>
        <w:rPr>
          <w:spacing w:val="-2"/>
        </w:rPr>
        <w:t>直接计入当期损益。相关资产在使用寿命结束前被出售、转让、报废或发生毁损的，将尚未分配的相关递</w:t>
      </w:r>
      <w:r>
        <w:rPr>
          <w:spacing w:val="-33"/>
        </w:rPr>
        <w:t> </w:t>
      </w:r>
      <w:r>
        <w:rPr>
          <w:spacing w:val="-33"/>
        </w:rPr>
      </w:r>
      <w:r>
        <w:rPr/>
        <w:t>延收益余额转入资产处置当期的损益。</w:t>
      </w:r>
    </w:p>
    <w:p>
      <w:pPr>
        <w:pStyle w:val="BodyText"/>
        <w:spacing w:line="314" w:lineRule="auto" w:before="22"/>
        <w:ind w:right="0" w:firstLine="422"/>
        <w:jc w:val="left"/>
      </w:pPr>
      <w:r>
        <w:rPr/>
        <w:t>与收益相关的政府补助，用于补偿公司以后期间的相关费用或损失的，于取得时确认为递延收益，在</w:t>
      </w:r>
      <w:r>
        <w:rPr>
          <w:w w:val="100"/>
        </w:rPr>
        <w:t> </w:t>
      </w:r>
      <w:r>
        <w:rPr>
          <w:spacing w:val="-4"/>
        </w:rPr>
        <w:t>确认相关费用的期间计入当期损益；用于补偿公司已发生的相关费用或损失的，取得时直接计入当期损益。</w:t>
      </w:r>
    </w:p>
    <w:p>
      <w:pPr>
        <w:pStyle w:val="BodyText"/>
        <w:spacing w:line="309" w:lineRule="auto"/>
        <w:ind w:right="0" w:firstLine="422"/>
        <w:jc w:val="left"/>
      </w:pPr>
      <w:r>
        <w:rPr>
          <w:spacing w:val="-2"/>
        </w:rPr>
        <w:t>同时包含与资产相关部分和与收益相关部分的政府补助，区分不同部分分别进行会计处理；难以区分</w:t>
      </w:r>
      <w:r>
        <w:rPr>
          <w:w w:val="100"/>
        </w:rPr>
        <w:t> </w:t>
      </w:r>
      <w:r>
        <w:rPr/>
        <w:t>的，整体归类为与收益相关的政府补助。</w:t>
      </w:r>
    </w:p>
    <w:p>
      <w:pPr>
        <w:pStyle w:val="BodyText"/>
        <w:spacing w:line="314" w:lineRule="auto" w:before="24"/>
        <w:ind w:right="0" w:firstLine="422"/>
        <w:jc w:val="left"/>
      </w:pPr>
      <w:r>
        <w:rPr>
          <w:spacing w:val="-2"/>
        </w:rPr>
        <w:t>与企业日常活动相关的政府补助，按照经济业务实质，计入其他收益或冲减相关成本费用。与企业日</w:t>
      </w:r>
      <w:r>
        <w:rPr>
          <w:w w:val="100"/>
        </w:rPr>
        <w:t> </w:t>
      </w:r>
      <w:r>
        <w:rPr/>
        <w:t>常活动无关的政府补助，计入营业外收支。</w:t>
      </w:r>
    </w:p>
    <w:p>
      <w:pPr>
        <w:pStyle w:val="BodyText"/>
        <w:spacing w:line="312" w:lineRule="auto"/>
        <w:ind w:right="1118" w:firstLine="422"/>
        <w:jc w:val="both"/>
      </w:pPr>
      <w:r>
        <w:rPr>
          <w:spacing w:val="-2"/>
        </w:rPr>
        <w:t>政策性优惠贷款贴息，区分财政将贴息资金拨付给贷款银行和财政将贴息资金直接拨付给企业两种情</w:t>
      </w:r>
      <w:r>
        <w:rPr>
          <w:w w:val="100"/>
        </w:rPr>
        <w:t> </w:t>
      </w:r>
      <w:r>
        <w:rPr>
          <w:spacing w:val="-2"/>
        </w:rPr>
        <w:t>况进行会计处理。财政将贴息资金拨付给贷款银行，由贷款银行以政策性优惠利率向公司提供贷款的，以</w:t>
      </w:r>
      <w:r>
        <w:rPr>
          <w:spacing w:val="-33"/>
        </w:rPr>
        <w:t> </w:t>
      </w:r>
      <w:r>
        <w:rPr>
          <w:spacing w:val="-33"/>
        </w:rPr>
      </w:r>
      <w:r>
        <w:rPr>
          <w:spacing w:val="-2"/>
        </w:rPr>
        <w:t>实际收到的借款金额作为借款的入账价值，按照借款本金和该政策性优惠利率计算相关借款费用。财政将</w:t>
      </w:r>
      <w:r>
        <w:rPr>
          <w:spacing w:val="-33"/>
        </w:rPr>
        <w:t> </w:t>
      </w:r>
      <w:r>
        <w:rPr>
          <w:spacing w:val="-33"/>
        </w:rPr>
      </w:r>
      <w:r>
        <w:rPr/>
        <w:t>贴息资金直接拨付给公司的，将对应的贴息冲减相关借款费用。</w:t>
      </w:r>
    </w:p>
    <w:p>
      <w:pPr>
        <w:pStyle w:val="BodyText"/>
        <w:spacing w:line="240" w:lineRule="auto" w:before="22"/>
        <w:ind w:left="575" w:right="0"/>
        <w:jc w:val="left"/>
      </w:pPr>
      <w:r>
        <w:rPr/>
        <w:t>已确认的政府补助需要退回的，在需要退回的当期分情况按照以下规定进行会计处理：</w:t>
      </w:r>
    </w:p>
    <w:p>
      <w:pPr>
        <w:pStyle w:val="BodyText"/>
        <w:spacing w:line="240" w:lineRule="auto" w:before="81"/>
        <w:ind w:left="575" w:right="0"/>
        <w:jc w:val="left"/>
      </w:pPr>
      <w:r>
        <w:rPr/>
        <w:t>（</w:t>
      </w:r>
      <w:r>
        <w:rPr>
          <w:rFonts w:ascii="宋体" w:hAnsi="宋体" w:cs="宋体" w:eastAsia="宋体" w:hint="default"/>
        </w:rPr>
        <w:t>1</w:t>
      </w:r>
      <w:r>
        <w:rPr/>
        <w:t>）初始确认时冲减相关资产账面价值的，调整资产账面价值；</w:t>
      </w:r>
    </w:p>
    <w:p>
      <w:pPr>
        <w:pStyle w:val="BodyText"/>
        <w:spacing w:line="240" w:lineRule="auto" w:before="85"/>
        <w:ind w:left="575" w:right="0"/>
        <w:jc w:val="left"/>
      </w:pPr>
      <w:r>
        <w:rPr/>
        <w:t>（</w:t>
      </w:r>
      <w:r>
        <w:rPr>
          <w:rFonts w:ascii="宋体" w:hAnsi="宋体" w:cs="宋体" w:eastAsia="宋体" w:hint="default"/>
        </w:rPr>
        <w:t>2</w:t>
      </w:r>
      <w:r>
        <w:rPr/>
        <w:t>）存在相关递延收益的，冲减相关递延收益账面余额，超出部分计入当期损益；</w:t>
      </w:r>
    </w:p>
    <w:p>
      <w:pPr>
        <w:pStyle w:val="BodyText"/>
        <w:spacing w:line="240" w:lineRule="auto" w:before="85"/>
        <w:ind w:left="575" w:right="0"/>
        <w:jc w:val="left"/>
      </w:pPr>
      <w:r>
        <w:rPr/>
        <w:t>（</w:t>
      </w:r>
      <w:r>
        <w:rPr>
          <w:rFonts w:ascii="宋体" w:hAnsi="宋体" w:cs="宋体" w:eastAsia="宋体" w:hint="default"/>
        </w:rPr>
        <w:t>3</w:t>
      </w:r>
      <w:r>
        <w:rPr/>
        <w:t>）属于其他情况的，直接计入当期损益。</w:t>
      </w:r>
    </w:p>
    <w:p>
      <w:pPr>
        <w:spacing w:after="0" w:line="240" w:lineRule="auto"/>
        <w:jc w:val="left"/>
        <w:sectPr>
          <w:pgSz w:w="11910" w:h="16840"/>
          <w:pgMar w:header="460" w:footer="979" w:top="1060" w:bottom="1160" w:left="980" w:right="0"/>
        </w:sectPr>
      </w:pPr>
    </w:p>
    <w:p>
      <w:pPr>
        <w:spacing w:line="240" w:lineRule="auto" w:before="11"/>
        <w:rPr>
          <w:rFonts w:ascii="宋体" w:hAnsi="宋体" w:cs="宋体" w:eastAsia="宋体" w:hint="default"/>
          <w:sz w:val="25"/>
          <w:szCs w:val="25"/>
        </w:rPr>
      </w:pPr>
    </w:p>
    <w:p>
      <w:pPr>
        <w:pStyle w:val="Heading3"/>
        <w:spacing w:line="240" w:lineRule="auto" w:before="36"/>
        <w:ind w:right="0"/>
        <w:jc w:val="left"/>
        <w:rPr>
          <w:b w:val="0"/>
          <w:bCs w:val="0"/>
        </w:rPr>
      </w:pPr>
      <w:bookmarkStart w:name="41、递延所得税资产/递延所得税负债" w:id="226"/>
      <w:bookmarkEnd w:id="226"/>
      <w:r>
        <w:rPr>
          <w:b w:val="0"/>
          <w:bCs w:val="0"/>
        </w:rPr>
      </w:r>
      <w:r>
        <w:rPr>
          <w:rFonts w:ascii="宋体" w:hAnsi="宋体" w:cs="宋体" w:eastAsia="宋体" w:hint="default"/>
        </w:rPr>
        <w:t>41</w:t>
      </w:r>
      <w:r>
        <w:rPr/>
        <w:t>、递延所得税资产</w:t>
      </w:r>
      <w:r>
        <w:rPr>
          <w:rFonts w:ascii="宋体" w:hAnsi="宋体" w:cs="宋体" w:eastAsia="宋体" w:hint="default"/>
        </w:rPr>
        <w:t>/</w:t>
      </w:r>
      <w:r>
        <w:rPr/>
        <w:t>递延所得税负债</w:t>
      </w:r>
      <w:r>
        <w:rPr>
          <w:b w:val="0"/>
          <w:bCs w:val="0"/>
        </w:rPr>
      </w:r>
    </w:p>
    <w:p>
      <w:pPr>
        <w:spacing w:line="240" w:lineRule="auto" w:before="3"/>
        <w:rPr>
          <w:rFonts w:ascii="宋体" w:hAnsi="宋体" w:cs="宋体" w:eastAsia="宋体" w:hint="default"/>
          <w:b/>
          <w:bCs/>
          <w:sz w:val="29"/>
          <w:szCs w:val="29"/>
        </w:rPr>
      </w:pPr>
    </w:p>
    <w:p>
      <w:pPr>
        <w:pStyle w:val="BodyText"/>
        <w:spacing w:line="240" w:lineRule="auto" w:before="0"/>
        <w:ind w:left="575" w:right="0"/>
        <w:jc w:val="left"/>
      </w:pPr>
      <w:r>
        <w:rPr>
          <w:rFonts w:ascii="宋体" w:hAnsi="宋体" w:cs="宋体" w:eastAsia="宋体" w:hint="default"/>
        </w:rPr>
        <w:t>1.</w:t>
      </w:r>
      <w:r>
        <w:rPr/>
        <w:t>本公司采用资产负债表债务法对企业所得税进行核算。</w:t>
      </w:r>
    </w:p>
    <w:p>
      <w:pPr>
        <w:pStyle w:val="BodyText"/>
        <w:spacing w:line="312" w:lineRule="auto" w:before="85"/>
        <w:ind w:right="1126" w:firstLine="422"/>
        <w:jc w:val="both"/>
      </w:pPr>
      <w:r>
        <w:rPr>
          <w:rFonts w:ascii="宋体" w:hAnsi="宋体" w:cs="宋体" w:eastAsia="宋体" w:hint="default"/>
          <w:spacing w:val="-2"/>
        </w:rPr>
        <w:t>2.</w:t>
      </w:r>
      <w:r>
        <w:rPr>
          <w:spacing w:val="-2"/>
        </w:rPr>
        <w:t>公司在取得资产、负债时，确定其计税基础。资产、负债的账面价值与其计税基础存在应纳税暂时</w:t>
      </w:r>
      <w:r>
        <w:rPr>
          <w:w w:val="100"/>
        </w:rPr>
        <w:t> </w:t>
      </w:r>
      <w:r>
        <w:rPr>
          <w:spacing w:val="-2"/>
        </w:rPr>
        <w:t>性差异或可抵扣暂时性差异的，按照预期收回该资产或清偿该负债期间的适用税率计算确认递延所得税资</w:t>
      </w:r>
      <w:r>
        <w:rPr>
          <w:spacing w:val="-33"/>
        </w:rPr>
        <w:t> </w:t>
      </w:r>
      <w:r>
        <w:rPr>
          <w:spacing w:val="-33"/>
        </w:rPr>
      </w:r>
      <w:r>
        <w:rPr/>
        <w:t>产或递延所得税负债。</w:t>
      </w:r>
    </w:p>
    <w:p>
      <w:pPr>
        <w:pStyle w:val="BodyText"/>
        <w:spacing w:line="314" w:lineRule="auto" w:before="22"/>
        <w:ind w:left="575" w:right="0"/>
        <w:jc w:val="left"/>
      </w:pPr>
      <w:r>
        <w:rPr>
          <w:rFonts w:ascii="宋体" w:hAnsi="宋体" w:cs="宋体" w:eastAsia="宋体" w:hint="default"/>
        </w:rPr>
        <w:t>3.</w:t>
      </w:r>
      <w:r>
        <w:rPr/>
        <w:t>递延所得税资产确认</w:t>
      </w:r>
      <w:r>
        <w:rPr>
          <w:w w:val="100"/>
        </w:rPr>
        <w:t> </w:t>
      </w:r>
      <w:r>
        <w:rPr>
          <w:spacing w:val="-2"/>
        </w:rPr>
        <w:t>以很可能取得用来抵扣可抵扣暂时性差异的应纳税所得额为限。对已确认的递延所得税资产，当预计</w:t>
      </w:r>
    </w:p>
    <w:p>
      <w:pPr>
        <w:pStyle w:val="BodyText"/>
        <w:spacing w:line="312" w:lineRule="auto"/>
        <w:ind w:right="1125"/>
        <w:jc w:val="both"/>
      </w:pPr>
      <w:r>
        <w:rPr>
          <w:spacing w:val="-2"/>
        </w:rPr>
        <w:t>到未来期间很可能无法获得足够的应纳税所得额用于抵扣递延所得税资产时，减记递延所得税资产的账面</w:t>
      </w:r>
      <w:r>
        <w:rPr>
          <w:spacing w:val="-33"/>
        </w:rPr>
        <w:t> </w:t>
      </w:r>
      <w:r>
        <w:rPr>
          <w:spacing w:val="-33"/>
        </w:rPr>
      </w:r>
      <w:r>
        <w:rPr>
          <w:spacing w:val="-2"/>
        </w:rPr>
        <w:t>价值。在很可能获得足够多的应纳税所得额时，减记的金额予以转回。本公司未来期间很可能获得足够的</w:t>
      </w:r>
      <w:r>
        <w:rPr>
          <w:spacing w:val="-33"/>
        </w:rPr>
        <w:t> </w:t>
      </w:r>
      <w:r>
        <w:rPr>
          <w:spacing w:val="-33"/>
        </w:rPr>
      </w:r>
      <w:r>
        <w:rPr/>
        <w:t>应纳税所得额的金额是依据管理层批准的经营计划（或盈利预测）确定。</w:t>
      </w:r>
    </w:p>
    <w:p>
      <w:pPr>
        <w:pStyle w:val="BodyText"/>
        <w:spacing w:line="314" w:lineRule="auto" w:before="22"/>
        <w:ind w:right="1203" w:firstLine="422"/>
        <w:jc w:val="both"/>
      </w:pPr>
      <w:r>
        <w:rPr>
          <w:spacing w:val="-2"/>
        </w:rPr>
        <w:t>但是同时具有下列特征的交易中因资产或负债的初始确认所产生的递延所得税资产不予确认：（</w:t>
      </w:r>
      <w:r>
        <w:rPr>
          <w:rFonts w:ascii="宋体" w:hAnsi="宋体" w:cs="宋体" w:eastAsia="宋体" w:hint="default"/>
          <w:spacing w:val="-2"/>
        </w:rPr>
        <w:t>1</w:t>
      </w:r>
      <w:r>
        <w:rPr>
          <w:spacing w:val="-2"/>
        </w:rPr>
        <w:t>）</w:t>
      </w:r>
      <w:r>
        <w:rPr>
          <w:w w:val="100"/>
        </w:rPr>
        <w:t> </w:t>
      </w:r>
      <w:r>
        <w:rPr/>
        <w:t>该项交易不是企业合并；（</w:t>
      </w:r>
      <w:r>
        <w:rPr>
          <w:rFonts w:ascii="宋体" w:hAnsi="宋体" w:cs="宋体" w:eastAsia="宋体" w:hint="default"/>
        </w:rPr>
        <w:t>2</w:t>
      </w:r>
      <w:r>
        <w:rPr/>
        <w:t>）交易发生时既不影响会计利润也不影响应纳税所得额</w:t>
      </w:r>
      <w:r>
        <w:rPr>
          <w:rFonts w:ascii="宋体" w:hAnsi="宋体" w:cs="宋体" w:eastAsia="宋体" w:hint="default"/>
        </w:rPr>
        <w:t>(</w:t>
      </w:r>
      <w:r>
        <w:rPr/>
        <w:t>或可抵扣亏损</w:t>
      </w:r>
      <w:r>
        <w:rPr>
          <w:rFonts w:ascii="宋体" w:hAnsi="宋体" w:cs="宋体" w:eastAsia="宋体" w:hint="default"/>
        </w:rPr>
        <w:t>)</w:t>
      </w:r>
      <w:r>
        <w:rPr/>
        <w:t>。</w:t>
      </w:r>
    </w:p>
    <w:p>
      <w:pPr>
        <w:pStyle w:val="BodyText"/>
        <w:spacing w:line="314" w:lineRule="auto" w:before="15"/>
        <w:ind w:right="1120" w:firstLine="422"/>
        <w:jc w:val="both"/>
      </w:pPr>
      <w:r>
        <w:rPr>
          <w:spacing w:val="-2"/>
        </w:rPr>
        <w:t>本公司对与子公司、联营公司及合营企业投资相关的可抵扣暂时性差异，同时满足下列条件的，确认</w:t>
      </w:r>
      <w:r>
        <w:rPr>
          <w:w w:val="100"/>
        </w:rPr>
        <w:t> </w:t>
      </w:r>
      <w:r>
        <w:rPr>
          <w:spacing w:val="-2"/>
        </w:rPr>
        <w:t>相应的递延所得税资产：（</w:t>
      </w:r>
      <w:r>
        <w:rPr>
          <w:rFonts w:ascii="宋体" w:hAnsi="宋体" w:cs="宋体" w:eastAsia="宋体" w:hint="default"/>
          <w:spacing w:val="-2"/>
        </w:rPr>
        <w:t>1</w:t>
      </w:r>
      <w:r>
        <w:rPr>
          <w:spacing w:val="-2"/>
        </w:rPr>
        <w:t>）暂时性差异在可预见的未来很可能转回；（</w:t>
      </w:r>
      <w:r>
        <w:rPr>
          <w:rFonts w:ascii="宋体" w:hAnsi="宋体" w:cs="宋体" w:eastAsia="宋体" w:hint="default"/>
          <w:spacing w:val="-2"/>
        </w:rPr>
        <w:t>2</w:t>
      </w:r>
      <w:r>
        <w:rPr>
          <w:spacing w:val="-2"/>
        </w:rPr>
        <w:t>）未来很可能获得用来抵扣暂</w:t>
      </w:r>
      <w:r>
        <w:rPr>
          <w:spacing w:val="-35"/>
        </w:rPr>
        <w:t> </w:t>
      </w:r>
      <w:r>
        <w:rPr>
          <w:spacing w:val="-35"/>
        </w:rPr>
      </w:r>
      <w:r>
        <w:rPr/>
        <w:t>时性差异的应纳税所得额。</w:t>
      </w:r>
    </w:p>
    <w:p>
      <w:pPr>
        <w:pStyle w:val="BodyText"/>
        <w:spacing w:line="309" w:lineRule="auto"/>
        <w:ind w:left="575" w:right="0"/>
        <w:jc w:val="left"/>
      </w:pPr>
      <w:r>
        <w:rPr>
          <w:rFonts w:ascii="宋体" w:hAnsi="宋体" w:cs="宋体" w:eastAsia="宋体" w:hint="default"/>
        </w:rPr>
        <w:t>4.</w:t>
      </w:r>
      <w:r>
        <w:rPr/>
        <w:t>递延所得税负债的确认</w:t>
      </w:r>
      <w:r>
        <w:rPr>
          <w:spacing w:val="-102"/>
        </w:rPr>
        <w:t> </w:t>
      </w:r>
      <w:r>
        <w:rPr>
          <w:spacing w:val="-102"/>
        </w:rPr>
      </w:r>
      <w:r>
        <w:rPr/>
        <w:t>除下列情况产生的递延所得税负债以外，本公司确认所有应纳税暂时性差异产生的递延所得税负债：</w:t>
      </w:r>
    </w:p>
    <w:p>
      <w:pPr>
        <w:pStyle w:val="BodyText"/>
        <w:spacing w:line="312" w:lineRule="auto" w:before="24"/>
        <w:ind w:right="0"/>
        <w:jc w:val="left"/>
      </w:pPr>
      <w:r>
        <w:rPr>
          <w:spacing w:val="-2"/>
        </w:rPr>
        <w:t>（</w:t>
      </w:r>
      <w:r>
        <w:rPr>
          <w:rFonts w:ascii="宋体" w:hAnsi="宋体" w:cs="宋体" w:eastAsia="宋体" w:hint="default"/>
          <w:spacing w:val="-2"/>
        </w:rPr>
        <w:t>1</w:t>
      </w:r>
      <w:r>
        <w:rPr>
          <w:spacing w:val="-2"/>
        </w:rPr>
        <w:t>）商誉的初始确认；（</w:t>
      </w:r>
      <w:r>
        <w:rPr>
          <w:rFonts w:ascii="宋体" w:hAnsi="宋体" w:cs="宋体" w:eastAsia="宋体" w:hint="default"/>
          <w:spacing w:val="-2"/>
        </w:rPr>
        <w:t>2</w:t>
      </w:r>
      <w:r>
        <w:rPr>
          <w:spacing w:val="-2"/>
        </w:rPr>
        <w:t>）同时满足具有下列特征的交易中产生的资产或负债的初始确认：①该项交易</w:t>
      </w:r>
      <w:r>
        <w:rPr>
          <w:spacing w:val="-35"/>
        </w:rPr>
        <w:t> </w:t>
      </w:r>
      <w:r>
        <w:rPr>
          <w:spacing w:val="-35"/>
        </w:rPr>
      </w:r>
      <w:r>
        <w:rPr/>
        <w:t>不是企业合并；②交易发生时既不影响会计利润也不影响应纳税所得额</w:t>
      </w:r>
      <w:r>
        <w:rPr>
          <w:rFonts w:ascii="宋体" w:hAnsi="宋体" w:cs="宋体" w:eastAsia="宋体" w:hint="default"/>
        </w:rPr>
        <w:t>(</w:t>
      </w:r>
      <w:r>
        <w:rPr/>
        <w:t>或可抵扣亏损</w:t>
      </w:r>
      <w:r>
        <w:rPr>
          <w:rFonts w:ascii="宋体" w:hAnsi="宋体" w:cs="宋体" w:eastAsia="宋体" w:hint="default"/>
        </w:rPr>
        <w:t>)</w:t>
      </w:r>
      <w:r>
        <w:rPr/>
        <w:t>。（</w:t>
      </w:r>
      <w:r>
        <w:rPr>
          <w:rFonts w:ascii="宋体" w:hAnsi="宋体" w:cs="宋体" w:eastAsia="宋体" w:hint="default"/>
        </w:rPr>
        <w:t>3</w:t>
      </w:r>
      <w:r>
        <w:rPr/>
        <w:t>）本公司对</w:t>
      </w:r>
      <w:r>
        <w:rPr>
          <w:w w:val="100"/>
        </w:rPr>
        <w:t> </w:t>
      </w:r>
      <w:r>
        <w:rPr>
          <w:spacing w:val="-2"/>
        </w:rPr>
        <w:t>与子公司、联营公司及合营企业投资产生相关的应纳税暂时性差异，同时满足下列条件的：①投资企业能</w:t>
      </w:r>
      <w:r>
        <w:rPr>
          <w:spacing w:val="-33"/>
        </w:rPr>
        <w:t> </w:t>
      </w:r>
      <w:r>
        <w:rPr>
          <w:spacing w:val="-33"/>
        </w:rPr>
      </w:r>
      <w:r>
        <w:rPr/>
        <w:t>够控制暂时性差异的转回的时间；②该暂时性差异在可预见的未来很可能不会转回。</w:t>
      </w:r>
    </w:p>
    <w:p>
      <w:pPr>
        <w:pStyle w:val="BodyText"/>
        <w:spacing w:line="314" w:lineRule="auto" w:before="22"/>
        <w:ind w:right="1125" w:firstLine="422"/>
        <w:jc w:val="both"/>
      </w:pPr>
      <w:r>
        <w:rPr>
          <w:rFonts w:ascii="宋体" w:hAnsi="宋体" w:cs="宋体" w:eastAsia="宋体" w:hint="default"/>
          <w:spacing w:val="-2"/>
        </w:rPr>
        <w:t>5.</w:t>
      </w:r>
      <w:r>
        <w:rPr>
          <w:spacing w:val="-2"/>
        </w:rPr>
        <w:t>资产负债表日，对递延所得税资产的账面价值进行复核，如果未来期间很可能无法获得足够的应纳</w:t>
      </w:r>
      <w:r>
        <w:rPr>
          <w:w w:val="100"/>
        </w:rPr>
        <w:t> </w:t>
      </w:r>
      <w:r>
        <w:rPr>
          <w:spacing w:val="-2"/>
        </w:rPr>
        <w:t>税所得额用以抵扣递延所得税资产的利益，则减记递延所得税资产的账面价值。在很可能获得足够的应纳</w:t>
      </w:r>
      <w:r>
        <w:rPr>
          <w:spacing w:val="-33"/>
        </w:rPr>
        <w:t> </w:t>
      </w:r>
      <w:r>
        <w:rPr>
          <w:spacing w:val="-33"/>
        </w:rPr>
      </w:r>
      <w:r>
        <w:rPr/>
        <w:t>税所得额时，转回减记的金额。</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42、租赁" w:id="227"/>
      <w:bookmarkEnd w:id="227"/>
      <w:r>
        <w:rPr>
          <w:b w:val="0"/>
          <w:bCs w:val="0"/>
        </w:rPr>
      </w:r>
      <w:r>
        <w:rPr>
          <w:rFonts w:ascii="宋体" w:hAnsi="宋体" w:cs="宋体" w:eastAsia="宋体" w:hint="default"/>
        </w:rPr>
        <w:t>42</w:t>
      </w:r>
      <w:r>
        <w:rPr/>
        <w:t>、租赁</w:t>
      </w:r>
      <w:r>
        <w:rPr>
          <w:b w:val="0"/>
          <w:bCs w:val="0"/>
        </w:rPr>
      </w:r>
    </w:p>
    <w:p>
      <w:pPr>
        <w:spacing w:line="240" w:lineRule="auto" w:before="9"/>
        <w:rPr>
          <w:rFonts w:ascii="宋体" w:hAnsi="宋体" w:cs="宋体" w:eastAsia="宋体" w:hint="default"/>
          <w:b/>
          <w:bCs/>
          <w:sz w:val="29"/>
          <w:szCs w:val="29"/>
        </w:rPr>
      </w:pPr>
    </w:p>
    <w:p>
      <w:pPr>
        <w:pStyle w:val="Heading3"/>
        <w:spacing w:line="240" w:lineRule="auto"/>
        <w:ind w:right="0"/>
        <w:jc w:val="left"/>
        <w:rPr>
          <w:b w:val="0"/>
          <w:bCs w:val="0"/>
        </w:rPr>
      </w:pPr>
      <w:bookmarkStart w:name="（1）经营租赁的会计处理方法" w:id="228"/>
      <w:bookmarkEnd w:id="228"/>
      <w:r>
        <w:rPr>
          <w:b w:val="0"/>
          <w:bCs w:val="0"/>
        </w:rPr>
      </w:r>
      <w:r>
        <w:rPr/>
        <w:t>（</w:t>
      </w:r>
      <w:r>
        <w:rPr>
          <w:rFonts w:ascii="宋体" w:hAnsi="宋体" w:cs="宋体" w:eastAsia="宋体" w:hint="default"/>
        </w:rPr>
        <w:t>1</w:t>
      </w:r>
      <w:r>
        <w:rPr/>
        <w:t>）经营租赁的会计处理方法</w:t>
      </w:r>
      <w:r>
        <w:rPr>
          <w:b w:val="0"/>
          <w:bCs w:val="0"/>
        </w:rPr>
      </w:r>
    </w:p>
    <w:p>
      <w:pPr>
        <w:spacing w:line="240" w:lineRule="auto" w:before="3"/>
        <w:rPr>
          <w:rFonts w:ascii="宋体" w:hAnsi="宋体" w:cs="宋体" w:eastAsia="宋体" w:hint="default"/>
          <w:b/>
          <w:bCs/>
          <w:sz w:val="29"/>
          <w:szCs w:val="29"/>
        </w:rPr>
      </w:pPr>
    </w:p>
    <w:p>
      <w:pPr>
        <w:pStyle w:val="Heading3"/>
        <w:spacing w:line="578" w:lineRule="auto"/>
        <w:ind w:right="7377"/>
        <w:jc w:val="left"/>
        <w:rPr>
          <w:b w:val="0"/>
          <w:bCs w:val="0"/>
        </w:rPr>
      </w:pPr>
      <w:bookmarkStart w:name="（2）融资租赁的会计处理方法" w:id="229"/>
      <w:bookmarkEnd w:id="229"/>
      <w:r>
        <w:rPr>
          <w:b w:val="0"/>
          <w:bCs w:val="0"/>
        </w:rPr>
      </w:r>
      <w:r>
        <w:rPr/>
        <w:t>（</w:t>
      </w:r>
      <w:r>
        <w:rPr>
          <w:rFonts w:ascii="宋体" w:hAnsi="宋体" w:cs="宋体" w:eastAsia="宋体" w:hint="default"/>
        </w:rPr>
        <w:t>2</w:t>
      </w:r>
      <w:r>
        <w:rPr/>
        <w:t>）融资租赁的会计处理方法</w:t>
      </w:r>
      <w:r>
        <w:rPr>
          <w:spacing w:val="-102"/>
        </w:rPr>
        <w:t> </w:t>
      </w:r>
      <w:bookmarkStart w:name="43、其他重要的会计政策和会计估计" w:id="230"/>
      <w:bookmarkEnd w:id="230"/>
      <w:r>
        <w:rPr>
          <w:spacing w:val="-102"/>
        </w:rPr>
      </w:r>
      <w:r>
        <w:rPr>
          <w:rFonts w:ascii="宋体" w:hAnsi="宋体" w:cs="宋体" w:eastAsia="宋体" w:hint="default"/>
        </w:rPr>
        <w:t>43</w:t>
      </w:r>
      <w:r>
        <w:rPr/>
        <w:t>、其他重要的会计政策和会计估计</w:t>
      </w:r>
      <w:r>
        <w:rPr>
          <w:b w:val="0"/>
          <w:bCs w:val="0"/>
        </w:rPr>
      </w:r>
    </w:p>
    <w:p>
      <w:pPr>
        <w:pStyle w:val="BodyText"/>
        <w:spacing w:line="314" w:lineRule="auto" w:before="86"/>
        <w:ind w:right="1125" w:firstLine="422"/>
        <w:jc w:val="both"/>
      </w:pPr>
      <w:r>
        <w:rPr>
          <w:spacing w:val="-2"/>
        </w:rPr>
        <w:t>公司其他主要会计政策、会计估计和财务报表编制方法按照《企业会计准则》执行，未提及的会计业</w:t>
      </w:r>
      <w:r>
        <w:rPr>
          <w:w w:val="100"/>
        </w:rPr>
        <w:t> </w:t>
      </w:r>
      <w:r>
        <w:rPr/>
        <w:t>务按企业会计准则的相关规定执行。</w:t>
      </w:r>
    </w:p>
    <w:p>
      <w:pPr>
        <w:spacing w:after="0" w:line="314" w:lineRule="auto"/>
        <w:jc w:val="both"/>
        <w:sectPr>
          <w:pgSz w:w="11910" w:h="16840"/>
          <w:pgMar w:header="460" w:footer="979" w:top="1060" w:bottom="1160" w:left="980" w:right="0"/>
        </w:sectPr>
      </w:pPr>
    </w:p>
    <w:p>
      <w:pPr>
        <w:spacing w:line="240" w:lineRule="auto" w:before="11"/>
        <w:rPr>
          <w:rFonts w:ascii="宋体" w:hAnsi="宋体" w:cs="宋体" w:eastAsia="宋体" w:hint="default"/>
          <w:sz w:val="25"/>
          <w:szCs w:val="25"/>
        </w:rPr>
      </w:pPr>
    </w:p>
    <w:p>
      <w:pPr>
        <w:pStyle w:val="Heading3"/>
        <w:spacing w:line="240" w:lineRule="auto" w:before="36"/>
        <w:ind w:right="0"/>
        <w:jc w:val="left"/>
        <w:rPr>
          <w:b w:val="0"/>
          <w:bCs w:val="0"/>
        </w:rPr>
      </w:pPr>
      <w:bookmarkStart w:name="44、重要会计政策和会计估计变更" w:id="231"/>
      <w:bookmarkEnd w:id="231"/>
      <w:r>
        <w:rPr>
          <w:b w:val="0"/>
          <w:bCs w:val="0"/>
        </w:rPr>
      </w:r>
      <w:r>
        <w:rPr>
          <w:rFonts w:ascii="宋体" w:hAnsi="宋体" w:cs="宋体" w:eastAsia="宋体" w:hint="default"/>
        </w:rPr>
        <w:t>44</w:t>
      </w:r>
      <w:r>
        <w:rPr/>
        <w:t>、重要会计政策和会计估计变更</w:t>
      </w:r>
      <w:r>
        <w:rPr>
          <w:b w:val="0"/>
          <w:bCs w:val="0"/>
        </w:rPr>
      </w:r>
    </w:p>
    <w:p>
      <w:pPr>
        <w:spacing w:line="240" w:lineRule="auto" w:before="3"/>
        <w:rPr>
          <w:rFonts w:ascii="宋体" w:hAnsi="宋体" w:cs="宋体" w:eastAsia="宋体" w:hint="default"/>
          <w:b/>
          <w:bCs/>
          <w:sz w:val="29"/>
          <w:szCs w:val="29"/>
        </w:rPr>
      </w:pPr>
    </w:p>
    <w:p>
      <w:pPr>
        <w:pStyle w:val="Heading3"/>
        <w:spacing w:line="240" w:lineRule="auto"/>
        <w:ind w:right="0"/>
        <w:jc w:val="left"/>
        <w:rPr>
          <w:b w:val="0"/>
          <w:bCs w:val="0"/>
        </w:rPr>
      </w:pPr>
      <w:bookmarkStart w:name="（1）重要会计政策变更" w:id="232"/>
      <w:bookmarkEnd w:id="232"/>
      <w:r>
        <w:rPr>
          <w:b w:val="0"/>
          <w:bCs w:val="0"/>
        </w:rPr>
      </w:r>
      <w:r>
        <w:rPr/>
        <w:t>（</w:t>
      </w:r>
      <w:r>
        <w:rPr>
          <w:rFonts w:ascii="宋体" w:hAnsi="宋体" w:cs="宋体" w:eastAsia="宋体" w:hint="default"/>
        </w:rPr>
        <w:t>1</w:t>
      </w:r>
      <w:r>
        <w:rPr/>
        <w:t>）重要会计政策变更</w:t>
      </w:r>
      <w:r>
        <w:rPr>
          <w:b w:val="0"/>
          <w:bCs w:val="0"/>
        </w:rPr>
      </w:r>
    </w:p>
    <w:p>
      <w:pPr>
        <w:spacing w:line="240" w:lineRule="auto" w:before="9"/>
        <w:rPr>
          <w:rFonts w:ascii="宋体" w:hAnsi="宋体" w:cs="宋体" w:eastAsia="宋体" w:hint="default"/>
          <w:b/>
          <w:bCs/>
          <w:sz w:val="29"/>
          <w:szCs w:val="29"/>
        </w:rPr>
      </w:pPr>
    </w:p>
    <w:p>
      <w:pPr>
        <w:pStyle w:val="BodyText"/>
        <w:spacing w:line="348" w:lineRule="auto" w:before="0"/>
        <w:ind w:left="484" w:right="0" w:hanging="332"/>
        <w:jc w:val="left"/>
      </w:pPr>
      <w:r>
        <w:rPr/>
        <w:t>√ 适用 □ 不适用</w:t>
      </w:r>
      <w:r>
        <w:rPr>
          <w:spacing w:val="-101"/>
        </w:rPr>
        <w:t> </w:t>
      </w:r>
      <w:r>
        <w:rPr>
          <w:spacing w:val="-101"/>
        </w:rPr>
      </w:r>
      <w:r>
        <w:rPr>
          <w:spacing w:val="-2"/>
        </w:rPr>
        <w:t>本公司根据财政部《关于修订印发</w:t>
      </w:r>
      <w:r>
        <w:rPr>
          <w:rFonts w:ascii="宋体" w:hAnsi="宋体" w:cs="宋体" w:eastAsia="宋体" w:hint="default"/>
          <w:spacing w:val="-2"/>
        </w:rPr>
        <w:t>2019</w:t>
      </w:r>
      <w:r>
        <w:rPr>
          <w:spacing w:val="-2"/>
        </w:rPr>
        <w:t>年度一般企业财务报表格式的通知》</w:t>
      </w:r>
      <w:r>
        <w:rPr>
          <w:rFonts w:ascii="宋体" w:hAnsi="宋体" w:cs="宋体" w:eastAsia="宋体" w:hint="default"/>
          <w:spacing w:val="-2"/>
        </w:rPr>
        <w:t>(</w:t>
      </w:r>
      <w:r>
        <w:rPr>
          <w:spacing w:val="-2"/>
        </w:rPr>
        <w:t>财会〔</w:t>
      </w:r>
      <w:r>
        <w:rPr>
          <w:rFonts w:ascii="宋体" w:hAnsi="宋体" w:cs="宋体" w:eastAsia="宋体" w:hint="default"/>
          <w:spacing w:val="-2"/>
        </w:rPr>
        <w:t>2019</w:t>
      </w:r>
      <w:r>
        <w:rPr>
          <w:spacing w:val="-2"/>
        </w:rPr>
        <w:t>〕</w:t>
      </w:r>
      <w:r>
        <w:rPr>
          <w:rFonts w:ascii="宋体" w:hAnsi="宋体" w:cs="宋体" w:eastAsia="宋体" w:hint="default"/>
          <w:spacing w:val="-2"/>
        </w:rPr>
        <w:t>6</w:t>
      </w:r>
      <w:r>
        <w:rPr>
          <w:spacing w:val="-2"/>
        </w:rPr>
        <w:t>号</w:t>
      </w:r>
      <w:r>
        <w:rPr>
          <w:rFonts w:ascii="宋体" w:hAnsi="宋体" w:cs="宋体" w:eastAsia="宋体" w:hint="default"/>
          <w:spacing w:val="-2"/>
        </w:rPr>
        <w:t>)</w:t>
      </w:r>
      <w:r>
        <w:rPr>
          <w:spacing w:val="-2"/>
        </w:rPr>
        <w:t>和企业</w:t>
      </w:r>
    </w:p>
    <w:p>
      <w:pPr>
        <w:pStyle w:val="BodyText"/>
        <w:spacing w:line="261" w:lineRule="exact" w:before="0"/>
        <w:ind w:right="0"/>
        <w:jc w:val="left"/>
      </w:pPr>
      <w:r>
        <w:rPr/>
        <w:t>会计准则的要求编制</w:t>
      </w:r>
      <w:r>
        <w:rPr>
          <w:rFonts w:ascii="宋体" w:hAnsi="宋体" w:cs="宋体" w:eastAsia="宋体" w:hint="default"/>
        </w:rPr>
        <w:t>2019</w:t>
      </w:r>
      <w:r>
        <w:rPr/>
        <w:t>年度财务报表，此项会计政策变更采用追溯调整法。</w:t>
      </w:r>
      <w:r>
        <w:rPr>
          <w:rFonts w:ascii="宋体" w:hAnsi="宋体" w:cs="宋体" w:eastAsia="宋体" w:hint="default"/>
        </w:rPr>
        <w:t>2018</w:t>
      </w:r>
      <w:r>
        <w:rPr/>
        <w:t>年度财务报表受重要影</w:t>
      </w:r>
    </w:p>
    <w:p>
      <w:pPr>
        <w:pStyle w:val="BodyText"/>
        <w:spacing w:line="240" w:lineRule="auto" w:before="85"/>
        <w:ind w:right="0"/>
        <w:jc w:val="left"/>
      </w:pPr>
      <w:r>
        <w:rPr/>
        <w:t>响的报表项目和金额如下：</w:t>
      </w:r>
    </w:p>
    <w:p>
      <w:pPr>
        <w:spacing w:line="240" w:lineRule="auto" w:before="11"/>
        <w:rPr>
          <w:rFonts w:ascii="宋体" w:hAnsi="宋体" w:cs="宋体" w:eastAsia="宋体" w:hint="default"/>
          <w:sz w:val="5"/>
          <w:szCs w:val="5"/>
        </w:rPr>
      </w:pPr>
    </w:p>
    <w:tbl>
      <w:tblPr>
        <w:tblW w:w="0" w:type="auto"/>
        <w:jc w:val="left"/>
        <w:tblInd w:w="1248" w:type="dxa"/>
        <w:tblLayout w:type="fixed"/>
        <w:tblCellMar>
          <w:top w:w="0" w:type="dxa"/>
          <w:left w:w="0" w:type="dxa"/>
          <w:bottom w:w="0" w:type="dxa"/>
          <w:right w:w="0" w:type="dxa"/>
        </w:tblCellMar>
        <w:tblLook w:val="01E0"/>
      </w:tblPr>
      <w:tblGrid>
        <w:gridCol w:w="2036"/>
        <w:gridCol w:w="1686"/>
        <w:gridCol w:w="2036"/>
        <w:gridCol w:w="1686"/>
      </w:tblGrid>
      <w:tr>
        <w:trPr>
          <w:trHeight w:val="370" w:hRule="exact"/>
        </w:trPr>
        <w:tc>
          <w:tcPr>
            <w:tcW w:w="37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06"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p>
        </w:tc>
        <w:tc>
          <w:tcPr>
            <w:tcW w:w="37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06"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p>
        </w:tc>
      </w:tr>
      <w:tr>
        <w:trPr>
          <w:trHeight w:val="365" w:hRule="exact"/>
        </w:trPr>
        <w:tc>
          <w:tcPr>
            <w:tcW w:w="2036" w:type="dxa"/>
            <w:vMerge w:val="restart"/>
            <w:tcBorders>
              <w:top w:val="single" w:sz="4" w:space="0" w:color="000000"/>
              <w:left w:val="single" w:sz="4" w:space="0" w:color="000000"/>
              <w:right w:val="single" w:sz="4" w:space="0" w:color="000000"/>
            </w:tcBorders>
          </w:tcPr>
          <w:p>
            <w:pPr>
              <w:pStyle w:val="TableParagraph"/>
              <w:spacing w:line="314" w:lineRule="auto" w:before="14"/>
              <w:ind w:left="105" w:right="233"/>
              <w:jc w:val="left"/>
              <w:rPr>
                <w:rFonts w:ascii="宋体" w:hAnsi="宋体" w:cs="宋体" w:eastAsia="宋体" w:hint="default"/>
                <w:sz w:val="21"/>
                <w:szCs w:val="21"/>
              </w:rPr>
            </w:pPr>
            <w:r>
              <w:rPr>
                <w:rFonts w:ascii="宋体" w:hAnsi="宋体" w:cs="宋体" w:eastAsia="宋体" w:hint="default"/>
                <w:sz w:val="21"/>
                <w:szCs w:val="21"/>
              </w:rPr>
              <w:t>应收票据及应收账</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款</w:t>
            </w:r>
          </w:p>
        </w:tc>
        <w:tc>
          <w:tcPr>
            <w:tcW w:w="1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sz w:val="21"/>
              </w:rPr>
              <w:t>211,596,134.03</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54,868,744.11</w:t>
            </w:r>
          </w:p>
        </w:tc>
      </w:tr>
      <w:tr>
        <w:trPr>
          <w:trHeight w:val="370" w:hRule="exact"/>
        </w:trPr>
        <w:tc>
          <w:tcPr>
            <w:tcW w:w="2036" w:type="dxa"/>
            <w:vMerge/>
            <w:tcBorders>
              <w:left w:val="single" w:sz="4" w:space="0" w:color="000000"/>
              <w:bottom w:val="single" w:sz="4" w:space="0" w:color="000000"/>
              <w:right w:val="single" w:sz="4" w:space="0" w:color="000000"/>
            </w:tcBorders>
          </w:tcPr>
          <w:p>
            <w:pPr/>
          </w:p>
        </w:tc>
        <w:tc>
          <w:tcPr>
            <w:tcW w:w="1686" w:type="dxa"/>
            <w:vMerge/>
            <w:tcBorders>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宋体" w:hAnsi="宋体" w:cs="宋体" w:eastAsia="宋体" w:hint="default"/>
                <w:sz w:val="21"/>
                <w:szCs w:val="21"/>
              </w:rPr>
            </w:pPr>
            <w:r>
              <w:rPr>
                <w:rFonts w:ascii="宋体"/>
                <w:spacing w:val="-1"/>
                <w:sz w:val="21"/>
              </w:rPr>
              <w:t>156,727,389.92</w:t>
            </w:r>
          </w:p>
        </w:tc>
      </w:tr>
      <w:tr>
        <w:trPr>
          <w:trHeight w:val="370" w:hRule="exact"/>
        </w:trPr>
        <w:tc>
          <w:tcPr>
            <w:tcW w:w="2036" w:type="dxa"/>
            <w:vMerge w:val="restart"/>
            <w:tcBorders>
              <w:top w:val="single" w:sz="4" w:space="0" w:color="000000"/>
              <w:left w:val="single" w:sz="4" w:space="0" w:color="000000"/>
              <w:right w:val="single" w:sz="4" w:space="0" w:color="000000"/>
            </w:tcBorders>
          </w:tcPr>
          <w:p>
            <w:pPr>
              <w:pStyle w:val="TableParagraph"/>
              <w:spacing w:line="314" w:lineRule="auto" w:before="14"/>
              <w:ind w:left="105" w:right="233"/>
              <w:jc w:val="left"/>
              <w:rPr>
                <w:rFonts w:ascii="宋体" w:hAnsi="宋体" w:cs="宋体" w:eastAsia="宋体" w:hint="default"/>
                <w:sz w:val="21"/>
                <w:szCs w:val="21"/>
              </w:rPr>
            </w:pPr>
            <w:r>
              <w:rPr>
                <w:rFonts w:ascii="宋体" w:hAnsi="宋体" w:cs="宋体" w:eastAsia="宋体" w:hint="default"/>
                <w:sz w:val="21"/>
                <w:szCs w:val="21"/>
              </w:rPr>
              <w:t>应付票据及应付账</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款</w:t>
            </w:r>
          </w:p>
        </w:tc>
        <w:tc>
          <w:tcPr>
            <w:tcW w:w="1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sz w:val="21"/>
              </w:rPr>
              <w:t>168,815,427.64</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77,730,656.60</w:t>
            </w:r>
          </w:p>
        </w:tc>
      </w:tr>
      <w:tr>
        <w:trPr>
          <w:trHeight w:val="370" w:hRule="exact"/>
        </w:trPr>
        <w:tc>
          <w:tcPr>
            <w:tcW w:w="2036" w:type="dxa"/>
            <w:vMerge/>
            <w:tcBorders>
              <w:left w:val="single" w:sz="4" w:space="0" w:color="000000"/>
              <w:bottom w:val="single" w:sz="4" w:space="0" w:color="000000"/>
              <w:right w:val="single" w:sz="4" w:space="0" w:color="000000"/>
            </w:tcBorders>
          </w:tcPr>
          <w:p>
            <w:pPr/>
          </w:p>
        </w:tc>
        <w:tc>
          <w:tcPr>
            <w:tcW w:w="1686" w:type="dxa"/>
            <w:vMerge/>
            <w:tcBorders>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91,084,771.04</w:t>
            </w:r>
          </w:p>
        </w:tc>
      </w:tr>
    </w:tbl>
    <w:p>
      <w:pPr>
        <w:spacing w:line="240" w:lineRule="auto" w:before="9"/>
        <w:rPr>
          <w:rFonts w:ascii="宋体" w:hAnsi="宋体" w:cs="宋体" w:eastAsia="宋体" w:hint="default"/>
          <w:sz w:val="20"/>
          <w:szCs w:val="20"/>
        </w:rPr>
      </w:pPr>
    </w:p>
    <w:p>
      <w:pPr>
        <w:pStyle w:val="Heading3"/>
        <w:spacing w:line="240" w:lineRule="auto" w:before="36"/>
        <w:ind w:right="0"/>
        <w:jc w:val="left"/>
        <w:rPr>
          <w:b w:val="0"/>
          <w:bCs w:val="0"/>
        </w:rPr>
      </w:pPr>
      <w:bookmarkStart w:name="（2）重要会计估计变更" w:id="233"/>
      <w:bookmarkEnd w:id="233"/>
      <w:r>
        <w:rPr>
          <w:b w:val="0"/>
          <w:bCs w:val="0"/>
        </w:rPr>
      </w:r>
      <w:r>
        <w:rPr/>
        <w:t>（</w:t>
      </w:r>
      <w:r>
        <w:rPr>
          <w:rFonts w:ascii="宋体" w:hAnsi="宋体" w:cs="宋体" w:eastAsia="宋体" w:hint="default"/>
        </w:rPr>
        <w:t>2</w:t>
      </w:r>
      <w:r>
        <w:rPr/>
        <w:t>）重要会计估计变更</w:t>
      </w:r>
      <w:r>
        <w:rPr>
          <w:b w:val="0"/>
          <w:bCs w:val="0"/>
        </w:rPr>
      </w:r>
    </w:p>
    <w:p>
      <w:pPr>
        <w:spacing w:line="240" w:lineRule="auto" w:before="13"/>
        <w:rPr>
          <w:rFonts w:ascii="宋体" w:hAnsi="宋体" w:cs="宋体" w:eastAsia="宋体" w:hint="default"/>
          <w:b/>
          <w:bCs/>
          <w:sz w:val="29"/>
          <w:szCs w:val="29"/>
        </w:rPr>
      </w:pPr>
    </w:p>
    <w:p>
      <w:pPr>
        <w:pStyle w:val="BodyText"/>
        <w:spacing w:line="240" w:lineRule="auto" w:before="0"/>
        <w:ind w:right="0"/>
        <w:jc w:val="left"/>
      </w:pPr>
      <w:r>
        <w:rPr/>
        <w:t>□ 适用 √</w:t>
      </w:r>
      <w:r>
        <w:rPr>
          <w:spacing w:val="4"/>
        </w:rPr>
        <w:t> </w:t>
      </w:r>
      <w:r>
        <w:rPr/>
        <w:t>不适用</w:t>
      </w:r>
    </w:p>
    <w:p>
      <w:pPr>
        <w:spacing w:line="240" w:lineRule="auto" w:before="12"/>
        <w:rPr>
          <w:rFonts w:ascii="宋体" w:hAnsi="宋体" w:cs="宋体" w:eastAsia="宋体" w:hint="default"/>
          <w:sz w:val="28"/>
          <w:szCs w:val="28"/>
        </w:rPr>
      </w:pPr>
    </w:p>
    <w:p>
      <w:pPr>
        <w:pStyle w:val="Heading3"/>
        <w:spacing w:line="240" w:lineRule="auto"/>
        <w:ind w:right="0"/>
        <w:jc w:val="left"/>
        <w:rPr>
          <w:b w:val="0"/>
          <w:bCs w:val="0"/>
        </w:rPr>
      </w:pPr>
      <w:bookmarkStart w:name="（3）2019年起执行新金融工具准则、新收入准则或新租赁准则调整执行当年年初财务" w:id="234"/>
      <w:bookmarkEnd w:id="234"/>
      <w:r>
        <w:rPr>
          <w:b w:val="0"/>
          <w:bCs w:val="0"/>
        </w:rPr>
      </w:r>
      <w:r>
        <w:rPr/>
        <w:t>（</w:t>
      </w:r>
      <w:r>
        <w:rPr>
          <w:rFonts w:ascii="宋体" w:hAnsi="宋体" w:cs="宋体" w:eastAsia="宋体" w:hint="default"/>
        </w:rPr>
        <w:t>3</w:t>
      </w:r>
      <w:r>
        <w:rPr/>
        <w:t>）</w:t>
      </w:r>
      <w:r>
        <w:rPr>
          <w:rFonts w:ascii="宋体" w:hAnsi="宋体" w:cs="宋体" w:eastAsia="宋体" w:hint="default"/>
        </w:rPr>
        <w:t>2019</w:t>
      </w:r>
      <w:r>
        <w:rPr>
          <w:rFonts w:ascii="宋体" w:hAnsi="宋体" w:cs="宋体" w:eastAsia="宋体" w:hint="default"/>
          <w:spacing w:val="-58"/>
        </w:rPr>
        <w:t> </w:t>
      </w:r>
      <w:r>
        <w:rPr/>
        <w:t>年起执行新金融工具准则、新收入准则或新租赁准则调整执行当年年初财务报表相关项目情况</w:t>
      </w:r>
      <w:r>
        <w:rPr>
          <w:b w:val="0"/>
          <w:bCs w:val="0"/>
        </w:rPr>
      </w:r>
    </w:p>
    <w:p>
      <w:pPr>
        <w:spacing w:line="240" w:lineRule="auto" w:before="11"/>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pgSz w:w="11910" w:h="16840"/>
          <w:pgMar w:header="460" w:footer="979" w:top="1060" w:bottom="1160" w:left="980" w:right="0"/>
        </w:sectPr>
      </w:pPr>
    </w:p>
    <w:p>
      <w:pPr>
        <w:pStyle w:val="BodyText"/>
        <w:spacing w:line="348" w:lineRule="auto" w:before="36"/>
        <w:ind w:right="-18"/>
        <w:jc w:val="left"/>
      </w:pPr>
      <w:r>
        <w:rPr/>
        <w:t>√ 适用 □</w:t>
      </w:r>
      <w:r>
        <w:rPr>
          <w:spacing w:val="4"/>
        </w:rPr>
        <w:t> </w:t>
      </w:r>
      <w:r>
        <w:rPr/>
        <w:t>不适用</w:t>
      </w:r>
      <w:r>
        <w:rPr>
          <w:w w:val="100"/>
        </w:rPr>
        <w:t> </w:t>
      </w:r>
      <w:r>
        <w:rPr/>
        <w:t>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8"/>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1945" w:space="6977"/>
            <w:col w:w="2008"/>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154,833,478.74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154,833,478.74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54,868,744.11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54,868,744.11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156,727,389.92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156,727,389.92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27,833,550.02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27,833,550.02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7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8"/>
              <w:jc w:val="righ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1,645,343.25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1,645,343.25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74,774,130.50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74,774,130.50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1,936,688.21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1,936,688.21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472,619,324.75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472,619,324.75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71,907,638.55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71,907,638.55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8"/>
              <w:jc w:val="righ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274,538,573.54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274,538,573.54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16,807,534.38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16,807,534.38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29,594,974.30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29,594,974.30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6,141,509.20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6,141,509.20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108,279,350.96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108,279,350.96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5,631,556.49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5,631,556.49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2,995,735.42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2,995,735.42</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6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515,896,872.84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515,896,872.84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988,516,197.59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988,516,197.59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110,258,679.54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110,258,679.54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77,730,656.60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77,730,656.60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91,084,771.04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91,084,771.04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3,132,964.25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3,132,964.25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78"/>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8"/>
              <w:jc w:val="righ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10,532,309.94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10,532,309.94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6,795,575.72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6,795,575.72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121,504,332.99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121,504,332.99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949,697.37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949,697.37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12,811,639.24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12,811,639.24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421,039,290.08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421,039,290.08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6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116,000.00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7,112.40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7,112.40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123,112.40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123,112.40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421,162,402.48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421,162,402.48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148,360,803.28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148,360,803.28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33,252,946.03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33,252,946.03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212,084,749.89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212,084,749.89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543,698,499.20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543,698,499.20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23,655,295.91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23,655,295.91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567,353,795.11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567,353,795.11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988,516,197.59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988,516,197.59</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60" w:footer="979" w:top="1060" w:bottom="1160" w:left="980" w:right="0"/>
        </w:sectPr>
      </w:pPr>
    </w:p>
    <w:p>
      <w:pPr>
        <w:spacing w:line="362" w:lineRule="auto"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调整情况说明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1599" w:space="7323"/>
            <w:col w:w="2008"/>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97"/>
        <w:gridCol w:w="2439"/>
        <w:gridCol w:w="2468"/>
        <w:gridCol w:w="2444"/>
      </w:tblGrid>
      <w:tr>
        <w:trPr>
          <w:trHeight w:val="404" w:hRule="exact"/>
        </w:trPr>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2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8"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366" w:right="0"/>
              <w:jc w:val="left"/>
              <w:rPr>
                <w:rFonts w:ascii="Times New Roman" w:hAnsi="Times New Roman" w:cs="Times New Roman" w:eastAsia="Times New Roman" w:hint="default"/>
                <w:sz w:val="18"/>
                <w:szCs w:val="18"/>
              </w:rPr>
            </w:pPr>
            <w:r>
              <w:rPr>
                <w:rFonts w:ascii="Times New Roman"/>
                <w:sz w:val="18"/>
              </w:rPr>
              <w:t>99,711,569.66</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11" w:right="0"/>
              <w:jc w:val="left"/>
              <w:rPr>
                <w:rFonts w:ascii="Times New Roman" w:hAnsi="Times New Roman" w:cs="Times New Roman" w:eastAsia="Times New Roman" w:hint="default"/>
                <w:sz w:val="18"/>
                <w:szCs w:val="18"/>
              </w:rPr>
            </w:pPr>
            <w:r>
              <w:rPr>
                <w:rFonts w:ascii="Times New Roman"/>
                <w:spacing w:val="-2"/>
                <w:sz w:val="18"/>
              </w:rPr>
              <w:t>99,711,569.66</w:t>
            </w:r>
          </w:p>
        </w:tc>
        <w:tc>
          <w:tcPr>
            <w:tcW w:w="244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7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185"/>
        <w:gridCol w:w="2451"/>
        <w:gridCol w:w="2468"/>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50,470,224.02</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50,470,224.02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113,911,410.03</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113,911,410.03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10,979,221.03</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10,979,221.03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7,878,303.13</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7,878,303.13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39,382,739.96</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39,382,739.96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322,333,467.83</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322,333,467.83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402,736,464.93</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402,736,464.93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110,029,782.92</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110,029,782.92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8,962,084.66</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8,962,084.66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12,024,656.97</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12,024,656.97</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6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185"/>
        <w:gridCol w:w="2451"/>
        <w:gridCol w:w="2468"/>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4,115,438.19</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4,115,438.19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977,192.64</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977,192.64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538,845,620.31</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538,845,620.31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861,179,088.14</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861,179,088.14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93,826,679.54</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93,826,679.54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72,000,000.00</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72,000,000.00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56,149,392.11</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56,149,392.11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1,407,061.15</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1,407,061.15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5,736,706.87</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5,736,706.87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2,295,133.57</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2,295,133.57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105,884,139.75</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105,884,139.75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6"/>
              <w:jc w:val="righ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286,152.78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5"/>
              <w:jc w:val="right"/>
              <w:rPr>
                <w:rFonts w:ascii="宋体" w:hAnsi="宋体" w:cs="宋体" w:eastAsia="宋体" w:hint="default"/>
                <w:sz w:val="18"/>
                <w:szCs w:val="18"/>
              </w:rPr>
            </w:pPr>
            <w:r>
              <w:rPr>
                <w:rFonts w:ascii="宋体" w:hAnsi="宋体" w:cs="宋体" w:eastAsia="宋体" w:hint="default"/>
                <w:spacing w:val="-2"/>
                <w:sz w:val="18"/>
                <w:szCs w:val="18"/>
              </w:rPr>
              <w:t>应付股利</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337,299,112.99</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337,299,112.99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6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185"/>
        <w:gridCol w:w="2451"/>
        <w:gridCol w:w="2468"/>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337,299,112.99</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337,299,112.99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150,000,000.00</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147,940,922.48</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147,940,922.48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1" w:type="dxa"/>
            <w:tcBorders>
              <w:top w:val="single" w:sz="4" w:space="0" w:color="000000"/>
              <w:left w:val="single" w:sz="13" w:space="0" w:color="D2D2D2"/>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33,252,946.03</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33,252,946.03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192,686,106.64</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192,686,106.64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523,879,975.15</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523,879,975.15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861,179,088.14</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861,179,088.14</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2"/>
        <w:ind w:right="0"/>
        <w:jc w:val="left"/>
      </w:pPr>
      <w:r>
        <w:rPr/>
        <w:t>调整情况说明</w:t>
      </w:r>
    </w:p>
    <w:p>
      <w:pPr>
        <w:spacing w:line="240" w:lineRule="auto" w:before="4"/>
        <w:rPr>
          <w:rFonts w:ascii="宋体" w:hAnsi="宋体" w:cs="宋体" w:eastAsia="宋体" w:hint="default"/>
          <w:sz w:val="15"/>
          <w:szCs w:val="15"/>
        </w:rPr>
      </w:pPr>
    </w:p>
    <w:p>
      <w:pPr>
        <w:pStyle w:val="BodyText"/>
        <w:spacing w:line="314" w:lineRule="auto" w:before="0"/>
        <w:ind w:right="0" w:firstLine="422"/>
        <w:jc w:val="left"/>
      </w:pPr>
      <w:r>
        <w:rPr>
          <w:spacing w:val="-2"/>
        </w:rPr>
        <w:t>本公司自</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日起执行财政部修订后的《企业会计准则第</w:t>
      </w:r>
      <w:r>
        <w:rPr>
          <w:rFonts w:ascii="宋体" w:hAnsi="宋体" w:cs="宋体" w:eastAsia="宋体" w:hint="default"/>
          <w:spacing w:val="-2"/>
        </w:rPr>
        <w:t>22</w:t>
      </w:r>
      <w:r>
        <w:rPr>
          <w:spacing w:val="-2"/>
        </w:rPr>
        <w:t>号——金融工具确认和计量》《企</w:t>
      </w:r>
      <w:r>
        <w:rPr>
          <w:w w:val="100"/>
        </w:rPr>
        <w:t> </w:t>
      </w:r>
      <w:r>
        <w:rPr>
          <w:spacing w:val="-2"/>
        </w:rPr>
        <w:t>业会计准则第</w:t>
      </w:r>
      <w:r>
        <w:rPr>
          <w:rFonts w:ascii="宋体" w:hAnsi="宋体" w:cs="宋体" w:eastAsia="宋体" w:hint="default"/>
          <w:spacing w:val="-2"/>
        </w:rPr>
        <w:t>23</w:t>
      </w:r>
      <w:r>
        <w:rPr>
          <w:spacing w:val="-2"/>
        </w:rPr>
        <w:t>号——金融资产转移》《企业会计准则第</w:t>
      </w:r>
      <w:r>
        <w:rPr>
          <w:rFonts w:ascii="宋体" w:hAnsi="宋体" w:cs="宋体" w:eastAsia="宋体" w:hint="default"/>
          <w:spacing w:val="-2"/>
        </w:rPr>
        <w:t>24</w:t>
      </w:r>
      <w:r>
        <w:rPr>
          <w:spacing w:val="-2"/>
        </w:rPr>
        <w:t>号——套期保值》以及《企业会计准则第</w:t>
      </w:r>
      <w:r>
        <w:rPr>
          <w:rFonts w:ascii="宋体" w:hAnsi="宋体" w:cs="宋体" w:eastAsia="宋体" w:hint="default"/>
          <w:spacing w:val="-2"/>
        </w:rPr>
        <w:t>37</w:t>
      </w:r>
      <w:r>
        <w:rPr>
          <w:spacing w:val="-2"/>
        </w:rPr>
        <w:t>号</w:t>
      </w:r>
    </w:p>
    <w:p>
      <w:pPr>
        <w:pStyle w:val="BodyText"/>
        <w:spacing w:line="309" w:lineRule="auto"/>
        <w:ind w:right="0"/>
        <w:jc w:val="left"/>
      </w:pPr>
      <w:r>
        <w:rPr>
          <w:spacing w:val="-2"/>
        </w:rPr>
        <w:t>——金融工具列报》（以下简称新金融工具准则）。根据相关新旧准则衔接规定，对可比期间信息不予调</w:t>
      </w:r>
      <w:r>
        <w:rPr>
          <w:spacing w:val="-38"/>
        </w:rPr>
        <w:t> </w:t>
      </w:r>
      <w:r>
        <w:rPr>
          <w:spacing w:val="-38"/>
        </w:rPr>
      </w:r>
      <w:r>
        <w:rPr/>
        <w:t>整，首次执行日执行新准则与原准则的差异追溯调整本报告期期初留存收益或其他综合收益。</w:t>
      </w:r>
    </w:p>
    <w:p>
      <w:pPr>
        <w:pStyle w:val="BodyText"/>
        <w:spacing w:line="314" w:lineRule="auto" w:before="24"/>
        <w:ind w:right="0" w:firstLine="422"/>
        <w:jc w:val="left"/>
      </w:pPr>
      <w:r>
        <w:rPr/>
        <w:t>新金融工具准则改变了金融资产的分类和计量方式，确定了三个主要的计量类别：摊余成本；以公允</w:t>
      </w:r>
      <w:r>
        <w:rPr>
          <w:w w:val="100"/>
        </w:rPr>
        <w:t> </w:t>
      </w:r>
      <w:r>
        <w:rPr/>
        <w:t>价值计量且其变动计入其他综合收益；以公允价值计量且其变动计入当期损益。公司考虑自身业务模式，</w:t>
      </w:r>
      <w:r>
        <w:rPr>
          <w:spacing w:val="-33"/>
        </w:rPr>
        <w:t> </w:t>
      </w:r>
      <w:r>
        <w:rPr>
          <w:spacing w:val="-33"/>
        </w:rPr>
      </w:r>
      <w:r>
        <w:rPr>
          <w:spacing w:val="-2"/>
        </w:rPr>
        <w:t>以及金融资产的合同现金流特征进行上述分类。权益类投资需按公允价值计量且其变动计入当期损益，但</w:t>
      </w:r>
      <w:r>
        <w:rPr>
          <w:spacing w:val="-33"/>
        </w:rPr>
        <w:t> </w:t>
      </w:r>
      <w:r>
        <w:rPr>
          <w:spacing w:val="-33"/>
        </w:rPr>
      </w:r>
      <w:r>
        <w:rPr/>
        <w:t>在初始确认时可选择按公允价值计量且其变动计入其他综合收益</w:t>
      </w:r>
      <w:r>
        <w:rPr>
          <w:rFonts w:ascii="宋体" w:hAnsi="宋体" w:cs="宋体" w:eastAsia="宋体" w:hint="default"/>
        </w:rPr>
        <w:t>(</w:t>
      </w:r>
      <w:r>
        <w:rPr/>
        <w:t>处置时的利得或损失不能回转到损益，</w:t>
      </w:r>
      <w:r>
        <w:rPr>
          <w:w w:val="100"/>
        </w:rPr>
        <w:t> </w:t>
      </w:r>
      <w:r>
        <w:rPr/>
        <w:t>但股利收入计入当期损益</w:t>
      </w:r>
      <w:r>
        <w:rPr>
          <w:rFonts w:ascii="宋体" w:hAnsi="宋体" w:cs="宋体" w:eastAsia="宋体" w:hint="default"/>
        </w:rPr>
        <w:t>)</w:t>
      </w:r>
      <w:r>
        <w:rPr/>
        <w:t>，且该选择不可撤销。</w:t>
      </w:r>
    </w:p>
    <w:p>
      <w:pPr>
        <w:pStyle w:val="BodyText"/>
        <w:spacing w:line="314" w:lineRule="auto"/>
        <w:ind w:right="0" w:firstLine="422"/>
        <w:jc w:val="left"/>
      </w:pPr>
      <w:r>
        <w:rPr>
          <w:spacing w:val="-2"/>
        </w:rPr>
        <w:t>新金融工具准则要求金融资产减值计量由“已发生损失模型”改为“预期信用损失模型”，适用于以</w:t>
      </w:r>
      <w:r>
        <w:rPr>
          <w:w w:val="100"/>
        </w:rPr>
        <w:t> </w:t>
      </w:r>
      <w:r>
        <w:rPr/>
        <w:t>摊余成本计量的金融资产、以公允价值计量且其变动计入其他综合收益的金融资产、租赁应收款。</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4）2019年起执行新金融工具准则或新租赁准则追溯调整前期比较数据说明" w:id="235"/>
      <w:bookmarkEnd w:id="235"/>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460" w:footer="979" w:top="1060" w:bottom="1160" w:left="980" w:right="0"/>
        </w:sectPr>
      </w:pPr>
    </w:p>
    <w:p>
      <w:pPr>
        <w:spacing w:line="240" w:lineRule="auto" w:before="0"/>
        <w:rPr>
          <w:rFonts w:ascii="宋体" w:hAnsi="宋体" w:cs="宋体" w:eastAsia="宋体" w:hint="default"/>
          <w:sz w:val="24"/>
          <w:szCs w:val="24"/>
        </w:rPr>
      </w:pPr>
    </w:p>
    <w:p>
      <w:pPr>
        <w:spacing w:line="487" w:lineRule="auto" w:before="36"/>
        <w:ind w:left="153" w:right="8964" w:firstLine="0"/>
        <w:jc w:val="left"/>
        <w:rPr>
          <w:rFonts w:ascii="宋体" w:hAnsi="宋体" w:cs="宋体" w:eastAsia="宋体" w:hint="default"/>
          <w:sz w:val="21"/>
          <w:szCs w:val="21"/>
        </w:rPr>
      </w:pPr>
      <w:bookmarkStart w:name="45、其他" w:id="236"/>
      <w:bookmarkEnd w:id="236"/>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spacing w:val="-104"/>
          <w:sz w:val="21"/>
          <w:szCs w:val="21"/>
        </w:rPr>
        <w:t> </w:t>
      </w:r>
      <w:bookmarkStart w:name="六、税项" w:id="237"/>
      <w:bookmarkEnd w:id="237"/>
      <w:r>
        <w:rPr>
          <w:rFonts w:ascii="宋体" w:hAnsi="宋体" w:cs="宋体" w:eastAsia="宋体" w:hint="default"/>
          <w:b/>
          <w:bCs/>
          <w:spacing w:val="-104"/>
          <w:sz w:val="21"/>
          <w:szCs w:val="21"/>
        </w:rPr>
      </w:r>
      <w:r>
        <w:rPr>
          <w:rFonts w:ascii="宋体" w:hAnsi="宋体" w:cs="宋体" w:eastAsia="宋体" w:hint="default"/>
          <w:b/>
          <w:bCs/>
          <w:sz w:val="24"/>
          <w:szCs w:val="24"/>
        </w:rPr>
        <w:t>六、税项</w:t>
      </w:r>
      <w:r>
        <w:rPr>
          <w:rFonts w:ascii="宋体" w:hAnsi="宋体" w:cs="宋体" w:eastAsia="宋体" w:hint="default"/>
          <w:b/>
          <w:bCs/>
          <w:w w:val="99"/>
          <w:sz w:val="24"/>
          <w:szCs w:val="24"/>
        </w:rPr>
        <w:t> </w:t>
      </w:r>
      <w:bookmarkStart w:name="1、主要税种及税率" w:id="238"/>
      <w:bookmarkEnd w:id="23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3" w:hRule="exact"/>
        </w:trPr>
        <w:tc>
          <w:tcPr>
            <w:tcW w:w="31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3" w:type="dxa"/>
            <w:vMerge w:val="restart"/>
            <w:tcBorders>
              <w:top w:val="single" w:sz="4" w:space="0" w:color="000000"/>
              <w:left w:val="single" w:sz="10" w:space="0" w:color="D2D2D2"/>
              <w:right w:val="single" w:sz="4" w:space="0" w:color="000000"/>
            </w:tcBorders>
          </w:tcPr>
          <w:p>
            <w:pPr>
              <w:pStyle w:val="TableParagraph"/>
              <w:spacing w:line="319" w:lineRule="auto" w:before="53"/>
              <w:ind w:left="16" w:right="94"/>
              <w:jc w:val="left"/>
              <w:rPr>
                <w:rFonts w:ascii="宋体" w:hAnsi="宋体" w:cs="宋体" w:eastAsia="宋体" w:hint="default"/>
                <w:sz w:val="18"/>
                <w:szCs w:val="18"/>
              </w:rPr>
            </w:pPr>
            <w:r>
              <w:rPr>
                <w:rFonts w:ascii="宋体" w:hAnsi="宋体" w:cs="宋体" w:eastAsia="宋体" w:hint="default"/>
                <w:spacing w:val="-3"/>
                <w:sz w:val="18"/>
                <w:szCs w:val="18"/>
              </w:rPr>
              <w:t>销售收入、不动产经营租赁收入、物业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服务收入</w:t>
            </w:r>
          </w:p>
        </w:tc>
        <w:tc>
          <w:tcPr>
            <w:tcW w:w="319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p>
        </w:tc>
      </w:tr>
      <w:tr>
        <w:trPr>
          <w:trHeight w:val="389" w:hRule="exact"/>
        </w:trPr>
        <w:tc>
          <w:tcPr>
            <w:tcW w:w="31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vMerge/>
            <w:tcBorders>
              <w:left w:val="single" w:sz="10" w:space="0" w:color="D2D2D2"/>
              <w:right w:val="single" w:sz="4" w:space="0" w:color="000000"/>
            </w:tcBorders>
          </w:tcPr>
          <w:p>
            <w:pPr/>
          </w:p>
        </w:tc>
        <w:tc>
          <w:tcPr>
            <w:tcW w:w="3193" w:type="dxa"/>
            <w:vMerge/>
            <w:tcBorders>
              <w:left w:val="single" w:sz="4" w:space="0" w:color="000000"/>
              <w:right w:val="single" w:sz="4" w:space="0" w:color="000000"/>
            </w:tcBorders>
          </w:tcPr>
          <w:p>
            <w:pPr/>
          </w:p>
        </w:tc>
      </w:tr>
      <w:tr>
        <w:trPr>
          <w:trHeight w:val="163" w:hRule="exact"/>
        </w:trPr>
        <w:tc>
          <w:tcPr>
            <w:tcW w:w="318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3" w:type="dxa"/>
            <w:vMerge/>
            <w:tcBorders>
              <w:left w:val="single" w:sz="10" w:space="0" w:color="D2D2D2"/>
              <w:bottom w:val="single" w:sz="4" w:space="0" w:color="000000"/>
              <w:right w:val="single" w:sz="4" w:space="0" w:color="000000"/>
            </w:tcBorders>
          </w:tcPr>
          <w:p>
            <w:pPr/>
          </w:p>
        </w:tc>
        <w:tc>
          <w:tcPr>
            <w:tcW w:w="3193" w:type="dxa"/>
            <w:vMerge/>
            <w:tcBorders>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流转税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原值</w:t>
            </w:r>
            <w:r>
              <w:rPr>
                <w:rFonts w:ascii="Times New Roman" w:hAnsi="Times New Roman" w:cs="Times New Roman" w:eastAsia="Times New Roman" w:hint="default"/>
                <w:sz w:val="18"/>
                <w:szCs w:val="18"/>
              </w:rPr>
              <w:t>*80%</w:t>
            </w:r>
            <w:r>
              <w:rPr>
                <w:rFonts w:ascii="宋体" w:hAnsi="宋体" w:cs="宋体" w:eastAsia="宋体" w:hint="default"/>
                <w:sz w:val="18"/>
                <w:szCs w:val="18"/>
              </w:rPr>
              <w:t>、租金收入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按土地面积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土地地段不同</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流转税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流转税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0.04%</w:t>
            </w:r>
            <w:r>
              <w:rPr>
                <w:rFonts w:ascii="宋体" w:hAnsi="宋体" w:cs="宋体" w:eastAsia="宋体" w:hint="default"/>
                <w:sz w:val="18"/>
                <w:szCs w:val="18"/>
              </w:rPr>
              <w:t>、</w:t>
            </w:r>
            <w:r>
              <w:rPr>
                <w:rFonts w:ascii="Times New Roman" w:hAnsi="Times New Roman" w:cs="Times New Roman" w:eastAsia="Times New Roman" w:hint="default"/>
                <w:sz w:val="18"/>
                <w:szCs w:val="18"/>
              </w:rPr>
              <w:t>0.03%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其他税种</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存在不同企业所得税税率纳税主体的，披露情况说明</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陕西永鑫纸业包装有限公司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西安易诺和创科技发展有限公司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北京金印联国际供应链管理有限公司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9"/>
        <w:rPr>
          <w:rFonts w:ascii="宋体" w:hAnsi="宋体" w:cs="宋体" w:eastAsia="宋体" w:hint="default"/>
          <w:sz w:val="20"/>
          <w:szCs w:val="20"/>
        </w:rPr>
      </w:pPr>
    </w:p>
    <w:p>
      <w:pPr>
        <w:pStyle w:val="Heading3"/>
        <w:spacing w:line="240" w:lineRule="auto" w:before="36"/>
        <w:ind w:right="0"/>
        <w:jc w:val="left"/>
        <w:rPr>
          <w:b w:val="0"/>
          <w:bCs w:val="0"/>
        </w:rPr>
      </w:pPr>
      <w:bookmarkStart w:name="2、税收优惠" w:id="239"/>
      <w:bookmarkEnd w:id="239"/>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0"/>
        <w:rPr>
          <w:rFonts w:ascii="宋体" w:hAnsi="宋体" w:cs="宋体" w:eastAsia="宋体" w:hint="default"/>
          <w:b/>
          <w:bCs/>
          <w:sz w:val="28"/>
          <w:szCs w:val="28"/>
        </w:rPr>
      </w:pPr>
    </w:p>
    <w:p>
      <w:pPr>
        <w:pStyle w:val="BodyText"/>
        <w:spacing w:line="314" w:lineRule="auto" w:before="0"/>
        <w:ind w:right="0" w:firstLine="436"/>
        <w:jc w:val="left"/>
      </w:pPr>
      <w:r>
        <w:rPr/>
        <w:t>（</w:t>
      </w:r>
      <w:r>
        <w:rPr>
          <w:rFonts w:ascii="宋体" w:hAnsi="宋体" w:cs="宋体" w:eastAsia="宋体" w:hint="default"/>
        </w:rPr>
        <w:t>1</w:t>
      </w:r>
      <w:r>
        <w:rPr/>
        <w:t>）根据《中华人民共和国企业所得税法》、《中华人民共和国企业所得税法实施条例》、《国家</w:t>
      </w:r>
      <w:r>
        <w:rPr>
          <w:w w:val="100"/>
        </w:rPr>
        <w:t> </w:t>
      </w:r>
      <w:r>
        <w:rPr/>
        <w:t>税务总局关于实施高新技术企业所得税优惠有关问题的通知》（国税函</w:t>
      </w:r>
      <w:r>
        <w:rPr>
          <w:rFonts w:ascii="宋体" w:hAnsi="宋体" w:cs="宋体" w:eastAsia="宋体" w:hint="default"/>
        </w:rPr>
        <w:t>[2009]203</w:t>
      </w:r>
      <w:r>
        <w:rPr/>
        <w:t>号），本公司</w:t>
      </w:r>
      <w:r>
        <w:rPr>
          <w:rFonts w:ascii="宋体" w:hAnsi="宋体" w:cs="宋体" w:eastAsia="宋体" w:hint="default"/>
        </w:rPr>
        <w:t>2013</w:t>
      </w:r>
      <w:r>
        <w:rPr/>
        <w:t>年起</w:t>
      </w:r>
      <w:r>
        <w:rPr>
          <w:w w:val="100"/>
        </w:rPr>
        <w:t> </w:t>
      </w:r>
      <w:r>
        <w:rPr>
          <w:spacing w:val="-4"/>
        </w:rPr>
        <w:t>享受高新技术企业所得税优惠，减按</w:t>
      </w:r>
      <w:r>
        <w:rPr>
          <w:rFonts w:ascii="宋体" w:hAnsi="宋体" w:cs="宋体" w:eastAsia="宋体" w:hint="default"/>
          <w:spacing w:val="-4"/>
        </w:rPr>
        <w:t>15%</w:t>
      </w:r>
      <w:r>
        <w:rPr>
          <w:spacing w:val="-4"/>
        </w:rPr>
        <w:t>的税率缴纳企业所得税、</w:t>
      </w:r>
      <w:r>
        <w:rPr>
          <w:rFonts w:ascii="宋体" w:hAnsi="宋体" w:cs="宋体" w:eastAsia="宋体" w:hint="default"/>
          <w:spacing w:val="-4"/>
        </w:rPr>
        <w:t>2019</w:t>
      </w:r>
      <w:r>
        <w:rPr>
          <w:spacing w:val="-4"/>
        </w:rPr>
        <w:t>年度减按</w:t>
      </w:r>
      <w:r>
        <w:rPr>
          <w:rFonts w:ascii="宋体" w:hAnsi="宋体" w:cs="宋体" w:eastAsia="宋体" w:hint="default"/>
          <w:spacing w:val="-4"/>
        </w:rPr>
        <w:t>15%</w:t>
      </w:r>
      <w:r>
        <w:rPr>
          <w:spacing w:val="-4"/>
        </w:rPr>
        <w:t>的税率预缴企业所得税。</w:t>
      </w:r>
    </w:p>
    <w:p>
      <w:pPr>
        <w:pStyle w:val="BodyText"/>
        <w:spacing w:line="312" w:lineRule="auto"/>
        <w:ind w:right="0" w:firstLine="436"/>
        <w:jc w:val="left"/>
      </w:pPr>
      <w:r>
        <w:rPr/>
        <w:t>（</w:t>
      </w:r>
      <w:r>
        <w:rPr>
          <w:rFonts w:ascii="宋体" w:hAnsi="宋体" w:cs="宋体" w:eastAsia="宋体" w:hint="default"/>
        </w:rPr>
        <w:t>2</w:t>
      </w:r>
      <w:r>
        <w:rPr/>
        <w:t>）根据《中华人民共和国企业所得税法》、《中华人民共和国企业所得税法实施条例》、《国家</w:t>
      </w:r>
      <w:r>
        <w:rPr>
          <w:w w:val="100"/>
        </w:rPr>
        <w:t> </w:t>
      </w:r>
      <w:r>
        <w:rPr/>
        <w:t>税务总局关于实施高新技术企业所得税优惠有关问题的通知》（国税函</w:t>
      </w:r>
      <w:r>
        <w:rPr>
          <w:rFonts w:ascii="宋体" w:hAnsi="宋体" w:cs="宋体" w:eastAsia="宋体" w:hint="default"/>
        </w:rPr>
        <w:t>[2009]203</w:t>
      </w:r>
      <w:r>
        <w:rPr/>
        <w:t>号），本公司之子公司</w:t>
      </w:r>
      <w:r>
        <w:rPr>
          <w:w w:val="100"/>
        </w:rPr>
        <w:t> </w:t>
      </w:r>
      <w:r>
        <w:rPr>
          <w:spacing w:val="-4"/>
        </w:rPr>
        <w:t>天津滨海环球印务有限公司</w:t>
      </w:r>
      <w:r>
        <w:rPr>
          <w:rFonts w:ascii="宋体" w:hAnsi="宋体" w:cs="宋体" w:eastAsia="宋体" w:hint="default"/>
          <w:spacing w:val="-4"/>
        </w:rPr>
        <w:t>2017</w:t>
      </w:r>
      <w:r>
        <w:rPr>
          <w:spacing w:val="-4"/>
        </w:rPr>
        <w:t>年起享受高新技术企业所得税优惠，减按</w:t>
      </w:r>
      <w:r>
        <w:rPr>
          <w:rFonts w:ascii="宋体" w:hAnsi="宋体" w:cs="宋体" w:eastAsia="宋体" w:hint="default"/>
          <w:spacing w:val="-4"/>
        </w:rPr>
        <w:t>15%</w:t>
      </w:r>
      <w:r>
        <w:rPr>
          <w:spacing w:val="-4"/>
        </w:rPr>
        <w:t>的税率缴纳企业所得税，</w:t>
      </w:r>
      <w:r>
        <w:rPr>
          <w:rFonts w:ascii="宋体" w:hAnsi="宋体" w:cs="宋体" w:eastAsia="宋体" w:hint="default"/>
          <w:spacing w:val="-4"/>
        </w:rPr>
        <w:t>2019</w:t>
      </w:r>
      <w:r>
        <w:rPr>
          <w:rFonts w:ascii="宋体" w:hAnsi="宋体" w:cs="宋体" w:eastAsia="宋体" w:hint="default"/>
          <w:spacing w:val="-20"/>
        </w:rPr>
        <w:t> </w:t>
      </w:r>
      <w:r>
        <w:rPr/>
        <w:t>年度减按</w:t>
      </w:r>
      <w:r>
        <w:rPr>
          <w:rFonts w:ascii="宋体" w:hAnsi="宋体" w:cs="宋体" w:eastAsia="宋体" w:hint="default"/>
        </w:rPr>
        <w:t>15%</w:t>
      </w:r>
      <w:r>
        <w:rPr/>
        <w:t>的税率预缴企业所得税。</w:t>
      </w:r>
    </w:p>
    <w:p>
      <w:pPr>
        <w:pStyle w:val="BodyText"/>
        <w:spacing w:line="314" w:lineRule="auto" w:before="22"/>
        <w:ind w:right="1122" w:firstLine="436"/>
        <w:jc w:val="both"/>
      </w:pPr>
      <w:r>
        <w:rPr/>
        <w:t>（</w:t>
      </w:r>
      <w:r>
        <w:rPr>
          <w:rFonts w:ascii="宋体" w:hAnsi="宋体" w:cs="宋体" w:eastAsia="宋体" w:hint="default"/>
        </w:rPr>
        <w:t>3</w:t>
      </w:r>
      <w:r>
        <w:rPr/>
        <w:t>）根据陕西省财政厅、陕西省水利厅、国家税务总局陕西省税务局、中国人民银行西安分行“关</w:t>
      </w:r>
      <w:r>
        <w:rPr>
          <w:w w:val="100"/>
        </w:rPr>
        <w:t> </w:t>
      </w:r>
      <w:r>
        <w:rPr>
          <w:spacing w:val="-2"/>
        </w:rPr>
        <w:t>于降低我省水利建设基金征收标准的通知”（陕财办综</w:t>
      </w:r>
      <w:r>
        <w:rPr>
          <w:rFonts w:ascii="宋体" w:hAnsi="宋体" w:cs="宋体" w:eastAsia="宋体" w:hint="default"/>
          <w:spacing w:val="-2"/>
        </w:rPr>
        <w:t>[2019]25</w:t>
      </w:r>
      <w:r>
        <w:rPr>
          <w:spacing w:val="-2"/>
        </w:rPr>
        <w:t>号），从</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日起，陕西省境内申</w:t>
      </w:r>
      <w:r>
        <w:rPr>
          <w:spacing w:val="-19"/>
        </w:rPr>
        <w:t> </w:t>
      </w:r>
      <w:r>
        <w:rPr>
          <w:spacing w:val="-19"/>
        </w:rPr>
      </w:r>
      <w:r>
        <w:rPr>
          <w:spacing w:val="-2"/>
        </w:rPr>
        <w:t>报缴纳所属期为</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日水利建设基金的企业事业单位和个体经营者，减按销售商</w:t>
      </w:r>
      <w:r>
        <w:rPr>
          <w:spacing w:val="-19"/>
        </w:rPr>
        <w:t> </w:t>
      </w:r>
      <w:r>
        <w:rPr>
          <w:spacing w:val="-19"/>
        </w:rPr>
      </w:r>
      <w:r>
        <w:rPr>
          <w:spacing w:val="-2"/>
        </w:rPr>
        <w:t>品收入和提供劳务收入的0.5‰(其中自贸区和自创区的按0.3‰)，按月自主申报缴纳。本公司水利建设基</w:t>
      </w:r>
      <w:r>
        <w:rPr>
          <w:spacing w:val="-23"/>
        </w:rPr>
        <w:t> </w:t>
      </w:r>
      <w:r>
        <w:rPr>
          <w:spacing w:val="-23"/>
        </w:rPr>
      </w:r>
      <w:r>
        <w:rPr/>
        <w:t>金适用0.3‰税率。</w:t>
      </w:r>
    </w:p>
    <w:p>
      <w:pPr>
        <w:pStyle w:val="BodyText"/>
        <w:spacing w:line="240" w:lineRule="auto" w:before="15"/>
        <w:ind w:left="590" w:right="0"/>
        <w:jc w:val="left"/>
      </w:pPr>
      <w:r>
        <w:rPr>
          <w:spacing w:val="-5"/>
        </w:rPr>
        <w:t>（</w:t>
      </w:r>
      <w:r>
        <w:rPr>
          <w:rFonts w:ascii="宋体" w:hAnsi="宋体" w:cs="宋体" w:eastAsia="宋体" w:hint="default"/>
          <w:spacing w:val="-5"/>
        </w:rPr>
        <w:t>4</w:t>
      </w:r>
      <w:r>
        <w:rPr>
          <w:spacing w:val="-5"/>
        </w:rPr>
        <w:t>）根据《国务院关于支持喀什霍尔果斯经济开发区建设的若干意见》（国发〔</w:t>
      </w:r>
      <w:r>
        <w:rPr>
          <w:rFonts w:ascii="宋体" w:hAnsi="宋体" w:cs="宋体" w:eastAsia="宋体" w:hint="default"/>
          <w:spacing w:val="-5"/>
        </w:rPr>
        <w:t>2011</w:t>
      </w:r>
      <w:r>
        <w:rPr>
          <w:spacing w:val="-5"/>
        </w:rPr>
        <w:t>〕</w:t>
      </w:r>
      <w:r>
        <w:rPr>
          <w:rFonts w:ascii="宋体" w:hAnsi="宋体" w:cs="宋体" w:eastAsia="宋体" w:hint="default"/>
          <w:spacing w:val="-5"/>
        </w:rPr>
        <w:t>33</w:t>
      </w:r>
      <w:r>
        <w:rPr>
          <w:spacing w:val="-5"/>
        </w:rPr>
        <w:t>号），《财</w:t>
      </w:r>
    </w:p>
    <w:p>
      <w:pPr>
        <w:spacing w:after="0" w:line="240" w:lineRule="auto"/>
        <w:jc w:val="left"/>
        <w:sectPr>
          <w:pgSz w:w="11910" w:h="16840"/>
          <w:pgMar w:header="460" w:footer="979" w:top="1060" w:bottom="1160" w:left="980" w:right="0"/>
        </w:sectPr>
      </w:pPr>
    </w:p>
    <w:p>
      <w:pPr>
        <w:spacing w:line="240" w:lineRule="auto" w:before="11"/>
        <w:rPr>
          <w:rFonts w:ascii="宋体" w:hAnsi="宋体" w:cs="宋体" w:eastAsia="宋体" w:hint="default"/>
          <w:sz w:val="25"/>
          <w:szCs w:val="25"/>
        </w:rPr>
      </w:pPr>
    </w:p>
    <w:p>
      <w:pPr>
        <w:pStyle w:val="BodyText"/>
        <w:spacing w:line="314" w:lineRule="auto" w:before="36"/>
        <w:ind w:right="1126"/>
        <w:jc w:val="both"/>
      </w:pPr>
      <w:r>
        <w:rPr>
          <w:spacing w:val="-2"/>
        </w:rPr>
        <w:t>政部、国家税务总局关于支持新疆喀什、霍尔果斯两个特殊经济开发区企业所得税优惠政策的通知》（财</w:t>
      </w:r>
      <w:r>
        <w:rPr>
          <w:spacing w:val="-33"/>
        </w:rPr>
        <w:t> </w:t>
      </w:r>
      <w:r>
        <w:rPr>
          <w:spacing w:val="-33"/>
        </w:rPr>
      </w:r>
      <w:r>
        <w:rPr/>
        <w:t>税〔</w:t>
      </w:r>
      <w:r>
        <w:rPr>
          <w:rFonts w:ascii="宋体" w:hAnsi="宋体" w:cs="宋体" w:eastAsia="宋体" w:hint="default"/>
        </w:rPr>
        <w:t>2011</w:t>
      </w:r>
      <w:r>
        <w:rPr/>
        <w:t>〕</w:t>
      </w:r>
      <w:r>
        <w:rPr>
          <w:rFonts w:ascii="宋体" w:hAnsi="宋体" w:cs="宋体" w:eastAsia="宋体" w:hint="default"/>
        </w:rPr>
        <w:t>112</w:t>
      </w:r>
      <w:r>
        <w:rPr/>
        <w:t>号），自成立后，领凯科技享受企业所得税五年免征优惠，至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13"/>
        <w:rPr>
          <w:rFonts w:ascii="宋体" w:hAnsi="宋体" w:cs="宋体" w:eastAsia="宋体" w:hint="default"/>
          <w:sz w:val="23"/>
          <w:szCs w:val="23"/>
        </w:rPr>
      </w:pPr>
    </w:p>
    <w:p>
      <w:pPr>
        <w:pStyle w:val="Heading3"/>
        <w:spacing w:line="240" w:lineRule="auto"/>
        <w:ind w:right="0"/>
        <w:jc w:val="both"/>
        <w:rPr>
          <w:b w:val="0"/>
          <w:bCs w:val="0"/>
        </w:rPr>
      </w:pPr>
      <w:bookmarkStart w:name="3、其他" w:id="240"/>
      <w:bookmarkEnd w:id="240"/>
      <w:r>
        <w:rPr>
          <w:b w:val="0"/>
          <w:bCs w:val="0"/>
        </w:rPr>
      </w:r>
      <w:r>
        <w:rPr>
          <w:rFonts w:ascii="宋体" w:hAnsi="宋体" w:cs="宋体" w:eastAsia="宋体" w:hint="default"/>
        </w:rPr>
        <w:t>3</w:t>
      </w:r>
      <w:r>
        <w:rPr/>
        <w:t>、其他</w:t>
      </w:r>
      <w:r>
        <w:rPr>
          <w:b w:val="0"/>
          <w:bCs w:val="0"/>
        </w:rPr>
      </w:r>
    </w:p>
    <w:p>
      <w:pPr>
        <w:spacing w:line="240" w:lineRule="auto" w:before="8"/>
        <w:rPr>
          <w:rFonts w:ascii="宋体" w:hAnsi="宋体" w:cs="宋体" w:eastAsia="宋体" w:hint="default"/>
          <w:b/>
          <w:bCs/>
          <w:sz w:val="29"/>
          <w:szCs w:val="29"/>
        </w:rPr>
      </w:pPr>
    </w:p>
    <w:p>
      <w:pPr>
        <w:pStyle w:val="BodyText"/>
        <w:spacing w:line="314" w:lineRule="auto" w:before="0"/>
        <w:ind w:right="1002" w:firstLine="422"/>
        <w:jc w:val="left"/>
      </w:pPr>
      <w:r>
        <w:rPr/>
        <w:t>（</w:t>
      </w:r>
      <w:r>
        <w:rPr>
          <w:rFonts w:ascii="宋体" w:hAnsi="宋体" w:cs="宋体" w:eastAsia="宋体" w:hint="default"/>
        </w:rPr>
        <w:t>1</w:t>
      </w:r>
      <w:r>
        <w:rPr/>
        <w:t>）本公司及所属子公司经税务机关认定为增值税一般纳税人，商品销售业务按</w:t>
      </w:r>
      <w:r>
        <w:rPr>
          <w:spacing w:val="-18"/>
        </w:rPr>
        <w:t> </w:t>
      </w:r>
      <w:r>
        <w:rPr>
          <w:rFonts w:ascii="宋体" w:hAnsi="宋体" w:cs="宋体" w:eastAsia="宋体" w:hint="default"/>
        </w:rPr>
        <w:t>16%</w:t>
      </w:r>
      <w:r>
        <w:rPr/>
        <w:t>计算销项税额，</w:t>
      </w:r>
      <w:r>
        <w:rPr>
          <w:w w:val="100"/>
        </w:rPr>
        <w:t> </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8"/>
        </w:rPr>
        <w:t> </w:t>
      </w:r>
      <w:r>
        <w:rPr>
          <w:rFonts w:ascii="宋体" w:hAnsi="宋体" w:cs="宋体" w:eastAsia="宋体" w:hint="default"/>
        </w:rPr>
        <w:t>1</w:t>
      </w:r>
      <w:r>
        <w:rPr>
          <w:rFonts w:ascii="宋体" w:hAnsi="宋体" w:cs="宋体" w:eastAsia="宋体" w:hint="default"/>
          <w:spacing w:val="-54"/>
        </w:rPr>
        <w:t> </w:t>
      </w:r>
      <w:r>
        <w:rPr>
          <w:spacing w:val="-4"/>
        </w:rPr>
        <w:t>日起，按</w:t>
      </w:r>
      <w:r>
        <w:rPr>
          <w:spacing w:val="-53"/>
        </w:rPr>
        <w:t> </w:t>
      </w:r>
      <w:r>
        <w:rPr>
          <w:rFonts w:ascii="宋体" w:hAnsi="宋体" w:cs="宋体" w:eastAsia="宋体" w:hint="default"/>
        </w:rPr>
        <w:t>13%</w:t>
      </w:r>
      <w:r>
        <w:rPr/>
        <w:t>计算销项税额，并以当期销项税额抵扣符合规定的当期进项税额后的余额作为</w:t>
      </w:r>
      <w:r>
        <w:rPr>
          <w:w w:val="100"/>
        </w:rPr>
        <w:t> </w:t>
      </w:r>
      <w:r>
        <w:rPr/>
        <w:t>应纳税额；自营出口外销收入销项税率为零，按照“免、抵、退”办法核算应收出口退税；根据财政部、</w:t>
      </w:r>
      <w:r>
        <w:rPr>
          <w:spacing w:val="-30"/>
        </w:rPr>
        <w:t> </w:t>
      </w:r>
      <w:r>
        <w:rPr>
          <w:spacing w:val="-30"/>
        </w:rPr>
      </w:r>
      <w:r>
        <w:rPr>
          <w:spacing w:val="-6"/>
          <w:w w:val="100"/>
        </w:rPr>
        <w:t>国家税务总局发布的《财政部、国家税务总局关于全面推开营业税改征增值税试点的通知》（财税〔</w:t>
      </w:r>
      <w:r>
        <w:rPr>
          <w:rFonts w:ascii="宋体" w:hAnsi="宋体" w:cs="宋体" w:eastAsia="宋体" w:hint="default"/>
          <w:spacing w:val="-6"/>
          <w:w w:val="100"/>
        </w:rPr>
        <w:t>2016</w:t>
      </w:r>
      <w:r>
        <w:rPr>
          <w:spacing w:val="-6"/>
          <w:w w:val="100"/>
        </w:rPr>
        <w:t>〕</w:t>
      </w:r>
      <w:r>
        <w:rPr>
          <w:spacing w:val="-95"/>
          <w:w w:val="100"/>
        </w:rPr>
        <w:t> </w:t>
      </w:r>
      <w:r>
        <w:rPr>
          <w:rFonts w:ascii="宋体" w:hAnsi="宋体" w:cs="宋体" w:eastAsia="宋体" w:hint="default"/>
        </w:rPr>
        <w:t>36</w:t>
      </w:r>
      <w:r>
        <w:rPr>
          <w:rFonts w:ascii="宋体" w:hAnsi="宋体" w:cs="宋体" w:eastAsia="宋体" w:hint="default"/>
          <w:spacing w:val="-49"/>
        </w:rPr>
        <w:t> </w:t>
      </w:r>
      <w:r>
        <w:rPr/>
        <w:t>号）文件，自</w:t>
      </w:r>
      <w:r>
        <w:rPr>
          <w:spacing w:val="-48"/>
        </w:rPr>
        <w:t> </w:t>
      </w:r>
      <w:r>
        <w:rPr>
          <w:rFonts w:ascii="宋体" w:hAnsi="宋体" w:cs="宋体" w:eastAsia="宋体" w:hint="default"/>
        </w:rPr>
        <w:t>2016</w:t>
      </w:r>
      <w:r>
        <w:rPr>
          <w:rFonts w:ascii="宋体" w:hAnsi="宋体" w:cs="宋体" w:eastAsia="宋体" w:hint="default"/>
          <w:spacing w:val="-53"/>
        </w:rPr>
        <w:t> </w:t>
      </w:r>
      <w:r>
        <w:rPr/>
        <w:t>年</w:t>
      </w:r>
      <w:r>
        <w:rPr>
          <w:spacing w:val="-49"/>
        </w:rPr>
        <w:t> </w:t>
      </w:r>
      <w:r>
        <w:rPr>
          <w:rFonts w:ascii="宋体" w:hAnsi="宋体" w:cs="宋体" w:eastAsia="宋体" w:hint="default"/>
        </w:rPr>
        <w:t>5</w:t>
      </w:r>
      <w:r>
        <w:rPr>
          <w:rFonts w:ascii="宋体" w:hAnsi="宋体" w:cs="宋体" w:eastAsia="宋体" w:hint="default"/>
          <w:spacing w:val="-54"/>
        </w:rPr>
        <w:t> </w:t>
      </w:r>
      <w:r>
        <w:rPr/>
        <w:t>月</w:t>
      </w:r>
      <w:r>
        <w:rPr>
          <w:spacing w:val="-49"/>
        </w:rPr>
        <w:t> </w:t>
      </w:r>
      <w:r>
        <w:rPr>
          <w:rFonts w:ascii="宋体" w:hAnsi="宋体" w:cs="宋体" w:eastAsia="宋体" w:hint="default"/>
        </w:rPr>
        <w:t>1</w:t>
      </w:r>
      <w:r>
        <w:rPr>
          <w:rFonts w:ascii="宋体" w:hAnsi="宋体" w:cs="宋体" w:eastAsia="宋体" w:hint="default"/>
          <w:spacing w:val="-54"/>
        </w:rPr>
        <w:t> </w:t>
      </w:r>
      <w:r>
        <w:rPr/>
        <w:t>日起，本公司不动产经营租赁服务按照</w:t>
      </w:r>
      <w:r>
        <w:rPr>
          <w:spacing w:val="-47"/>
        </w:rPr>
        <w:t> </w:t>
      </w:r>
      <w:r>
        <w:rPr>
          <w:rFonts w:ascii="宋体" w:hAnsi="宋体" w:cs="宋体" w:eastAsia="宋体" w:hint="default"/>
        </w:rPr>
        <w:t>10%</w:t>
      </w:r>
      <w:r>
        <w:rPr/>
        <w:t>计算缴纳增值税，</w:t>
      </w:r>
      <w:r>
        <w:rPr>
          <w:rFonts w:ascii="宋体" w:hAnsi="宋体" w:cs="宋体" w:eastAsia="宋体" w:hint="default"/>
        </w:rPr>
        <w:t>2019</w:t>
      </w:r>
      <w:r>
        <w:rPr>
          <w:rFonts w:ascii="宋体" w:hAnsi="宋体" w:cs="宋体" w:eastAsia="宋体" w:hint="default"/>
          <w:spacing w:val="-54"/>
        </w:rPr>
        <w:t> </w:t>
      </w:r>
      <w:r>
        <w:rPr/>
        <w:t>年</w:t>
      </w:r>
      <w:r>
        <w:rPr>
          <w:spacing w:val="-49"/>
        </w:rPr>
        <w:t> </w:t>
      </w:r>
      <w:r>
        <w:rPr>
          <w:rFonts w:ascii="宋体" w:hAnsi="宋体" w:cs="宋体" w:eastAsia="宋体" w:hint="default"/>
        </w:rPr>
        <w:t>4</w:t>
      </w:r>
      <w:r>
        <w:rPr>
          <w:rFonts w:ascii="宋体" w:hAnsi="宋体" w:cs="宋体" w:eastAsia="宋体" w:hint="default"/>
          <w:spacing w:val="-54"/>
        </w:rPr>
        <w:t> </w:t>
      </w:r>
      <w:r>
        <w:rPr/>
        <w:t>月</w:t>
      </w:r>
    </w:p>
    <w:p>
      <w:pPr>
        <w:pStyle w:val="BodyText"/>
        <w:spacing w:line="314" w:lineRule="auto"/>
        <w:ind w:right="1123"/>
        <w:jc w:val="both"/>
      </w:pPr>
      <w:r>
        <w:rPr>
          <w:rFonts w:ascii="宋体" w:hAnsi="宋体" w:cs="宋体" w:eastAsia="宋体" w:hint="default"/>
        </w:rPr>
        <w:t>1</w:t>
      </w:r>
      <w:r>
        <w:rPr>
          <w:rFonts w:ascii="宋体" w:hAnsi="宋体" w:cs="宋体" w:eastAsia="宋体" w:hint="default"/>
          <w:spacing w:val="-62"/>
        </w:rPr>
        <w:t> </w:t>
      </w:r>
      <w:r>
        <w:rPr/>
        <w:t>日起，按照</w:t>
      </w:r>
      <w:r>
        <w:rPr>
          <w:spacing w:val="-61"/>
        </w:rPr>
        <w:t> </w:t>
      </w:r>
      <w:r>
        <w:rPr>
          <w:rFonts w:ascii="宋体" w:hAnsi="宋体" w:cs="宋体" w:eastAsia="宋体" w:hint="default"/>
        </w:rPr>
        <w:t>9%</w:t>
      </w:r>
      <w:r>
        <w:rPr/>
        <w:t>计算缴纳增值税，本公司之子公司西安易诺和创科技发展有限公司选用简易计税方法，按</w:t>
      </w:r>
      <w:r>
        <w:rPr>
          <w:w w:val="100"/>
        </w:rPr>
        <w:t> </w:t>
      </w:r>
      <w:r>
        <w:rPr/>
        <w:t>照 </w:t>
      </w:r>
      <w:r>
        <w:rPr>
          <w:rFonts w:ascii="宋体" w:hAnsi="宋体" w:cs="宋体" w:eastAsia="宋体" w:hint="default"/>
        </w:rPr>
        <w:t>5%</w:t>
      </w:r>
      <w:r>
        <w:rPr/>
        <w:t>的征收率计算缴纳增值税；物业服务业务按</w:t>
      </w:r>
      <w:r>
        <w:rPr>
          <w:spacing w:val="-17"/>
        </w:rPr>
        <w:t> </w:t>
      </w:r>
      <w:r>
        <w:rPr>
          <w:rFonts w:ascii="宋体" w:hAnsi="宋体" w:cs="宋体" w:eastAsia="宋体" w:hint="default"/>
        </w:rPr>
        <w:t>6%</w:t>
      </w:r>
      <w:r>
        <w:rPr/>
        <w:t>计算缴纳增值税，并以当期销项税额抵扣符合规定的</w:t>
      </w:r>
      <w:r>
        <w:rPr>
          <w:w w:val="100"/>
        </w:rPr>
        <w:t> </w:t>
      </w:r>
      <w:r>
        <w:rPr/>
        <w:t>当期进项税额后的余额作为应纳税额。</w:t>
      </w:r>
    </w:p>
    <w:p>
      <w:pPr>
        <w:pStyle w:val="BodyText"/>
        <w:spacing w:line="314" w:lineRule="auto" w:before="59"/>
        <w:ind w:right="1004" w:firstLine="422"/>
        <w:jc w:val="left"/>
      </w:pPr>
      <w:r>
        <w:rPr>
          <w:spacing w:val="-5"/>
        </w:rPr>
        <w:t>（</w:t>
      </w:r>
      <w:r>
        <w:rPr>
          <w:rFonts w:ascii="宋体" w:hAnsi="宋体" w:cs="宋体" w:eastAsia="宋体" w:hint="default"/>
          <w:spacing w:val="-5"/>
        </w:rPr>
        <w:t>2</w:t>
      </w:r>
      <w:r>
        <w:rPr>
          <w:spacing w:val="-5"/>
        </w:rPr>
        <w:t>）根据财政部颁布的《关于统一地方教育费附加政策有关问题的通知》（财综</w:t>
      </w:r>
      <w:r>
        <w:rPr>
          <w:rFonts w:ascii="宋体" w:hAnsi="宋体" w:cs="宋体" w:eastAsia="宋体" w:hint="default"/>
          <w:spacing w:val="-5"/>
        </w:rPr>
        <w:t>[2010]98</w:t>
      </w:r>
      <w:r>
        <w:rPr>
          <w:rFonts w:ascii="宋体" w:hAnsi="宋体" w:cs="宋体" w:eastAsia="宋体" w:hint="default"/>
          <w:spacing w:val="18"/>
        </w:rPr>
        <w:t> </w:t>
      </w:r>
      <w:r>
        <w:rPr>
          <w:spacing w:val="-9"/>
        </w:rPr>
        <w:t>号）规定，</w:t>
      </w:r>
      <w:r>
        <w:rPr>
          <w:w w:val="100"/>
        </w:rPr>
        <w:t> </w:t>
      </w:r>
      <w:r>
        <w:rPr/>
        <w:t>自</w:t>
      </w:r>
      <w:r>
        <w:rPr>
          <w:spacing w:val="-53"/>
        </w:rPr>
        <w:t> </w:t>
      </w:r>
      <w:r>
        <w:rPr>
          <w:rFonts w:ascii="宋体" w:hAnsi="宋体" w:cs="宋体" w:eastAsia="宋体" w:hint="default"/>
        </w:rPr>
        <w:t>2011</w:t>
      </w:r>
      <w:r>
        <w:rPr>
          <w:rFonts w:ascii="宋体" w:hAnsi="宋体" w:cs="宋体" w:eastAsia="宋体" w:hint="default"/>
          <w:spacing w:val="-53"/>
        </w:rPr>
        <w:t> </w:t>
      </w:r>
      <w:r>
        <w:rPr/>
        <w:t>年</w:t>
      </w:r>
      <w:r>
        <w:rPr>
          <w:spacing w:val="-52"/>
        </w:rPr>
        <w:t> </w:t>
      </w:r>
      <w:r>
        <w:rPr>
          <w:rFonts w:ascii="宋体" w:hAnsi="宋体" w:cs="宋体" w:eastAsia="宋体" w:hint="default"/>
        </w:rPr>
        <w:t>1</w:t>
      </w:r>
      <w:r>
        <w:rPr>
          <w:rFonts w:ascii="宋体" w:hAnsi="宋体" w:cs="宋体" w:eastAsia="宋体" w:hint="default"/>
          <w:spacing w:val="-57"/>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日起本公司及子公司按流转税额的</w:t>
      </w:r>
      <w:r>
        <w:rPr>
          <w:spacing w:val="-51"/>
        </w:rPr>
        <w:t> </w:t>
      </w:r>
      <w:r>
        <w:rPr>
          <w:rFonts w:ascii="宋体" w:hAnsi="宋体" w:cs="宋体" w:eastAsia="宋体" w:hint="default"/>
        </w:rPr>
        <w:t>2%</w:t>
      </w:r>
      <w:r>
        <w:rPr/>
        <w:t>缴纳地方教育费附加。</w:t>
      </w:r>
    </w:p>
    <w:p>
      <w:pPr>
        <w:pStyle w:val="BodyText"/>
        <w:spacing w:line="319" w:lineRule="auto" w:before="53"/>
        <w:ind w:right="1008" w:firstLine="422"/>
        <w:jc w:val="left"/>
      </w:pPr>
      <w:r>
        <w:rPr>
          <w:spacing w:val="-6"/>
          <w:w w:val="100"/>
        </w:rPr>
        <w:t>（</w:t>
      </w:r>
      <w:r>
        <w:rPr>
          <w:rFonts w:ascii="宋体" w:hAnsi="宋体" w:cs="宋体" w:eastAsia="宋体" w:hint="default"/>
          <w:spacing w:val="-6"/>
          <w:w w:val="100"/>
        </w:rPr>
        <w:t>3</w:t>
      </w:r>
      <w:r>
        <w:rPr>
          <w:spacing w:val="-6"/>
          <w:w w:val="100"/>
        </w:rPr>
        <w:t>）本公司及子公司天津环球按应纳税所得额</w:t>
      </w:r>
      <w:r>
        <w:rPr>
          <w:spacing w:val="-33"/>
          <w:w w:val="100"/>
        </w:rPr>
        <w:t> </w:t>
      </w:r>
      <w:r>
        <w:rPr>
          <w:rFonts w:ascii="宋体" w:hAnsi="宋体" w:cs="宋体" w:eastAsia="宋体" w:hint="default"/>
          <w:spacing w:val="-5"/>
          <w:w w:val="100"/>
        </w:rPr>
        <w:t>15%</w:t>
      </w:r>
      <w:r>
        <w:rPr>
          <w:spacing w:val="-5"/>
          <w:w w:val="100"/>
        </w:rPr>
        <w:t>的税率计征企业所得税；本公司之子公司永鑫包装、</w:t>
      </w:r>
      <w:r>
        <w:rPr>
          <w:w w:val="100"/>
        </w:rPr>
        <w:t> </w:t>
      </w:r>
      <w:r>
        <w:rPr>
          <w:spacing w:val="-2"/>
        </w:rPr>
        <w:t>易诺和创、领凯科技之子公司江苏领凯执行</w:t>
      </w:r>
      <w:r>
        <w:rPr>
          <w:spacing w:val="32"/>
        </w:rPr>
        <w:t> </w:t>
      </w:r>
      <w:r>
        <w:rPr>
          <w:rFonts w:ascii="宋体" w:hAnsi="宋体" w:cs="宋体" w:eastAsia="宋体" w:hint="default"/>
          <w:spacing w:val="-2"/>
        </w:rPr>
        <w:t>25%</w:t>
      </w:r>
      <w:r>
        <w:rPr>
          <w:spacing w:val="-2"/>
        </w:rPr>
        <w:t>的企业所得税税率，领凯科技免征所得税。</w:t>
      </w:r>
    </w:p>
    <w:p>
      <w:pPr>
        <w:pStyle w:val="BodyText"/>
        <w:spacing w:line="240" w:lineRule="auto" w:before="54"/>
        <w:ind w:left="575" w:right="0"/>
        <w:jc w:val="left"/>
      </w:pPr>
      <w:r>
        <w:rPr/>
        <w:t>（</w:t>
      </w:r>
      <w:r>
        <w:rPr>
          <w:rFonts w:ascii="宋体" w:hAnsi="宋体" w:cs="宋体" w:eastAsia="宋体" w:hint="default"/>
        </w:rPr>
        <w:t>4</w:t>
      </w:r>
      <w:r>
        <w:rPr/>
        <w:t>）自用房产按照原值扣除</w:t>
      </w:r>
      <w:r>
        <w:rPr>
          <w:spacing w:val="-52"/>
        </w:rPr>
        <w:t> </w:t>
      </w:r>
      <w:r>
        <w:rPr>
          <w:rFonts w:ascii="宋体" w:hAnsi="宋体" w:cs="宋体" w:eastAsia="宋体" w:hint="default"/>
        </w:rPr>
        <w:t>20%</w:t>
      </w:r>
      <w:r>
        <w:rPr/>
        <w:t>后的</w:t>
      </w:r>
      <w:r>
        <w:rPr>
          <w:spacing w:val="-53"/>
        </w:rPr>
        <w:t> </w:t>
      </w:r>
      <w:r>
        <w:rPr>
          <w:rFonts w:ascii="宋体" w:hAnsi="宋体" w:cs="宋体" w:eastAsia="宋体" w:hint="default"/>
        </w:rPr>
        <w:t>1.2%</w:t>
      </w:r>
      <w:r>
        <w:rPr/>
        <w:t>计缴；出租用房产按照租赁收入的</w:t>
      </w:r>
      <w:r>
        <w:rPr>
          <w:spacing w:val="-51"/>
        </w:rPr>
        <w:t> </w:t>
      </w:r>
      <w:r>
        <w:rPr>
          <w:rFonts w:ascii="宋体" w:hAnsi="宋体" w:cs="宋体" w:eastAsia="宋体" w:hint="default"/>
        </w:rPr>
        <w:t>12%</w:t>
      </w:r>
      <w:r>
        <w:rPr/>
        <w:t>计缴。</w:t>
      </w:r>
    </w:p>
    <w:p>
      <w:pPr>
        <w:pStyle w:val="BodyText"/>
        <w:spacing w:line="240" w:lineRule="auto" w:before="123"/>
        <w:ind w:left="575" w:right="0"/>
        <w:jc w:val="left"/>
      </w:pPr>
      <w:r>
        <w:rPr/>
        <w:t>（</w:t>
      </w:r>
      <w:r>
        <w:rPr>
          <w:rFonts w:ascii="宋体" w:hAnsi="宋体" w:cs="宋体" w:eastAsia="宋体" w:hint="default"/>
        </w:rPr>
        <w:t>5</w:t>
      </w:r>
      <w:r>
        <w:rPr/>
        <w:t>）其他税种按照税法规定计算交纳。</w:t>
      </w:r>
    </w:p>
    <w:p>
      <w:pPr>
        <w:spacing w:line="240" w:lineRule="auto" w:before="10"/>
        <w:rPr>
          <w:rFonts w:ascii="宋体" w:hAnsi="宋体" w:cs="宋体" w:eastAsia="宋体" w:hint="default"/>
          <w:sz w:val="24"/>
          <w:szCs w:val="24"/>
        </w:rPr>
      </w:pPr>
    </w:p>
    <w:p>
      <w:pPr>
        <w:pStyle w:val="Heading2"/>
        <w:spacing w:line="240" w:lineRule="auto"/>
        <w:ind w:right="0"/>
        <w:jc w:val="both"/>
        <w:rPr>
          <w:b w:val="0"/>
          <w:bCs w:val="0"/>
        </w:rPr>
      </w:pPr>
      <w:bookmarkStart w:name="七、合并财务报表项目注释" w:id="241"/>
      <w:bookmarkEnd w:id="241"/>
      <w:r>
        <w:rPr>
          <w:b w:val="0"/>
          <w:bCs w:val="0"/>
        </w:rPr>
      </w:r>
      <w:r>
        <w:rPr/>
        <w:t>七、合并财务报表项目注释</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both"/>
        <w:rPr>
          <w:b w:val="0"/>
          <w:bCs w:val="0"/>
        </w:rPr>
      </w:pPr>
      <w:bookmarkStart w:name="1、货币资金" w:id="242"/>
      <w:bookmarkEnd w:id="242"/>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182,772.14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158,563.93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214,760,194.28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140,345,804.29</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21,386,158.36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14,329,110.52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236,329,124.78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154,833,478.74</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304" w:lineRule="auto" w:before="115"/>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期末其他货币资金中到期日超过</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个月的保证金余额为</w:t>
      </w:r>
      <w:r>
        <w:rPr>
          <w:rFonts w:ascii="Times New Roman" w:hAnsi="Times New Roman" w:cs="Times New Roman" w:eastAsia="Times New Roman" w:hint="default"/>
          <w:spacing w:val="-2"/>
          <w:sz w:val="18"/>
          <w:szCs w:val="18"/>
        </w:rPr>
        <w:t>7,371,479.26 </w:t>
      </w:r>
      <w:r>
        <w:rPr>
          <w:rFonts w:ascii="宋体" w:hAnsi="宋体" w:cs="宋体" w:eastAsia="宋体" w:hint="default"/>
          <w:spacing w:val="-6"/>
          <w:sz w:val="18"/>
          <w:szCs w:val="18"/>
        </w:rPr>
        <w:t>元，使用受到限制。除此之外，本公司货币资金不存在其</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3"/>
          <w:sz w:val="18"/>
          <w:szCs w:val="18"/>
        </w:rPr>
        <w:t>他使用受限的情形，无潜在不可收回风险。</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交易性金融资产" w:id="243"/>
      <w:bookmarkEnd w:id="243"/>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460" w:footer="979" w:top="1060" w:bottom="1160" w:left="980" w:right="0"/>
        </w:sectPr>
      </w:pPr>
    </w:p>
    <w:p>
      <w:pPr>
        <w:spacing w:line="240" w:lineRule="auto" w:before="0"/>
        <w:rPr>
          <w:rFonts w:ascii="宋体" w:hAnsi="宋体" w:cs="宋体" w:eastAsia="宋体" w:hint="default"/>
          <w:sz w:val="24"/>
          <w:szCs w:val="24"/>
        </w:rPr>
      </w:pPr>
    </w:p>
    <w:p>
      <w:pPr>
        <w:pStyle w:val="Heading3"/>
        <w:spacing w:line="240" w:lineRule="auto" w:before="36"/>
        <w:ind w:right="0"/>
        <w:jc w:val="left"/>
        <w:rPr>
          <w:b w:val="0"/>
          <w:bCs w:val="0"/>
        </w:rPr>
      </w:pPr>
      <w:bookmarkStart w:name="3、衍生金融资产" w:id="244"/>
      <w:bookmarkEnd w:id="244"/>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4、应收票据" w:id="245"/>
      <w:bookmarkEnd w:id="245"/>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46"/>
      <w:bookmarkEnd w:id="246"/>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27,734,060.89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54,868,744.11</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27,734,060.89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54,868,744.11</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line="338" w:lineRule="auto" w:before="120"/>
        <w:ind w:left="153" w:right="85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按组合计提坏账准备：</w:t>
      </w:r>
    </w:p>
    <w:p>
      <w:pPr>
        <w:spacing w:line="338" w:lineRule="auto" w:before="46"/>
        <w:ind w:left="153" w:right="10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如是按照预期信用损失一般模型计提应收票据坏账准备，请参照其他应收款的披露方式披露坏账准备的相关信息：</w:t>
      </w:r>
    </w:p>
    <w:p>
      <w:pPr>
        <w:spacing w:before="4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247"/>
      <w:bookmarkEnd w:id="24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line="338" w:lineRule="auto" w:before="115"/>
        <w:ind w:left="153" w:right="73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其中本期坏账准备收回或转回金额重要的：</w:t>
      </w: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期末公司已质押的应收票据" w:id="248"/>
      <w:bookmarkEnd w:id="248"/>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4）期末公司已背书或贴现且在资产负债表日尚未到期的应收票据" w:id="249"/>
      <w:bookmarkEnd w:id="249"/>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9"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7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期末未终止确认金额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55,451,816.52</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55,451,816.52</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期末公司因出票人未履约而将其转应收账款的票据" w:id="250"/>
      <w:bookmarkEnd w:id="250"/>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0"/>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460" w:footer="979" w:top="1060" w:bottom="1160" w:left="980" w:right="0"/>
        </w:sectPr>
      </w:pPr>
    </w:p>
    <w:p>
      <w:pPr>
        <w:spacing w:line="240" w:lineRule="auto" w:before="0"/>
        <w:rPr>
          <w:rFonts w:ascii="宋体" w:hAnsi="宋体" w:cs="宋体" w:eastAsia="宋体" w:hint="default"/>
          <w:sz w:val="24"/>
          <w:szCs w:val="24"/>
        </w:rPr>
      </w:pPr>
    </w:p>
    <w:p>
      <w:pPr>
        <w:pStyle w:val="Heading3"/>
        <w:spacing w:line="240" w:lineRule="auto" w:before="36"/>
        <w:ind w:right="0"/>
        <w:jc w:val="left"/>
        <w:rPr>
          <w:b w:val="0"/>
          <w:bCs w:val="0"/>
        </w:rPr>
      </w:pPr>
      <w:bookmarkStart w:name="（6）本期实际核销的应收票据情况" w:id="251"/>
      <w:bookmarkEnd w:id="251"/>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763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其中重要的应收票据核销情况：</w:t>
      </w:r>
    </w:p>
    <w:p>
      <w:pPr>
        <w:spacing w:before="4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5、应收账款" w:id="252"/>
      <w:bookmarkEnd w:id="252"/>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53"/>
      <w:bookmarkEnd w:id="25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460" w:footer="979" w:top="1060" w:bottom="1160" w:left="980" w:right="0"/>
        </w:sectPr>
      </w:pPr>
    </w:p>
    <w:p>
      <w:pPr>
        <w:spacing w:line="240" w:lineRule="auto" w:before="7"/>
        <w:rPr>
          <w:rFonts w:ascii="宋体" w:hAnsi="宋体" w:cs="宋体" w:eastAsia="宋体" w:hint="default"/>
          <w:sz w:val="29"/>
          <w:szCs w:val="29"/>
        </w:rPr>
      </w:pPr>
    </w:p>
    <w:p>
      <w:pPr>
        <w:spacing w:before="46"/>
        <w:ind w:left="0" w:right="149" w:firstLine="0"/>
        <w:jc w:val="right"/>
        <w:rPr>
          <w:rFonts w:ascii="宋体" w:hAnsi="宋体" w:cs="宋体" w:eastAsia="宋体" w:hint="default"/>
          <w:sz w:val="18"/>
          <w:szCs w:val="18"/>
        </w:rPr>
      </w:pPr>
      <w:r>
        <w:rPr/>
        <w:pict>
          <v:shape style="position:absolute;margin-left:72pt;margin-top:-15.568274pt;width:115.5pt;height:30.75pt;mso-position-horizontal-relative:page;mso-position-vertical-relative:paragraph;z-index:1576" type="#_x0000_t75" stroked="false">
            <v:imagedata r:id="rId6" o:title=""/>
          </v:shape>
        </w:pict>
      </w:r>
      <w:r>
        <w:rPr>
          <w:rFonts w:ascii="宋体" w:hAnsi="宋体" w:cs="宋体" w:eastAsia="宋体" w:hint="default"/>
          <w:spacing w:val="-3"/>
          <w:sz w:val="18"/>
          <w:szCs w:val="18"/>
        </w:rPr>
        <w:t>西安环球印务股份有限公司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年年度报告全文</w:t>
      </w: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377"/>
        <w:gridCol w:w="1181"/>
        <w:gridCol w:w="1100"/>
        <w:gridCol w:w="1099"/>
        <w:gridCol w:w="1104"/>
        <w:gridCol w:w="1181"/>
        <w:gridCol w:w="1181"/>
        <w:gridCol w:w="1153"/>
        <w:gridCol w:w="1152"/>
        <w:gridCol w:w="1142"/>
        <w:gridCol w:w="1349"/>
      </w:tblGrid>
      <w:tr>
        <w:trPr>
          <w:trHeight w:val="178" w:hRule="exact"/>
        </w:trPr>
        <w:tc>
          <w:tcPr>
            <w:tcW w:w="2377" w:type="dxa"/>
            <w:vMerge w:val="restart"/>
            <w:tcBorders>
              <w:top w:val="single" w:sz="15" w:space="0" w:color="000000"/>
              <w:left w:val="single" w:sz="4" w:space="0" w:color="000000"/>
              <w:right w:val="single" w:sz="4" w:space="0" w:color="000000"/>
            </w:tcBorders>
            <w:shd w:val="clear" w:color="auto" w:fill="D2D2D2"/>
          </w:tcPr>
          <w:p>
            <w:pPr/>
          </w:p>
        </w:tc>
        <w:tc>
          <w:tcPr>
            <w:tcW w:w="5666" w:type="dxa"/>
            <w:gridSpan w:val="5"/>
            <w:tcBorders>
              <w:top w:val="single" w:sz="15" w:space="0" w:color="000000"/>
              <w:left w:val="single" w:sz="4" w:space="0" w:color="000000"/>
              <w:bottom w:val="nil" w:sz="6" w:space="0" w:color="auto"/>
              <w:right w:val="single" w:sz="4" w:space="0" w:color="000000"/>
            </w:tcBorders>
            <w:shd w:val="clear" w:color="auto" w:fill="D2D2D2"/>
          </w:tcPr>
          <w:p>
            <w:pPr/>
          </w:p>
        </w:tc>
        <w:tc>
          <w:tcPr>
            <w:tcW w:w="5978" w:type="dxa"/>
            <w:gridSpan w:val="5"/>
            <w:tcBorders>
              <w:top w:val="single" w:sz="15"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2377" w:type="dxa"/>
            <w:vMerge/>
            <w:tcBorders>
              <w:left w:val="single" w:sz="4" w:space="0" w:color="000000"/>
              <w:right w:val="single" w:sz="4" w:space="0" w:color="000000"/>
            </w:tcBorders>
            <w:shd w:val="clear" w:color="auto" w:fill="D2D2D2"/>
          </w:tcPr>
          <w:p>
            <w:pPr/>
          </w:p>
        </w:tc>
        <w:tc>
          <w:tcPr>
            <w:tcW w:w="5666" w:type="dxa"/>
            <w:gridSpan w:val="5"/>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978" w:type="dxa"/>
            <w:gridSpan w:val="5"/>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8" w:hRule="exact"/>
        </w:trPr>
        <w:tc>
          <w:tcPr>
            <w:tcW w:w="2377" w:type="dxa"/>
            <w:vMerge/>
            <w:tcBorders>
              <w:left w:val="single" w:sz="4" w:space="0" w:color="000000"/>
              <w:right w:val="single" w:sz="4" w:space="0" w:color="000000"/>
            </w:tcBorders>
            <w:shd w:val="clear" w:color="auto" w:fill="D2D2D2"/>
          </w:tcPr>
          <w:p>
            <w:pPr/>
          </w:p>
        </w:tc>
        <w:tc>
          <w:tcPr>
            <w:tcW w:w="566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5978" w:type="dxa"/>
            <w:gridSpan w:val="5"/>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9" w:hRule="exact"/>
        </w:trPr>
        <w:tc>
          <w:tcPr>
            <w:tcW w:w="2377" w:type="dxa"/>
            <w:vMerge/>
            <w:tcBorders>
              <w:left w:val="single" w:sz="4" w:space="0" w:color="000000"/>
              <w:bottom w:val="nil" w:sz="6" w:space="0" w:color="auto"/>
              <w:right w:val="single" w:sz="4" w:space="0" w:color="000000"/>
            </w:tcBorders>
            <w:shd w:val="clear" w:color="auto" w:fill="D2D2D2"/>
          </w:tcPr>
          <w:p>
            <w:pPr/>
          </w:p>
        </w:tc>
        <w:tc>
          <w:tcPr>
            <w:tcW w:w="22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20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23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
        </w:tc>
      </w:tr>
      <w:tr>
        <w:trPr>
          <w:trHeight w:val="389" w:hRule="exact"/>
        </w:trPr>
        <w:tc>
          <w:tcPr>
            <w:tcW w:w="23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2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04"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vMerge/>
            <w:tcBorders>
              <w:left w:val="single" w:sz="4" w:space="0" w:color="000000"/>
              <w:bottom w:val="nil" w:sz="6" w:space="0" w:color="auto"/>
              <w:right w:val="single" w:sz="4" w:space="0" w:color="000000"/>
            </w:tcBorders>
            <w:shd w:val="clear" w:color="auto" w:fill="D2D2D2"/>
          </w:tcPr>
          <w:p>
            <w:pPr/>
          </w:p>
        </w:tc>
        <w:tc>
          <w:tcPr>
            <w:tcW w:w="233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9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49" w:type="dxa"/>
            <w:vMerge/>
            <w:tcBorders>
              <w:left w:val="single" w:sz="4" w:space="0" w:color="000000"/>
              <w:bottom w:val="nil" w:sz="6" w:space="0" w:color="auto"/>
              <w:right w:val="single" w:sz="4" w:space="0" w:color="000000"/>
            </w:tcBorders>
            <w:shd w:val="clear" w:color="auto" w:fill="D2D2D2"/>
          </w:tcPr>
          <w:p>
            <w:pPr/>
          </w:p>
        </w:tc>
      </w:tr>
      <w:tr>
        <w:trPr>
          <w:trHeight w:val="163" w:hRule="exact"/>
        </w:trPr>
        <w:tc>
          <w:tcPr>
            <w:tcW w:w="2377" w:type="dxa"/>
            <w:vMerge w:val="restart"/>
            <w:tcBorders>
              <w:top w:val="nil" w:sz="6" w:space="0" w:color="auto"/>
              <w:left w:val="single" w:sz="4" w:space="0" w:color="000000"/>
              <w:right w:val="single" w:sz="4" w:space="0" w:color="000000"/>
            </w:tcBorders>
            <w:shd w:val="clear" w:color="auto" w:fill="D2D2D2"/>
          </w:tcPr>
          <w:p>
            <w:pPr/>
          </w:p>
        </w:tc>
        <w:tc>
          <w:tcPr>
            <w:tcW w:w="22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20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3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30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8" w:hRule="exact"/>
        </w:trPr>
        <w:tc>
          <w:tcPr>
            <w:tcW w:w="2377" w:type="dxa"/>
            <w:vMerge/>
            <w:tcBorders>
              <w:left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9" w:type="dxa"/>
            <w:vMerge/>
            <w:tcBorders>
              <w:left w:val="single" w:sz="4" w:space="0" w:color="000000"/>
              <w:bottom w:val="nil" w:sz="6" w:space="0" w:color="auto"/>
              <w:right w:val="single" w:sz="4" w:space="0" w:color="000000"/>
            </w:tcBorders>
            <w:shd w:val="clear" w:color="auto" w:fill="D2D2D2"/>
          </w:tcPr>
          <w:p>
            <w:pPr/>
          </w:p>
        </w:tc>
      </w:tr>
      <w:tr>
        <w:trPr>
          <w:trHeight w:val="394" w:hRule="exact"/>
        </w:trPr>
        <w:tc>
          <w:tcPr>
            <w:tcW w:w="2377" w:type="dxa"/>
            <w:vMerge/>
            <w:tcBorders>
              <w:left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1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49" w:type="dxa"/>
            <w:vMerge w:val="restart"/>
            <w:tcBorders>
              <w:top w:val="nil" w:sz="6" w:space="0" w:color="auto"/>
              <w:left w:val="single" w:sz="4" w:space="0" w:color="000000"/>
              <w:right w:val="single" w:sz="4" w:space="0" w:color="000000"/>
            </w:tcBorders>
            <w:shd w:val="clear" w:color="auto" w:fill="D2D2D2"/>
          </w:tcPr>
          <w:p>
            <w:pPr/>
          </w:p>
        </w:tc>
      </w:tr>
      <w:tr>
        <w:trPr>
          <w:trHeight w:val="159" w:hRule="exact"/>
        </w:trPr>
        <w:tc>
          <w:tcPr>
            <w:tcW w:w="2377"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3" w:right="175"/>
              <w:jc w:val="left"/>
              <w:rPr>
                <w:rFonts w:ascii="宋体" w:hAnsi="宋体" w:cs="宋体" w:eastAsia="宋体" w:hint="default"/>
                <w:sz w:val="18"/>
                <w:szCs w:val="18"/>
              </w:rPr>
            </w:pPr>
            <w:r>
              <w:rPr>
                <w:rFonts w:ascii="宋体" w:hAnsi="宋体" w:cs="宋体" w:eastAsia="宋体" w:hint="default"/>
                <w:spacing w:val="-3"/>
                <w:sz w:val="18"/>
                <w:szCs w:val="18"/>
              </w:rPr>
              <w:t>按单项计提坏账准备的应收</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账款</w:t>
            </w:r>
          </w:p>
        </w:tc>
        <w:tc>
          <w:tcPr>
            <w:tcW w:w="11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21,378,132.51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16,271,163.34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76.11%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5,106,969.17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5,904,620.38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4,546,060.37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76.99%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1,358,560.01</w:t>
            </w:r>
          </w:p>
        </w:tc>
      </w:tr>
      <w:tr>
        <w:trPr>
          <w:trHeight w:val="163" w:hRule="exact"/>
        </w:trPr>
        <w:tc>
          <w:tcPr>
            <w:tcW w:w="23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23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181" w:type="dxa"/>
            <w:tcBorders>
              <w:top w:val="nil" w:sz="6" w:space="0" w:color="auto"/>
              <w:left w:val="single" w:sz="4" w:space="0" w:color="000000"/>
              <w:bottom w:val="nil" w:sz="6" w:space="0" w:color="auto"/>
              <w:right w:val="single" w:sz="4" w:space="0" w:color="000000"/>
            </w:tcBorders>
            <w:shd w:val="clear" w:color="auto" w:fill="D2D2D2"/>
          </w:tcPr>
          <w:p>
            <w:pPr/>
          </w:p>
        </w:tc>
        <w:tc>
          <w:tcPr>
            <w:tcW w:w="1100" w:type="dxa"/>
            <w:tcBorders>
              <w:top w:val="nil" w:sz="6" w:space="0" w:color="auto"/>
              <w:left w:val="single" w:sz="4" w:space="0" w:color="000000"/>
              <w:bottom w:val="nil" w:sz="6" w:space="0" w:color="auto"/>
              <w:right w:val="single" w:sz="4" w:space="0" w:color="000000"/>
            </w:tcBorders>
            <w:shd w:val="clear" w:color="auto" w:fill="D2D2D2"/>
          </w:tcPr>
          <w:p>
            <w:pPr/>
          </w:p>
        </w:tc>
        <w:tc>
          <w:tcPr>
            <w:tcW w:w="1099" w:type="dxa"/>
            <w:tcBorders>
              <w:top w:val="nil" w:sz="6" w:space="0" w:color="auto"/>
              <w:left w:val="single" w:sz="4" w:space="0" w:color="000000"/>
              <w:bottom w:val="nil" w:sz="6" w:space="0" w:color="auto"/>
              <w:right w:val="single" w:sz="4" w:space="0" w:color="000000"/>
            </w:tcBorders>
            <w:shd w:val="clear" w:color="auto" w:fill="D2D2D2"/>
          </w:tcPr>
          <w:p>
            <w:pPr/>
          </w:p>
        </w:tc>
        <w:tc>
          <w:tcPr>
            <w:tcW w:w="1104" w:type="dxa"/>
            <w:tcBorders>
              <w:top w:val="nil" w:sz="6" w:space="0" w:color="auto"/>
              <w:left w:val="single" w:sz="4" w:space="0" w:color="000000"/>
              <w:bottom w:val="nil" w:sz="6" w:space="0" w:color="auto"/>
              <w:right w:val="single" w:sz="4" w:space="0" w:color="000000"/>
            </w:tcBorders>
            <w:shd w:val="clear" w:color="auto" w:fill="D2D2D2"/>
          </w:tcPr>
          <w:p>
            <w:pPr/>
          </w:p>
        </w:tc>
        <w:tc>
          <w:tcPr>
            <w:tcW w:w="1181" w:type="dxa"/>
            <w:tcBorders>
              <w:top w:val="nil" w:sz="6" w:space="0" w:color="auto"/>
              <w:left w:val="single" w:sz="4" w:space="0" w:color="000000"/>
              <w:bottom w:val="nil" w:sz="6" w:space="0" w:color="auto"/>
              <w:right w:val="single" w:sz="4" w:space="0" w:color="000000"/>
            </w:tcBorders>
            <w:shd w:val="clear" w:color="auto" w:fill="D2D2D2"/>
          </w:tcPr>
          <w:p>
            <w:pPr/>
          </w:p>
        </w:tc>
        <w:tc>
          <w:tcPr>
            <w:tcW w:w="1181" w:type="dxa"/>
            <w:tcBorders>
              <w:top w:val="nil" w:sz="6" w:space="0" w:color="auto"/>
              <w:left w:val="single" w:sz="4" w:space="0" w:color="000000"/>
              <w:bottom w:val="nil" w:sz="6" w:space="0" w:color="auto"/>
              <w:right w:val="single" w:sz="4" w:space="0" w:color="000000"/>
            </w:tcBorders>
            <w:shd w:val="clear" w:color="auto" w:fill="D2D2D2"/>
          </w:tcPr>
          <w:p>
            <w:pPr/>
          </w:p>
        </w:tc>
        <w:tc>
          <w:tcPr>
            <w:tcW w:w="1153" w:type="dxa"/>
            <w:tcBorders>
              <w:top w:val="nil" w:sz="6" w:space="0" w:color="auto"/>
              <w:left w:val="single" w:sz="4" w:space="0" w:color="000000"/>
              <w:bottom w:val="nil" w:sz="6" w:space="0" w:color="auto"/>
              <w:right w:val="single" w:sz="4" w:space="0" w:color="000000"/>
            </w:tcBorders>
            <w:shd w:val="clear" w:color="auto" w:fill="D2D2D2"/>
          </w:tcPr>
          <w:p>
            <w:pPr/>
          </w:p>
        </w:tc>
        <w:tc>
          <w:tcPr>
            <w:tcW w:w="1152" w:type="dxa"/>
            <w:tcBorders>
              <w:top w:val="nil" w:sz="6" w:space="0" w:color="auto"/>
              <w:left w:val="single" w:sz="4" w:space="0" w:color="000000"/>
              <w:bottom w:val="nil" w:sz="6" w:space="0" w:color="auto"/>
              <w:right w:val="single" w:sz="4" w:space="0" w:color="000000"/>
            </w:tcBorders>
            <w:shd w:val="clear" w:color="auto" w:fill="D2D2D2"/>
          </w:tcPr>
          <w:p>
            <w:pPr/>
          </w:p>
        </w:tc>
        <w:tc>
          <w:tcPr>
            <w:tcW w:w="1142" w:type="dxa"/>
            <w:tcBorders>
              <w:top w:val="nil" w:sz="6" w:space="0" w:color="auto"/>
              <w:left w:val="single" w:sz="4" w:space="0" w:color="000000"/>
              <w:bottom w:val="nil" w:sz="6" w:space="0" w:color="auto"/>
              <w:right w:val="single" w:sz="4" w:space="0" w:color="000000"/>
            </w:tcBorders>
            <w:shd w:val="clear" w:color="auto" w:fill="D2D2D2"/>
          </w:tcPr>
          <w:p>
            <w:pPr/>
          </w:p>
        </w:tc>
        <w:tc>
          <w:tcPr>
            <w:tcW w:w="1349"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63" w:hRule="exact"/>
        </w:trPr>
        <w:tc>
          <w:tcPr>
            <w:tcW w:w="23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6"/>
              <w:jc w:val="left"/>
              <w:rPr>
                <w:rFonts w:ascii="宋体" w:hAnsi="宋体" w:cs="宋体" w:eastAsia="宋体" w:hint="default"/>
                <w:sz w:val="18"/>
                <w:szCs w:val="18"/>
              </w:rPr>
            </w:pPr>
            <w:r>
              <w:rPr>
                <w:rFonts w:ascii="宋体" w:hAnsi="宋体" w:cs="宋体" w:eastAsia="宋体" w:hint="default"/>
                <w:spacing w:val="-3"/>
                <w:sz w:val="18"/>
                <w:szCs w:val="18"/>
              </w:rPr>
              <w:t>单项金额不重大并单项计提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坏账准备的应收账款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21,378,132.51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16,271,163.34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76.11%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5,106,969.17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5,904,620.38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4,546,060.37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76.99%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1,358,560.01</w:t>
            </w:r>
          </w:p>
        </w:tc>
      </w:tr>
      <w:tr>
        <w:trPr>
          <w:trHeight w:val="713" w:hRule="exact"/>
        </w:trPr>
        <w:tc>
          <w:tcPr>
            <w:tcW w:w="2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3" w:right="175"/>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按组合计提坏账准备的应收</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账款</w:t>
            </w:r>
          </w:p>
        </w:tc>
        <w:tc>
          <w:tcPr>
            <w:tcW w:w="11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300,555,668.47</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93.36%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16,049,864.83</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284,505,803.64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164,748,655.17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96.54%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9,379,825.26</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155,368,829.91</w:t>
            </w:r>
          </w:p>
        </w:tc>
      </w:tr>
      <w:tr>
        <w:trPr>
          <w:trHeight w:val="161" w:hRule="exact"/>
        </w:trPr>
        <w:tc>
          <w:tcPr>
            <w:tcW w:w="23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23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181" w:type="dxa"/>
            <w:tcBorders>
              <w:top w:val="nil" w:sz="6" w:space="0" w:color="auto"/>
              <w:left w:val="single" w:sz="4" w:space="0" w:color="000000"/>
              <w:bottom w:val="nil" w:sz="6" w:space="0" w:color="auto"/>
              <w:right w:val="single" w:sz="4" w:space="0" w:color="000000"/>
            </w:tcBorders>
            <w:shd w:val="clear" w:color="auto" w:fill="D2D2D2"/>
          </w:tcPr>
          <w:p>
            <w:pPr/>
          </w:p>
        </w:tc>
        <w:tc>
          <w:tcPr>
            <w:tcW w:w="1100" w:type="dxa"/>
            <w:tcBorders>
              <w:top w:val="nil" w:sz="6" w:space="0" w:color="auto"/>
              <w:left w:val="single" w:sz="4" w:space="0" w:color="000000"/>
              <w:bottom w:val="nil" w:sz="6" w:space="0" w:color="auto"/>
              <w:right w:val="single" w:sz="4" w:space="0" w:color="000000"/>
            </w:tcBorders>
            <w:shd w:val="clear" w:color="auto" w:fill="D2D2D2"/>
          </w:tcPr>
          <w:p>
            <w:pPr/>
          </w:p>
        </w:tc>
        <w:tc>
          <w:tcPr>
            <w:tcW w:w="1099" w:type="dxa"/>
            <w:tcBorders>
              <w:top w:val="nil" w:sz="6" w:space="0" w:color="auto"/>
              <w:left w:val="single" w:sz="4" w:space="0" w:color="000000"/>
              <w:bottom w:val="nil" w:sz="6" w:space="0" w:color="auto"/>
              <w:right w:val="single" w:sz="4" w:space="0" w:color="000000"/>
            </w:tcBorders>
            <w:shd w:val="clear" w:color="auto" w:fill="D2D2D2"/>
          </w:tcPr>
          <w:p>
            <w:pPr/>
          </w:p>
        </w:tc>
        <w:tc>
          <w:tcPr>
            <w:tcW w:w="1104" w:type="dxa"/>
            <w:tcBorders>
              <w:top w:val="nil" w:sz="6" w:space="0" w:color="auto"/>
              <w:left w:val="single" w:sz="4" w:space="0" w:color="000000"/>
              <w:bottom w:val="nil" w:sz="6" w:space="0" w:color="auto"/>
              <w:right w:val="single" w:sz="4" w:space="0" w:color="000000"/>
            </w:tcBorders>
            <w:shd w:val="clear" w:color="auto" w:fill="D2D2D2"/>
          </w:tcPr>
          <w:p>
            <w:pPr/>
          </w:p>
        </w:tc>
        <w:tc>
          <w:tcPr>
            <w:tcW w:w="1181" w:type="dxa"/>
            <w:tcBorders>
              <w:top w:val="nil" w:sz="6" w:space="0" w:color="auto"/>
              <w:left w:val="single" w:sz="4" w:space="0" w:color="000000"/>
              <w:bottom w:val="nil" w:sz="6" w:space="0" w:color="auto"/>
              <w:right w:val="single" w:sz="4" w:space="0" w:color="000000"/>
            </w:tcBorders>
            <w:shd w:val="clear" w:color="auto" w:fill="D2D2D2"/>
          </w:tcPr>
          <w:p>
            <w:pPr/>
          </w:p>
        </w:tc>
        <w:tc>
          <w:tcPr>
            <w:tcW w:w="1181" w:type="dxa"/>
            <w:tcBorders>
              <w:top w:val="nil" w:sz="6" w:space="0" w:color="auto"/>
              <w:left w:val="single" w:sz="4" w:space="0" w:color="000000"/>
              <w:bottom w:val="nil" w:sz="6" w:space="0" w:color="auto"/>
              <w:right w:val="single" w:sz="4" w:space="0" w:color="000000"/>
            </w:tcBorders>
            <w:shd w:val="clear" w:color="auto" w:fill="D2D2D2"/>
          </w:tcPr>
          <w:p>
            <w:pPr/>
          </w:p>
        </w:tc>
        <w:tc>
          <w:tcPr>
            <w:tcW w:w="1153" w:type="dxa"/>
            <w:tcBorders>
              <w:top w:val="nil" w:sz="6" w:space="0" w:color="auto"/>
              <w:left w:val="single" w:sz="4" w:space="0" w:color="000000"/>
              <w:bottom w:val="nil" w:sz="6" w:space="0" w:color="auto"/>
              <w:right w:val="single" w:sz="4" w:space="0" w:color="000000"/>
            </w:tcBorders>
            <w:shd w:val="clear" w:color="auto" w:fill="D2D2D2"/>
          </w:tcPr>
          <w:p>
            <w:pPr/>
          </w:p>
        </w:tc>
        <w:tc>
          <w:tcPr>
            <w:tcW w:w="1152" w:type="dxa"/>
            <w:tcBorders>
              <w:top w:val="nil" w:sz="6" w:space="0" w:color="auto"/>
              <w:left w:val="single" w:sz="4" w:space="0" w:color="000000"/>
              <w:bottom w:val="nil" w:sz="6" w:space="0" w:color="auto"/>
              <w:right w:val="single" w:sz="4" w:space="0" w:color="000000"/>
            </w:tcBorders>
            <w:shd w:val="clear" w:color="auto" w:fill="D2D2D2"/>
          </w:tcPr>
          <w:p>
            <w:pPr/>
          </w:p>
        </w:tc>
        <w:tc>
          <w:tcPr>
            <w:tcW w:w="1142" w:type="dxa"/>
            <w:tcBorders>
              <w:top w:val="nil" w:sz="6" w:space="0" w:color="auto"/>
              <w:left w:val="single" w:sz="4" w:space="0" w:color="000000"/>
              <w:bottom w:val="nil" w:sz="6" w:space="0" w:color="auto"/>
              <w:right w:val="single" w:sz="4" w:space="0" w:color="000000"/>
            </w:tcBorders>
            <w:shd w:val="clear" w:color="auto" w:fill="D2D2D2"/>
          </w:tcPr>
          <w:p>
            <w:pPr/>
          </w:p>
        </w:tc>
        <w:tc>
          <w:tcPr>
            <w:tcW w:w="1349"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58" w:hRule="exact"/>
        </w:trPr>
        <w:tc>
          <w:tcPr>
            <w:tcW w:w="23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6"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按账龄分析的组合</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300,555,668.47</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93.36%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16,049,864.83</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284,505,803.64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164,748,655.17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96.54%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9,379,825.26</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155,368,829.91</w:t>
            </w:r>
          </w:p>
        </w:tc>
      </w:tr>
      <w:tr>
        <w:trPr>
          <w:trHeight w:val="716" w:hRule="exact"/>
        </w:trPr>
        <w:tc>
          <w:tcPr>
            <w:tcW w:w="2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321,933,800.98</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32,321,028.17</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289,612,772.81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170,653,275.55</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13,925,885.63</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156,727,389.92</w:t>
            </w:r>
          </w:p>
        </w:tc>
      </w:tr>
    </w:tbl>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spacing w:before="0"/>
        <w:ind w:left="0" w:right="148" w:firstLine="0"/>
        <w:jc w:val="right"/>
        <w:rPr>
          <w:rFonts w:ascii="Times New Roman" w:hAnsi="Times New Roman" w:cs="Times New Roman" w:eastAsia="Times New Roman" w:hint="default"/>
          <w:sz w:val="18"/>
          <w:szCs w:val="18"/>
        </w:rPr>
      </w:pPr>
      <w:r>
        <w:rPr>
          <w:rFonts w:ascii="Times New Roman"/>
          <w:sz w:val="18"/>
        </w:rPr>
        <w:t>145</w: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15"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29"/>
          <w:footerReference w:type="default" r:id="rId30"/>
          <w:pgSz w:w="16840" w:h="11910" w:orient="landscape"/>
          <w:pgMar w:header="0" w:footer="0" w:top="380" w:bottom="0" w:left="1300" w:right="1280"/>
        </w:sectPr>
      </w:pPr>
    </w:p>
    <w:p>
      <w:pPr>
        <w:spacing w:line="240" w:lineRule="auto" w:before="1"/>
        <w:rPr>
          <w:rFonts w:ascii="Times New Roman" w:hAnsi="Times New Roman" w:cs="Times New Roman" w:eastAsia="Times New Roman" w:hint="default"/>
          <w:sz w:val="29"/>
          <w:szCs w:val="29"/>
        </w:rPr>
      </w:pPr>
    </w:p>
    <w:p>
      <w:pPr>
        <w:spacing w:before="46"/>
        <w:ind w:left="153" w:right="0" w:firstLine="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按单项计提坏账准备：</w:t>
      </w:r>
      <w:r>
        <w:rPr>
          <w:rFonts w:ascii="Times New Roman" w:hAnsi="Times New Roman" w:cs="Times New Roman" w:eastAsia="Times New Roman" w:hint="default"/>
          <w:b/>
          <w:bCs/>
          <w:sz w:val="18"/>
          <w:szCs w:val="18"/>
        </w:rPr>
        <w:t>11,725,102.97</w:t>
      </w:r>
      <w:r>
        <w:rPr>
          <w:rFonts w:ascii="Times New Roman" w:hAnsi="Times New Roman" w:cs="Times New Roman" w:eastAsia="Times New Roman" w:hint="default"/>
          <w:sz w:val="18"/>
          <w:szCs w:val="18"/>
        </w:rPr>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99"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7,685,711.70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6,523,830.00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挂账时间较长，回收的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可能性较低</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1,192,043.03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429,452.91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挂账时间较长，回收的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可能性较低</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574,586.40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574,586.40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挂账时间较长，回收的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可能性较低</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484,994.70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242,497.35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挂账时间较长，回收的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可能性较低</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367,308.32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367,308.32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4"/>
              <w:jc w:val="left"/>
              <w:rPr>
                <w:rFonts w:ascii="宋体" w:hAnsi="宋体" w:cs="宋体" w:eastAsia="宋体" w:hint="default"/>
                <w:sz w:val="18"/>
                <w:szCs w:val="18"/>
              </w:rPr>
            </w:pPr>
            <w:r>
              <w:rPr>
                <w:rFonts w:ascii="宋体" w:hAnsi="宋体" w:cs="宋体" w:eastAsia="宋体" w:hint="default"/>
                <w:spacing w:val="-2"/>
                <w:sz w:val="18"/>
                <w:szCs w:val="18"/>
              </w:rPr>
              <w:t>挂账时间较长，回收的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可能性较低</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230,720.00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230,720.00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挂账时间较长，回收的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可能性较低</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176,918.00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176,918.00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挂账时间较长，回收的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可能性较低</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50,835.72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50,835.72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挂账时间较长，回收的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可能性较低</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38,149.80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38,149.80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挂账时间较长，回收的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可能性较低</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36,678.14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36,678.14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挂账时间较长，回收的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可能性较低</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32,348.00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32,348.00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挂账时间较长，回收的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可能性较低</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17,729.20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17,729.20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4"/>
              <w:jc w:val="left"/>
              <w:rPr>
                <w:rFonts w:ascii="宋体" w:hAnsi="宋体" w:cs="宋体" w:eastAsia="宋体" w:hint="default"/>
                <w:sz w:val="18"/>
                <w:szCs w:val="18"/>
              </w:rPr>
            </w:pPr>
            <w:r>
              <w:rPr>
                <w:rFonts w:ascii="宋体" w:hAnsi="宋体" w:cs="宋体" w:eastAsia="宋体" w:hint="default"/>
                <w:spacing w:val="-2"/>
                <w:sz w:val="18"/>
                <w:szCs w:val="18"/>
              </w:rPr>
              <w:t>挂账时间较长，回收的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可能性较低</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9,702.00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9,702.00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挂账时间较长，回收的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可能性较低</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6,860,000.00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挂账时间较长，回收的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可能性较低</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483,585.00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483,585.00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客户联系中断，无法收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回款项</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196,822.50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196,822.50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客户财务困难，无法收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回款项</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21,378,132.51</w:t>
            </w:r>
          </w:p>
        </w:tc>
        <w:tc>
          <w:tcPr>
            <w:tcW w:w="191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16,271,163.34</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footerReference w:type="default" r:id="rId31"/>
          <w:pgSz w:w="11910" w:h="16840"/>
          <w:pgMar w:footer="979" w:header="0" w:top="1060" w:bottom="1160" w:left="980" w:right="0"/>
          <w:pgNumType w:start="146"/>
        </w:sectPr>
      </w:pPr>
    </w:p>
    <w:p>
      <w:pPr>
        <w:spacing w:line="240" w:lineRule="auto" w:before="7"/>
        <w:rPr>
          <w:rFonts w:ascii="宋体" w:hAnsi="宋体" w:cs="宋体" w:eastAsia="宋体" w:hint="default"/>
          <w:sz w:val="25"/>
          <w:szCs w:val="25"/>
        </w:rPr>
      </w:pPr>
    </w:p>
    <w:p>
      <w:pPr>
        <w:spacing w:before="46"/>
        <w:ind w:left="153" w:right="0" w:firstLine="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按组合计提坏账准备：</w:t>
      </w:r>
      <w:r>
        <w:rPr>
          <w:rFonts w:ascii="Times New Roman" w:hAnsi="Times New Roman" w:cs="Times New Roman" w:eastAsia="Times New Roman" w:hint="default"/>
          <w:b/>
          <w:bCs/>
          <w:sz w:val="18"/>
          <w:szCs w:val="18"/>
        </w:rPr>
        <w:t>601,311.62</w:t>
      </w:r>
      <w:r>
        <w:rPr>
          <w:rFonts w:ascii="Times New Roman" w:hAnsi="Times New Roman" w:cs="Times New Roman" w:eastAsia="Times New Roman" w:hint="default"/>
          <w:sz w:val="18"/>
          <w:szCs w:val="18"/>
        </w:rPr>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99"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年以内（含一年）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289,833,433.41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14,491,671.67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8,292,386.81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829,238.68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2,429,848.25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728,954.48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300,555,668.47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16,049,864.83</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9"/>
        <w:rPr>
          <w:rFonts w:ascii="宋体" w:hAnsi="宋体" w:cs="宋体" w:eastAsia="宋体" w:hint="default"/>
          <w:sz w:val="27"/>
          <w:szCs w:val="27"/>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b/>
          <w:bCs/>
          <w:sz w:val="18"/>
          <w:szCs w:val="18"/>
        </w:rPr>
        <w:t>确定该组合依据的说明：</w:t>
      </w:r>
      <w:r>
        <w:rPr>
          <w:rFonts w:ascii="宋体" w:hAnsi="宋体" w:cs="宋体" w:eastAsia="宋体" w:hint="default"/>
          <w:sz w:val="18"/>
          <w:szCs w:val="18"/>
        </w:rPr>
      </w:r>
    </w:p>
    <w:p>
      <w:pPr>
        <w:pStyle w:val="BodyText"/>
        <w:spacing w:line="314" w:lineRule="auto" w:before="108"/>
        <w:ind w:right="1128" w:firstLine="422"/>
        <w:jc w:val="both"/>
      </w:pPr>
      <w:r>
        <w:rPr/>
        <w:t>①单项金额重大并单项计提坏账准备的应收账款：账面金额人民币</w:t>
      </w:r>
      <w:r>
        <w:rPr>
          <w:rFonts w:ascii="宋体" w:hAnsi="宋体" w:cs="宋体" w:eastAsia="宋体" w:hint="default"/>
        </w:rPr>
        <w:t>500</w:t>
      </w:r>
      <w:r>
        <w:rPr/>
        <w:t>万元以上或公司应收账款前五</w:t>
      </w:r>
      <w:r>
        <w:rPr>
          <w:w w:val="100"/>
        </w:rPr>
        <w:t> </w:t>
      </w:r>
      <w:r>
        <w:rPr/>
        <w:t>名客户。</w:t>
      </w:r>
    </w:p>
    <w:p>
      <w:pPr>
        <w:pStyle w:val="BodyText"/>
        <w:spacing w:line="312" w:lineRule="auto"/>
        <w:ind w:right="1125" w:firstLine="422"/>
        <w:jc w:val="both"/>
      </w:pPr>
      <w:r>
        <w:rPr/>
        <w:t>②单项金额不重大但按信用风险特征组合后该组合的风险较大的应收账款：账龄超过</w:t>
      </w:r>
      <w:r>
        <w:rPr>
          <w:rFonts w:ascii="宋体" w:hAnsi="宋体" w:cs="宋体" w:eastAsia="宋体" w:hint="default"/>
        </w:rPr>
        <w:t>3</w:t>
      </w:r>
      <w:r>
        <w:rPr/>
        <w:t>年以上的应收</w:t>
      </w:r>
      <w:r>
        <w:rPr>
          <w:w w:val="100"/>
        </w:rPr>
        <w:t> </w:t>
      </w:r>
      <w:r>
        <w:rPr>
          <w:spacing w:val="-2"/>
        </w:rPr>
        <w:t>账款以及与对方存在争议或涉及诉讼、仲裁的应收账款；已有明显迹象表明债务人很可能无法履行还款义</w:t>
      </w:r>
      <w:r>
        <w:rPr>
          <w:spacing w:val="-33"/>
        </w:rPr>
        <w:t> </w:t>
      </w:r>
      <w:r>
        <w:rPr>
          <w:spacing w:val="-33"/>
        </w:rPr>
      </w:r>
      <w:r>
        <w:rPr/>
        <w:t>务的应收账款。</w:t>
      </w:r>
    </w:p>
    <w:p>
      <w:pPr>
        <w:pStyle w:val="BodyText"/>
        <w:spacing w:line="314" w:lineRule="auto" w:before="22"/>
        <w:ind w:right="1125" w:firstLine="422"/>
        <w:jc w:val="both"/>
      </w:pPr>
      <w:r>
        <w:rPr>
          <w:spacing w:val="-2"/>
        </w:rPr>
        <w:t>③按组合计提坏账准备的应收账款：除上述第①、②种情形以外的其他应收账款。其他不重大应收账</w:t>
      </w:r>
      <w:r>
        <w:rPr>
          <w:w w:val="100"/>
        </w:rPr>
        <w:t> </w:t>
      </w:r>
      <w:r>
        <w:rPr/>
        <w:t>款以账龄分析作为组合，按账龄分析计提坏账准备。</w:t>
      </w:r>
    </w:p>
    <w:p>
      <w:pPr>
        <w:spacing w:line="240" w:lineRule="auto" w:before="6"/>
        <w:rPr>
          <w:rFonts w:ascii="宋体" w:hAnsi="宋体" w:cs="宋体" w:eastAsia="宋体" w:hint="default"/>
          <w:sz w:val="28"/>
          <w:szCs w:val="2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如是按照预期信用损失一般模型计提应收账款坏账准备，请参照其他应收款的披露方式披露坏账准备的相关信息：</w:t>
      </w:r>
    </w:p>
    <w:p>
      <w:pPr>
        <w:spacing w:line="338" w:lineRule="auto" w:before="119"/>
        <w:ind w:left="153" w:right="86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94" w:type="dxa"/>
        <w:tblLayout w:type="fixed"/>
        <w:tblCellMar>
          <w:top w:w="0" w:type="dxa"/>
          <w:left w:w="0" w:type="dxa"/>
          <w:bottom w:w="0" w:type="dxa"/>
          <w:right w:w="0" w:type="dxa"/>
        </w:tblCellMar>
        <w:tblLook w:val="01E0"/>
      </w:tblPr>
      <w:tblGrid>
        <w:gridCol w:w="4764"/>
        <w:gridCol w:w="4800"/>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299,439,065.27</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9,504,744.98</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4,481,980.57</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8,508,010.16</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3,074,079.45</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2,963,843.54</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2,470,087.17</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321,933,800.98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本期计提、收回或转回的坏账准备情况" w:id="254"/>
      <w:bookmarkEnd w:id="25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54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12"/>
        <w:rPr>
          <w:rFonts w:ascii="宋体" w:hAnsi="宋体" w:cs="宋体" w:eastAsia="宋体"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应收账款坏账准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13,925,885.63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12,326,414.59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6,068,727.95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32,321,028.17</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13,925,885.63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12,326,414.59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6,068,727.95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32,321,028.17</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其中本期坏账准备收回或转回金额重要的：</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本期实际核销的应收账款情况" w:id="255"/>
      <w:bookmarkEnd w:id="25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7"/>
          <w:szCs w:val="27"/>
        </w:rPr>
      </w:pPr>
    </w:p>
    <w:p>
      <w:pPr>
        <w:spacing w:line="343" w:lineRule="auto" w:before="0"/>
        <w:ind w:left="153" w:right="763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其中重要的应收账款核销情况：</w:t>
      </w:r>
    </w:p>
    <w:p>
      <w:pPr>
        <w:spacing w:before="3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4）按欠款方归集的期末余额前五名的应收账款情况" w:id="256"/>
      <w:bookmarkEnd w:id="25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3"/>
        <w:gridCol w:w="2531"/>
        <w:gridCol w:w="2526"/>
        <w:gridCol w:w="2531"/>
      </w:tblGrid>
      <w:tr>
        <w:trPr>
          <w:trHeight w:val="711"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80" w:right="79" w:hanging="989"/>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比例</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客户一</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23,676,109.54</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7.35%</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1,183,805.48</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客户二</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14,440,319.46</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4.49%</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722,015.97</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客户三</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13,480,247.21</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4.19%</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674,012.36</w:t>
            </w:r>
          </w:p>
        </w:tc>
      </w:tr>
      <w:tr>
        <w:trPr>
          <w:trHeight w:val="398"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客户四</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12,118,750.14</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3.76%</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605,937.51</w:t>
            </w:r>
          </w:p>
        </w:tc>
      </w:tr>
      <w:tr>
        <w:trPr>
          <w:trHeight w:val="404"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客户五</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11,704,864.68</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3.64%</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585,243.23</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75,420,291.03</w:t>
            </w:r>
          </w:p>
        </w:tc>
        <w:tc>
          <w:tcPr>
            <w:tcW w:w="2526" w:type="dxa"/>
            <w:tcBorders>
              <w:top w:val="single" w:sz="4" w:space="0" w:color="000000"/>
              <w:left w:val="single" w:sz="4" w:space="0" w:color="000000"/>
              <w:bottom w:val="single" w:sz="4" w:space="0" w:color="000000"/>
              <w:right w:val="single" w:sz="16" w:space="0" w:color="D2D2D2"/>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23.43%</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因金融资产转移而终止确认的应收账款" w:id="257"/>
      <w:bookmarkEnd w:id="257"/>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6）转移应收账款且继续涉入形成的资产、负债金额" w:id="258"/>
      <w:bookmarkEnd w:id="258"/>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6、应收款项融资" w:id="259"/>
      <w:bookmarkEnd w:id="259"/>
      <w:r>
        <w:rPr>
          <w:b w:val="0"/>
          <w:bCs w:val="0"/>
        </w:rPr>
      </w:r>
      <w:r>
        <w:rPr>
          <w:rFonts w:ascii="Times New Roman" w:hAnsi="Times New Roman" w:cs="Times New Roman" w:eastAsia="Times New Roman" w:hint="default"/>
        </w:rPr>
        <w:t>6</w:t>
      </w:r>
      <w:r>
        <w:rPr/>
        <w:t>、应收款项融资</w:t>
      </w:r>
      <w:r>
        <w:rPr>
          <w:b w:val="0"/>
          <w:bCs w:val="0"/>
        </w:rPr>
      </w:r>
    </w:p>
    <w:p>
      <w:pPr>
        <w:spacing w:line="700" w:lineRule="exact" w:before="4"/>
        <w:ind w:left="153" w:right="10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如是按照预期信用损失一般模型计提应收款项融资减值准备，请参照其他应收款的披露方式披露减值准备的相关信息：</w:t>
      </w:r>
    </w:p>
    <w:p>
      <w:pPr>
        <w:spacing w:before="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宋体" w:hAnsi="宋体" w:cs="宋体" w:eastAsia="宋体" w:hint="default"/>
          <w:sz w:val="24"/>
          <w:szCs w:val="24"/>
        </w:rPr>
      </w:pPr>
    </w:p>
    <w:p>
      <w:pPr>
        <w:pStyle w:val="Heading3"/>
        <w:spacing w:line="240" w:lineRule="auto" w:before="36"/>
        <w:ind w:right="0"/>
        <w:jc w:val="left"/>
        <w:rPr>
          <w:b w:val="0"/>
          <w:bCs w:val="0"/>
        </w:rPr>
      </w:pPr>
      <w:bookmarkStart w:name="7、预付款项" w:id="260"/>
      <w:bookmarkEnd w:id="260"/>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61"/>
      <w:bookmarkEnd w:id="26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6"/>
        <w:gridCol w:w="1916"/>
        <w:gridCol w:w="1916"/>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109,252,409.23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27,698,350.02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99.51%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3,516,501.77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44,640.00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0.16%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30,300.00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90,300.00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3"/>
                <w:sz w:val="18"/>
              </w:rPr>
              <w:t>112,809,111.00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27,833,550.02</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账龄超过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年且金额重要的预付款项未及时结算原因的说明：</w:t>
      </w:r>
    </w:p>
    <w:p>
      <w:pPr>
        <w:spacing w:before="10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按预付对象归集的期末余额前五名的预付款情况" w:id="262"/>
      <w:bookmarkEnd w:id="262"/>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34" w:type="dxa"/>
        <w:tblLayout w:type="fixed"/>
        <w:tblCellMar>
          <w:top w:w="0" w:type="dxa"/>
          <w:left w:w="0" w:type="dxa"/>
          <w:bottom w:w="0" w:type="dxa"/>
          <w:right w:w="0" w:type="dxa"/>
        </w:tblCellMar>
        <w:tblLook w:val="01E0"/>
      </w:tblPr>
      <w:tblGrid>
        <w:gridCol w:w="2775"/>
        <w:gridCol w:w="2367"/>
        <w:gridCol w:w="1133"/>
        <w:gridCol w:w="1129"/>
        <w:gridCol w:w="1128"/>
        <w:gridCol w:w="1129"/>
      </w:tblGrid>
      <w:tr>
        <w:trPr>
          <w:trHeight w:val="658" w:hRule="exact"/>
        </w:trPr>
        <w:tc>
          <w:tcPr>
            <w:tcW w:w="27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债务人名称</w:t>
            </w:r>
          </w:p>
        </w:tc>
        <w:tc>
          <w:tcPr>
            <w:tcW w:w="23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398" w:right="7" w:hanging="375"/>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占预付账款比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11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预付款账龄</w:t>
            </w:r>
          </w:p>
        </w:tc>
        <w:tc>
          <w:tcPr>
            <w:tcW w:w="11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1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50" w:hRule="exact"/>
        </w:trPr>
        <w:tc>
          <w:tcPr>
            <w:tcW w:w="2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供应商一</w:t>
            </w:r>
          </w:p>
        </w:tc>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4" w:right="0"/>
              <w:jc w:val="center"/>
              <w:rPr>
                <w:rFonts w:ascii="Times New Roman" w:hAnsi="Times New Roman" w:cs="Times New Roman" w:eastAsia="Times New Roman" w:hint="default"/>
                <w:sz w:val="18"/>
                <w:szCs w:val="18"/>
              </w:rPr>
            </w:pPr>
            <w:r>
              <w:rPr>
                <w:rFonts w:ascii="Times New Roman"/>
                <w:sz w:val="18"/>
              </w:rPr>
              <w:t>58,560,249.92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9" w:right="0"/>
              <w:jc w:val="center"/>
              <w:rPr>
                <w:rFonts w:ascii="Times New Roman" w:hAnsi="Times New Roman" w:cs="Times New Roman" w:eastAsia="Times New Roman" w:hint="default"/>
                <w:sz w:val="18"/>
                <w:szCs w:val="18"/>
              </w:rPr>
            </w:pPr>
            <w:r>
              <w:rPr>
                <w:rFonts w:ascii="Times New Roman"/>
                <w:sz w:val="18"/>
              </w:rPr>
              <w:t>51.91</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46" w:hRule="exact"/>
        </w:trPr>
        <w:tc>
          <w:tcPr>
            <w:tcW w:w="2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供应商二</w:t>
            </w:r>
          </w:p>
        </w:tc>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17,426,054.60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 w:right="0"/>
              <w:jc w:val="center"/>
              <w:rPr>
                <w:rFonts w:ascii="Times New Roman" w:hAnsi="Times New Roman" w:cs="Times New Roman" w:eastAsia="Times New Roman" w:hint="default"/>
                <w:sz w:val="18"/>
                <w:szCs w:val="18"/>
              </w:rPr>
            </w:pPr>
            <w:r>
              <w:rPr>
                <w:rFonts w:ascii="Times New Roman"/>
                <w:sz w:val="18"/>
              </w:rPr>
              <w:t>15.45</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46" w:hRule="exact"/>
        </w:trPr>
        <w:tc>
          <w:tcPr>
            <w:tcW w:w="2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供应商三</w:t>
            </w:r>
          </w:p>
        </w:tc>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center"/>
              <w:rPr>
                <w:rFonts w:ascii="Times New Roman" w:hAnsi="Times New Roman" w:cs="Times New Roman" w:eastAsia="Times New Roman" w:hint="default"/>
                <w:sz w:val="18"/>
                <w:szCs w:val="18"/>
              </w:rPr>
            </w:pPr>
            <w:r>
              <w:rPr>
                <w:rFonts w:ascii="Times New Roman"/>
                <w:sz w:val="18"/>
              </w:rPr>
              <w:t>9,512,765.98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8.43</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51" w:hRule="exact"/>
        </w:trPr>
        <w:tc>
          <w:tcPr>
            <w:tcW w:w="2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供应商四</w:t>
            </w:r>
          </w:p>
        </w:tc>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9" w:right="0"/>
              <w:jc w:val="center"/>
              <w:rPr>
                <w:rFonts w:ascii="Times New Roman" w:hAnsi="Times New Roman" w:cs="Times New Roman" w:eastAsia="Times New Roman" w:hint="default"/>
                <w:sz w:val="18"/>
                <w:szCs w:val="18"/>
              </w:rPr>
            </w:pPr>
            <w:r>
              <w:rPr>
                <w:rFonts w:ascii="Times New Roman"/>
                <w:sz w:val="18"/>
              </w:rPr>
              <w:t>8,748,181.20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8" w:right="0"/>
              <w:jc w:val="center"/>
              <w:rPr>
                <w:rFonts w:ascii="Times New Roman" w:hAnsi="Times New Roman" w:cs="Times New Roman" w:eastAsia="Times New Roman" w:hint="default"/>
                <w:sz w:val="18"/>
                <w:szCs w:val="18"/>
              </w:rPr>
            </w:pPr>
            <w:r>
              <w:rPr>
                <w:rFonts w:ascii="Times New Roman"/>
                <w:sz w:val="18"/>
              </w:rPr>
              <w:t>7.75</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46" w:hRule="exact"/>
        </w:trPr>
        <w:tc>
          <w:tcPr>
            <w:tcW w:w="2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供应商五</w:t>
            </w:r>
          </w:p>
        </w:tc>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center"/>
              <w:rPr>
                <w:rFonts w:ascii="Times New Roman" w:hAnsi="Times New Roman" w:cs="Times New Roman" w:eastAsia="Times New Roman" w:hint="default"/>
                <w:sz w:val="18"/>
                <w:szCs w:val="18"/>
              </w:rPr>
            </w:pPr>
            <w:r>
              <w:rPr>
                <w:rFonts w:ascii="Times New Roman"/>
                <w:sz w:val="18"/>
              </w:rPr>
              <w:t>2,605,760.88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2.31</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46" w:hRule="exact"/>
        </w:trPr>
        <w:tc>
          <w:tcPr>
            <w:tcW w:w="2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4" w:right="0"/>
              <w:jc w:val="center"/>
              <w:rPr>
                <w:rFonts w:ascii="Times New Roman" w:hAnsi="Times New Roman" w:cs="Times New Roman" w:eastAsia="Times New Roman" w:hint="default"/>
                <w:sz w:val="18"/>
                <w:szCs w:val="18"/>
              </w:rPr>
            </w:pPr>
            <w:r>
              <w:rPr>
                <w:rFonts w:ascii="Times New Roman"/>
                <w:b/>
                <w:sz w:val="18"/>
              </w:rPr>
              <w:t>96,853,012.58</w:t>
            </w:r>
            <w:r>
              <w:rPr>
                <w:rFonts w:ascii="Times New Roman"/>
                <w:sz w:val="18"/>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9" w:right="0"/>
              <w:jc w:val="center"/>
              <w:rPr>
                <w:rFonts w:ascii="Times New Roman" w:hAnsi="Times New Roman" w:cs="Times New Roman" w:eastAsia="Times New Roman" w:hint="default"/>
                <w:sz w:val="18"/>
                <w:szCs w:val="18"/>
              </w:rPr>
            </w:pPr>
            <w:r>
              <w:rPr>
                <w:rFonts w:ascii="Times New Roman"/>
                <w:b/>
                <w:sz w:val="18"/>
              </w:rPr>
              <w:t>85.86</w:t>
            </w:r>
            <w:r>
              <w:rPr>
                <w:rFonts w:ascii="Times New Roman"/>
                <w:sz w:val="18"/>
              </w:rPr>
            </w:r>
          </w:p>
        </w:tc>
        <w:tc>
          <w:tcPr>
            <w:tcW w:w="1129"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r>
    </w:tbl>
    <w:p>
      <w:pPr>
        <w:spacing w:line="362" w:lineRule="auto" w:before="53"/>
        <w:ind w:left="153" w:right="2115" w:firstLine="0"/>
        <w:jc w:val="left"/>
        <w:rPr>
          <w:rFonts w:ascii="宋体" w:hAnsi="宋体" w:cs="宋体" w:eastAsia="宋体" w:hint="default"/>
          <w:sz w:val="18"/>
          <w:szCs w:val="18"/>
        </w:rPr>
      </w:pPr>
      <w:r>
        <w:rPr>
          <w:rFonts w:ascii="宋体" w:hAnsi="宋体" w:cs="宋体" w:eastAsia="宋体" w:hint="default"/>
          <w:sz w:val="18"/>
          <w:szCs w:val="18"/>
        </w:rPr>
        <w:t>其他说明：</w:t>
      </w:r>
      <w:r>
        <w:rPr>
          <w:rFonts w:ascii="宋体" w:hAnsi="宋体" w:cs="宋体" w:eastAsia="宋体" w:hint="default"/>
          <w:w w:val="101"/>
          <w:sz w:val="18"/>
          <w:szCs w:val="18"/>
        </w:rPr>
        <w:t> </w:t>
      </w:r>
      <w:r>
        <w:rPr>
          <w:rFonts w:ascii="宋体" w:hAnsi="宋体" w:cs="宋体" w:eastAsia="宋体" w:hint="default"/>
          <w:spacing w:val="-3"/>
          <w:sz w:val="18"/>
          <w:szCs w:val="18"/>
        </w:rPr>
        <w:t>预付账款前五名主要系公司移动互联网广告业务发生的已经与供应商结算但尚未与客户结算的流量成本。</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bookmarkStart w:name="8、其他应收款" w:id="263"/>
      <w:bookmarkEnd w:id="263"/>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10,887,953.10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1,645,343.25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10,887,953.10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1,645,343.25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应收利息" w:id="264"/>
      <w:bookmarkEnd w:id="264"/>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应收利息分类" w:id="265"/>
      <w:bookmarkEnd w:id="265"/>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宋体" w:hAnsi="宋体" w:cs="宋体" w:eastAsia="宋体" w:hint="default"/>
          <w:sz w:val="24"/>
          <w:szCs w:val="24"/>
        </w:rPr>
      </w:pPr>
    </w:p>
    <w:p>
      <w:pPr>
        <w:pStyle w:val="Heading3"/>
        <w:spacing w:line="240" w:lineRule="auto" w:before="36"/>
        <w:ind w:right="0"/>
        <w:jc w:val="left"/>
        <w:rPr>
          <w:b w:val="0"/>
          <w:bCs w:val="0"/>
        </w:rPr>
      </w:pPr>
      <w:bookmarkStart w:name="2）重要逾期利息" w:id="266"/>
      <w:bookmarkEnd w:id="266"/>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3）坏账准备计提情况" w:id="267"/>
      <w:bookmarkEnd w:id="267"/>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应收股利" w:id="268"/>
      <w:bookmarkEnd w:id="268"/>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股利分类" w:id="269"/>
      <w:bookmarkEnd w:id="269"/>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2）重要的账龄超过1年的应收股利" w:id="270"/>
      <w:bookmarkEnd w:id="270"/>
      <w:r>
        <w:rPr>
          <w:b w:val="0"/>
          <w:bCs w:val="0"/>
        </w:rPr>
      </w:r>
      <w:r>
        <w:rPr>
          <w:rFonts w:ascii="Times New Roman" w:hAnsi="Times New Roman" w:cs="Times New Roman" w:eastAsia="Times New Roman" w:hint="default"/>
        </w:rPr>
        <w:t>2</w:t>
      </w:r>
      <w:r>
        <w:rPr/>
        <w:t>）重要的账龄超过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3）坏账准备计提情况" w:id="271"/>
      <w:bookmarkEnd w:id="271"/>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其他应收款" w:id="272"/>
      <w:bookmarkEnd w:id="272"/>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按款项性质分类情况" w:id="273"/>
      <w:bookmarkEnd w:id="273"/>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512,697.76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403,720.00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个人备用金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22,025.00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16,700.00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11,441,687.15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1,595,355.81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11,976,409.91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2,015,775.81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坏账准备计提情况" w:id="274"/>
      <w:bookmarkEnd w:id="274"/>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6"/>
        <w:gridCol w:w="1650"/>
        <w:gridCol w:w="2098"/>
        <w:gridCol w:w="2103"/>
        <w:gridCol w:w="1800"/>
      </w:tblGrid>
      <w:tr>
        <w:trPr>
          <w:trHeight w:val="403" w:hRule="exact"/>
        </w:trPr>
        <w:tc>
          <w:tcPr>
            <w:tcW w:w="19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58"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86"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5" w:hRule="exact"/>
        </w:trPr>
        <w:tc>
          <w:tcPr>
            <w:tcW w:w="19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53"/>
              <w:ind w:left="550"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1"/>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7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9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50"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3" w:type="dxa"/>
            <w:vMerge/>
            <w:tcBorders>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5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890" w:right="0"/>
              <w:jc w:val="left"/>
              <w:rPr>
                <w:rFonts w:ascii="Times New Roman" w:hAnsi="Times New Roman" w:cs="Times New Roman" w:eastAsia="Times New Roman" w:hint="default"/>
                <w:sz w:val="18"/>
                <w:szCs w:val="18"/>
              </w:rPr>
            </w:pPr>
            <w:r>
              <w:rPr>
                <w:rFonts w:ascii="Times New Roman"/>
                <w:sz w:val="18"/>
              </w:rPr>
              <w:t>96,341.75</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9" w:right="0"/>
              <w:jc w:val="left"/>
              <w:rPr>
                <w:rFonts w:ascii="Times New Roman" w:hAnsi="Times New Roman" w:cs="Times New Roman" w:eastAsia="Times New Roman" w:hint="default"/>
                <w:sz w:val="18"/>
                <w:szCs w:val="18"/>
              </w:rPr>
            </w:pPr>
            <w:r>
              <w:rPr>
                <w:rFonts w:ascii="Times New Roman"/>
                <w:sz w:val="18"/>
              </w:rPr>
              <w:t>62,070.00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57" w:right="0"/>
              <w:jc w:val="left"/>
              <w:rPr>
                <w:rFonts w:ascii="Times New Roman" w:hAnsi="Times New Roman" w:cs="Times New Roman" w:eastAsia="Times New Roman" w:hint="default"/>
                <w:sz w:val="18"/>
                <w:szCs w:val="18"/>
              </w:rPr>
            </w:pPr>
            <w:r>
              <w:rPr>
                <w:rFonts w:ascii="Times New Roman"/>
                <w:sz w:val="18"/>
              </w:rPr>
              <w:t>212,020.81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0" w:right="0"/>
              <w:jc w:val="left"/>
              <w:rPr>
                <w:rFonts w:ascii="Times New Roman" w:hAnsi="Times New Roman" w:cs="Times New Roman" w:eastAsia="Times New Roman" w:hint="default"/>
                <w:sz w:val="18"/>
                <w:szCs w:val="18"/>
              </w:rPr>
            </w:pPr>
            <w:r>
              <w:rPr>
                <w:rFonts w:ascii="Times New Roman"/>
                <w:sz w:val="18"/>
              </w:rPr>
              <w:t>370,432.56</w:t>
            </w:r>
          </w:p>
        </w:tc>
      </w:tr>
      <w:tr>
        <w:trPr>
          <w:trHeight w:val="158" w:hRule="exact"/>
        </w:trPr>
        <w:tc>
          <w:tcPr>
            <w:tcW w:w="190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11"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06" w:type="dxa"/>
            <w:vMerge/>
            <w:tcBorders>
              <w:left w:val="single" w:sz="4" w:space="0" w:color="000000"/>
              <w:right w:val="single" w:sz="4" w:space="0" w:color="000000"/>
            </w:tcBorders>
            <w:shd w:val="clear" w:color="auto" w:fill="D2D2D2"/>
          </w:tcPr>
          <w:p>
            <w:pPr/>
          </w:p>
        </w:tc>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906" w:type="dxa"/>
            <w:vMerge/>
            <w:tcBorders>
              <w:left w:val="single" w:sz="4" w:space="0" w:color="000000"/>
              <w:bottom w:val="single" w:sz="4" w:space="0" w:color="000000"/>
              <w:right w:val="single" w:sz="4" w:space="0" w:color="000000"/>
            </w:tcBorders>
            <w:shd w:val="clear" w:color="auto" w:fill="D2D2D2"/>
          </w:tcPr>
          <w:p>
            <w:pPr/>
          </w:p>
        </w:tc>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0" w:footer="979" w:top="1060" w:bottom="1160" w:left="980" w:right="0"/>
        </w:sectPr>
      </w:pPr>
    </w:p>
    <w:p>
      <w:pPr>
        <w:spacing w:line="240" w:lineRule="auto" w:before="12"/>
        <w:rPr>
          <w:rFonts w:ascii="宋体" w:hAnsi="宋体" w:cs="宋体" w:eastAsia="宋体"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906"/>
        <w:gridCol w:w="1662"/>
        <w:gridCol w:w="2098"/>
        <w:gridCol w:w="2103"/>
        <w:gridCol w:w="1800"/>
      </w:tblGrid>
      <w:tr>
        <w:trPr>
          <w:trHeight w:val="403"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-603,877.42</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63,818.13</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-540,059.29</w:t>
            </w:r>
          </w:p>
        </w:tc>
      </w:tr>
      <w:tr>
        <w:trPr>
          <w:trHeight w:val="398"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1,199,051.67</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59,031.87</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1,258,083.54</w:t>
            </w:r>
          </w:p>
        </w:tc>
      </w:tr>
      <w:tr>
        <w:trPr>
          <w:trHeight w:val="404"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691,516.00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184,920.00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57" w:right="0"/>
              <w:jc w:val="left"/>
              <w:rPr>
                <w:rFonts w:ascii="Times New Roman" w:hAnsi="Times New Roman" w:cs="Times New Roman" w:eastAsia="Times New Roman" w:hint="default"/>
                <w:sz w:val="18"/>
                <w:szCs w:val="18"/>
              </w:rPr>
            </w:pPr>
            <w:r>
              <w:rPr>
                <w:rFonts w:ascii="Times New Roman"/>
                <w:sz w:val="18"/>
              </w:rPr>
              <w:t>212,020.81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1,088,456.81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line="338" w:lineRule="auto" w:before="119"/>
        <w:ind w:left="153"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3937" w:space="4894"/>
            <w:col w:w="209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9,600,366.10</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2,100,709.81</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75,414.00</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199,920.00</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169,920.00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11,976,409.91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计提、收回或转回的坏账准备情况" w:id="275"/>
      <w:bookmarkEnd w:id="275"/>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10"/>
        <w:gridCol w:w="1133"/>
        <w:gridCol w:w="1138"/>
        <w:gridCol w:w="1133"/>
        <w:gridCol w:w="888"/>
        <w:gridCol w:w="1738"/>
        <w:gridCol w:w="1728"/>
      </w:tblGrid>
      <w:tr>
        <w:trPr>
          <w:trHeight w:val="404" w:hRule="exact"/>
        </w:trPr>
        <w:tc>
          <w:tcPr>
            <w:tcW w:w="1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10"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8"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按单项计提坏账准备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274,090.81</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274,090.81</w:t>
            </w:r>
          </w:p>
        </w:tc>
      </w:tr>
      <w:tr>
        <w:trPr>
          <w:trHeight w:val="40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96,341.75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-540,059.29</w:t>
            </w:r>
          </w:p>
        </w:tc>
        <w:tc>
          <w:tcPr>
            <w:tcW w:w="113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8" w:right="0"/>
              <w:jc w:val="left"/>
              <w:rPr>
                <w:rFonts w:ascii="Times New Roman" w:hAnsi="Times New Roman" w:cs="Times New Roman" w:eastAsia="Times New Roman" w:hint="default"/>
                <w:sz w:val="18"/>
                <w:szCs w:val="18"/>
              </w:rPr>
            </w:pPr>
            <w:r>
              <w:rPr>
                <w:rFonts w:ascii="Times New Roman"/>
                <w:sz w:val="18"/>
              </w:rPr>
              <w:t>1,258,083.54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814,366.00</w:t>
            </w:r>
          </w:p>
        </w:tc>
      </w:tr>
      <w:tr>
        <w:trPr>
          <w:trHeight w:val="404" w:hRule="exact"/>
        </w:trPr>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370,432.56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-540,059.29</w:t>
            </w:r>
          </w:p>
        </w:tc>
        <w:tc>
          <w:tcPr>
            <w:tcW w:w="113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8" w:right="0"/>
              <w:jc w:val="left"/>
              <w:rPr>
                <w:rFonts w:ascii="Times New Roman" w:hAnsi="Times New Roman" w:cs="Times New Roman" w:eastAsia="Times New Roman" w:hint="default"/>
                <w:sz w:val="18"/>
                <w:szCs w:val="18"/>
              </w:rPr>
            </w:pPr>
            <w:r>
              <w:rPr>
                <w:rFonts w:ascii="Times New Roman"/>
                <w:sz w:val="18"/>
              </w:rPr>
              <w:t>1,258,083.54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1,088,456.81</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其中本期坏账准备转回或收回金额重要的：</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4）本期实际核销的其他应收款情况" w:id="276"/>
      <w:bookmarkEnd w:id="276"/>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763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其中重要的其他应收款核销情况：</w:t>
      </w:r>
    </w:p>
    <w:p>
      <w:pPr>
        <w:spacing w:line="343" w:lineRule="auto" w:before="41"/>
        <w:ind w:left="153" w:right="85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其他应收款核销说明：</w:t>
      </w:r>
    </w:p>
    <w:p>
      <w:pPr>
        <w:spacing w:before="3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580" w:bottom="700" w:left="980" w:right="0"/>
        </w:sectPr>
      </w:pPr>
    </w:p>
    <w:p>
      <w:pPr>
        <w:spacing w:line="240" w:lineRule="auto" w:before="0"/>
        <w:rPr>
          <w:rFonts w:ascii="宋体" w:hAnsi="宋体" w:cs="宋体" w:eastAsia="宋体" w:hint="default"/>
          <w:sz w:val="24"/>
          <w:szCs w:val="24"/>
        </w:rPr>
      </w:pPr>
    </w:p>
    <w:p>
      <w:pPr>
        <w:pStyle w:val="Heading3"/>
        <w:spacing w:line="240" w:lineRule="auto" w:before="36"/>
        <w:ind w:right="0"/>
        <w:jc w:val="left"/>
        <w:rPr>
          <w:b w:val="0"/>
          <w:bCs w:val="0"/>
        </w:rPr>
      </w:pPr>
      <w:bookmarkStart w:name="5）按欠款方归集的期末余额前五名的其他应收款情况" w:id="277"/>
      <w:bookmarkEnd w:id="277"/>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72" w:right="70"/>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湖北今日头条科技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14.19%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85,000.00</w:t>
            </w: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厦门吉宏科技股份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股权转让款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7,025,340.09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58.66%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351,267.00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林凡斯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股权转让款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10.60%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127,000.00</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北京金色梧桐环保</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设备有限公司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572,589.00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61" w:right="0"/>
              <w:jc w:val="left"/>
              <w:rPr>
                <w:rFonts w:ascii="Times New Roman" w:hAnsi="Times New Roman" w:cs="Times New Roman" w:eastAsia="Times New Roman" w:hint="default"/>
                <w:sz w:val="18"/>
                <w:szCs w:val="18"/>
              </w:rPr>
            </w:pPr>
            <w:r>
              <w:rPr>
                <w:rFonts w:ascii="Times New Roman"/>
                <w:sz w:val="18"/>
              </w:rPr>
              <w:t>4.78%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57,258.90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霍尔果斯初聚网络</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212,020.81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1" w:right="0"/>
              <w:jc w:val="left"/>
              <w:rPr>
                <w:rFonts w:ascii="Times New Roman" w:hAnsi="Times New Roman" w:cs="Times New Roman" w:eastAsia="Times New Roman" w:hint="default"/>
                <w:sz w:val="18"/>
                <w:szCs w:val="18"/>
              </w:rPr>
            </w:pPr>
            <w:r>
              <w:rPr>
                <w:rFonts w:ascii="Times New Roman"/>
                <w:sz w:val="18"/>
              </w:rPr>
              <w:t>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212,020.81</w:t>
            </w: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10,779,949.90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90.01%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832,546.71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涉及政府补助的应收款项" w:id="278"/>
      <w:bookmarkEnd w:id="278"/>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7）因金融资产转移而终止确认的其他应收款" w:id="279"/>
      <w:bookmarkEnd w:id="279"/>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8）转移其他应收款且继续涉入形成的资产、负债金额" w:id="280"/>
      <w:bookmarkEnd w:id="280"/>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9、存货" w:id="281"/>
      <w:bookmarkEnd w:id="281"/>
      <w:r>
        <w:rPr>
          <w:b w:val="0"/>
          <w:bCs w:val="0"/>
        </w:rPr>
      </w:r>
      <w:r>
        <w:rPr>
          <w:rFonts w:ascii="Times New Roman" w:hAnsi="Times New Roman" w:cs="Times New Roman" w:eastAsia="Times New Roman" w:hint="default"/>
        </w:rPr>
        <w:t>9</w:t>
      </w:r>
      <w:r>
        <w:rPr/>
        <w:t>、存货</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1）存货分类" w:id="282"/>
      <w:bookmarkEnd w:id="282"/>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57"/>
      </w:tblGrid>
      <w:tr>
        <w:trPr>
          <w:trHeight w:val="206" w:hRule="exact"/>
        </w:trPr>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3" w:hRule="exact"/>
        </w:trPr>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vMerge/>
            <w:tcBorders>
              <w:left w:val="single" w:sz="4" w:space="0" w:color="000000"/>
              <w:bottom w:val="single" w:sz="4" w:space="0" w:color="000000"/>
              <w:right w:val="single" w:sz="4" w:space="0" w:color="000000"/>
            </w:tcBorders>
            <w:shd w:val="clear" w:color="auto" w:fill="D2D2D2"/>
          </w:tcPr>
          <w:p>
            <w:pPr/>
          </w:p>
        </w:tc>
        <w:tc>
          <w:tcPr>
            <w:tcW w:w="4089"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5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85" w:right="0"/>
              <w:jc w:val="left"/>
              <w:rPr>
                <w:rFonts w:ascii="Times New Roman" w:hAnsi="Times New Roman" w:cs="Times New Roman" w:eastAsia="Times New Roman" w:hint="default"/>
                <w:sz w:val="18"/>
                <w:szCs w:val="18"/>
              </w:rPr>
            </w:pPr>
            <w:r>
              <w:rPr>
                <w:rFonts w:ascii="Times New Roman"/>
                <w:sz w:val="18"/>
              </w:rPr>
              <w:t>36,437,526.78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455,833.90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35,981,692.88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7" w:right="0"/>
              <w:jc w:val="left"/>
              <w:rPr>
                <w:rFonts w:ascii="Times New Roman" w:hAnsi="Times New Roman" w:cs="Times New Roman" w:eastAsia="Times New Roman" w:hint="default"/>
                <w:sz w:val="18"/>
                <w:szCs w:val="18"/>
              </w:rPr>
            </w:pPr>
            <w:r>
              <w:rPr>
                <w:rFonts w:ascii="Times New Roman"/>
                <w:spacing w:val="-2"/>
                <w:sz w:val="18"/>
              </w:rPr>
              <w:t>38,480,081.11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5" w:right="0"/>
              <w:jc w:val="left"/>
              <w:rPr>
                <w:rFonts w:ascii="Times New Roman" w:hAnsi="Times New Roman" w:cs="Times New Roman" w:eastAsia="Times New Roman" w:hint="default"/>
                <w:sz w:val="18"/>
                <w:szCs w:val="18"/>
              </w:rPr>
            </w:pPr>
            <w:r>
              <w:rPr>
                <w:rFonts w:ascii="Times New Roman"/>
                <w:sz w:val="18"/>
              </w:rPr>
              <w:t>28,394.98</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38,451,686.13</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12"/>
        <w:rPr>
          <w:rFonts w:ascii="宋体" w:hAnsi="宋体" w:cs="宋体" w:eastAsia="宋体"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357"/>
        <w:gridCol w:w="1380"/>
        <w:gridCol w:w="1369"/>
        <w:gridCol w:w="1368"/>
        <w:gridCol w:w="1364"/>
        <w:gridCol w:w="1369"/>
        <w:gridCol w:w="1369"/>
      </w:tblGrid>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11,208,842.61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158,914.01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11,049,928.60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13,179,603.80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731,680.19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12,447,923.61</w:t>
            </w: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33,311,553.99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33,311,553.99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23,603,855.65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23,603,855.65</w:t>
            </w: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345,963.23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345,963.23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270,665.11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270,665.11</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81,303,886.61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614,747.91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80,689,138.70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75,534,205.67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760,075.17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74,774,130.50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存货跌价准备" w:id="283"/>
      <w:bookmarkEnd w:id="283"/>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9"/>
        <w:gridCol w:w="1368"/>
        <w:gridCol w:w="1364"/>
        <w:gridCol w:w="1369"/>
        <w:gridCol w:w="1369"/>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4"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4"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28,394.98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455,833.90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28,394.98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455,833.90</w:t>
            </w: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731,680.19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572,766.18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158,914.01</w:t>
            </w:r>
          </w:p>
        </w:tc>
      </w:tr>
      <w:tr>
        <w:trPr>
          <w:trHeight w:val="35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760,075.17</w:t>
            </w:r>
          </w:p>
        </w:tc>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455,833.90</w:t>
            </w:r>
          </w:p>
        </w:tc>
        <w:tc>
          <w:tcPr>
            <w:tcW w:w="1368" w:type="dxa"/>
            <w:vMerge w:val="restart"/>
            <w:tcBorders>
              <w:top w:val="single" w:sz="4" w:space="0" w:color="000000"/>
              <w:left w:val="single" w:sz="4" w:space="0" w:color="000000"/>
              <w:right w:val="single" w:sz="4" w:space="0" w:color="000000"/>
            </w:tcBorders>
          </w:tcPr>
          <w:p>
            <w:pP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601,161.16</w:t>
            </w:r>
          </w:p>
        </w:tc>
        <w:tc>
          <w:tcPr>
            <w:tcW w:w="1369"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614,747.91</w:t>
            </w:r>
          </w:p>
        </w:tc>
      </w:tr>
      <w:tr>
        <w:trPr>
          <w:trHeight w:val="394"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vMerge/>
            <w:tcBorders>
              <w:left w:val="single" w:sz="10" w:space="0" w:color="D2D2D2"/>
              <w:right w:val="single" w:sz="4" w:space="0" w:color="000000"/>
            </w:tcBorders>
          </w:tcPr>
          <w:p>
            <w:pPr/>
          </w:p>
        </w:tc>
        <w:tc>
          <w:tcPr>
            <w:tcW w:w="1369"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4"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r>
      <w:tr>
        <w:trPr>
          <w:trHeight w:val="35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10" w:space="0" w:color="D2D2D2"/>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本公司之子公司对以前年度计提的存货跌价准备本期进行转销。</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12）存货期末余额含有借款费用资本化金额的说明" w:id="284"/>
      <w:bookmarkEnd w:id="284"/>
      <w:r>
        <w:rPr>
          <w:b w:val="0"/>
          <w:bCs w:val="0"/>
        </w:rPr>
      </w:r>
      <w:r>
        <w:rPr/>
        <w:t>（</w:t>
      </w:r>
      <w:r>
        <w:rPr>
          <w:rFonts w:ascii="Times New Roman" w:hAnsi="Times New Roman" w:cs="Times New Roman" w:eastAsia="Times New Roman" w:hint="default"/>
        </w:rPr>
        <w:t>12</w:t>
      </w:r>
      <w:r>
        <w:rPr/>
        <w:t>）存货期末余额含有借款费用资本化金额的说明</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13）期末建造合同形成的已完工未结算资产情况" w:id="285"/>
      <w:bookmarkEnd w:id="285"/>
      <w:r>
        <w:rPr>
          <w:b w:val="0"/>
          <w:bCs w:val="0"/>
        </w:rPr>
      </w:r>
      <w:r>
        <w:rPr/>
        <w:t>（</w:t>
      </w:r>
      <w:r>
        <w:rPr>
          <w:rFonts w:ascii="Times New Roman" w:hAnsi="Times New Roman" w:cs="Times New Roman" w:eastAsia="Times New Roman" w:hint="default"/>
        </w:rPr>
        <w:t>13</w:t>
      </w:r>
      <w:r>
        <w:rPr/>
        <w:t>）期末建造合同形成的已完工未结算资产情况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10、合同资产" w:id="286"/>
      <w:bookmarkEnd w:id="286"/>
      <w:r>
        <w:rPr>
          <w:b w:val="0"/>
          <w:bCs w:val="0"/>
        </w:rPr>
      </w:r>
      <w:r>
        <w:rPr>
          <w:rFonts w:ascii="Times New Roman" w:hAnsi="Times New Roman" w:cs="Times New Roman" w:eastAsia="Times New Roman" w:hint="default"/>
        </w:rPr>
        <w:t>10</w:t>
      </w:r>
      <w:r>
        <w:rPr/>
        <w:t>、合同资产</w:t>
      </w:r>
      <w:r>
        <w:rPr>
          <w:b w:val="0"/>
          <w:bCs w:val="0"/>
        </w:rPr>
      </w:r>
    </w:p>
    <w:p>
      <w:pPr>
        <w:spacing w:line="240" w:lineRule="auto" w:before="1"/>
        <w:rPr>
          <w:rFonts w:ascii="宋体" w:hAnsi="宋体" w:cs="宋体" w:eastAsia="宋体" w:hint="default"/>
          <w:b/>
          <w:bCs/>
          <w:sz w:val="27"/>
          <w:szCs w:val="27"/>
        </w:rPr>
      </w:pPr>
    </w:p>
    <w:p>
      <w:pPr>
        <w:spacing w:line="343" w:lineRule="auto" w:before="0"/>
        <w:ind w:left="153" w:right="6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合同资产的账面价值在本期内发生的重大变动金额和原因：</w:t>
      </w:r>
    </w:p>
    <w:p>
      <w:pPr>
        <w:spacing w:line="338" w:lineRule="auto" w:before="37"/>
        <w:ind w:left="153" w:right="10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如是按照预期信用损失一般模型计提合同资产坏账准备，请参照其他应收款的披露方式披露坏账准备的相关信息：</w:t>
      </w:r>
    </w:p>
    <w:p>
      <w:pPr>
        <w:spacing w:line="338" w:lineRule="auto" w:before="46"/>
        <w:ind w:left="153" w:right="763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本期合同资产计提减值准备情况</w:t>
      </w:r>
    </w:p>
    <w:p>
      <w:pPr>
        <w:spacing w:before="4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11、持有待售资产" w:id="287"/>
      <w:bookmarkEnd w:id="287"/>
      <w:r>
        <w:rPr>
          <w:b w:val="0"/>
          <w:bCs w:val="0"/>
        </w:rPr>
      </w:r>
      <w:r>
        <w:rPr>
          <w:rFonts w:ascii="Times New Roman" w:hAnsi="Times New Roman" w:cs="Times New Roman" w:eastAsia="Times New Roman" w:hint="default"/>
        </w:rPr>
        <w:t>11</w:t>
      </w:r>
      <w:r>
        <w:rPr/>
        <w:t>、持有待售资产</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宋体" w:hAnsi="宋体" w:cs="宋体" w:eastAsia="宋体" w:hint="default"/>
          <w:sz w:val="24"/>
          <w:szCs w:val="24"/>
        </w:rPr>
      </w:pPr>
    </w:p>
    <w:p>
      <w:pPr>
        <w:pStyle w:val="Heading3"/>
        <w:spacing w:line="240" w:lineRule="auto" w:before="36"/>
        <w:ind w:right="0"/>
        <w:jc w:val="left"/>
        <w:rPr>
          <w:b w:val="0"/>
          <w:bCs w:val="0"/>
        </w:rPr>
      </w:pPr>
      <w:bookmarkStart w:name="12、一年内到期的非流动资产" w:id="288"/>
      <w:bookmarkEnd w:id="288"/>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763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重要的债权投资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其他债权投资</w:t>
      </w:r>
    </w:p>
    <w:p>
      <w:pPr>
        <w:spacing w:before="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13、其他流动资产" w:id="289"/>
      <w:bookmarkEnd w:id="289"/>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1959" w:space="6872"/>
            <w:col w:w="20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待抵扣进项税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6,347,867.91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1,936,688.21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预交税金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589,523.16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6,937,391.07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1,936,688.21</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14、债权投资" w:id="290"/>
      <w:bookmarkEnd w:id="290"/>
      <w:r>
        <w:rPr>
          <w:b w:val="0"/>
          <w:bCs w:val="0"/>
        </w:rPr>
      </w:r>
      <w:r>
        <w:rPr>
          <w:rFonts w:ascii="Times New Roman" w:hAnsi="Times New Roman" w:cs="Times New Roman" w:eastAsia="Times New Roman" w:hint="default"/>
        </w:rPr>
        <w:t>14</w:t>
      </w:r>
      <w:r>
        <w:rPr/>
        <w:t>、债权投资</w:t>
      </w:r>
      <w:r>
        <w:rPr>
          <w:b w:val="0"/>
          <w:bCs w:val="0"/>
        </w:rPr>
      </w:r>
    </w:p>
    <w:p>
      <w:pPr>
        <w:spacing w:line="706" w:lineRule="exact" w:before="0"/>
        <w:ind w:left="153" w:right="85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pacing w:val="-3"/>
          <w:sz w:val="18"/>
          <w:szCs w:val="18"/>
        </w:rPr>
        <w:t>重要的债权投资</w:t>
      </w:r>
    </w:p>
    <w:p>
      <w:pPr>
        <w:spacing w:line="248" w:lineRule="exact"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line="343" w:lineRule="auto" w:before="115"/>
        <w:ind w:left="153" w:right="6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损失准备本期变动金额重大的账面余额变动情况</w:t>
      </w:r>
    </w:p>
    <w:p>
      <w:pPr>
        <w:spacing w:before="38"/>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15、其他债权投资" w:id="291"/>
      <w:bookmarkEnd w:id="291"/>
      <w:r>
        <w:rPr>
          <w:b w:val="0"/>
          <w:bCs w:val="0"/>
        </w:rPr>
      </w:r>
      <w:r>
        <w:rPr>
          <w:rFonts w:ascii="Times New Roman" w:hAnsi="Times New Roman" w:cs="Times New Roman" w:eastAsia="Times New Roman" w:hint="default"/>
        </w:rPr>
        <w:t>15</w:t>
      </w:r>
      <w:r>
        <w:rPr/>
        <w:t>、其他债权投资</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重要的其他债权投资</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line="338" w:lineRule="auto" w:before="119"/>
        <w:ind w:left="153" w:right="6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损失准备本期变动金额重大的账面余额变动情况</w:t>
      </w:r>
    </w:p>
    <w:p>
      <w:pPr>
        <w:spacing w:before="4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580" w:bottom="700" w:left="980" w:right="0"/>
        </w:sectPr>
      </w:pPr>
    </w:p>
    <w:p>
      <w:pPr>
        <w:spacing w:line="240" w:lineRule="auto" w:before="0"/>
        <w:rPr>
          <w:rFonts w:ascii="宋体" w:hAnsi="宋体" w:cs="宋体" w:eastAsia="宋体" w:hint="default"/>
          <w:sz w:val="24"/>
          <w:szCs w:val="24"/>
        </w:rPr>
      </w:pPr>
    </w:p>
    <w:p>
      <w:pPr>
        <w:pStyle w:val="Heading3"/>
        <w:spacing w:line="240" w:lineRule="auto" w:before="36"/>
        <w:ind w:right="0"/>
        <w:jc w:val="left"/>
        <w:rPr>
          <w:b w:val="0"/>
          <w:bCs w:val="0"/>
        </w:rPr>
      </w:pPr>
      <w:bookmarkStart w:name="16、长期应收款" w:id="292"/>
      <w:bookmarkEnd w:id="292"/>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93"/>
      <w:bookmarkEnd w:id="293"/>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85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适用</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坏账准备减值情况</w:t>
      </w:r>
    </w:p>
    <w:p>
      <w:pPr>
        <w:spacing w:line="343" w:lineRule="auto" w:before="41"/>
        <w:ind w:left="153" w:right="6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损失准备本期变动金额重大的账面余额变动情况</w:t>
      </w:r>
    </w:p>
    <w:p>
      <w:pPr>
        <w:spacing w:before="38"/>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因金融资产转移而终止确认的长期应收款" w:id="294"/>
      <w:bookmarkEnd w:id="294"/>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3）转移长期应收款且继续涉入形成的资产、负债金额" w:id="295"/>
      <w:bookmarkEnd w:id="295"/>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11"/>
        <w:rPr>
          <w:rFonts w:ascii="宋体" w:hAnsi="宋体" w:cs="宋体" w:eastAsia="宋体" w:hint="default"/>
          <w:sz w:val="5"/>
          <w:szCs w:val="5"/>
        </w:rPr>
      </w:pPr>
    </w:p>
    <w:p>
      <w:pPr>
        <w:spacing w:line="658" w:lineRule="exact"/>
        <w:ind w:left="104"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701.75pt;height:32.950pt;mso-position-horizontal-relative:char;mso-position-vertical-relative:line" coordorigin="0,0" coordsize="14035,659">
            <v:group style="position:absolute;left:7;top:652;width:14020;height:2" coordorigin="7,652" coordsize="14020,2">
              <v:shape style="position:absolute;left:7;top:652;width:14020;height:2" coordorigin="7,652" coordsize="14020,0" path="m7,652l14027,652e" filled="false" stroked="true" strokeweight=".72pt" strokecolor="#000000">
                <v:path arrowok="t"/>
              </v:shape>
              <v:shape style="position:absolute;left:36;top:0;width:2310;height:615" type="#_x0000_t75" stroked="false">
                <v:imagedata r:id="rId6" o:title=""/>
              </v:shape>
              <v:shape style="position:absolute;left:0;top:0;width:14035;height:659" type="#_x0000_t202" filled="false" stroked="false">
                <v:textbox inset="0,0,0,0">
                  <w:txbxContent>
                    <w:p>
                      <w:pPr>
                        <w:spacing w:line="240" w:lineRule="auto" w:before="0"/>
                        <w:rPr>
                          <w:rFonts w:ascii="宋体" w:hAnsi="宋体" w:cs="宋体" w:eastAsia="宋体" w:hint="default"/>
                          <w:sz w:val="18"/>
                          <w:szCs w:val="18"/>
                        </w:rPr>
                      </w:pPr>
                    </w:p>
                    <w:p>
                      <w:pPr>
                        <w:spacing w:before="122"/>
                        <w:ind w:left="0" w:right="29" w:firstLine="0"/>
                        <w:jc w:val="right"/>
                        <w:rPr>
                          <w:rFonts w:ascii="宋体" w:hAnsi="宋体" w:cs="宋体" w:eastAsia="宋体" w:hint="default"/>
                          <w:sz w:val="18"/>
                          <w:szCs w:val="18"/>
                        </w:rPr>
                      </w:pPr>
                      <w:r>
                        <w:rPr>
                          <w:rFonts w:ascii="宋体" w:hAnsi="宋体" w:cs="宋体" w:eastAsia="宋体" w:hint="default"/>
                          <w:spacing w:val="-3"/>
                          <w:sz w:val="18"/>
                          <w:szCs w:val="18"/>
                        </w:rPr>
                        <w:t>西安环球印务股份有限公司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年年度报告全文</w:t>
                      </w:r>
                    </w:p>
                  </w:txbxContent>
                </v:textbox>
                <w10:wrap type="none"/>
              </v:shape>
            </v:group>
          </v:group>
        </w:pict>
      </w:r>
      <w:r>
        <w:rPr>
          <w:rFonts w:ascii="宋体" w:hAnsi="宋体" w:cs="宋体" w:eastAsia="宋体" w:hint="default"/>
          <w:position w:val="-12"/>
          <w:sz w:val="20"/>
          <w:szCs w:val="20"/>
        </w:rPr>
      </w:r>
    </w:p>
    <w:p>
      <w:pPr>
        <w:pStyle w:val="Heading3"/>
        <w:spacing w:line="240" w:lineRule="auto"/>
        <w:ind w:left="140" w:right="0"/>
        <w:jc w:val="left"/>
        <w:rPr>
          <w:b w:val="0"/>
          <w:bCs w:val="0"/>
        </w:rPr>
      </w:pPr>
      <w:bookmarkStart w:name="17、长期股权投资" w:id="296"/>
      <w:bookmarkEnd w:id="296"/>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7"/>
        <w:rPr>
          <w:rFonts w:ascii="宋体" w:hAnsi="宋体" w:cs="宋体" w:eastAsia="宋体" w:hint="default"/>
          <w:b/>
          <w:bCs/>
          <w:sz w:val="23"/>
          <w:szCs w:val="23"/>
        </w:rPr>
      </w:pPr>
    </w:p>
    <w:p>
      <w:pPr>
        <w:spacing w:before="46"/>
        <w:ind w:left="0" w:right="24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167"/>
        <w:gridCol w:w="1166"/>
        <w:gridCol w:w="1167"/>
        <w:gridCol w:w="1167"/>
        <w:gridCol w:w="1171"/>
        <w:gridCol w:w="1167"/>
        <w:gridCol w:w="1172"/>
        <w:gridCol w:w="1166"/>
        <w:gridCol w:w="1172"/>
        <w:gridCol w:w="1167"/>
        <w:gridCol w:w="1171"/>
        <w:gridCol w:w="1167"/>
      </w:tblGrid>
      <w:tr>
        <w:trPr>
          <w:trHeight w:val="403" w:hRule="exact"/>
        </w:trPr>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4" w:lineRule="auto"/>
              <w:ind w:left="278" w:right="95" w:hanging="183"/>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账</w:t>
            </w:r>
            <w:r>
              <w:rPr>
                <w:rFonts w:ascii="宋体" w:hAnsi="宋体" w:cs="宋体" w:eastAsia="宋体" w:hint="default"/>
                <w:spacing w:val="-75"/>
                <w:sz w:val="18"/>
                <w:szCs w:val="18"/>
              </w:rPr>
              <w:t> </w:t>
            </w:r>
            <w:r>
              <w:rPr>
                <w:rFonts w:ascii="宋体" w:hAnsi="宋体" w:cs="宋体" w:eastAsia="宋体" w:hint="default"/>
                <w:sz w:val="18"/>
                <w:szCs w:val="18"/>
              </w:rPr>
              <w:t>面价值</w:t>
            </w:r>
            <w:r>
              <w:rPr>
                <w:rFonts w:ascii="Times New Roman" w:hAnsi="Times New Roman" w:cs="Times New Roman" w:eastAsia="Times New Roman" w:hint="default"/>
                <w:sz w:val="18"/>
                <w:szCs w:val="18"/>
              </w:rPr>
              <w:t>)</w:t>
            </w:r>
          </w:p>
        </w:tc>
        <w:tc>
          <w:tcPr>
            <w:tcW w:w="934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4" w:lineRule="auto"/>
              <w:ind w:left="278" w:right="95" w:hanging="178"/>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账</w:t>
            </w:r>
            <w:r>
              <w:rPr>
                <w:rFonts w:ascii="宋体" w:hAnsi="宋体" w:cs="宋体" w:eastAsia="宋体" w:hint="default"/>
                <w:spacing w:val="-75"/>
                <w:sz w:val="18"/>
                <w:szCs w:val="18"/>
              </w:rPr>
              <w:t> </w:t>
            </w:r>
            <w:r>
              <w:rPr>
                <w:rFonts w:ascii="宋体" w:hAnsi="宋体" w:cs="宋体" w:eastAsia="宋体" w:hint="default"/>
                <w:sz w:val="18"/>
                <w:szCs w:val="18"/>
              </w:rPr>
              <w:t>面价值</w:t>
            </w:r>
            <w:r>
              <w:rPr>
                <w:rFonts w:ascii="Times New Roman" w:hAnsi="Times New Roman" w:cs="Times New Roman" w:eastAsia="Times New Roman" w:hint="default"/>
                <w:sz w:val="18"/>
                <w:szCs w:val="18"/>
              </w:rPr>
              <w:t>)</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21" w:lineRule="auto"/>
              <w:ind w:left="399" w:right="32" w:hanging="361"/>
              <w:jc w:val="left"/>
              <w:rPr>
                <w:rFonts w:ascii="宋体" w:hAnsi="宋体" w:cs="宋体" w:eastAsia="宋体" w:hint="default"/>
                <w:sz w:val="18"/>
                <w:szCs w:val="18"/>
              </w:rPr>
            </w:pPr>
            <w:r>
              <w:rPr>
                <w:rFonts w:ascii="宋体" w:hAnsi="宋体" w:cs="宋体" w:eastAsia="宋体" w:hint="default"/>
                <w:spacing w:val="-2"/>
                <w:sz w:val="18"/>
                <w:szCs w:val="18"/>
              </w:rPr>
              <w:t>减值准备期末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r>
      <w:tr>
        <w:trPr>
          <w:trHeight w:val="716" w:hRule="exact"/>
        </w:trPr>
        <w:tc>
          <w:tcPr>
            <w:tcW w:w="1167"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29" w:right="36" w:hanging="92"/>
              <w:jc w:val="left"/>
              <w:rPr>
                <w:rFonts w:ascii="宋体" w:hAnsi="宋体" w:cs="宋体" w:eastAsia="宋体" w:hint="default"/>
                <w:sz w:val="18"/>
                <w:szCs w:val="18"/>
              </w:rPr>
            </w:pPr>
            <w:r>
              <w:rPr>
                <w:rFonts w:ascii="宋体" w:hAnsi="宋体" w:cs="宋体" w:eastAsia="宋体" w:hint="default"/>
                <w:spacing w:val="-2"/>
                <w:sz w:val="18"/>
                <w:szCs w:val="18"/>
              </w:rPr>
              <w:t>权益法下确认</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的投资损益</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94" w:right="36" w:hanging="361"/>
              <w:jc w:val="left"/>
              <w:rPr>
                <w:rFonts w:ascii="宋体" w:hAnsi="宋体" w:cs="宋体" w:eastAsia="宋体" w:hint="default"/>
                <w:sz w:val="18"/>
                <w:szCs w:val="18"/>
              </w:rPr>
            </w:pPr>
            <w:r>
              <w:rPr>
                <w:rFonts w:ascii="宋体" w:hAnsi="宋体" w:cs="宋体" w:eastAsia="宋体" w:hint="default"/>
                <w:spacing w:val="-2"/>
                <w:sz w:val="18"/>
                <w:szCs w:val="18"/>
              </w:rPr>
              <w:t>其他综合收益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调整</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其他权益变动</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24" w:right="36" w:hanging="92"/>
              <w:jc w:val="left"/>
              <w:rPr>
                <w:rFonts w:ascii="宋体" w:hAnsi="宋体" w:cs="宋体" w:eastAsia="宋体" w:hint="default"/>
                <w:sz w:val="18"/>
                <w:szCs w:val="18"/>
              </w:rPr>
            </w:pPr>
            <w:r>
              <w:rPr>
                <w:rFonts w:ascii="宋体" w:hAnsi="宋体" w:cs="宋体" w:eastAsia="宋体" w:hint="default"/>
                <w:spacing w:val="-2"/>
                <w:sz w:val="18"/>
                <w:szCs w:val="18"/>
              </w:rPr>
              <w:t>宣告发放现金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股利或利润</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71"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02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98" w:hRule="exact"/>
        </w:trPr>
        <w:tc>
          <w:tcPr>
            <w:tcW w:w="1402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6" w:hRule="exact"/>
        </w:trPr>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46"/>
              <w:jc w:val="left"/>
              <w:rPr>
                <w:rFonts w:ascii="宋体" w:hAnsi="宋体" w:cs="宋体" w:eastAsia="宋体" w:hint="default"/>
                <w:sz w:val="18"/>
                <w:szCs w:val="18"/>
              </w:rPr>
            </w:pPr>
            <w:r>
              <w:rPr>
                <w:rFonts w:ascii="宋体" w:hAnsi="宋体" w:cs="宋体" w:eastAsia="宋体" w:hint="default"/>
                <w:spacing w:val="-2"/>
                <w:sz w:val="18"/>
                <w:szCs w:val="18"/>
              </w:rPr>
              <w:t>西安德宝药用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包装有限公司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46,911,073.39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6,078,379.03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1,416,021.99</w:t>
            </w:r>
          </w:p>
        </w:tc>
        <w:tc>
          <w:tcPr>
            <w:tcW w:w="117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51,573,430.43</w:t>
            </w: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46"/>
              <w:jc w:val="both"/>
              <w:rPr>
                <w:rFonts w:ascii="宋体" w:hAnsi="宋体" w:cs="宋体" w:eastAsia="宋体" w:hint="default"/>
                <w:sz w:val="18"/>
                <w:szCs w:val="18"/>
              </w:rPr>
            </w:pPr>
            <w:r>
              <w:rPr>
                <w:rFonts w:ascii="宋体" w:hAnsi="宋体" w:cs="宋体" w:eastAsia="宋体" w:hint="default"/>
                <w:spacing w:val="-2"/>
                <w:sz w:val="18"/>
                <w:szCs w:val="18"/>
              </w:rPr>
              <w:t>上海久旭环保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科技股份有限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24,996,565.16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-8,273.45</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24,988,291.71</w:t>
            </w: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46"/>
              <w:jc w:val="both"/>
              <w:rPr>
                <w:rFonts w:ascii="宋体" w:hAnsi="宋体" w:cs="宋体" w:eastAsia="宋体" w:hint="default"/>
                <w:sz w:val="18"/>
                <w:szCs w:val="18"/>
              </w:rPr>
            </w:pPr>
            <w:r>
              <w:rPr>
                <w:rFonts w:ascii="宋体" w:hAnsi="宋体" w:cs="宋体" w:eastAsia="宋体" w:hint="default"/>
                <w:spacing w:val="-2"/>
                <w:sz w:val="18"/>
                <w:szCs w:val="18"/>
              </w:rPr>
              <w:t>北京今印联图</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像设备有限公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1,390,027.13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203,245.81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1,593,272.94</w:t>
            </w: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71,907,638.55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2" w:right="0"/>
              <w:jc w:val="left"/>
              <w:rPr>
                <w:rFonts w:ascii="Times New Roman" w:hAnsi="Times New Roman" w:cs="Times New Roman" w:eastAsia="Times New Roman" w:hint="default"/>
                <w:sz w:val="18"/>
                <w:szCs w:val="18"/>
              </w:rPr>
            </w:pPr>
            <w:r>
              <w:rPr>
                <w:rFonts w:ascii="Times New Roman"/>
                <w:sz w:val="18"/>
              </w:rPr>
              <w:t>1,390,027.13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6,273,351.39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1,416,021.99</w:t>
            </w:r>
          </w:p>
        </w:tc>
        <w:tc>
          <w:tcPr>
            <w:tcW w:w="117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78,154,995.08</w:t>
            </w: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71,907,638.55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2" w:right="0"/>
              <w:jc w:val="left"/>
              <w:rPr>
                <w:rFonts w:ascii="Times New Roman" w:hAnsi="Times New Roman" w:cs="Times New Roman" w:eastAsia="Times New Roman" w:hint="default"/>
                <w:sz w:val="18"/>
                <w:szCs w:val="18"/>
              </w:rPr>
            </w:pPr>
            <w:r>
              <w:rPr>
                <w:rFonts w:ascii="Times New Roman"/>
                <w:sz w:val="18"/>
              </w:rPr>
              <w:t>1,390,027.13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6,273,351.39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1,416,021.99</w:t>
            </w:r>
          </w:p>
        </w:tc>
        <w:tc>
          <w:tcPr>
            <w:tcW w:w="117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78,154,995.08</w:t>
            </w:r>
          </w:p>
        </w:tc>
        <w:tc>
          <w:tcPr>
            <w:tcW w:w="1167" w:type="dxa"/>
            <w:tcBorders>
              <w:top w:val="single" w:sz="4" w:space="0" w:color="000000"/>
              <w:left w:val="single" w:sz="4" w:space="0" w:color="000000"/>
              <w:bottom w:val="single" w:sz="4" w:space="0" w:color="000000"/>
              <w:right w:val="single" w:sz="4" w:space="0" w:color="000000"/>
            </w:tcBorders>
          </w:tcPr>
          <w:p>
            <w:pPr/>
          </w:p>
        </w:tc>
      </w:tr>
    </w:tbl>
    <w:p>
      <w:pPr>
        <w:spacing w:before="53"/>
        <w:ind w:left="140"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left="140" w:right="154" w:firstLine="422"/>
        <w:jc w:val="both"/>
      </w:pPr>
      <w:r>
        <w:rPr>
          <w:spacing w:val="-3"/>
        </w:rPr>
        <w:t>（</w:t>
      </w:r>
      <w:r>
        <w:rPr>
          <w:rFonts w:ascii="Times New Roman" w:hAnsi="Times New Roman" w:cs="Times New Roman" w:eastAsia="Times New Roman" w:hint="default"/>
          <w:spacing w:val="-3"/>
        </w:rPr>
        <w:t>1</w:t>
      </w:r>
      <w:r>
        <w:rPr>
          <w:spacing w:val="-3"/>
        </w:rPr>
        <w:t>）长期股权投资</w:t>
      </w:r>
      <w:r>
        <w:rPr>
          <w:rFonts w:ascii="Times New Roman" w:hAnsi="Times New Roman" w:cs="Times New Roman" w:eastAsia="Times New Roman" w:hint="default"/>
          <w:spacing w:val="-3"/>
        </w:rPr>
        <w:t>-</w:t>
      </w:r>
      <w:r>
        <w:rPr>
          <w:spacing w:val="-3"/>
        </w:rPr>
        <w:t>西安德宝药用包装有限公司本期变动额主要系：本公司根据持股比例确认应享有西安德宝实现净损益的份额，增加长期股权投资</w:t>
      </w:r>
      <w:r>
        <w:rPr>
          <w:w w:val="100"/>
        </w:rPr>
        <w:t> </w:t>
      </w:r>
      <w:r>
        <w:rPr>
          <w:spacing w:val="-2"/>
        </w:rPr>
        <w:t>的账面价值</w:t>
      </w:r>
      <w:r>
        <w:rPr>
          <w:rFonts w:ascii="Times New Roman" w:hAnsi="Times New Roman" w:cs="Times New Roman" w:eastAsia="Times New Roman" w:hint="default"/>
          <w:spacing w:val="-2"/>
        </w:rPr>
        <w:t>6,078,379.03</w:t>
      </w:r>
      <w:r>
        <w:rPr>
          <w:spacing w:val="-2"/>
        </w:rPr>
        <w:t>元。西安德宝于</w:t>
      </w:r>
      <w:r>
        <w:rPr>
          <w:rFonts w:ascii="Times New Roman" w:hAnsi="Times New Roman" w:cs="Times New Roman" w:eastAsia="Times New Roman" w:hint="default"/>
          <w:spacing w:val="-2"/>
        </w:rPr>
        <w:t>2018</w:t>
      </w:r>
      <w:r>
        <w:rPr>
          <w:spacing w:val="-2"/>
        </w:rPr>
        <w:t>年</w:t>
      </w:r>
      <w:r>
        <w:rPr>
          <w:spacing w:val="66"/>
        </w:rPr>
        <w:t> </w:t>
      </w:r>
      <w:r>
        <w:rPr>
          <w:rFonts w:ascii="Times New Roman" w:hAnsi="Times New Roman" w:cs="Times New Roman" w:eastAsia="Times New Roman" w:hint="default"/>
          <w:spacing w:val="-2"/>
        </w:rPr>
        <w:t>10</w:t>
      </w:r>
      <w:r>
        <w:rPr>
          <w:spacing w:val="-2"/>
        </w:rPr>
        <w:t>月召开通过第</w:t>
      </w:r>
      <w:r>
        <w:rPr>
          <w:rFonts w:ascii="Times New Roman" w:hAnsi="Times New Roman" w:cs="Times New Roman" w:eastAsia="Times New Roman" w:hint="default"/>
          <w:spacing w:val="-2"/>
        </w:rPr>
        <w:t>38</w:t>
      </w:r>
      <w:r>
        <w:rPr>
          <w:spacing w:val="-2"/>
        </w:rPr>
        <w:t>次董事会决议，决定向各股东分配</w:t>
      </w:r>
      <w:r>
        <w:rPr>
          <w:rFonts w:ascii="Times New Roman" w:hAnsi="Times New Roman" w:cs="Times New Roman" w:eastAsia="Times New Roman" w:hint="default"/>
          <w:spacing w:val="-2"/>
        </w:rPr>
        <w:t>2016</w:t>
      </w:r>
      <w:r>
        <w:rPr>
          <w:spacing w:val="-2"/>
        </w:rPr>
        <w:t>年度、</w:t>
      </w:r>
      <w:r>
        <w:rPr>
          <w:rFonts w:ascii="Times New Roman" w:hAnsi="Times New Roman" w:cs="Times New Roman" w:eastAsia="Times New Roman" w:hint="default"/>
          <w:spacing w:val="-2"/>
        </w:rPr>
        <w:t>2017</w:t>
      </w:r>
      <w:r>
        <w:rPr>
          <w:spacing w:val="-2"/>
        </w:rPr>
        <w:t>年度剩余</w:t>
      </w:r>
      <w:r>
        <w:rPr>
          <w:rFonts w:ascii="Times New Roman" w:hAnsi="Times New Roman" w:cs="Times New Roman" w:eastAsia="Times New Roman" w:hint="default"/>
          <w:spacing w:val="-2"/>
        </w:rPr>
        <w:t>20.00%</w:t>
      </w:r>
      <w:r>
        <w:rPr>
          <w:spacing w:val="-2"/>
        </w:rPr>
        <w:t>股利，本公司据持股</w:t>
      </w:r>
      <w:r>
        <w:rPr>
          <w:spacing w:val="-88"/>
        </w:rPr>
        <w:t> </w:t>
      </w:r>
      <w:r>
        <w:rPr>
          <w:spacing w:val="-88"/>
        </w:rPr>
      </w:r>
      <w:r>
        <w:rPr/>
        <w:t>比例计算应收股利并减少长期股权投资账面价值</w:t>
      </w:r>
      <w:r>
        <w:rPr>
          <w:rFonts w:ascii="Times New Roman" w:hAnsi="Times New Roman" w:cs="Times New Roman" w:eastAsia="Times New Roman" w:hint="default"/>
        </w:rPr>
        <w:t>1,416,021.99</w:t>
      </w:r>
      <w:r>
        <w:rPr/>
        <w:t>元。</w:t>
      </w:r>
    </w:p>
    <w:p>
      <w:pPr>
        <w:pStyle w:val="BodyText"/>
        <w:spacing w:line="256" w:lineRule="auto" w:before="5"/>
        <w:ind w:left="140" w:right="151" w:firstLine="422"/>
        <w:jc w:val="both"/>
      </w:pPr>
      <w:r>
        <w:rPr>
          <w:spacing w:val="-3"/>
        </w:rPr>
        <w:t>（</w:t>
      </w:r>
      <w:r>
        <w:rPr>
          <w:rFonts w:ascii="Times New Roman" w:hAnsi="Times New Roman" w:cs="Times New Roman" w:eastAsia="Times New Roman" w:hint="default"/>
          <w:spacing w:val="-3"/>
        </w:rPr>
        <w:t>2</w:t>
      </w:r>
      <w:r>
        <w:rPr>
          <w:spacing w:val="-3"/>
        </w:rPr>
        <w:t>）长期股权投资</w:t>
      </w:r>
      <w:r>
        <w:rPr>
          <w:rFonts w:ascii="Times New Roman" w:hAnsi="Times New Roman" w:cs="Times New Roman" w:eastAsia="Times New Roman" w:hint="default"/>
          <w:spacing w:val="-3"/>
        </w:rPr>
        <w:t>-</w:t>
      </w:r>
      <w:r>
        <w:rPr>
          <w:spacing w:val="-3"/>
        </w:rPr>
        <w:t>上海久旭环保科技股份有限公司本期变动额主要系：本公司根据持股比例确认应享有上海久旭实现净损益的份额，减少长期股权</w:t>
      </w:r>
      <w:r>
        <w:rPr>
          <w:w w:val="100"/>
        </w:rPr>
        <w:t> </w:t>
      </w:r>
      <w:r>
        <w:rPr/>
        <w:t>投资的账面价值</w:t>
      </w:r>
      <w:r>
        <w:rPr>
          <w:rFonts w:ascii="Times New Roman" w:hAnsi="Times New Roman" w:cs="Times New Roman" w:eastAsia="Times New Roman" w:hint="default"/>
        </w:rPr>
        <w:t>8,273.45</w:t>
      </w:r>
      <w:r>
        <w:rPr/>
        <w:t>元。</w:t>
      </w:r>
    </w:p>
    <w:p>
      <w:pPr>
        <w:pStyle w:val="BodyText"/>
        <w:spacing w:line="256" w:lineRule="auto" w:before="5"/>
        <w:ind w:left="140" w:right="161" w:firstLine="422"/>
        <w:jc w:val="both"/>
      </w:pPr>
      <w:r>
        <w:rPr/>
        <w:t>（</w:t>
      </w:r>
      <w:r>
        <w:rPr>
          <w:rFonts w:ascii="Times New Roman" w:hAnsi="Times New Roman" w:cs="Times New Roman" w:eastAsia="Times New Roman" w:hint="default"/>
        </w:rPr>
        <w:t>3</w:t>
      </w:r>
      <w:r>
        <w:rPr/>
        <w:t>）长期股权投资</w:t>
      </w:r>
      <w:r>
        <w:rPr>
          <w:rFonts w:ascii="宋体" w:hAnsi="宋体" w:cs="宋体" w:eastAsia="宋体" w:hint="default"/>
        </w:rPr>
        <w:t>-</w:t>
      </w:r>
      <w:r>
        <w:rPr/>
        <w:t>北京今印联图像设备有限公司本期变动额主要系：本公司本期收购子公司北京金印联国际供应链管理有限公司增加长期股权投</w:t>
      </w:r>
      <w:r>
        <w:rPr>
          <w:w w:val="100"/>
        </w:rPr>
        <w:t> </w:t>
      </w:r>
      <w:r>
        <w:rPr/>
        <w:t>资</w:t>
      </w:r>
      <w:r>
        <w:rPr>
          <w:rFonts w:ascii="Times New Roman" w:hAnsi="Times New Roman" w:cs="Times New Roman" w:eastAsia="Times New Roman" w:hint="default"/>
        </w:rPr>
        <w:t>1,390,027.13</w:t>
      </w:r>
      <w:r>
        <w:rPr/>
        <w:t>元，并根据持股比例确认应享有北京今印联图像设备有限公司实现净损益的份额，增加长期股权投资的账面价值</w:t>
      </w:r>
      <w:r>
        <w:rPr>
          <w:rFonts w:ascii="Times New Roman" w:hAnsi="Times New Roman" w:cs="Times New Roman" w:eastAsia="Times New Roman" w:hint="default"/>
        </w:rPr>
        <w:t>203,245.81</w:t>
      </w:r>
      <w:r>
        <w:rPr/>
        <w:t>元。</w:t>
      </w:r>
    </w:p>
    <w:p>
      <w:pPr>
        <w:pStyle w:val="BodyText"/>
        <w:spacing w:line="240" w:lineRule="auto" w:before="5"/>
        <w:ind w:left="562" w:right="0"/>
        <w:jc w:val="left"/>
      </w:pPr>
      <w:r>
        <w:rPr/>
        <w:t>（</w:t>
      </w:r>
      <w:r>
        <w:rPr>
          <w:rFonts w:ascii="Times New Roman" w:hAnsi="Times New Roman" w:cs="Times New Roman" w:eastAsia="Times New Roman" w:hint="default"/>
        </w:rPr>
        <w:t>4</w:t>
      </w:r>
      <w:r>
        <w:rPr/>
        <w:t>）本公司投资变现及投资收益汇回无重大限制。</w:t>
      </w:r>
    </w:p>
    <w:p>
      <w:pPr>
        <w:spacing w:line="240" w:lineRule="auto" w:before="4"/>
        <w:rPr>
          <w:rFonts w:ascii="宋体" w:hAnsi="宋体" w:cs="宋体" w:eastAsia="宋体" w:hint="default"/>
          <w:sz w:val="13"/>
          <w:szCs w:val="13"/>
        </w:rPr>
      </w:pPr>
    </w:p>
    <w:p>
      <w:pPr>
        <w:spacing w:before="78"/>
        <w:ind w:left="0" w:right="148" w:firstLine="0"/>
        <w:jc w:val="right"/>
        <w:rPr>
          <w:rFonts w:ascii="Times New Roman" w:hAnsi="Times New Roman" w:cs="Times New Roman" w:eastAsia="Times New Roman" w:hint="default"/>
          <w:sz w:val="18"/>
          <w:szCs w:val="18"/>
        </w:rPr>
      </w:pPr>
      <w:r>
        <w:rPr>
          <w:rFonts w:ascii="Times New Roman"/>
          <w:sz w:val="18"/>
        </w:rPr>
        <w:t>156</w: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1" name="image1.jpeg" descr=""/>
            <wp:cNvGraphicFramePr>
              <a:graphicFrameLocks noChangeAspect="1"/>
            </wp:cNvGraphicFramePr>
            <a:graphic>
              <a:graphicData uri="http://schemas.openxmlformats.org/drawingml/2006/picture">
                <pic:pic>
                  <pic:nvPicPr>
                    <pic:cNvPr id="12" name="image1.jpeg"/>
                    <pic:cNvPicPr/>
                  </pic:nvPicPr>
                  <pic:blipFill>
                    <a:blip r:embed="rId15"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32"/>
          <w:footerReference w:type="default" r:id="rId33"/>
          <w:pgSz w:w="16840" w:h="11910" w:orient="landscape"/>
          <w:pgMar w:header="0" w:footer="0" w:top="380" w:bottom="0" w:left="130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93"/>
        <w:ind w:right="0"/>
        <w:jc w:val="left"/>
        <w:rPr>
          <w:b w:val="0"/>
          <w:bCs w:val="0"/>
        </w:rPr>
      </w:pPr>
      <w:bookmarkStart w:name="18、其他权益工具投资" w:id="297"/>
      <w:bookmarkEnd w:id="297"/>
      <w:r>
        <w:rPr>
          <w:b w:val="0"/>
          <w:bCs w:val="0"/>
        </w:rPr>
      </w:r>
      <w:r>
        <w:rPr>
          <w:rFonts w:ascii="Times New Roman" w:hAnsi="Times New Roman" w:cs="Times New Roman" w:eastAsia="Times New Roman" w:hint="default"/>
        </w:rPr>
        <w:t>18</w:t>
      </w:r>
      <w:r>
        <w:rPr/>
        <w:t>、其他权益工具投资</w:t>
      </w:r>
      <w:r>
        <w:rPr>
          <w:b w:val="0"/>
          <w:bCs w:val="0"/>
        </w:rPr>
      </w:r>
    </w:p>
    <w:p>
      <w:pPr>
        <w:spacing w:line="240" w:lineRule="auto" w:before="10"/>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19、其他非流动金融资产" w:id="298"/>
      <w:bookmarkEnd w:id="298"/>
      <w:r>
        <w:rPr>
          <w:b w:val="0"/>
          <w:bCs w:val="0"/>
        </w:rPr>
      </w:r>
      <w:r>
        <w:rPr>
          <w:rFonts w:ascii="Times New Roman" w:hAnsi="Times New Roman" w:cs="Times New Roman" w:eastAsia="Times New Roman" w:hint="default"/>
        </w:rPr>
        <w:t>19</w:t>
      </w:r>
      <w:r>
        <w:rPr/>
        <w:t>、其他非流动金融资产</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0、投资性房地产" w:id="299"/>
      <w:bookmarkEnd w:id="299"/>
      <w:r>
        <w:rPr>
          <w:b w:val="0"/>
          <w:bCs w:val="0"/>
        </w:rPr>
      </w:r>
      <w:r>
        <w:rPr>
          <w:rFonts w:ascii="Times New Roman" w:hAnsi="Times New Roman" w:cs="Times New Roman" w:eastAsia="Times New Roman" w:hint="default"/>
        </w:rPr>
        <w:t>20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300"/>
      <w:bookmarkEnd w:id="300"/>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投资性房地产" w:id="301"/>
      <w:bookmarkEnd w:id="301"/>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未办妥产权证书的投资性房地产情况" w:id="302"/>
      <w:bookmarkEnd w:id="302"/>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1、固定资产" w:id="303"/>
      <w:bookmarkEnd w:id="303"/>
      <w:r>
        <w:rPr>
          <w:b w:val="0"/>
          <w:bCs w:val="0"/>
        </w:rPr>
      </w:r>
      <w:r>
        <w:rPr>
          <w:rFonts w:ascii="Times New Roman" w:hAnsi="Times New Roman" w:cs="Times New Roman" w:eastAsia="Times New Roman" w:hint="default"/>
        </w:rPr>
        <w:t>21</w:t>
      </w:r>
      <w:r>
        <w:rPr/>
        <w:t>、固定资产</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279,827,383.40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274,538,573.54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279,827,383.40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274,538,573.54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固定资产情况" w:id="304"/>
      <w:bookmarkEnd w:id="30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4"/>
        <w:gridCol w:w="1368"/>
        <w:gridCol w:w="1368"/>
        <w:gridCol w:w="1369"/>
        <w:gridCol w:w="1369"/>
      </w:tblGrid>
      <w:tr>
        <w:trPr>
          <w:trHeight w:val="398"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电子办公设备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191,478,554.25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253,955,777.77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4,332,954.95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7,978,835.76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2,865,075.70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460,611,198.43</w:t>
            </w: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17,132,976.81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14,839,343.86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3,695,496.74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1,556,950.62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604,184.12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37,828,952.15</w:t>
            </w:r>
          </w:p>
        </w:tc>
      </w:tr>
      <w:tr>
        <w:trPr>
          <w:trHeight w:val="398"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361,704.73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868,268.44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1,111,481.62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187,326.10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2,528,780.89</w:t>
            </w:r>
          </w:p>
        </w:tc>
      </w:tr>
      <w:tr>
        <w:trPr>
          <w:trHeight w:val="716"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11" w:right="5" w:firstLine="34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）在建工</w:t>
            </w:r>
            <w:r>
              <w:rPr>
                <w:rFonts w:ascii="宋体" w:hAnsi="宋体" w:cs="宋体" w:eastAsia="宋体" w:hint="default"/>
                <w:w w:val="101"/>
                <w:sz w:val="18"/>
                <w:szCs w:val="18"/>
              </w:rPr>
              <w:t> </w:t>
            </w:r>
            <w:r>
              <w:rPr>
                <w:rFonts w:ascii="宋体" w:hAnsi="宋体" w:cs="宋体" w:eastAsia="宋体" w:hint="default"/>
                <w:sz w:val="18"/>
                <w:szCs w:val="18"/>
              </w:rPr>
              <w:t>程转入</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312,199.02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14,039,327.39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14,351,526.41</w:t>
            </w:r>
          </w:p>
        </w:tc>
      </w:tr>
    </w:tbl>
    <w:p>
      <w:pPr>
        <w:spacing w:after="0" w:line="240" w:lineRule="auto"/>
        <w:jc w:val="right"/>
        <w:rPr>
          <w:rFonts w:ascii="Times New Roman" w:hAnsi="Times New Roman" w:cs="Times New Roman" w:eastAsia="Times New Roman" w:hint="default"/>
          <w:sz w:val="18"/>
          <w:szCs w:val="18"/>
        </w:rPr>
        <w:sectPr>
          <w:footerReference w:type="default" r:id="rId34"/>
          <w:pgSz w:w="11910" w:h="16840"/>
          <w:pgMar w:footer="979" w:header="0" w:top="1060" w:bottom="1160" w:left="980" w:right="0"/>
          <w:pgNumType w:start="157"/>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357"/>
        <w:gridCol w:w="1380"/>
        <w:gridCol w:w="1364"/>
        <w:gridCol w:w="1368"/>
        <w:gridCol w:w="1368"/>
        <w:gridCol w:w="1369"/>
        <w:gridCol w:w="1369"/>
      </w:tblGrid>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 w:firstLine="34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）企业合</w:t>
            </w:r>
            <w:r>
              <w:rPr>
                <w:rFonts w:ascii="宋体" w:hAnsi="宋体" w:cs="宋体" w:eastAsia="宋体" w:hint="default"/>
                <w:w w:val="101"/>
                <w:sz w:val="18"/>
                <w:szCs w:val="18"/>
              </w:rPr>
              <w:t> </w:t>
            </w:r>
            <w:r>
              <w:rPr>
                <w:rFonts w:ascii="宋体" w:hAnsi="宋体" w:cs="宋体" w:eastAsia="宋体" w:hint="default"/>
                <w:sz w:val="18"/>
                <w:szCs w:val="18"/>
              </w:rPr>
              <w:t>并增加</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16,820,777.79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438,311.74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2,827,228.30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445,469.00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416,858.02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20,948,644.85</w:t>
            </w:r>
          </w:p>
        </w:tc>
      </w:tr>
      <w:tr>
        <w:trPr>
          <w:trHeight w:val="399"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7,703,592.29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2,375,723.79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405,896.98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10,535,113.06</w:t>
            </w: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5" w:firstLine="34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7,703,592.29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2,375,723.79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405,896.98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10,530,213.06</w:t>
            </w: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4,900.00</w:t>
            </w: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208,606,631.06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261,091,529.34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5,652,727.90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9,129,889.40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3,424,259.82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487,905,037.52</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46,037,035.11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128,992,722.30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3,153,470.39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5,288,304.63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2,601,092.46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186,072,624.89</w:t>
            </w:r>
          </w:p>
        </w:tc>
      </w:tr>
      <w:tr>
        <w:trPr>
          <w:trHeight w:val="71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9,296,581.37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16,574,372.44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1,835,365.34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1,157,487.07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330,548.86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29,194,355.08</w:t>
            </w: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）计提</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5,792,624.06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16,272,006.46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388,597.73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752,690.12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32,589.19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23,238,507.56</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）其他增加</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3,503,957.31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302,365.98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1,446,767.61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404,796.95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297,959.67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5,955,847.52</w:t>
            </w:r>
          </w:p>
        </w:tc>
      </w:tr>
      <w:tr>
        <w:trPr>
          <w:trHeight w:val="71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3,160.50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5,761,952.72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1,027,673.21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356,039.42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40,500.00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7,189,325.85</w:t>
            </w: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 w:firstLine="34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3,160.50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5,761,952.72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1,027,673.21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356,039.42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40,500.00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7,189,325.85</w:t>
            </w: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55,330,455.98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139,805,142.02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3,961,162.52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6,089,752.28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2,891,141.32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208,077,654.12</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144"/>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）计提</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5" w:firstLine="34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期末账面价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153,276,175.08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121,286,387.32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1,691,565.38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3,040,137.12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533,118.50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279,827,383.40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357"/>
        <w:gridCol w:w="1380"/>
        <w:gridCol w:w="1364"/>
        <w:gridCol w:w="1368"/>
        <w:gridCol w:w="1368"/>
        <w:gridCol w:w="1369"/>
        <w:gridCol w:w="1369"/>
      </w:tblGrid>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期初账面价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145,441,519.14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124,963,055.47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1,179,484.56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2,690,531.13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263,983.24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274,538,573.54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2）暂时闲置的固定资产情况" w:id="305"/>
      <w:bookmarkEnd w:id="305"/>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通过融资租赁租入的固定资产情况" w:id="306"/>
      <w:bookmarkEnd w:id="306"/>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4）通过经营租赁租出的固定资产" w:id="307"/>
      <w:bookmarkEnd w:id="307"/>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5）未办妥产权证书的固定资产情况" w:id="308"/>
      <w:bookmarkEnd w:id="308"/>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6）固定资产清理" w:id="309"/>
      <w:bookmarkEnd w:id="309"/>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2、在建工程" w:id="310"/>
      <w:bookmarkEnd w:id="310"/>
      <w:r>
        <w:rPr>
          <w:b w:val="0"/>
          <w:bCs w:val="0"/>
        </w:rPr>
      </w:r>
      <w:r>
        <w:rPr>
          <w:rFonts w:ascii="Times New Roman" w:hAnsi="Times New Roman" w:cs="Times New Roman" w:eastAsia="Times New Roman" w:hint="default"/>
        </w:rPr>
        <w:t>22</w:t>
      </w:r>
      <w:r>
        <w:rPr/>
        <w:t>、在建工程</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29,368,196.51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16,807,534.38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29,368,196.51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16,807,534.38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在建工程情况" w:id="311"/>
      <w:bookmarkEnd w:id="311"/>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1"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西安环球设备采</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13,580,820.94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13,580,820.94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8,962,084.66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8,962,084.66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天津环球项目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13,816,435.44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13,816,435.44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7,536,612.68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7,536,612.68</w:t>
            </w: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陕西永鑫设备采</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1,970,940.13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1,970,940.13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308,837.04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308,837.04</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29,368,196.51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29,368,196.51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16,807,534.38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16,807,534.38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5"/>
        <w:rPr>
          <w:rFonts w:ascii="宋体" w:hAnsi="宋体" w:cs="宋体" w:eastAsia="宋体" w:hint="default"/>
          <w:sz w:val="24"/>
          <w:szCs w:val="24"/>
        </w:rPr>
      </w:pPr>
    </w:p>
    <w:p>
      <w:pPr>
        <w:pStyle w:val="Heading3"/>
        <w:spacing w:line="240" w:lineRule="auto" w:before="36"/>
        <w:ind w:right="0"/>
        <w:jc w:val="left"/>
        <w:rPr>
          <w:b w:val="0"/>
          <w:bCs w:val="0"/>
        </w:rPr>
      </w:pPr>
      <w:bookmarkStart w:name="（2）重要在建工程项目本期变动情况" w:id="312"/>
      <w:bookmarkEnd w:id="312"/>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3）本期计提在建工程减值准备情况" w:id="313"/>
      <w:bookmarkEnd w:id="313"/>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4）工程物资" w:id="314"/>
      <w:bookmarkEnd w:id="314"/>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3、生产性生物资产" w:id="315"/>
      <w:bookmarkEnd w:id="315"/>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316"/>
      <w:bookmarkEnd w:id="316"/>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317"/>
      <w:bookmarkEnd w:id="317"/>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4、油气资产" w:id="318"/>
      <w:bookmarkEnd w:id="318"/>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5、使用权资产" w:id="319"/>
      <w:bookmarkEnd w:id="319"/>
      <w:r>
        <w:rPr>
          <w:b w:val="0"/>
          <w:bCs w:val="0"/>
        </w:rPr>
      </w:r>
      <w:r>
        <w:rPr>
          <w:rFonts w:ascii="Times New Roman" w:hAnsi="Times New Roman" w:cs="Times New Roman" w:eastAsia="Times New Roman" w:hint="default"/>
        </w:rPr>
        <w:t>25</w:t>
      </w:r>
      <w:r>
        <w:rPr/>
        <w:t>、使用权资产</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6、无形资产" w:id="320"/>
      <w:bookmarkEnd w:id="320"/>
      <w:r>
        <w:rPr>
          <w:b w:val="0"/>
          <w:bCs w:val="0"/>
        </w:rPr>
      </w:r>
      <w:r>
        <w:rPr>
          <w:rFonts w:ascii="Times New Roman" w:hAnsi="Times New Roman" w:cs="Times New Roman" w:eastAsia="Times New Roman" w:hint="default"/>
        </w:rPr>
        <w:t>26</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321"/>
      <w:bookmarkEnd w:id="321"/>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74"/>
        <w:gridCol w:w="1205"/>
        <w:gridCol w:w="1201"/>
        <w:gridCol w:w="1196"/>
        <w:gridCol w:w="1196"/>
        <w:gridCol w:w="1196"/>
        <w:gridCol w:w="1196"/>
        <w:gridCol w:w="1195"/>
      </w:tblGrid>
      <w:tr>
        <w:trPr>
          <w:trHeight w:val="317" w:hRule="exact"/>
        </w:trPr>
        <w:tc>
          <w:tcPr>
            <w:tcW w:w="11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52" w:right="46"/>
              <w:jc w:val="center"/>
              <w:rPr>
                <w:rFonts w:ascii="宋体" w:hAnsi="宋体" w:cs="宋体" w:eastAsia="宋体" w:hint="default"/>
                <w:sz w:val="18"/>
                <w:szCs w:val="18"/>
              </w:rPr>
            </w:pPr>
            <w:r>
              <w:rPr>
                <w:rFonts w:ascii="宋体" w:hAnsi="宋体" w:cs="宋体" w:eastAsia="宋体" w:hint="default"/>
                <w:spacing w:val="-2"/>
                <w:sz w:val="18"/>
                <w:szCs w:val="18"/>
              </w:rPr>
              <w:t>软件著作权、</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专有技术、域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名</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11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5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32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44" w:right="0"/>
              <w:jc w:val="left"/>
              <w:rPr>
                <w:rFonts w:ascii="宋体" w:hAnsi="宋体" w:cs="宋体" w:eastAsia="宋体" w:hint="default"/>
                <w:sz w:val="18"/>
                <w:szCs w:val="18"/>
              </w:rPr>
            </w:pPr>
            <w:r>
              <w:rPr>
                <w:rFonts w:ascii="宋体" w:hAnsi="宋体" w:cs="宋体" w:eastAsia="宋体" w:hint="default"/>
                <w:sz w:val="18"/>
                <w:szCs w:val="18"/>
              </w:rPr>
              <w:t>版权及专利</w:t>
            </w:r>
          </w:p>
        </w:tc>
        <w:tc>
          <w:tcPr>
            <w:tcW w:w="1196" w:type="dxa"/>
            <w:vMerge/>
            <w:tcBorders>
              <w:left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17" w:hRule="exact"/>
        </w:trPr>
        <w:tc>
          <w:tcPr>
            <w:tcW w:w="11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3"/>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33,564,547.84</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3,582,996.33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3,600,000.00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40,747,544.17</w:t>
            </w:r>
          </w:p>
        </w:tc>
      </w:tr>
      <w:tr>
        <w:trPr>
          <w:trHeight w:val="715"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08"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w:t>
            </w:r>
            <w:r>
              <w:rPr>
                <w:rFonts w:ascii="宋体" w:hAnsi="宋体" w:cs="宋体" w:eastAsia="宋体" w:hint="default"/>
                <w:w w:val="101"/>
                <w:sz w:val="18"/>
                <w:szCs w:val="18"/>
              </w:rPr>
              <w:t> </w:t>
            </w:r>
            <w:r>
              <w:rPr>
                <w:rFonts w:ascii="宋体" w:hAnsi="宋体" w:cs="宋体" w:eastAsia="宋体" w:hint="default"/>
                <w:sz w:val="18"/>
                <w:szCs w:val="18"/>
              </w:rPr>
              <w:t>加金额</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6,669,676.70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436,979.07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29,449.46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7,136,105.23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186"/>
        <w:gridCol w:w="1205"/>
        <w:gridCol w:w="1201"/>
        <w:gridCol w:w="1196"/>
        <w:gridCol w:w="1196"/>
        <w:gridCol w:w="1196"/>
        <w:gridCol w:w="1196"/>
        <w:gridCol w:w="1195"/>
      </w:tblGrid>
      <w:tr>
        <w:trPr>
          <w:trHeight w:val="715"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2" w:right="0"/>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）购</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置</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6,463,349.15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6,463,349.15</w:t>
            </w:r>
          </w:p>
        </w:tc>
      </w:tr>
      <w:tr>
        <w:trPr>
          <w:trHeight w:val="711"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26" w:firstLine="528"/>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）内</w:t>
            </w:r>
            <w:r>
              <w:rPr>
                <w:rFonts w:ascii="宋体" w:hAnsi="宋体" w:cs="宋体" w:eastAsia="宋体" w:hint="default"/>
                <w:spacing w:val="-20"/>
                <w:w w:val="101"/>
                <w:sz w:val="18"/>
                <w:szCs w:val="18"/>
              </w:rPr>
              <w:t> </w:t>
            </w:r>
            <w:r>
              <w:rPr>
                <w:rFonts w:ascii="宋体" w:hAnsi="宋体" w:cs="宋体" w:eastAsia="宋体" w:hint="default"/>
                <w:sz w:val="18"/>
                <w:szCs w:val="18"/>
              </w:rPr>
              <w:t>部研发</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26" w:firstLine="528"/>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）企</w:t>
            </w:r>
            <w:r>
              <w:rPr>
                <w:rFonts w:ascii="宋体" w:hAnsi="宋体" w:cs="宋体" w:eastAsia="宋体" w:hint="default"/>
                <w:spacing w:val="-20"/>
                <w:w w:val="101"/>
                <w:sz w:val="18"/>
                <w:szCs w:val="18"/>
              </w:rPr>
              <w:t> </w:t>
            </w:r>
            <w:r>
              <w:rPr>
                <w:rFonts w:ascii="宋体" w:hAnsi="宋体" w:cs="宋体" w:eastAsia="宋体" w:hint="default"/>
                <w:sz w:val="18"/>
                <w:szCs w:val="18"/>
              </w:rPr>
              <w:t>业合并增加</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206,327.55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436,979.07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29,449.46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672,756.08</w:t>
            </w: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108" w:firstLine="1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2" w:right="0"/>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）处</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置</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33,564,547.84</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10,252,673.03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436,979.07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3,629,449.46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47,883,649.40</w:t>
            </w: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1"/>
              <w:jc w:val="center"/>
              <w:rPr>
                <w:rFonts w:ascii="宋体" w:hAnsi="宋体" w:cs="宋体" w:eastAsia="宋体" w:hint="default"/>
                <w:sz w:val="18"/>
                <w:szCs w:val="18"/>
              </w:rPr>
            </w:pPr>
            <w:r>
              <w:rPr>
                <w:rFonts w:ascii="宋体" w:hAnsi="宋体" w:cs="宋体" w:eastAsia="宋体" w:hint="default"/>
                <w:sz w:val="18"/>
                <w:szCs w:val="18"/>
              </w:rPr>
              <w:t>二、累计摊销</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8,181,577.76</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2,790,992.11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11,152,569.87</w:t>
            </w: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08"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w:t>
            </w:r>
            <w:r>
              <w:rPr>
                <w:rFonts w:ascii="宋体" w:hAnsi="宋体" w:cs="宋体" w:eastAsia="宋体" w:hint="default"/>
                <w:w w:val="101"/>
                <w:sz w:val="18"/>
                <w:szCs w:val="18"/>
              </w:rPr>
              <w:t> </w:t>
            </w:r>
            <w:r>
              <w:rPr>
                <w:rFonts w:ascii="宋体" w:hAnsi="宋体" w:cs="宋体" w:eastAsia="宋体" w:hint="default"/>
                <w:sz w:val="18"/>
                <w:szCs w:val="18"/>
              </w:rPr>
              <w:t>加金额</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748,082.52</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1,643,301.48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127,748.79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749,449.46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3,268,582.25</w:t>
            </w: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2" w:right="0"/>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）计</w:t>
            </w:r>
            <w:r>
              <w:rPr>
                <w:rFonts w:ascii="宋体" w:hAnsi="宋体" w:cs="宋体" w:eastAsia="宋体" w:hint="default"/>
                <w:sz w:val="18"/>
                <w:szCs w:val="18"/>
              </w:rPr>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提</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748,082.52</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1,553,913.47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39,463.87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720,000.00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3,061,459.86</w:t>
            </w:r>
          </w:p>
        </w:tc>
      </w:tr>
      <w:tr>
        <w:trPr>
          <w:trHeight w:val="404"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3" w:right="0"/>
              <w:jc w:val="center"/>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）其他增加</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89,388.01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88,284.92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29,449.46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207,122.39</w:t>
            </w:r>
          </w:p>
        </w:tc>
      </w:tr>
      <w:tr>
        <w:trPr>
          <w:trHeight w:val="710"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8"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w:t>
            </w:r>
            <w:r>
              <w:rPr>
                <w:rFonts w:ascii="宋体" w:hAnsi="宋体" w:cs="宋体" w:eastAsia="宋体" w:hint="default"/>
                <w:w w:val="101"/>
                <w:sz w:val="18"/>
                <w:szCs w:val="18"/>
              </w:rPr>
              <w:t> </w:t>
            </w:r>
            <w:r>
              <w:rPr>
                <w:rFonts w:ascii="宋体" w:hAnsi="宋体" w:cs="宋体" w:eastAsia="宋体" w:hint="default"/>
                <w:sz w:val="18"/>
                <w:szCs w:val="18"/>
              </w:rPr>
              <w:t>少金额</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2" w:right="0"/>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）处</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置</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8,929,660.28</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4,434,293.59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127,748.79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929,449.46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14,421,152.12</w:t>
            </w:r>
          </w:p>
        </w:tc>
      </w:tr>
      <w:tr>
        <w:trPr>
          <w:trHeight w:val="398"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1"/>
              <w:jc w:val="center"/>
              <w:rPr>
                <w:rFonts w:ascii="宋体" w:hAnsi="宋体" w:cs="宋体" w:eastAsia="宋体" w:hint="default"/>
                <w:sz w:val="18"/>
                <w:szCs w:val="18"/>
              </w:rPr>
            </w:pPr>
            <w:r>
              <w:rPr>
                <w:rFonts w:ascii="宋体" w:hAnsi="宋体" w:cs="宋体" w:eastAsia="宋体" w:hint="default"/>
                <w:sz w:val="18"/>
                <w:szCs w:val="18"/>
              </w:rPr>
              <w:t>三、减值准备</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08"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w:t>
            </w:r>
            <w:r>
              <w:rPr>
                <w:rFonts w:ascii="宋体" w:hAnsi="宋体" w:cs="宋体" w:eastAsia="宋体" w:hint="default"/>
                <w:w w:val="101"/>
                <w:sz w:val="18"/>
                <w:szCs w:val="18"/>
              </w:rPr>
              <w:t> </w:t>
            </w:r>
            <w:r>
              <w:rPr>
                <w:rFonts w:ascii="宋体" w:hAnsi="宋体" w:cs="宋体" w:eastAsia="宋体" w:hint="default"/>
                <w:sz w:val="18"/>
                <w:szCs w:val="18"/>
              </w:rPr>
              <w:t>加金额</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2" w:right="0"/>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）计</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提</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186"/>
        <w:gridCol w:w="1205"/>
        <w:gridCol w:w="1201"/>
        <w:gridCol w:w="1196"/>
        <w:gridCol w:w="1196"/>
        <w:gridCol w:w="1196"/>
        <w:gridCol w:w="1196"/>
        <w:gridCol w:w="1195"/>
      </w:tblGrid>
      <w:tr>
        <w:trPr>
          <w:trHeight w:val="715"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8"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w:t>
            </w:r>
            <w:r>
              <w:rPr>
                <w:rFonts w:ascii="宋体" w:hAnsi="宋体" w:cs="宋体" w:eastAsia="宋体" w:hint="default"/>
                <w:w w:val="101"/>
                <w:sz w:val="18"/>
                <w:szCs w:val="18"/>
              </w:rPr>
              <w:t> </w:t>
            </w:r>
            <w:r>
              <w:rPr>
                <w:rFonts w:ascii="宋体" w:hAnsi="宋体" w:cs="宋体" w:eastAsia="宋体" w:hint="default"/>
                <w:sz w:val="18"/>
                <w:szCs w:val="18"/>
              </w:rPr>
              <w:t>少金额</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8"/>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5"/>
              <w:jc w:val="right"/>
              <w:rPr>
                <w:rFonts w:ascii="宋体" w:hAnsi="宋体" w:cs="宋体" w:eastAsia="宋体" w:hint="default"/>
                <w:sz w:val="18"/>
                <w:szCs w:val="18"/>
              </w:rPr>
            </w:pPr>
            <w:r>
              <w:rPr>
                <w:rFonts w:ascii="宋体" w:hAnsi="宋体" w:cs="宋体" w:eastAsia="宋体" w:hint="default"/>
                <w:spacing w:val="-2"/>
                <w:sz w:val="18"/>
                <w:szCs w:val="18"/>
              </w:rPr>
              <w:t>四、账面价值</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108"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w:t>
            </w:r>
            <w:r>
              <w:rPr>
                <w:rFonts w:ascii="宋体" w:hAnsi="宋体" w:cs="宋体" w:eastAsia="宋体" w:hint="default"/>
                <w:w w:val="101"/>
                <w:sz w:val="18"/>
                <w:szCs w:val="18"/>
              </w:rPr>
              <w:t> </w:t>
            </w:r>
            <w:r>
              <w:rPr>
                <w:rFonts w:ascii="宋体" w:hAnsi="宋体" w:cs="宋体" w:eastAsia="宋体" w:hint="default"/>
                <w:sz w:val="18"/>
                <w:szCs w:val="18"/>
              </w:rPr>
              <w:t>面价值</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24,634,887.56</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5,818,379.44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309,230.28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2,700,000.00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33,462,497.28</w:t>
            </w: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08"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w:t>
            </w:r>
            <w:r>
              <w:rPr>
                <w:rFonts w:ascii="宋体" w:hAnsi="宋体" w:cs="宋体" w:eastAsia="宋体" w:hint="default"/>
                <w:w w:val="101"/>
                <w:sz w:val="18"/>
                <w:szCs w:val="18"/>
              </w:rPr>
              <w:t> </w:t>
            </w:r>
            <w:r>
              <w:rPr>
                <w:rFonts w:ascii="宋体" w:hAnsi="宋体" w:cs="宋体" w:eastAsia="宋体" w:hint="default"/>
                <w:sz w:val="18"/>
                <w:szCs w:val="18"/>
              </w:rPr>
              <w:t>面价值</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25,382,970.08</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792,004.22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3,420,000.00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29,594,974.30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本期末通过公司内部研发形成的无形资产占无形资产余额的比例</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未办妥产权证书的土地使用权情况" w:id="322"/>
      <w:bookmarkEnd w:id="322"/>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
        <w:rPr>
          <w:rFonts w:ascii="宋体" w:hAnsi="宋体" w:cs="宋体" w:eastAsia="宋体" w:hint="default"/>
          <w:b/>
          <w:bCs/>
          <w:sz w:val="27"/>
          <w:szCs w:val="27"/>
        </w:rPr>
      </w:pPr>
    </w:p>
    <w:p>
      <w:pPr>
        <w:spacing w:line="360" w:lineRule="auto" w:before="0"/>
        <w:ind w:left="153" w:right="86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其他说明：</w:t>
      </w:r>
    </w:p>
    <w:p>
      <w:pPr>
        <w:spacing w:line="364" w:lineRule="auto" w:before="150"/>
        <w:ind w:left="153" w:right="1122" w:firstLine="422"/>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）土地使用权主要系：①高新土地使用权两宗：土地证编号为西高科技国用（</w:t>
      </w:r>
      <w:r>
        <w:rPr>
          <w:rFonts w:ascii="宋体" w:hAnsi="宋体" w:cs="宋体" w:eastAsia="宋体" w:hint="default"/>
          <w:spacing w:val="-2"/>
          <w:sz w:val="18"/>
          <w:szCs w:val="18"/>
        </w:rPr>
        <w:t>2007</w:t>
      </w:r>
      <w:r>
        <w:rPr>
          <w:rFonts w:ascii="宋体" w:hAnsi="宋体" w:cs="宋体" w:eastAsia="宋体" w:hint="default"/>
          <w:spacing w:val="-2"/>
          <w:sz w:val="18"/>
          <w:szCs w:val="18"/>
        </w:rPr>
        <w:t>）第</w:t>
      </w:r>
      <w:r>
        <w:rPr>
          <w:rFonts w:ascii="宋体" w:hAnsi="宋体" w:cs="宋体" w:eastAsia="宋体" w:hint="default"/>
          <w:spacing w:val="-2"/>
          <w:sz w:val="18"/>
          <w:szCs w:val="18"/>
        </w:rPr>
        <w:t>50579</w:t>
      </w:r>
      <w:r>
        <w:rPr>
          <w:rFonts w:ascii="宋体" w:hAnsi="宋体" w:cs="宋体" w:eastAsia="宋体" w:hint="default"/>
          <w:spacing w:val="-2"/>
          <w:sz w:val="18"/>
          <w:szCs w:val="18"/>
        </w:rPr>
        <w:t>号，位于西安市高新</w:t>
      </w:r>
      <w:r>
        <w:rPr>
          <w:rFonts w:ascii="宋体" w:hAnsi="宋体" w:cs="宋体" w:eastAsia="宋体" w:hint="default"/>
          <w:w w:val="101"/>
          <w:sz w:val="18"/>
          <w:szCs w:val="18"/>
        </w:rPr>
        <w:t> </w:t>
      </w:r>
      <w:r>
        <w:rPr>
          <w:rFonts w:ascii="宋体" w:hAnsi="宋体" w:cs="宋体" w:eastAsia="宋体" w:hint="default"/>
          <w:spacing w:val="-2"/>
          <w:sz w:val="18"/>
          <w:szCs w:val="18"/>
        </w:rPr>
        <w:t>技术产业开发区系以受让方式取得，属于工业用地，土地面积</w:t>
      </w:r>
      <w:r>
        <w:rPr>
          <w:rFonts w:ascii="宋体" w:hAnsi="宋体" w:cs="宋体" w:eastAsia="宋体" w:hint="default"/>
          <w:spacing w:val="-2"/>
          <w:sz w:val="18"/>
          <w:szCs w:val="18"/>
        </w:rPr>
        <w:t>20773.4</w:t>
      </w:r>
      <w:r>
        <w:rPr>
          <w:rFonts w:ascii="宋体" w:hAnsi="宋体" w:cs="宋体" w:eastAsia="宋体" w:hint="default"/>
          <w:spacing w:val="-2"/>
          <w:sz w:val="18"/>
          <w:szCs w:val="18"/>
        </w:rPr>
        <w:t>㎡，使用权自</w:t>
      </w:r>
      <w:r>
        <w:rPr>
          <w:rFonts w:ascii="宋体" w:hAnsi="宋体" w:cs="宋体" w:eastAsia="宋体" w:hint="default"/>
          <w:spacing w:val="-2"/>
          <w:sz w:val="18"/>
          <w:szCs w:val="18"/>
        </w:rPr>
        <w:t>2007</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7</w:t>
      </w:r>
      <w:r>
        <w:rPr>
          <w:rFonts w:ascii="宋体" w:hAnsi="宋体" w:cs="宋体" w:eastAsia="宋体" w:hint="default"/>
          <w:spacing w:val="-2"/>
          <w:sz w:val="18"/>
          <w:szCs w:val="18"/>
        </w:rPr>
        <w:t>日至</w:t>
      </w:r>
      <w:r>
        <w:rPr>
          <w:rFonts w:ascii="宋体" w:hAnsi="宋体" w:cs="宋体" w:eastAsia="宋体" w:hint="default"/>
          <w:spacing w:val="-2"/>
          <w:sz w:val="18"/>
          <w:szCs w:val="18"/>
        </w:rPr>
        <w:t>2048</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7</w:t>
      </w:r>
      <w:r>
        <w:rPr>
          <w:rFonts w:ascii="宋体" w:hAnsi="宋体" w:cs="宋体" w:eastAsia="宋体" w:hint="default"/>
          <w:spacing w:val="-2"/>
          <w:sz w:val="18"/>
          <w:szCs w:val="18"/>
        </w:rPr>
        <w:t>日；土地</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证编号为西高科技国用（</w:t>
      </w:r>
      <w:r>
        <w:rPr>
          <w:rFonts w:ascii="宋体" w:hAnsi="宋体" w:cs="宋体" w:eastAsia="宋体" w:hint="default"/>
          <w:spacing w:val="-3"/>
          <w:sz w:val="18"/>
          <w:szCs w:val="18"/>
        </w:rPr>
        <w:t>2011</w:t>
      </w:r>
      <w:r>
        <w:rPr>
          <w:rFonts w:ascii="宋体" w:hAnsi="宋体" w:cs="宋体" w:eastAsia="宋体" w:hint="default"/>
          <w:spacing w:val="-3"/>
          <w:sz w:val="18"/>
          <w:szCs w:val="18"/>
        </w:rPr>
        <w:t>）第</w:t>
      </w:r>
      <w:r>
        <w:rPr>
          <w:rFonts w:ascii="宋体" w:hAnsi="宋体" w:cs="宋体" w:eastAsia="宋体" w:hint="default"/>
          <w:spacing w:val="-3"/>
          <w:sz w:val="18"/>
          <w:szCs w:val="18"/>
        </w:rPr>
        <w:t>36587</w:t>
      </w:r>
      <w:r>
        <w:rPr>
          <w:rFonts w:ascii="宋体" w:hAnsi="宋体" w:cs="宋体" w:eastAsia="宋体" w:hint="default"/>
          <w:spacing w:val="-3"/>
          <w:sz w:val="18"/>
          <w:szCs w:val="18"/>
        </w:rPr>
        <w:t>号，位于西安市高新技术产业开发区系以受让方式取得，属于工业用地，土地面积</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pacing w:val="-4"/>
          <w:sz w:val="18"/>
          <w:szCs w:val="18"/>
        </w:rPr>
        <w:t>3520.4</w:t>
      </w:r>
      <w:r>
        <w:rPr>
          <w:rFonts w:ascii="宋体" w:hAnsi="宋体" w:cs="宋体" w:eastAsia="宋体" w:hint="default"/>
          <w:spacing w:val="-4"/>
          <w:sz w:val="18"/>
          <w:szCs w:val="18"/>
        </w:rPr>
        <w:t>㎡，使用权自</w:t>
      </w:r>
      <w:r>
        <w:rPr>
          <w:rFonts w:ascii="宋体" w:hAnsi="宋体" w:cs="宋体" w:eastAsia="宋体" w:hint="default"/>
          <w:spacing w:val="-4"/>
          <w:sz w:val="18"/>
          <w:szCs w:val="18"/>
        </w:rPr>
        <w:t>2011</w:t>
      </w:r>
      <w:r>
        <w:rPr>
          <w:rFonts w:ascii="宋体" w:hAnsi="宋体" w:cs="宋体" w:eastAsia="宋体" w:hint="default"/>
          <w:spacing w:val="-4"/>
          <w:sz w:val="18"/>
          <w:szCs w:val="18"/>
        </w:rPr>
        <w:t>年</w:t>
      </w:r>
      <w:r>
        <w:rPr>
          <w:rFonts w:ascii="宋体" w:hAnsi="宋体" w:cs="宋体" w:eastAsia="宋体" w:hint="default"/>
          <w:spacing w:val="-4"/>
          <w:sz w:val="18"/>
          <w:szCs w:val="18"/>
        </w:rPr>
        <w:t>8</w:t>
      </w:r>
      <w:r>
        <w:rPr>
          <w:rFonts w:ascii="宋体" w:hAnsi="宋体" w:cs="宋体" w:eastAsia="宋体" w:hint="default"/>
          <w:spacing w:val="-4"/>
          <w:sz w:val="18"/>
          <w:szCs w:val="18"/>
        </w:rPr>
        <w:t>月</w:t>
      </w:r>
      <w:r>
        <w:rPr>
          <w:rFonts w:ascii="宋体" w:hAnsi="宋体" w:cs="宋体" w:eastAsia="宋体" w:hint="default"/>
          <w:spacing w:val="-4"/>
          <w:sz w:val="18"/>
          <w:szCs w:val="18"/>
        </w:rPr>
        <w:t>5</w:t>
      </w:r>
      <w:r>
        <w:rPr>
          <w:rFonts w:ascii="宋体" w:hAnsi="宋体" w:cs="宋体" w:eastAsia="宋体" w:hint="default"/>
          <w:spacing w:val="-4"/>
          <w:sz w:val="18"/>
          <w:szCs w:val="18"/>
        </w:rPr>
        <w:t>日至</w:t>
      </w:r>
      <w:r>
        <w:rPr>
          <w:rFonts w:ascii="宋体" w:hAnsi="宋体" w:cs="宋体" w:eastAsia="宋体" w:hint="default"/>
          <w:spacing w:val="-4"/>
          <w:sz w:val="18"/>
          <w:szCs w:val="18"/>
        </w:rPr>
        <w:t>2048</w:t>
      </w:r>
      <w:r>
        <w:rPr>
          <w:rFonts w:ascii="宋体" w:hAnsi="宋体" w:cs="宋体" w:eastAsia="宋体" w:hint="default"/>
          <w:spacing w:val="-4"/>
          <w:sz w:val="18"/>
          <w:szCs w:val="18"/>
        </w:rPr>
        <w:t>年</w:t>
      </w:r>
      <w:r>
        <w:rPr>
          <w:rFonts w:ascii="宋体" w:hAnsi="宋体" w:cs="宋体" w:eastAsia="宋体" w:hint="default"/>
          <w:spacing w:val="-4"/>
          <w:sz w:val="18"/>
          <w:szCs w:val="18"/>
        </w:rPr>
        <w:t>12</w:t>
      </w:r>
      <w:r>
        <w:rPr>
          <w:rFonts w:ascii="宋体" w:hAnsi="宋体" w:cs="宋体" w:eastAsia="宋体" w:hint="default"/>
          <w:spacing w:val="-4"/>
          <w:sz w:val="18"/>
          <w:szCs w:val="18"/>
        </w:rPr>
        <w:t>月</w:t>
      </w:r>
      <w:r>
        <w:rPr>
          <w:rFonts w:ascii="宋体" w:hAnsi="宋体" w:cs="宋体" w:eastAsia="宋体" w:hint="default"/>
          <w:spacing w:val="-4"/>
          <w:sz w:val="18"/>
          <w:szCs w:val="18"/>
        </w:rPr>
        <w:t>7</w:t>
      </w:r>
      <w:r>
        <w:rPr>
          <w:rFonts w:ascii="宋体" w:hAnsi="宋体" w:cs="宋体" w:eastAsia="宋体" w:hint="default"/>
          <w:spacing w:val="-4"/>
          <w:sz w:val="18"/>
          <w:szCs w:val="18"/>
        </w:rPr>
        <w:t>日。②临潼土地使用权：土地证编号为临国用（</w:t>
      </w:r>
      <w:r>
        <w:rPr>
          <w:rFonts w:ascii="宋体" w:hAnsi="宋体" w:cs="宋体" w:eastAsia="宋体" w:hint="default"/>
          <w:spacing w:val="-4"/>
          <w:sz w:val="18"/>
          <w:szCs w:val="18"/>
        </w:rPr>
        <w:t>2009</w:t>
      </w:r>
      <w:r>
        <w:rPr>
          <w:rFonts w:ascii="宋体" w:hAnsi="宋体" w:cs="宋体" w:eastAsia="宋体" w:hint="default"/>
          <w:spacing w:val="-4"/>
          <w:sz w:val="18"/>
          <w:szCs w:val="18"/>
        </w:rPr>
        <w:t>）第</w:t>
      </w:r>
      <w:r>
        <w:rPr>
          <w:rFonts w:ascii="宋体" w:hAnsi="宋体" w:cs="宋体" w:eastAsia="宋体" w:hint="default"/>
          <w:spacing w:val="-4"/>
          <w:sz w:val="18"/>
          <w:szCs w:val="18"/>
        </w:rPr>
        <w:t>151</w:t>
      </w:r>
      <w:r>
        <w:rPr>
          <w:rFonts w:ascii="宋体" w:hAnsi="宋体" w:cs="宋体" w:eastAsia="宋体" w:hint="default"/>
          <w:spacing w:val="-4"/>
          <w:sz w:val="18"/>
          <w:szCs w:val="18"/>
        </w:rPr>
        <w:t>号，位于临潼</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开发区系以受让方式取得，属于工业用地，土地面积</w:t>
      </w:r>
      <w:r>
        <w:rPr>
          <w:rFonts w:ascii="宋体" w:hAnsi="宋体" w:cs="宋体" w:eastAsia="宋体" w:hint="default"/>
          <w:spacing w:val="-4"/>
          <w:sz w:val="18"/>
          <w:szCs w:val="18"/>
        </w:rPr>
        <w:t>19148.6</w:t>
      </w:r>
      <w:r>
        <w:rPr>
          <w:rFonts w:ascii="宋体" w:hAnsi="宋体" w:cs="宋体" w:eastAsia="宋体" w:hint="default"/>
          <w:spacing w:val="-4"/>
          <w:sz w:val="18"/>
          <w:szCs w:val="18"/>
        </w:rPr>
        <w:t>㎡，使用权自</w:t>
      </w:r>
      <w:r>
        <w:rPr>
          <w:rFonts w:ascii="宋体" w:hAnsi="宋体" w:cs="宋体" w:eastAsia="宋体" w:hint="default"/>
          <w:spacing w:val="-4"/>
          <w:sz w:val="18"/>
          <w:szCs w:val="18"/>
        </w:rPr>
        <w:t>2009</w:t>
      </w:r>
      <w:r>
        <w:rPr>
          <w:rFonts w:ascii="宋体" w:hAnsi="宋体" w:cs="宋体" w:eastAsia="宋体" w:hint="default"/>
          <w:spacing w:val="-4"/>
          <w:sz w:val="18"/>
          <w:szCs w:val="18"/>
        </w:rPr>
        <w:t>年</w:t>
      </w:r>
      <w:r>
        <w:rPr>
          <w:rFonts w:ascii="宋体" w:hAnsi="宋体" w:cs="宋体" w:eastAsia="宋体" w:hint="default"/>
          <w:spacing w:val="-4"/>
          <w:sz w:val="18"/>
          <w:szCs w:val="18"/>
        </w:rPr>
        <w:t>12</w:t>
      </w:r>
      <w:r>
        <w:rPr>
          <w:rFonts w:ascii="宋体" w:hAnsi="宋体" w:cs="宋体" w:eastAsia="宋体" w:hint="default"/>
          <w:spacing w:val="-4"/>
          <w:sz w:val="18"/>
          <w:szCs w:val="18"/>
        </w:rPr>
        <w:t>月</w:t>
      </w:r>
      <w:r>
        <w:rPr>
          <w:rFonts w:ascii="宋体" w:hAnsi="宋体" w:cs="宋体" w:eastAsia="宋体" w:hint="default"/>
          <w:spacing w:val="-4"/>
          <w:sz w:val="18"/>
          <w:szCs w:val="18"/>
        </w:rPr>
        <w:t>13</w:t>
      </w:r>
      <w:r>
        <w:rPr>
          <w:rFonts w:ascii="宋体" w:hAnsi="宋体" w:cs="宋体" w:eastAsia="宋体" w:hint="default"/>
          <w:spacing w:val="-4"/>
          <w:sz w:val="18"/>
          <w:szCs w:val="18"/>
        </w:rPr>
        <w:t>日至</w:t>
      </w:r>
      <w:r>
        <w:rPr>
          <w:rFonts w:ascii="宋体" w:hAnsi="宋体" w:cs="宋体" w:eastAsia="宋体" w:hint="default"/>
          <w:spacing w:val="-4"/>
          <w:sz w:val="18"/>
          <w:szCs w:val="18"/>
        </w:rPr>
        <w:t>2048</w:t>
      </w:r>
      <w:r>
        <w:rPr>
          <w:rFonts w:ascii="宋体" w:hAnsi="宋体" w:cs="宋体" w:eastAsia="宋体" w:hint="default"/>
          <w:spacing w:val="-4"/>
          <w:sz w:val="18"/>
          <w:szCs w:val="18"/>
        </w:rPr>
        <w:t>年</w:t>
      </w:r>
      <w:r>
        <w:rPr>
          <w:rFonts w:ascii="宋体" w:hAnsi="宋体" w:cs="宋体" w:eastAsia="宋体" w:hint="default"/>
          <w:spacing w:val="-4"/>
          <w:sz w:val="18"/>
          <w:szCs w:val="18"/>
        </w:rPr>
        <w:t>9</w:t>
      </w:r>
      <w:r>
        <w:rPr>
          <w:rFonts w:ascii="宋体" w:hAnsi="宋体" w:cs="宋体" w:eastAsia="宋体" w:hint="default"/>
          <w:spacing w:val="-4"/>
          <w:sz w:val="18"/>
          <w:szCs w:val="18"/>
        </w:rPr>
        <w:t>月</w:t>
      </w:r>
      <w:r>
        <w:rPr>
          <w:rFonts w:ascii="宋体" w:hAnsi="宋体" w:cs="宋体" w:eastAsia="宋体" w:hint="default"/>
          <w:spacing w:val="-4"/>
          <w:sz w:val="18"/>
          <w:szCs w:val="18"/>
        </w:rPr>
        <w:t>29</w:t>
      </w:r>
      <w:r>
        <w:rPr>
          <w:rFonts w:ascii="宋体" w:hAnsi="宋体" w:cs="宋体" w:eastAsia="宋体" w:hint="default"/>
          <w:spacing w:val="-4"/>
          <w:sz w:val="18"/>
          <w:szCs w:val="18"/>
        </w:rPr>
        <w:t>日；③易诺和创土</w:t>
      </w:r>
      <w:r>
        <w:rPr>
          <w:rFonts w:ascii="宋体" w:hAnsi="宋体" w:cs="宋体" w:eastAsia="宋体" w:hint="default"/>
          <w:spacing w:val="-3"/>
          <w:sz w:val="18"/>
          <w:szCs w:val="18"/>
        </w:rPr>
        <w:t> </w:t>
      </w:r>
      <w:r>
        <w:rPr>
          <w:rFonts w:ascii="宋体" w:hAnsi="宋体" w:cs="宋体" w:eastAsia="宋体" w:hint="default"/>
          <w:spacing w:val="-3"/>
          <w:sz w:val="18"/>
          <w:szCs w:val="18"/>
        </w:rPr>
        <w:t>地使用权：土地证编号为西高科技国用（</w:t>
      </w:r>
      <w:r>
        <w:rPr>
          <w:rFonts w:ascii="宋体" w:hAnsi="宋体" w:cs="宋体" w:eastAsia="宋体" w:hint="default"/>
          <w:spacing w:val="-3"/>
          <w:sz w:val="18"/>
          <w:szCs w:val="18"/>
        </w:rPr>
        <w:t>2007</w:t>
      </w:r>
      <w:r>
        <w:rPr>
          <w:rFonts w:ascii="宋体" w:hAnsi="宋体" w:cs="宋体" w:eastAsia="宋体" w:hint="default"/>
          <w:spacing w:val="-3"/>
          <w:sz w:val="18"/>
          <w:szCs w:val="18"/>
        </w:rPr>
        <w:t>）第</w:t>
      </w:r>
      <w:r>
        <w:rPr>
          <w:rFonts w:ascii="宋体" w:hAnsi="宋体" w:cs="宋体" w:eastAsia="宋体" w:hint="default"/>
          <w:spacing w:val="-3"/>
          <w:sz w:val="18"/>
          <w:szCs w:val="18"/>
        </w:rPr>
        <w:t>41593</w:t>
      </w:r>
      <w:r>
        <w:rPr>
          <w:rFonts w:ascii="宋体" w:hAnsi="宋体" w:cs="宋体" w:eastAsia="宋体" w:hint="default"/>
          <w:spacing w:val="-3"/>
          <w:sz w:val="18"/>
          <w:szCs w:val="18"/>
        </w:rPr>
        <w:t>号，位于西安市高新技术产业开发区，系以受让方式取得，属于工</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2"/>
          <w:sz w:val="18"/>
          <w:szCs w:val="18"/>
        </w:rPr>
        <w:t>业用地，土地面积</w:t>
      </w:r>
      <w:r>
        <w:rPr>
          <w:rFonts w:ascii="宋体" w:hAnsi="宋体" w:cs="宋体" w:eastAsia="宋体" w:hint="default"/>
          <w:spacing w:val="-2"/>
          <w:sz w:val="18"/>
          <w:szCs w:val="18"/>
        </w:rPr>
        <w:t>11001.5</w:t>
      </w:r>
      <w:r>
        <w:rPr>
          <w:rFonts w:ascii="宋体" w:hAnsi="宋体" w:cs="宋体" w:eastAsia="宋体" w:hint="default"/>
          <w:spacing w:val="-2"/>
          <w:sz w:val="18"/>
          <w:szCs w:val="18"/>
        </w:rPr>
        <w:t>㎡，使用权自</w:t>
      </w:r>
      <w:r>
        <w:rPr>
          <w:rFonts w:ascii="宋体" w:hAnsi="宋体" w:cs="宋体" w:eastAsia="宋体" w:hint="default"/>
          <w:spacing w:val="-2"/>
          <w:sz w:val="18"/>
          <w:szCs w:val="18"/>
        </w:rPr>
        <w:t>2004</w:t>
      </w:r>
      <w:r>
        <w:rPr>
          <w:rFonts w:ascii="宋体" w:hAnsi="宋体" w:cs="宋体" w:eastAsia="宋体" w:hint="default"/>
          <w:spacing w:val="-2"/>
          <w:sz w:val="18"/>
          <w:szCs w:val="18"/>
        </w:rPr>
        <w:t>年</w:t>
      </w:r>
      <w:r>
        <w:rPr>
          <w:rFonts w:ascii="宋体" w:hAnsi="宋体" w:cs="宋体" w:eastAsia="宋体" w:hint="default"/>
          <w:spacing w:val="-2"/>
          <w:sz w:val="18"/>
          <w:szCs w:val="18"/>
        </w:rPr>
        <w:t>4</w:t>
      </w:r>
      <w:r>
        <w:rPr>
          <w:rFonts w:ascii="宋体" w:hAnsi="宋体" w:cs="宋体" w:eastAsia="宋体" w:hint="default"/>
          <w:spacing w:val="-2"/>
          <w:sz w:val="18"/>
          <w:szCs w:val="18"/>
        </w:rPr>
        <w:t>月</w:t>
      </w:r>
      <w:r>
        <w:rPr>
          <w:rFonts w:ascii="宋体" w:hAnsi="宋体" w:cs="宋体" w:eastAsia="宋体" w:hint="default"/>
          <w:spacing w:val="-2"/>
          <w:sz w:val="18"/>
          <w:szCs w:val="18"/>
        </w:rPr>
        <w:t>21</w:t>
      </w:r>
      <w:r>
        <w:rPr>
          <w:rFonts w:ascii="宋体" w:hAnsi="宋体" w:cs="宋体" w:eastAsia="宋体" w:hint="default"/>
          <w:spacing w:val="-2"/>
          <w:sz w:val="18"/>
          <w:szCs w:val="18"/>
        </w:rPr>
        <w:t>日至</w:t>
      </w:r>
      <w:r>
        <w:rPr>
          <w:rFonts w:ascii="宋体" w:hAnsi="宋体" w:cs="宋体" w:eastAsia="宋体" w:hint="default"/>
          <w:spacing w:val="-2"/>
          <w:sz w:val="18"/>
          <w:szCs w:val="18"/>
        </w:rPr>
        <w:t>2048</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7</w:t>
      </w:r>
      <w:r>
        <w:rPr>
          <w:rFonts w:ascii="宋体" w:hAnsi="宋体" w:cs="宋体" w:eastAsia="宋体" w:hint="default"/>
          <w:spacing w:val="-2"/>
          <w:sz w:val="18"/>
          <w:szCs w:val="18"/>
        </w:rPr>
        <w:t>日；④天津土地使用权：土地证编号为房地证津字第</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2"/>
          <w:sz w:val="18"/>
          <w:szCs w:val="18"/>
        </w:rPr>
        <w:t>113011410357</w:t>
      </w:r>
      <w:r>
        <w:rPr>
          <w:rFonts w:ascii="宋体" w:hAnsi="宋体" w:cs="宋体" w:eastAsia="宋体" w:hint="default"/>
          <w:spacing w:val="-2"/>
          <w:sz w:val="18"/>
          <w:szCs w:val="18"/>
        </w:rPr>
        <w:t>号，位于天津市北辰医药园区系受让方式取得，属于工业用地，土地面积</w:t>
      </w:r>
      <w:r>
        <w:rPr>
          <w:rFonts w:ascii="宋体" w:hAnsi="宋体" w:cs="宋体" w:eastAsia="宋体" w:hint="default"/>
          <w:spacing w:val="-2"/>
          <w:sz w:val="18"/>
          <w:szCs w:val="18"/>
        </w:rPr>
        <w:t>39999.9</w:t>
      </w:r>
      <w:r>
        <w:rPr>
          <w:rFonts w:ascii="宋体" w:hAnsi="宋体" w:cs="宋体" w:eastAsia="宋体" w:hint="default"/>
          <w:spacing w:val="-2"/>
          <w:sz w:val="18"/>
          <w:szCs w:val="18"/>
        </w:rPr>
        <w:t>㎡，使用权自</w:t>
      </w:r>
      <w:r>
        <w:rPr>
          <w:rFonts w:ascii="宋体" w:hAnsi="宋体" w:cs="宋体" w:eastAsia="宋体" w:hint="default"/>
          <w:spacing w:val="-2"/>
          <w:sz w:val="18"/>
          <w:szCs w:val="18"/>
        </w:rPr>
        <w:t>2010</w:t>
      </w:r>
      <w:r>
        <w:rPr>
          <w:rFonts w:ascii="宋体" w:hAnsi="宋体" w:cs="宋体" w:eastAsia="宋体" w:hint="default"/>
          <w:spacing w:val="-2"/>
          <w:sz w:val="18"/>
          <w:szCs w:val="18"/>
        </w:rPr>
        <w:t>年</w:t>
      </w:r>
      <w:r>
        <w:rPr>
          <w:rFonts w:ascii="宋体" w:hAnsi="宋体" w:cs="宋体" w:eastAsia="宋体" w:hint="default"/>
          <w:spacing w:val="-2"/>
          <w:sz w:val="18"/>
          <w:szCs w:val="18"/>
        </w:rPr>
        <w:t>4</w:t>
      </w:r>
      <w:r>
        <w:rPr>
          <w:rFonts w:ascii="宋体" w:hAnsi="宋体" w:cs="宋体" w:eastAsia="宋体" w:hint="default"/>
          <w:spacing w:val="-2"/>
          <w:sz w:val="18"/>
          <w:szCs w:val="18"/>
        </w:rPr>
        <w:t>月</w:t>
      </w:r>
      <w:r>
        <w:rPr>
          <w:rFonts w:ascii="宋体" w:hAnsi="宋体" w:cs="宋体" w:eastAsia="宋体" w:hint="default"/>
          <w:spacing w:val="-2"/>
          <w:sz w:val="18"/>
          <w:szCs w:val="18"/>
        </w:rPr>
        <w:t>3</w:t>
      </w:r>
      <w:r>
        <w:rPr>
          <w:rFonts w:ascii="宋体" w:hAnsi="宋体" w:cs="宋体" w:eastAsia="宋体" w:hint="default"/>
          <w:spacing w:val="-2"/>
          <w:sz w:val="18"/>
          <w:szCs w:val="18"/>
        </w:rPr>
        <w:t>日</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z w:val="18"/>
          <w:szCs w:val="18"/>
        </w:rPr>
        <w:t>2060</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p>
    <w:p>
      <w:pPr>
        <w:spacing w:line="362" w:lineRule="auto" w:before="31"/>
        <w:ind w:left="153" w:right="1122" w:firstLine="422"/>
        <w:jc w:val="both"/>
        <w:rPr>
          <w:rFonts w:ascii="宋体" w:hAnsi="宋体" w:cs="宋体" w:eastAsia="宋体" w:hint="default"/>
          <w:sz w:val="18"/>
          <w:szCs w:val="18"/>
        </w:rPr>
      </w:pPr>
      <w:r>
        <w:rPr>
          <w:rFonts w:ascii="宋体" w:hAnsi="宋体" w:cs="宋体" w:eastAsia="宋体" w:hint="default"/>
          <w:spacing w:val="-7"/>
          <w:sz w:val="18"/>
          <w:szCs w:val="18"/>
        </w:rPr>
        <w:t>（</w:t>
      </w:r>
      <w:r>
        <w:rPr>
          <w:rFonts w:ascii="宋体" w:hAnsi="宋体" w:cs="宋体" w:eastAsia="宋体" w:hint="default"/>
          <w:spacing w:val="-7"/>
          <w:sz w:val="18"/>
          <w:szCs w:val="18"/>
        </w:rPr>
        <w:t>2</w:t>
      </w:r>
      <w:r>
        <w:rPr>
          <w:rFonts w:ascii="宋体" w:hAnsi="宋体" w:cs="宋体" w:eastAsia="宋体" w:hint="default"/>
          <w:spacing w:val="-7"/>
          <w:sz w:val="18"/>
          <w:szCs w:val="18"/>
        </w:rPr>
        <w:t>）软件著作权、专有技术、域名主要系：本公司购买子公司领凯科技股权，对取得的领凯科技资产进行初始确认时，</w:t>
      </w:r>
      <w:r>
        <w:rPr>
          <w:rFonts w:ascii="宋体" w:hAnsi="宋体" w:cs="宋体" w:eastAsia="宋体" w:hint="default"/>
          <w:w w:val="101"/>
          <w:sz w:val="18"/>
          <w:szCs w:val="18"/>
        </w:rPr>
        <w:t> </w:t>
      </w:r>
      <w:r>
        <w:rPr>
          <w:rFonts w:ascii="宋体" w:hAnsi="宋体" w:cs="宋体" w:eastAsia="宋体" w:hint="default"/>
          <w:spacing w:val="-8"/>
          <w:w w:val="101"/>
          <w:sz w:val="18"/>
          <w:szCs w:val="18"/>
        </w:rPr>
        <w:t>对其拥有的但在其财务报表中未确认的无形资产进行辨认和判断时，识别的软件著作权、专有技术、域名作为无形资产核算。</w:t>
      </w:r>
      <w:r>
        <w:rPr>
          <w:rFonts w:ascii="宋体" w:hAnsi="宋体" w:cs="宋体" w:eastAsia="宋体" w:hint="default"/>
          <w:spacing w:val="-8"/>
          <w:sz w:val="18"/>
          <w:szCs w:val="18"/>
        </w:rPr>
      </w:r>
    </w:p>
    <w:p>
      <w:pPr>
        <w:spacing w:line="367" w:lineRule="auto" w:before="32"/>
        <w:ind w:left="153" w:right="1123" w:firstLine="422"/>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3</w:t>
      </w:r>
      <w:r>
        <w:rPr>
          <w:rFonts w:ascii="宋体" w:hAnsi="宋体" w:cs="宋体" w:eastAsia="宋体" w:hint="default"/>
          <w:spacing w:val="-4"/>
          <w:sz w:val="18"/>
          <w:szCs w:val="18"/>
        </w:rPr>
        <w:t>）本期软件增加主要系本公司之子公司领凯科技委托江苏科鼎信息科技有限公司研发高技术程序化交易平台，根据</w:t>
      </w:r>
      <w:r>
        <w:rPr>
          <w:rFonts w:ascii="宋体" w:hAnsi="宋体" w:cs="宋体" w:eastAsia="宋体" w:hint="default"/>
          <w:w w:val="101"/>
          <w:sz w:val="18"/>
          <w:szCs w:val="18"/>
        </w:rPr>
        <w:t> </w:t>
      </w:r>
      <w:r>
        <w:rPr>
          <w:rFonts w:ascii="宋体" w:hAnsi="宋体" w:cs="宋体" w:eastAsia="宋体" w:hint="default"/>
          <w:spacing w:val="-3"/>
          <w:sz w:val="18"/>
          <w:szCs w:val="18"/>
        </w:rPr>
        <w:t>企业会计准则的规定，研究开发项目完成后，满足无形资产确认条件的，确认为无形资产。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3"/>
        <w:ind w:right="0"/>
        <w:jc w:val="left"/>
        <w:rPr>
          <w:b w:val="0"/>
          <w:bCs w:val="0"/>
        </w:rPr>
      </w:pPr>
      <w:bookmarkStart w:name="27、开发支出" w:id="323"/>
      <w:bookmarkEnd w:id="323"/>
      <w:r>
        <w:rPr>
          <w:b w:val="0"/>
          <w:bCs w:val="0"/>
        </w:rPr>
      </w:r>
      <w:r>
        <w:rPr>
          <w:rFonts w:ascii="Times New Roman" w:hAnsi="Times New Roman" w:cs="Times New Roman" w:eastAsia="Times New Roman" w:hint="default"/>
        </w:rPr>
        <w:t>27</w:t>
      </w:r>
      <w:r>
        <w:rPr/>
        <w:t>、开发支出</w:t>
      </w:r>
      <w:r>
        <w:rPr>
          <w:b w:val="0"/>
          <w:bCs w:val="0"/>
        </w:rPr>
      </w:r>
    </w:p>
    <w:p>
      <w:pPr>
        <w:spacing w:line="240" w:lineRule="auto" w:before="9"/>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049"/>
        <w:gridCol w:w="1066"/>
        <w:gridCol w:w="1051"/>
        <w:gridCol w:w="1076"/>
        <w:gridCol w:w="1073"/>
        <w:gridCol w:w="1054"/>
        <w:gridCol w:w="1052"/>
        <w:gridCol w:w="1064"/>
        <w:gridCol w:w="1073"/>
      </w:tblGrid>
      <w:tr>
        <w:trPr>
          <w:trHeight w:val="403" w:hRule="exact"/>
        </w:trPr>
        <w:tc>
          <w:tcPr>
            <w:tcW w:w="1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7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4" w:hRule="exact"/>
        </w:trPr>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33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5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4"/>
              <w:ind w:left="436" w:right="60" w:hanging="360"/>
              <w:jc w:val="left"/>
              <w:rPr>
                <w:rFonts w:ascii="宋体" w:hAnsi="宋体" w:cs="宋体" w:eastAsia="宋体" w:hint="default"/>
                <w:sz w:val="18"/>
                <w:szCs w:val="18"/>
              </w:rPr>
            </w:pPr>
            <w:r>
              <w:rPr>
                <w:rFonts w:ascii="宋体" w:hAnsi="宋体" w:cs="宋体" w:eastAsia="宋体" w:hint="default"/>
                <w:spacing w:val="-2"/>
                <w:sz w:val="18"/>
                <w:szCs w:val="18"/>
              </w:rPr>
              <w:t>内部开发支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出</w:t>
            </w:r>
          </w:p>
        </w:tc>
        <w:tc>
          <w:tcPr>
            <w:tcW w:w="10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4"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4"/>
              <w:ind w:left="333" w:right="75" w:hanging="269"/>
              <w:jc w:val="left"/>
              <w:rPr>
                <w:rFonts w:ascii="宋体" w:hAnsi="宋体" w:cs="宋体" w:eastAsia="宋体" w:hint="default"/>
                <w:sz w:val="18"/>
                <w:szCs w:val="18"/>
              </w:rPr>
            </w:pPr>
            <w:r>
              <w:rPr>
                <w:rFonts w:ascii="宋体" w:hAnsi="宋体" w:cs="宋体" w:eastAsia="宋体" w:hint="default"/>
                <w:spacing w:val="-2"/>
                <w:sz w:val="18"/>
                <w:szCs w:val="18"/>
              </w:rPr>
              <w:t>确认为无形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资产</w:t>
            </w: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4"/>
              <w:ind w:left="436" w:right="60" w:hanging="360"/>
              <w:jc w:val="left"/>
              <w:rPr>
                <w:rFonts w:ascii="宋体" w:hAnsi="宋体" w:cs="宋体" w:eastAsia="宋体" w:hint="default"/>
                <w:sz w:val="18"/>
                <w:szCs w:val="18"/>
              </w:rPr>
            </w:pPr>
            <w:r>
              <w:rPr>
                <w:rFonts w:ascii="宋体" w:hAnsi="宋体" w:cs="宋体" w:eastAsia="宋体" w:hint="default"/>
                <w:spacing w:val="-2"/>
                <w:sz w:val="18"/>
                <w:szCs w:val="18"/>
              </w:rPr>
              <w:t>转入当期损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益</w:t>
            </w: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8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87"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right w:val="single" w:sz="4" w:space="0" w:color="000000"/>
            </w:tcBorders>
            <w:shd w:val="clear" w:color="auto" w:fill="D2D2D2"/>
          </w:tcPr>
          <w:p>
            <w:pPr/>
          </w:p>
        </w:tc>
        <w:tc>
          <w:tcPr>
            <w:tcW w:w="10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3" w:type="dxa"/>
            <w:vMerge w:val="restart"/>
            <w:tcBorders>
              <w:top w:val="nil" w:sz="6" w:space="0" w:color="auto"/>
              <w:left w:val="single" w:sz="4" w:space="0" w:color="000000"/>
              <w:right w:val="single" w:sz="4" w:space="0" w:color="000000"/>
            </w:tcBorders>
            <w:shd w:val="clear" w:color="auto" w:fill="D2D2D2"/>
          </w:tcPr>
          <w:p>
            <w:pPr/>
          </w:p>
        </w:tc>
        <w:tc>
          <w:tcPr>
            <w:tcW w:w="1054"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7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49" w:type="dxa"/>
            <w:vMerge w:val="restart"/>
            <w:tcBorders>
              <w:top w:val="nil" w:sz="6" w:space="0" w:color="auto"/>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
        </w:tc>
        <w:tc>
          <w:tcPr>
            <w:tcW w:w="1051" w:type="dxa"/>
            <w:vMerge/>
            <w:tcBorders>
              <w:left w:val="single" w:sz="4" w:space="0" w:color="000000"/>
              <w:right w:val="single" w:sz="4" w:space="0" w:color="000000"/>
            </w:tcBorders>
            <w:shd w:val="clear" w:color="auto" w:fill="D2D2D2"/>
          </w:tcPr>
          <w:p>
            <w:pPr/>
          </w:p>
        </w:tc>
        <w:tc>
          <w:tcPr>
            <w:tcW w:w="1076" w:type="dxa"/>
            <w:vMerge/>
            <w:tcBorders>
              <w:left w:val="single" w:sz="4" w:space="0" w:color="000000"/>
              <w:bottom w:val="nil" w:sz="6" w:space="0" w:color="auto"/>
              <w:right w:val="single" w:sz="4" w:space="0" w:color="000000"/>
            </w:tcBorders>
            <w:shd w:val="clear" w:color="auto" w:fill="D2D2D2"/>
          </w:tcPr>
          <w:p>
            <w:pPr/>
          </w:p>
        </w:tc>
        <w:tc>
          <w:tcPr>
            <w:tcW w:w="1073" w:type="dxa"/>
            <w:vMerge/>
            <w:tcBorders>
              <w:left w:val="single" w:sz="4" w:space="0" w:color="000000"/>
              <w:bottom w:val="nil" w:sz="6" w:space="0" w:color="auto"/>
              <w:right w:val="single" w:sz="4" w:space="0" w:color="000000"/>
            </w:tcBorders>
            <w:shd w:val="clear" w:color="auto" w:fill="D2D2D2"/>
          </w:tcPr>
          <w:p>
            <w:pPr/>
          </w:p>
        </w:tc>
        <w:tc>
          <w:tcPr>
            <w:tcW w:w="1054"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73" w:type="dxa"/>
            <w:vMerge w:val="restart"/>
            <w:tcBorders>
              <w:top w:val="nil" w:sz="6" w:space="0" w:color="auto"/>
              <w:left w:val="single" w:sz="4" w:space="0" w:color="000000"/>
              <w:right w:val="single" w:sz="4" w:space="0" w:color="000000"/>
            </w:tcBorders>
            <w:shd w:val="clear" w:color="auto" w:fill="D2D2D2"/>
          </w:tcPr>
          <w:p>
            <w:pPr/>
          </w:p>
        </w:tc>
      </w:tr>
      <w:tr>
        <w:trPr>
          <w:trHeight w:val="163" w:hRule="exact"/>
        </w:trPr>
        <w:tc>
          <w:tcPr>
            <w:tcW w:w="1049"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10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4" w:type="dxa"/>
            <w:vMerge/>
            <w:tcBorders>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平台开发</w:t>
            </w:r>
          </w:p>
        </w:tc>
        <w:tc>
          <w:tcPr>
            <w:tcW w:w="10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84" w:right="0"/>
              <w:jc w:val="left"/>
              <w:rPr>
                <w:rFonts w:ascii="Times New Roman" w:hAnsi="Times New Roman" w:cs="Times New Roman" w:eastAsia="Times New Roman" w:hint="default"/>
                <w:sz w:val="18"/>
                <w:szCs w:val="18"/>
              </w:rPr>
            </w:pPr>
            <w:r>
              <w:rPr>
                <w:rFonts w:ascii="Times New Roman"/>
                <w:sz w:val="18"/>
              </w:rPr>
              <w:t>6,141,509.20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4" w:right="0"/>
              <w:jc w:val="left"/>
              <w:rPr>
                <w:rFonts w:ascii="Times New Roman" w:hAnsi="Times New Roman" w:cs="Times New Roman" w:eastAsia="Times New Roman" w:hint="default"/>
                <w:sz w:val="18"/>
                <w:szCs w:val="18"/>
              </w:rPr>
            </w:pPr>
            <w:r>
              <w:rPr>
                <w:rFonts w:ascii="Times New Roman"/>
                <w:sz w:val="18"/>
              </w:rPr>
              <w:t>6,141,509.20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12"/>
        <w:rPr>
          <w:rFonts w:ascii="宋体" w:hAnsi="宋体" w:cs="宋体" w:eastAsia="宋体"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052"/>
        <w:gridCol w:w="1076"/>
        <w:gridCol w:w="1061"/>
        <w:gridCol w:w="1066"/>
        <w:gridCol w:w="1061"/>
        <w:gridCol w:w="1066"/>
        <w:gridCol w:w="1061"/>
        <w:gridCol w:w="1066"/>
        <w:gridCol w:w="1061"/>
      </w:tblGrid>
      <w:tr>
        <w:trPr>
          <w:trHeight w:val="403"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93" w:right="0"/>
              <w:jc w:val="left"/>
              <w:rPr>
                <w:rFonts w:ascii="Times New Roman" w:hAnsi="Times New Roman" w:cs="Times New Roman" w:eastAsia="Times New Roman" w:hint="default"/>
                <w:sz w:val="18"/>
                <w:szCs w:val="18"/>
              </w:rPr>
            </w:pPr>
            <w:r>
              <w:rPr>
                <w:rFonts w:ascii="Times New Roman"/>
                <w:sz w:val="18"/>
              </w:rPr>
              <w:t>6,141,509.20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6,141,509.20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8、商誉" w:id="324"/>
      <w:bookmarkEnd w:id="324"/>
      <w:r>
        <w:rPr>
          <w:b w:val="0"/>
          <w:bCs w:val="0"/>
        </w:rPr>
      </w:r>
      <w:r>
        <w:rPr>
          <w:rFonts w:ascii="Times New Roman" w:hAnsi="Times New Roman" w:cs="Times New Roman" w:eastAsia="Times New Roman" w:hint="default"/>
        </w:rPr>
        <w:t>28</w:t>
      </w:r>
      <w:r>
        <w:rPr/>
        <w:t>、商誉</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325"/>
      <w:bookmarkEnd w:id="325"/>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4"/>
        <w:gridCol w:w="1368"/>
        <w:gridCol w:w="1368"/>
        <w:gridCol w:w="1369"/>
        <w:gridCol w:w="1369"/>
      </w:tblGrid>
      <w:tr>
        <w:trPr>
          <w:trHeight w:val="317" w:hRule="exact"/>
        </w:trPr>
        <w:tc>
          <w:tcPr>
            <w:tcW w:w="134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35" w:right="34"/>
              <w:jc w:val="center"/>
              <w:rPr>
                <w:rFonts w:ascii="宋体" w:hAnsi="宋体" w:cs="宋体" w:eastAsia="宋体" w:hint="default"/>
                <w:sz w:val="18"/>
                <w:szCs w:val="18"/>
              </w:rPr>
            </w:pPr>
            <w:r>
              <w:rPr>
                <w:rFonts w:ascii="宋体" w:hAnsi="宋体" w:cs="宋体" w:eastAsia="宋体" w:hint="default"/>
                <w:spacing w:val="-3"/>
                <w:sz w:val="18"/>
                <w:szCs w:val="18"/>
              </w:rPr>
              <w:t>被投资单位名称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或形成商誉的事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项</w:t>
            </w:r>
          </w:p>
        </w:tc>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2" w:hRule="exact"/>
        </w:trPr>
        <w:tc>
          <w:tcPr>
            <w:tcW w:w="1345" w:type="dxa"/>
            <w:vMerge/>
            <w:tcBorders>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3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5" w:type="dxa"/>
            <w:vMerge/>
            <w:tcBorders>
              <w:left w:val="single" w:sz="4" w:space="0" w:color="000000"/>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48" w:right="0"/>
              <w:jc w:val="left"/>
              <w:rPr>
                <w:rFonts w:ascii="宋体" w:hAnsi="宋体" w:cs="宋体" w:eastAsia="宋体" w:hint="default"/>
                <w:sz w:val="18"/>
                <w:szCs w:val="18"/>
              </w:rPr>
            </w:pPr>
            <w:r>
              <w:rPr>
                <w:rFonts w:ascii="宋体" w:hAnsi="宋体" w:cs="宋体" w:eastAsia="宋体" w:hint="default"/>
                <w:spacing w:val="-3"/>
                <w:sz w:val="18"/>
                <w:szCs w:val="18"/>
              </w:rPr>
              <w:t>企业合并形成的</w:t>
            </w: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5" w:type="dxa"/>
            <w:vMerge/>
            <w:tcBorders>
              <w:left w:val="single" w:sz="4" w:space="0" w:color="000000"/>
              <w:bottom w:val="single" w:sz="4" w:space="0" w:color="000000"/>
              <w:right w:val="single" w:sz="4" w:space="0" w:color="000000"/>
            </w:tcBorders>
            <w:shd w:val="clear" w:color="auto" w:fill="D2D2D2"/>
          </w:tcPr>
          <w:p>
            <w:pPr/>
          </w:p>
        </w:tc>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8"/>
              <w:jc w:val="left"/>
              <w:rPr>
                <w:rFonts w:ascii="宋体" w:hAnsi="宋体" w:cs="宋体" w:eastAsia="宋体" w:hint="default"/>
                <w:sz w:val="18"/>
                <w:szCs w:val="18"/>
              </w:rPr>
            </w:pPr>
            <w:r>
              <w:rPr>
                <w:rFonts w:ascii="宋体" w:hAnsi="宋体" w:cs="宋体" w:eastAsia="宋体" w:hint="default"/>
                <w:spacing w:val="-3"/>
                <w:sz w:val="18"/>
                <w:szCs w:val="18"/>
              </w:rPr>
              <w:t>陕西永鑫纸业包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装有限公司</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182,522.18</w:t>
            </w:r>
          </w:p>
        </w:tc>
        <w:tc>
          <w:tcPr>
            <w:tcW w:w="1364"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182,522.18</w:t>
            </w:r>
          </w:p>
        </w:tc>
      </w:tr>
      <w:tr>
        <w:trPr>
          <w:trHeight w:val="711"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8"/>
              <w:jc w:val="left"/>
              <w:rPr>
                <w:rFonts w:ascii="宋体" w:hAnsi="宋体" w:cs="宋体" w:eastAsia="宋体" w:hint="default"/>
                <w:sz w:val="18"/>
                <w:szCs w:val="18"/>
              </w:rPr>
            </w:pPr>
            <w:r>
              <w:rPr>
                <w:rFonts w:ascii="宋体" w:hAnsi="宋体" w:cs="宋体" w:eastAsia="宋体" w:hint="default"/>
                <w:spacing w:val="-3"/>
                <w:sz w:val="18"/>
                <w:szCs w:val="18"/>
              </w:rPr>
              <w:t>霍尔果斯领凯网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络科技有限公司</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108,096,828.78</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108,096,828.78</w:t>
            </w:r>
          </w:p>
        </w:tc>
      </w:tr>
      <w:tr>
        <w:trPr>
          <w:trHeight w:val="1027"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58"/>
              <w:jc w:val="both"/>
              <w:rPr>
                <w:rFonts w:ascii="宋体" w:hAnsi="宋体" w:cs="宋体" w:eastAsia="宋体" w:hint="default"/>
                <w:sz w:val="18"/>
                <w:szCs w:val="18"/>
              </w:rPr>
            </w:pPr>
            <w:r>
              <w:rPr>
                <w:rFonts w:ascii="宋体" w:hAnsi="宋体" w:cs="宋体" w:eastAsia="宋体" w:hint="default"/>
                <w:spacing w:val="-3"/>
                <w:sz w:val="18"/>
                <w:szCs w:val="18"/>
              </w:rPr>
              <w:t>北京金印联国际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供应链管理有限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72,337,380.36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72,337,380.36</w:t>
            </w: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108,279,350.96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72,337,380.36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180,616,731.32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商誉减值准备" w:id="326"/>
      <w:bookmarkEnd w:id="326"/>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Heading3"/>
        <w:spacing w:line="240" w:lineRule="auto"/>
        <w:ind w:right="0"/>
        <w:jc w:val="left"/>
        <w:rPr>
          <w:b w:val="0"/>
          <w:bCs w:val="0"/>
        </w:rPr>
      </w:pPr>
      <w:r>
        <w:rPr/>
        <w:t>商誉所在资产组或资产组组合的相关信息</w:t>
      </w:r>
      <w:r>
        <w:rPr>
          <w:b w:val="0"/>
          <w:bCs w:val="0"/>
        </w:rPr>
      </w:r>
    </w:p>
    <w:p>
      <w:pPr>
        <w:spacing w:line="240" w:lineRule="auto" w:before="12"/>
        <w:rPr>
          <w:rFonts w:ascii="宋体" w:hAnsi="宋体" w:cs="宋体" w:eastAsia="宋体" w:hint="default"/>
          <w:b/>
          <w:bCs/>
          <w:sz w:val="6"/>
          <w:szCs w:val="6"/>
        </w:rPr>
      </w:pPr>
    </w:p>
    <w:tbl>
      <w:tblPr>
        <w:tblW w:w="0" w:type="auto"/>
        <w:jc w:val="left"/>
        <w:tblInd w:w="131" w:type="dxa"/>
        <w:tblLayout w:type="fixed"/>
        <w:tblCellMar>
          <w:top w:w="0" w:type="dxa"/>
          <w:left w:w="0" w:type="dxa"/>
          <w:bottom w:w="0" w:type="dxa"/>
          <w:right w:w="0" w:type="dxa"/>
        </w:tblCellMar>
        <w:tblLook w:val="01E0"/>
      </w:tblPr>
      <w:tblGrid>
        <w:gridCol w:w="2195"/>
        <w:gridCol w:w="1808"/>
        <w:gridCol w:w="5906"/>
      </w:tblGrid>
      <w:tr>
        <w:trPr>
          <w:trHeight w:val="144" w:hRule="exact"/>
        </w:trPr>
        <w:tc>
          <w:tcPr>
            <w:tcW w:w="2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07" w:right="0"/>
              <w:jc w:val="left"/>
              <w:rPr>
                <w:rFonts w:ascii="宋体" w:hAnsi="宋体" w:cs="宋体" w:eastAsia="宋体" w:hint="default"/>
                <w:sz w:val="18"/>
                <w:szCs w:val="18"/>
              </w:rPr>
            </w:pPr>
            <w:r>
              <w:rPr>
                <w:rFonts w:ascii="宋体" w:hAnsi="宋体" w:cs="宋体" w:eastAsia="宋体" w:hint="default"/>
                <w:spacing w:val="-3"/>
                <w:sz w:val="18"/>
                <w:szCs w:val="18"/>
              </w:rPr>
              <w:t>所在资产组或资产组组合的相关信息</w:t>
            </w:r>
          </w:p>
        </w:tc>
      </w:tr>
      <w:tr>
        <w:trPr>
          <w:trHeight w:val="250" w:hRule="exact"/>
        </w:trPr>
        <w:tc>
          <w:tcPr>
            <w:tcW w:w="2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pacing w:val="-3"/>
                <w:sz w:val="18"/>
                <w:szCs w:val="18"/>
              </w:rPr>
              <w:t>被投资单位名称</w:t>
            </w:r>
          </w:p>
        </w:tc>
        <w:tc>
          <w:tcPr>
            <w:tcW w:w="18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44" w:right="0"/>
              <w:jc w:val="left"/>
              <w:rPr>
                <w:rFonts w:ascii="宋体" w:hAnsi="宋体" w:cs="宋体" w:eastAsia="宋体" w:hint="default"/>
                <w:sz w:val="18"/>
                <w:szCs w:val="18"/>
              </w:rPr>
            </w:pPr>
            <w:r>
              <w:rPr>
                <w:rFonts w:ascii="宋体" w:hAnsi="宋体" w:cs="宋体" w:eastAsia="宋体" w:hint="default"/>
                <w:sz w:val="18"/>
                <w:szCs w:val="18"/>
              </w:rPr>
              <w:t>商誉金额</w:t>
            </w:r>
          </w:p>
        </w:tc>
        <w:tc>
          <w:tcPr>
            <w:tcW w:w="5906" w:type="dxa"/>
            <w:vMerge/>
            <w:tcBorders>
              <w:left w:val="single" w:sz="4" w:space="0" w:color="000000"/>
              <w:bottom w:val="nil" w:sz="6" w:space="0" w:color="auto"/>
              <w:right w:val="single" w:sz="4" w:space="0" w:color="000000"/>
            </w:tcBorders>
            <w:shd w:val="clear" w:color="auto" w:fill="D2D2D2"/>
          </w:tcPr>
          <w:p>
            <w:pPr/>
          </w:p>
        </w:tc>
      </w:tr>
      <w:tr>
        <w:trPr>
          <w:trHeight w:val="139" w:hRule="exact"/>
        </w:trPr>
        <w:tc>
          <w:tcPr>
            <w:tcW w:w="2195" w:type="dxa"/>
            <w:vMerge/>
            <w:tcBorders>
              <w:left w:val="single" w:sz="4" w:space="0" w:color="000000"/>
              <w:bottom w:val="nil" w:sz="6" w:space="0" w:color="auto"/>
              <w:right w:val="single" w:sz="4" w:space="0" w:color="000000"/>
            </w:tcBorders>
            <w:shd w:val="clear" w:color="auto" w:fill="D2D2D2"/>
          </w:tcPr>
          <w:p>
            <w:pPr/>
          </w:p>
        </w:tc>
        <w:tc>
          <w:tcPr>
            <w:tcW w:w="1808" w:type="dxa"/>
            <w:vMerge/>
            <w:tcBorders>
              <w:left w:val="single" w:sz="4" w:space="0" w:color="000000"/>
              <w:bottom w:val="nil" w:sz="6" w:space="0" w:color="auto"/>
              <w:right w:val="single" w:sz="4" w:space="0" w:color="000000"/>
            </w:tcBorders>
            <w:shd w:val="clear" w:color="auto" w:fill="D2D2D2"/>
          </w:tcPr>
          <w:p>
            <w:pPr/>
          </w:p>
        </w:tc>
        <w:tc>
          <w:tcPr>
            <w:tcW w:w="5906" w:type="dxa"/>
            <w:vMerge w:val="restart"/>
            <w:tcBorders>
              <w:top w:val="nil" w:sz="6" w:space="0" w:color="auto"/>
              <w:left w:val="single" w:sz="4" w:space="0" w:color="000000"/>
              <w:right w:val="single" w:sz="4" w:space="0" w:color="000000"/>
            </w:tcBorders>
            <w:shd w:val="clear" w:color="auto" w:fill="D2D2D2"/>
          </w:tcPr>
          <w:p>
            <w:pPr/>
          </w:p>
        </w:tc>
      </w:tr>
      <w:tr>
        <w:trPr>
          <w:trHeight w:val="144" w:hRule="exact"/>
        </w:trPr>
        <w:tc>
          <w:tcPr>
            <w:tcW w:w="2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8" w:type="dxa"/>
            <w:tcBorders>
              <w:top w:val="nil" w:sz="6" w:space="0" w:color="auto"/>
              <w:left w:val="single" w:sz="4" w:space="0" w:color="000000"/>
              <w:bottom w:val="single" w:sz="4" w:space="0" w:color="000000"/>
              <w:right w:val="single" w:sz="4" w:space="0" w:color="000000"/>
            </w:tcBorders>
            <w:shd w:val="clear" w:color="auto" w:fill="D2D2D2"/>
          </w:tcPr>
          <w:p>
            <w:pPr/>
          </w:p>
        </w:tc>
        <w:tc>
          <w:tcPr>
            <w:tcW w:w="5906"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2" w:right="5"/>
              <w:jc w:val="left"/>
              <w:rPr>
                <w:rFonts w:ascii="宋体" w:hAnsi="宋体" w:cs="宋体" w:eastAsia="宋体" w:hint="default"/>
                <w:sz w:val="18"/>
                <w:szCs w:val="18"/>
              </w:rPr>
            </w:pPr>
            <w:r>
              <w:rPr>
                <w:rFonts w:ascii="宋体" w:hAnsi="宋体" w:cs="宋体" w:eastAsia="宋体" w:hint="default"/>
                <w:spacing w:val="-3"/>
                <w:sz w:val="18"/>
                <w:szCs w:val="18"/>
              </w:rPr>
              <w:t>霍尔果斯领凯网络科技有限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18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108,096,828.78</w:t>
            </w:r>
          </w:p>
        </w:tc>
        <w:tc>
          <w:tcPr>
            <w:tcW w:w="590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09"/>
              <w:jc w:val="left"/>
              <w:rPr>
                <w:rFonts w:ascii="宋体" w:hAnsi="宋体" w:cs="宋体" w:eastAsia="宋体" w:hint="default"/>
                <w:sz w:val="18"/>
                <w:szCs w:val="18"/>
              </w:rPr>
            </w:pPr>
            <w:r>
              <w:rPr>
                <w:rFonts w:ascii="宋体" w:hAnsi="宋体" w:cs="宋体" w:eastAsia="宋体" w:hint="default"/>
                <w:spacing w:val="-3"/>
                <w:sz w:val="18"/>
                <w:szCs w:val="18"/>
              </w:rPr>
              <w:t>系收购子公司领凯科技时形成，领凯科技作为独立的法人实体，以其作为</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相应商誉所在的资产组。</w:t>
            </w:r>
          </w:p>
        </w:tc>
      </w:tr>
      <w:tr>
        <w:trPr>
          <w:trHeight w:val="715"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2" w:right="5"/>
              <w:jc w:val="left"/>
              <w:rPr>
                <w:rFonts w:ascii="宋体" w:hAnsi="宋体" w:cs="宋体" w:eastAsia="宋体" w:hint="default"/>
                <w:sz w:val="18"/>
                <w:szCs w:val="18"/>
              </w:rPr>
            </w:pPr>
            <w:r>
              <w:rPr>
                <w:rFonts w:ascii="宋体" w:hAnsi="宋体" w:cs="宋体" w:eastAsia="宋体" w:hint="default"/>
                <w:spacing w:val="-3"/>
                <w:sz w:val="18"/>
                <w:szCs w:val="18"/>
              </w:rPr>
              <w:t>北京金印联国际供应链管理</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有限公司</w:t>
            </w:r>
          </w:p>
        </w:tc>
        <w:tc>
          <w:tcPr>
            <w:tcW w:w="18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72,337,380.36</w:t>
            </w:r>
          </w:p>
        </w:tc>
        <w:tc>
          <w:tcPr>
            <w:tcW w:w="590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18"/>
              <w:jc w:val="left"/>
              <w:rPr>
                <w:rFonts w:ascii="宋体" w:hAnsi="宋体" w:cs="宋体" w:eastAsia="宋体" w:hint="default"/>
                <w:sz w:val="18"/>
                <w:szCs w:val="18"/>
              </w:rPr>
            </w:pPr>
            <w:r>
              <w:rPr>
                <w:rFonts w:ascii="宋体" w:hAnsi="宋体" w:cs="宋体" w:eastAsia="宋体" w:hint="default"/>
                <w:spacing w:val="-1"/>
                <w:sz w:val="18"/>
                <w:szCs w:val="18"/>
              </w:rPr>
              <w:t>系收购子公司北京金印联时形成</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北京金印联作为独立的法人实体，以其作</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3"/>
                <w:sz w:val="18"/>
                <w:szCs w:val="18"/>
              </w:rPr>
              <w:t>为相应商誉所在的资产组。</w:t>
            </w:r>
          </w:p>
        </w:tc>
      </w:tr>
    </w:tbl>
    <w:p>
      <w:pPr>
        <w:spacing w:line="240" w:lineRule="auto" w:before="12"/>
        <w:rPr>
          <w:rFonts w:ascii="宋体" w:hAnsi="宋体" w:cs="宋体" w:eastAsia="宋体" w:hint="default"/>
          <w:b/>
          <w:bCs/>
          <w:sz w:val="28"/>
          <w:szCs w:val="28"/>
        </w:rPr>
      </w:pPr>
    </w:p>
    <w:p>
      <w:pPr>
        <w:pStyle w:val="Heading3"/>
        <w:spacing w:line="276" w:lineRule="auto"/>
        <w:ind w:right="0"/>
        <w:jc w:val="left"/>
        <w:rPr>
          <w:b w:val="0"/>
          <w:bCs w:val="0"/>
        </w:rPr>
      </w:pPr>
      <w:r>
        <w:rPr>
          <w:spacing w:val="-7"/>
        </w:rPr>
        <w:t>说明商誉减值测试过程、关键参数（如预计未来现金流量现值时的预测期增长率、稳定期增长率、利润率、</w:t>
      </w:r>
      <w:r>
        <w:rPr>
          <w:spacing w:val="-50"/>
        </w:rPr>
        <w:t> </w:t>
      </w:r>
      <w:r>
        <w:rPr>
          <w:spacing w:val="-50"/>
        </w:rPr>
      </w:r>
      <w:r>
        <w:rPr/>
        <w:t>折现率、预测期等）及商誉减值损失的确认方法：</w:t>
      </w:r>
      <w:r>
        <w:rPr>
          <w:b w:val="0"/>
          <w:bCs w:val="0"/>
        </w:rPr>
      </w:r>
    </w:p>
    <w:p>
      <w:pPr>
        <w:spacing w:line="309" w:lineRule="auto" w:before="64"/>
        <w:ind w:left="153" w:right="1122" w:firstLine="360"/>
        <w:jc w:val="both"/>
        <w:rPr>
          <w:rFonts w:ascii="宋体" w:hAnsi="宋体" w:cs="宋体" w:eastAsia="宋体" w:hint="default"/>
          <w:sz w:val="18"/>
          <w:szCs w:val="18"/>
        </w:rPr>
      </w:pPr>
      <w:r>
        <w:rPr>
          <w:rFonts w:ascii="宋体" w:hAnsi="宋体" w:cs="宋体" w:eastAsia="宋体" w:hint="default"/>
          <w:spacing w:val="-4"/>
          <w:sz w:val="18"/>
          <w:szCs w:val="18"/>
        </w:rPr>
        <w:t>本公司分别将领凯科技、北京金印联认定为资产组，本年末商誉所在资产组与购买日、以前年度商誉减值测试时所确认</w:t>
      </w:r>
      <w:r>
        <w:rPr>
          <w:rFonts w:ascii="宋体" w:hAnsi="宋体" w:cs="宋体" w:eastAsia="宋体" w:hint="default"/>
          <w:w w:val="101"/>
          <w:sz w:val="18"/>
          <w:szCs w:val="18"/>
        </w:rPr>
        <w:t> </w:t>
      </w:r>
      <w:r>
        <w:rPr>
          <w:rFonts w:ascii="宋体" w:hAnsi="宋体" w:cs="宋体" w:eastAsia="宋体" w:hint="default"/>
          <w:spacing w:val="-4"/>
          <w:sz w:val="18"/>
          <w:szCs w:val="18"/>
        </w:rPr>
        <w:t>的资产组组合一致。各资产组的可收回金额按照预计未来现金流量的现值确定。未来现金流量基于财务预算确定，以及未来</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4"/>
          <w:sz w:val="18"/>
          <w:szCs w:val="18"/>
        </w:rPr>
        <w:t>估计增长率和折现率为基准计算。该增长率基于相关行业的增长及财务预测确定，假设 </w:t>
      </w:r>
      <w:r>
        <w:rPr>
          <w:rFonts w:ascii="Times New Roman" w:hAnsi="Times New Roman" w:cs="Times New Roman" w:eastAsia="Times New Roman" w:hint="default"/>
          <w:sz w:val="18"/>
          <w:szCs w:val="18"/>
        </w:rPr>
        <w:t>5 </w:t>
      </w:r>
      <w:r>
        <w:rPr>
          <w:rFonts w:ascii="宋体" w:hAnsi="宋体" w:cs="宋体" w:eastAsia="宋体" w:hint="default"/>
          <w:spacing w:val="-5"/>
          <w:sz w:val="18"/>
          <w:szCs w:val="18"/>
        </w:rPr>
        <w:t>年后进入平稳期，平稳期的增长率</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按 </w:t>
      </w:r>
      <w:r>
        <w:rPr>
          <w:rFonts w:ascii="Times New Roman" w:hAnsi="Times New Roman" w:cs="Times New Roman" w:eastAsia="Times New Roman" w:hint="default"/>
          <w:spacing w:val="-4"/>
          <w:sz w:val="18"/>
          <w:szCs w:val="18"/>
        </w:rPr>
        <w:t>0%</w:t>
      </w:r>
      <w:r>
        <w:rPr>
          <w:rFonts w:ascii="宋体" w:hAnsi="宋体" w:cs="宋体" w:eastAsia="宋体" w:hint="default"/>
          <w:spacing w:val="-4"/>
          <w:sz w:val="18"/>
          <w:szCs w:val="18"/>
        </w:rPr>
        <w:t>考虑。在预计未来现金流量时使用的其他关键假设还有：预算销售额及预算毛利率的现金流入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流出的估计，这些估计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基于各资产组产生现金的以往表现及对市场发展的期望。</w:t>
      </w:r>
    </w:p>
    <w:p>
      <w:pPr>
        <w:spacing w:line="304" w:lineRule="auto" w:before="58"/>
        <w:ind w:left="153" w:right="1122" w:firstLine="360"/>
        <w:jc w:val="both"/>
        <w:rPr>
          <w:rFonts w:ascii="宋体" w:hAnsi="宋体" w:cs="宋体" w:eastAsia="宋体" w:hint="default"/>
          <w:sz w:val="18"/>
          <w:szCs w:val="18"/>
        </w:rPr>
      </w:pPr>
      <w:r>
        <w:rPr>
          <w:rFonts w:ascii="宋体" w:hAnsi="宋体" w:cs="宋体" w:eastAsia="宋体" w:hint="default"/>
          <w:spacing w:val="-4"/>
          <w:sz w:val="18"/>
          <w:szCs w:val="18"/>
        </w:rPr>
        <w:t>北京金印联商誉相关资产组组合商誉减值测试过程、关键参数：预测期</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年营业收入复合增长率</w:t>
      </w:r>
      <w:r>
        <w:rPr>
          <w:rFonts w:ascii="宋体" w:hAnsi="宋体" w:cs="宋体" w:eastAsia="宋体" w:hint="default"/>
          <w:spacing w:val="-23"/>
          <w:sz w:val="18"/>
          <w:szCs w:val="18"/>
        </w:rPr>
        <w:t> </w:t>
      </w:r>
      <w:r>
        <w:rPr>
          <w:rFonts w:ascii="Times New Roman" w:hAnsi="Times New Roman" w:cs="Times New Roman" w:eastAsia="Times New Roman" w:hint="default"/>
          <w:spacing w:val="-4"/>
          <w:sz w:val="18"/>
          <w:szCs w:val="18"/>
        </w:rPr>
        <w:t>8.91%</w:t>
      </w:r>
      <w:r>
        <w:rPr>
          <w:rFonts w:ascii="宋体" w:hAnsi="宋体" w:cs="宋体" w:eastAsia="宋体" w:hint="default"/>
          <w:spacing w:val="-4"/>
          <w:sz w:val="18"/>
          <w:szCs w:val="18"/>
        </w:rPr>
        <w:t>、预测期</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年平</w:t>
      </w:r>
      <w:r>
        <w:rPr>
          <w:rFonts w:ascii="宋体" w:hAnsi="宋体" w:cs="宋体" w:eastAsia="宋体" w:hint="default"/>
          <w:w w:val="101"/>
          <w:sz w:val="18"/>
          <w:szCs w:val="18"/>
        </w:rPr>
        <w:t> </w:t>
      </w:r>
      <w:r>
        <w:rPr>
          <w:rFonts w:ascii="宋体" w:hAnsi="宋体" w:cs="宋体" w:eastAsia="宋体" w:hint="default"/>
          <w:sz w:val="18"/>
          <w:szCs w:val="18"/>
        </w:rPr>
        <w:t>均营业利润率</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8.96%</w:t>
      </w:r>
      <w:r>
        <w:rPr>
          <w:rFonts w:ascii="宋体" w:hAnsi="宋体" w:cs="宋体" w:eastAsia="宋体" w:hint="default"/>
          <w:sz w:val="18"/>
          <w:szCs w:val="18"/>
        </w:rPr>
        <w:t>、稳定期增长率</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0%</w:t>
      </w:r>
      <w:r>
        <w:rPr>
          <w:rFonts w:ascii="宋体" w:hAnsi="宋体" w:cs="宋体" w:eastAsia="宋体" w:hint="default"/>
          <w:spacing w:val="-3"/>
          <w:sz w:val="18"/>
          <w:szCs w:val="18"/>
        </w:rPr>
        <w:t>、税前折现率</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13.85%</w:t>
      </w:r>
      <w:r>
        <w:rPr>
          <w:rFonts w:ascii="宋体" w:hAnsi="宋体" w:cs="宋体" w:eastAsia="宋体" w:hint="default"/>
          <w:sz w:val="18"/>
          <w:szCs w:val="18"/>
        </w:rPr>
        <w:t>。</w:t>
      </w:r>
    </w:p>
    <w:p>
      <w:pPr>
        <w:spacing w:before="47"/>
        <w:ind w:left="513" w:right="0" w:firstLine="0"/>
        <w:jc w:val="left"/>
        <w:rPr>
          <w:rFonts w:ascii="宋体" w:hAnsi="宋体" w:cs="宋体" w:eastAsia="宋体" w:hint="default"/>
          <w:sz w:val="18"/>
          <w:szCs w:val="18"/>
        </w:rPr>
      </w:pPr>
      <w:r>
        <w:rPr>
          <w:rFonts w:ascii="宋体" w:hAnsi="宋体" w:cs="宋体" w:eastAsia="宋体" w:hint="default"/>
          <w:spacing w:val="-4"/>
          <w:sz w:val="18"/>
          <w:szCs w:val="18"/>
        </w:rPr>
        <w:t>领凯科技商誉相关资产组组合商誉减值测试过程、关键参数：预测期</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年营业收入复合增长率</w:t>
      </w:r>
      <w:r>
        <w:rPr>
          <w:rFonts w:ascii="宋体" w:hAnsi="宋体" w:cs="宋体" w:eastAsia="宋体" w:hint="default"/>
          <w:spacing w:val="-32"/>
          <w:sz w:val="18"/>
          <w:szCs w:val="18"/>
        </w:rPr>
        <w:t> </w:t>
      </w:r>
      <w:r>
        <w:rPr>
          <w:rFonts w:ascii="Times New Roman" w:hAnsi="Times New Roman" w:cs="Times New Roman" w:eastAsia="Times New Roman" w:hint="default"/>
          <w:spacing w:val="-4"/>
          <w:sz w:val="18"/>
          <w:szCs w:val="18"/>
        </w:rPr>
        <w:t>5.22%</w:t>
      </w:r>
      <w:r>
        <w:rPr>
          <w:rFonts w:ascii="宋体" w:hAnsi="宋体" w:cs="宋体" w:eastAsia="宋体" w:hint="default"/>
          <w:spacing w:val="-4"/>
          <w:sz w:val="18"/>
          <w:szCs w:val="18"/>
        </w:rPr>
        <w:t>、预测期</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年平均</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7"/>
        <w:rPr>
          <w:rFonts w:ascii="宋体" w:hAnsi="宋体" w:cs="宋体" w:eastAsia="宋体" w:hint="default"/>
          <w:sz w:val="25"/>
          <w:szCs w:val="25"/>
        </w:rPr>
      </w:pPr>
    </w:p>
    <w:p>
      <w:pPr>
        <w:spacing w:before="46"/>
        <w:ind w:left="153" w:right="0" w:firstLine="0"/>
        <w:jc w:val="both"/>
        <w:rPr>
          <w:rFonts w:ascii="宋体" w:hAnsi="宋体" w:cs="宋体" w:eastAsia="宋体" w:hint="default"/>
          <w:sz w:val="18"/>
          <w:szCs w:val="18"/>
        </w:rPr>
      </w:pPr>
      <w:r>
        <w:rPr>
          <w:rFonts w:ascii="宋体" w:hAnsi="宋体" w:cs="宋体" w:eastAsia="宋体" w:hint="default"/>
          <w:sz w:val="18"/>
          <w:szCs w:val="18"/>
        </w:rPr>
        <w:t>营业利润率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7.40%</w:t>
      </w:r>
      <w:r>
        <w:rPr>
          <w:rFonts w:ascii="宋体" w:hAnsi="宋体" w:cs="宋体" w:eastAsia="宋体" w:hint="default"/>
          <w:sz w:val="18"/>
          <w:szCs w:val="18"/>
        </w:rPr>
        <w:t>、稳定期增长率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、税前折现率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16.41%</w:t>
      </w:r>
      <w:r>
        <w:rPr>
          <w:rFonts w:ascii="宋体" w:hAnsi="宋体" w:cs="宋体" w:eastAsia="宋体" w:hint="default"/>
          <w:sz w:val="18"/>
          <w:szCs w:val="18"/>
        </w:rPr>
        <w:t>。</w:t>
      </w:r>
    </w:p>
    <w:p>
      <w:pPr>
        <w:pStyle w:val="Heading3"/>
        <w:spacing w:line="240" w:lineRule="auto" w:before="75"/>
        <w:ind w:right="0"/>
        <w:jc w:val="both"/>
        <w:rPr>
          <w:b w:val="0"/>
          <w:bCs w:val="0"/>
        </w:rPr>
      </w:pPr>
      <w:r>
        <w:rPr/>
        <w:t>商誉减值测试的影响</w:t>
      </w:r>
      <w:r>
        <w:rPr>
          <w:b w:val="0"/>
          <w:bCs w:val="0"/>
        </w:rPr>
      </w:r>
    </w:p>
    <w:p>
      <w:pPr>
        <w:spacing w:line="312" w:lineRule="auto" w:before="101"/>
        <w:ind w:left="153" w:right="1122" w:firstLine="360"/>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日，商誉账面余额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18,061.67</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万元，较上年金额增加</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7,233.74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主要为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年收购北京金印联</w:t>
      </w:r>
      <w:r>
        <w:rPr>
          <w:rFonts w:ascii="宋体" w:hAnsi="宋体" w:cs="宋体" w:eastAsia="宋体" w:hint="default"/>
          <w:w w:val="101"/>
          <w:sz w:val="18"/>
          <w:szCs w:val="18"/>
        </w:rPr>
        <w:t> </w:t>
      </w:r>
      <w:r>
        <w:rPr>
          <w:rFonts w:ascii="宋体" w:hAnsi="宋体" w:cs="宋体" w:eastAsia="宋体" w:hint="default"/>
          <w:spacing w:val="-4"/>
          <w:sz w:val="18"/>
          <w:szCs w:val="18"/>
        </w:rPr>
        <w:t>确认的商誉，期末对商誉进行减值测试，未发现被分配了商誉的资产组或资产组组合的可收回金额低于账面价值的情形，故</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未计提减值准备。</w:t>
      </w:r>
    </w:p>
    <w:p>
      <w:pPr>
        <w:spacing w:line="312" w:lineRule="auto" w:before="56"/>
        <w:ind w:left="153" w:right="1128" w:firstLine="360"/>
        <w:jc w:val="both"/>
        <w:rPr>
          <w:rFonts w:ascii="宋体" w:hAnsi="宋体" w:cs="宋体" w:eastAsia="宋体" w:hint="default"/>
          <w:sz w:val="18"/>
          <w:szCs w:val="18"/>
        </w:rPr>
      </w:pPr>
      <w:r>
        <w:rPr>
          <w:rFonts w:ascii="宋体" w:hAnsi="宋体" w:cs="宋体" w:eastAsia="宋体" w:hint="default"/>
          <w:sz w:val="18"/>
          <w:szCs w:val="18"/>
        </w:rPr>
        <w:t>经希格玛会计师事务所（特殊普通合伙）审计，</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年北京金印联净利润为 </w:t>
      </w:r>
      <w:r>
        <w:rPr>
          <w:rFonts w:ascii="Times New Roman" w:hAnsi="Times New Roman" w:cs="Times New Roman" w:eastAsia="Times New Roman" w:hint="default"/>
          <w:sz w:val="18"/>
          <w:szCs w:val="18"/>
        </w:rPr>
        <w:t>2,138.71</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万元，完成了约定的业绩承诺。</w:t>
      </w:r>
      <w:r>
        <w:rPr>
          <w:rFonts w:ascii="宋体" w:hAnsi="宋体" w:cs="宋体" w:eastAsia="宋体" w:hint="default"/>
          <w:w w:val="101"/>
          <w:sz w:val="18"/>
          <w:szCs w:val="18"/>
        </w:rPr>
        <w:t> </w:t>
      </w:r>
      <w:r>
        <w:rPr>
          <w:rFonts w:ascii="宋体" w:hAnsi="宋体" w:cs="宋体" w:eastAsia="宋体" w:hint="default"/>
          <w:spacing w:val="-4"/>
          <w:sz w:val="18"/>
          <w:szCs w:val="18"/>
        </w:rPr>
        <w:t>公司已委托外部专业评估机构对上述项目在并购过程中形成的商誉在本报告期末进行了商誉减值测试，经测试，北京金印联</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经营正常，盈利符合预期，未出现减值迹象。</w:t>
      </w:r>
    </w:p>
    <w:p>
      <w:pPr>
        <w:spacing w:line="312" w:lineRule="auto" w:before="56"/>
        <w:ind w:left="153" w:right="1128" w:firstLine="360"/>
        <w:jc w:val="both"/>
        <w:rPr>
          <w:rFonts w:ascii="宋体" w:hAnsi="宋体" w:cs="宋体" w:eastAsia="宋体" w:hint="default"/>
          <w:sz w:val="18"/>
          <w:szCs w:val="18"/>
        </w:rPr>
      </w:pPr>
      <w:r>
        <w:rPr>
          <w:rFonts w:ascii="宋体" w:hAnsi="宋体" w:cs="宋体" w:eastAsia="宋体" w:hint="default"/>
          <w:sz w:val="18"/>
          <w:szCs w:val="18"/>
        </w:rPr>
        <w:t>经希格玛会计师事务所（特殊普通合伙）审计，</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年领凯科技净利润为 </w:t>
      </w:r>
      <w:r>
        <w:rPr>
          <w:rFonts w:ascii="Times New Roman" w:hAnsi="Times New Roman" w:cs="Times New Roman" w:eastAsia="Times New Roman" w:hint="default"/>
          <w:sz w:val="18"/>
          <w:szCs w:val="18"/>
        </w:rPr>
        <w:t>4,545.39</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万元，完成了约定的业绩承诺。公</w:t>
      </w:r>
      <w:r>
        <w:rPr>
          <w:rFonts w:ascii="宋体" w:hAnsi="宋体" w:cs="宋体" w:eastAsia="宋体" w:hint="default"/>
          <w:w w:val="101"/>
          <w:sz w:val="18"/>
          <w:szCs w:val="18"/>
        </w:rPr>
        <w:t> </w:t>
      </w:r>
      <w:r>
        <w:rPr>
          <w:rFonts w:ascii="宋体" w:hAnsi="宋体" w:cs="宋体" w:eastAsia="宋体" w:hint="default"/>
          <w:spacing w:val="-4"/>
          <w:sz w:val="18"/>
          <w:szCs w:val="18"/>
        </w:rPr>
        <w:t>司已委托外部专业评估机构对上述项目在并购过程中形成的商誉在本报告期末进行了商誉减值测试，经测试，北京金印联经</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营正常，盈利符合预期，未出现减值迹象。</w:t>
      </w:r>
    </w:p>
    <w:p>
      <w:pPr>
        <w:pStyle w:val="Heading3"/>
        <w:spacing w:line="240" w:lineRule="auto" w:before="40"/>
        <w:ind w:right="0"/>
        <w:jc w:val="both"/>
        <w:rPr>
          <w:b w:val="0"/>
          <w:bCs w:val="0"/>
        </w:rPr>
      </w:pPr>
      <w:r>
        <w:rPr/>
        <w:t>其他说明</w:t>
      </w:r>
      <w:r>
        <w:rPr>
          <w:b w:val="0"/>
          <w:bCs w:val="0"/>
        </w:rPr>
      </w:r>
    </w:p>
    <w:p>
      <w:pPr>
        <w:spacing w:line="364" w:lineRule="auto" w:before="120"/>
        <w:ind w:left="153" w:right="1119" w:firstLine="422"/>
        <w:jc w:val="both"/>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依据</w:t>
      </w:r>
      <w:r>
        <w:rPr>
          <w:rFonts w:ascii="宋体" w:hAnsi="宋体" w:cs="宋体" w:eastAsia="宋体" w:hint="default"/>
          <w:spacing w:val="-2"/>
          <w:sz w:val="18"/>
          <w:szCs w:val="18"/>
        </w:rPr>
        <w:t>2007</w:t>
      </w:r>
      <w:r>
        <w:rPr>
          <w:rFonts w:ascii="宋体" w:hAnsi="宋体" w:cs="宋体" w:eastAsia="宋体" w:hint="default"/>
          <w:spacing w:val="-2"/>
          <w:sz w:val="18"/>
          <w:szCs w:val="18"/>
        </w:rPr>
        <w:t>年第一届董事会第二次临时会议决议以及与陕西诚意投资有限责任公司签署的《股权转让协议》，本公司</w:t>
      </w:r>
      <w:r>
        <w:rPr>
          <w:rFonts w:ascii="宋体" w:hAnsi="宋体" w:cs="宋体" w:eastAsia="宋体" w:hint="default"/>
          <w:w w:val="101"/>
          <w:sz w:val="18"/>
          <w:szCs w:val="18"/>
        </w:rPr>
        <w:t> </w:t>
      </w:r>
      <w:r>
        <w:rPr>
          <w:rFonts w:ascii="宋体" w:hAnsi="宋体" w:cs="宋体" w:eastAsia="宋体" w:hint="default"/>
          <w:spacing w:val="-4"/>
          <w:sz w:val="18"/>
          <w:szCs w:val="18"/>
        </w:rPr>
        <w:t>以人民币</w:t>
      </w:r>
      <w:r>
        <w:rPr>
          <w:rFonts w:ascii="宋体" w:hAnsi="宋体" w:cs="宋体" w:eastAsia="宋体" w:hint="default"/>
          <w:spacing w:val="-4"/>
          <w:sz w:val="18"/>
          <w:szCs w:val="18"/>
        </w:rPr>
        <w:t>280</w:t>
      </w:r>
      <w:r>
        <w:rPr>
          <w:rFonts w:ascii="宋体" w:hAnsi="宋体" w:cs="宋体" w:eastAsia="宋体" w:hint="default"/>
          <w:spacing w:val="-4"/>
          <w:sz w:val="18"/>
          <w:szCs w:val="18"/>
        </w:rPr>
        <w:t>万元收购陕西诚意投资有限责任公司持有永鑫包装</w:t>
      </w:r>
      <w:r>
        <w:rPr>
          <w:rFonts w:ascii="宋体" w:hAnsi="宋体" w:cs="宋体" w:eastAsia="宋体" w:hint="default"/>
          <w:spacing w:val="-4"/>
          <w:sz w:val="18"/>
          <w:szCs w:val="18"/>
        </w:rPr>
        <w:t>28%</w:t>
      </w:r>
      <w:r>
        <w:rPr>
          <w:rFonts w:ascii="宋体" w:hAnsi="宋体" w:cs="宋体" w:eastAsia="宋体" w:hint="default"/>
          <w:spacing w:val="-4"/>
          <w:sz w:val="18"/>
          <w:szCs w:val="18"/>
        </w:rPr>
        <w:t>股权。此项收购为收购少数股东权益，收购价格与永鑫包</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装账面净资产的差额确认商誉</w:t>
      </w:r>
      <w:r>
        <w:rPr>
          <w:rFonts w:ascii="宋体" w:hAnsi="宋体" w:cs="宋体" w:eastAsia="宋体" w:hint="default"/>
          <w:sz w:val="18"/>
          <w:szCs w:val="18"/>
        </w:rPr>
        <w:t>182,522.18</w:t>
      </w:r>
      <w:r>
        <w:rPr>
          <w:rFonts w:ascii="宋体" w:hAnsi="宋体" w:cs="宋体" w:eastAsia="宋体" w:hint="default"/>
          <w:sz w:val="18"/>
          <w:szCs w:val="18"/>
        </w:rPr>
        <w:t>元。</w:t>
      </w:r>
    </w:p>
    <w:p>
      <w:pPr>
        <w:spacing w:before="31"/>
        <w:ind w:left="575"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依据</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日召开的第四届董事会第十次会议及</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日召开的</w:t>
      </w:r>
      <w:r>
        <w:rPr>
          <w:rFonts w:ascii="宋体" w:hAnsi="宋体" w:cs="宋体" w:eastAsia="宋体" w:hint="default"/>
          <w:sz w:val="18"/>
          <w:szCs w:val="18"/>
        </w:rPr>
        <w:t>2018</w:t>
      </w:r>
      <w:r>
        <w:rPr>
          <w:rFonts w:ascii="宋体" w:hAnsi="宋体" w:cs="宋体" w:eastAsia="宋体" w:hint="default"/>
          <w:sz w:val="18"/>
          <w:szCs w:val="18"/>
        </w:rPr>
        <w:t>年第一次临时股东大会审议通过的</w:t>
      </w:r>
    </w:p>
    <w:p>
      <w:pPr>
        <w:spacing w:line="364" w:lineRule="auto" w:before="124"/>
        <w:ind w:left="153" w:right="1122" w:firstLine="0"/>
        <w:jc w:val="both"/>
        <w:rPr>
          <w:rFonts w:ascii="宋体" w:hAnsi="宋体" w:cs="宋体" w:eastAsia="宋体" w:hint="default"/>
          <w:sz w:val="18"/>
          <w:szCs w:val="18"/>
        </w:rPr>
      </w:pPr>
      <w:r>
        <w:rPr>
          <w:rFonts w:ascii="宋体" w:hAnsi="宋体" w:cs="宋体" w:eastAsia="宋体" w:hint="default"/>
          <w:spacing w:val="-3"/>
          <w:sz w:val="18"/>
          <w:szCs w:val="18"/>
        </w:rPr>
        <w:t>《关于收购霍尔果斯领凯网络科技有限公司</w:t>
      </w:r>
      <w:r>
        <w:rPr>
          <w:rFonts w:ascii="宋体" w:hAnsi="宋体" w:cs="宋体" w:eastAsia="宋体" w:hint="default"/>
          <w:spacing w:val="-3"/>
          <w:sz w:val="18"/>
          <w:szCs w:val="18"/>
        </w:rPr>
        <w:t>70%</w:t>
      </w:r>
      <w:r>
        <w:rPr>
          <w:rFonts w:ascii="宋体" w:hAnsi="宋体" w:cs="宋体" w:eastAsia="宋体" w:hint="default"/>
          <w:spacing w:val="-3"/>
          <w:sz w:val="18"/>
          <w:szCs w:val="18"/>
        </w:rPr>
        <w:t>股权的议案》以及《股权转让协议》，本公司本年以人民币</w:t>
      </w:r>
      <w:r>
        <w:rPr>
          <w:rFonts w:ascii="宋体" w:hAnsi="宋体" w:cs="宋体" w:eastAsia="宋体" w:hint="default"/>
          <w:spacing w:val="-3"/>
          <w:sz w:val="18"/>
          <w:szCs w:val="18"/>
        </w:rPr>
        <w:t>13,186</w:t>
      </w:r>
      <w:r>
        <w:rPr>
          <w:rFonts w:ascii="宋体" w:hAnsi="宋体" w:cs="宋体" w:eastAsia="宋体" w:hint="default"/>
          <w:spacing w:val="-3"/>
          <w:sz w:val="18"/>
          <w:szCs w:val="18"/>
        </w:rPr>
        <w:t>万元收购</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pacing w:val="-2"/>
          <w:sz w:val="18"/>
          <w:szCs w:val="18"/>
        </w:rPr>
        <w:t>霍尔果斯领凯网络科技有限公司持</w:t>
      </w:r>
      <w:r>
        <w:rPr>
          <w:rFonts w:ascii="宋体" w:hAnsi="宋体" w:cs="宋体" w:eastAsia="宋体" w:hint="default"/>
          <w:spacing w:val="-2"/>
          <w:sz w:val="18"/>
          <w:szCs w:val="18"/>
        </w:rPr>
        <w:t>70%</w:t>
      </w:r>
      <w:r>
        <w:rPr>
          <w:rFonts w:ascii="宋体" w:hAnsi="宋体" w:cs="宋体" w:eastAsia="宋体" w:hint="default"/>
          <w:spacing w:val="-2"/>
          <w:sz w:val="18"/>
          <w:szCs w:val="18"/>
        </w:rPr>
        <w:t>股权，收购价格与霍尔果斯领凯账面净资产公允价值的差额确认商誉</w:t>
      </w:r>
      <w:r>
        <w:rPr>
          <w:rFonts w:ascii="宋体" w:hAnsi="宋体" w:cs="宋体" w:eastAsia="宋体" w:hint="default"/>
          <w:spacing w:val="-2"/>
          <w:sz w:val="18"/>
          <w:szCs w:val="18"/>
        </w:rPr>
        <w:t>108,096,828.78</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元。</w:t>
      </w:r>
    </w:p>
    <w:p>
      <w:pPr>
        <w:spacing w:line="364" w:lineRule="auto" w:before="31"/>
        <w:ind w:left="153" w:right="1122" w:firstLine="422"/>
        <w:jc w:val="both"/>
        <w:rPr>
          <w:rFonts w:ascii="宋体" w:hAnsi="宋体" w:cs="宋体" w:eastAsia="宋体" w:hint="default"/>
          <w:sz w:val="18"/>
          <w:szCs w:val="18"/>
        </w:rPr>
      </w:pPr>
      <w:r>
        <w:rPr>
          <w:rFonts w:ascii="宋体" w:hAnsi="宋体" w:cs="宋体" w:eastAsia="宋体" w:hint="default"/>
          <w:spacing w:val="-4"/>
          <w:sz w:val="18"/>
          <w:szCs w:val="18"/>
        </w:rPr>
        <w:t>3.</w:t>
      </w:r>
      <w:r>
        <w:rPr>
          <w:rFonts w:ascii="宋体" w:hAnsi="宋体" w:cs="宋体" w:eastAsia="宋体" w:hint="default"/>
          <w:spacing w:val="-4"/>
          <w:sz w:val="18"/>
          <w:szCs w:val="18"/>
        </w:rPr>
        <w:t>依据</w:t>
      </w:r>
      <w:r>
        <w:rPr>
          <w:rFonts w:ascii="宋体" w:hAnsi="宋体" w:cs="宋体" w:eastAsia="宋体" w:hint="default"/>
          <w:spacing w:val="-4"/>
          <w:sz w:val="18"/>
          <w:szCs w:val="18"/>
        </w:rPr>
        <w:t>2019</w:t>
      </w:r>
      <w:r>
        <w:rPr>
          <w:rFonts w:ascii="宋体" w:hAnsi="宋体" w:cs="宋体" w:eastAsia="宋体" w:hint="default"/>
          <w:spacing w:val="-4"/>
          <w:sz w:val="18"/>
          <w:szCs w:val="18"/>
        </w:rPr>
        <w:t>年</w:t>
      </w:r>
      <w:r>
        <w:rPr>
          <w:rFonts w:ascii="宋体" w:hAnsi="宋体" w:cs="宋体" w:eastAsia="宋体" w:hint="default"/>
          <w:spacing w:val="-4"/>
          <w:sz w:val="18"/>
          <w:szCs w:val="18"/>
        </w:rPr>
        <w:t>5</w:t>
      </w:r>
      <w:r>
        <w:rPr>
          <w:rFonts w:ascii="宋体" w:hAnsi="宋体" w:cs="宋体" w:eastAsia="宋体" w:hint="default"/>
          <w:spacing w:val="-4"/>
          <w:sz w:val="18"/>
          <w:szCs w:val="18"/>
        </w:rPr>
        <w:t>月</w:t>
      </w:r>
      <w:r>
        <w:rPr>
          <w:rFonts w:ascii="宋体" w:hAnsi="宋体" w:cs="宋体" w:eastAsia="宋体" w:hint="default"/>
          <w:spacing w:val="-4"/>
          <w:sz w:val="18"/>
          <w:szCs w:val="18"/>
        </w:rPr>
        <w:t>17</w:t>
      </w:r>
      <w:r>
        <w:rPr>
          <w:rFonts w:ascii="宋体" w:hAnsi="宋体" w:cs="宋体" w:eastAsia="宋体" w:hint="default"/>
          <w:spacing w:val="-4"/>
          <w:sz w:val="18"/>
          <w:szCs w:val="18"/>
        </w:rPr>
        <w:t>日召开的第四届董事会第十六次会议，审议通过《关于公司收购北京金印联国际供应链管理有限公</w:t>
      </w:r>
      <w:r>
        <w:rPr>
          <w:rFonts w:ascii="宋体" w:hAnsi="宋体" w:cs="宋体" w:eastAsia="宋体" w:hint="default"/>
          <w:w w:val="101"/>
          <w:sz w:val="18"/>
          <w:szCs w:val="18"/>
        </w:rPr>
        <w:t> </w:t>
      </w:r>
      <w:r>
        <w:rPr>
          <w:rFonts w:ascii="宋体" w:hAnsi="宋体" w:cs="宋体" w:eastAsia="宋体" w:hint="default"/>
          <w:spacing w:val="-5"/>
          <w:sz w:val="18"/>
          <w:szCs w:val="18"/>
        </w:rPr>
        <w:t>司</w:t>
      </w:r>
      <w:r>
        <w:rPr>
          <w:rFonts w:ascii="宋体" w:hAnsi="宋体" w:cs="宋体" w:eastAsia="宋体" w:hint="default"/>
          <w:spacing w:val="-5"/>
          <w:sz w:val="18"/>
          <w:szCs w:val="18"/>
        </w:rPr>
        <w:t>70%</w:t>
      </w:r>
      <w:r>
        <w:rPr>
          <w:rFonts w:ascii="宋体" w:hAnsi="宋体" w:cs="宋体" w:eastAsia="宋体" w:hint="default"/>
          <w:spacing w:val="-5"/>
          <w:sz w:val="18"/>
          <w:szCs w:val="18"/>
        </w:rPr>
        <w:t>股权的议案》以及《股权转让协议》，本公司本年以人民币</w:t>
      </w:r>
      <w:r>
        <w:rPr>
          <w:rFonts w:ascii="宋体" w:hAnsi="宋体" w:cs="宋体" w:eastAsia="宋体" w:hint="default"/>
          <w:spacing w:val="-5"/>
          <w:sz w:val="18"/>
          <w:szCs w:val="18"/>
        </w:rPr>
        <w:t>12,160.79</w:t>
      </w:r>
      <w:r>
        <w:rPr>
          <w:rFonts w:ascii="宋体" w:hAnsi="宋体" w:cs="宋体" w:eastAsia="宋体" w:hint="default"/>
          <w:spacing w:val="-5"/>
          <w:sz w:val="18"/>
          <w:szCs w:val="18"/>
        </w:rPr>
        <w:t>万元收购北京金印联国际供应链管理有限公司</w:t>
      </w:r>
      <w:r>
        <w:rPr>
          <w:rFonts w:ascii="宋体" w:hAnsi="宋体" w:cs="宋体" w:eastAsia="宋体" w:hint="default"/>
          <w:spacing w:val="-5"/>
          <w:sz w:val="18"/>
          <w:szCs w:val="18"/>
        </w:rPr>
        <w:t>70%</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4"/>
          <w:sz w:val="18"/>
          <w:szCs w:val="18"/>
        </w:rPr>
        <w:t>股权</w:t>
      </w:r>
      <w:r>
        <w:rPr>
          <w:rFonts w:ascii="宋体" w:hAnsi="宋体" w:cs="宋体" w:eastAsia="宋体" w:hint="default"/>
          <w:spacing w:val="-4"/>
          <w:sz w:val="18"/>
          <w:szCs w:val="18"/>
        </w:rPr>
        <w:t>,</w:t>
      </w:r>
      <w:r>
        <w:rPr>
          <w:rFonts w:ascii="宋体" w:hAnsi="宋体" w:cs="宋体" w:eastAsia="宋体" w:hint="default"/>
          <w:spacing w:val="-4"/>
          <w:sz w:val="18"/>
          <w:szCs w:val="18"/>
        </w:rPr>
        <w:t>收购价格与北京金印联账面净资产公允价值的差额确认商誉</w:t>
      </w:r>
      <w:r>
        <w:rPr>
          <w:rFonts w:ascii="宋体" w:hAnsi="宋体" w:cs="宋体" w:eastAsia="宋体" w:hint="default"/>
          <w:spacing w:val="-4"/>
          <w:sz w:val="18"/>
          <w:szCs w:val="18"/>
        </w:rPr>
        <w:t>72,191,754.76</w:t>
      </w:r>
      <w:r>
        <w:rPr>
          <w:rFonts w:ascii="宋体" w:hAnsi="宋体" w:cs="宋体" w:eastAsia="宋体" w:hint="default"/>
          <w:spacing w:val="-4"/>
          <w:sz w:val="18"/>
          <w:szCs w:val="18"/>
        </w:rPr>
        <w:t>元。子公司北京金印联之子公司金印联（广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州）于</w:t>
      </w:r>
      <w:r>
        <w:rPr>
          <w:rFonts w:ascii="宋体" w:hAnsi="宋体" w:cs="宋体" w:eastAsia="宋体" w:hint="default"/>
          <w:spacing w:val="-3"/>
          <w:sz w:val="18"/>
          <w:szCs w:val="18"/>
        </w:rPr>
        <w:t>2018</w:t>
      </w:r>
      <w:r>
        <w:rPr>
          <w:rFonts w:ascii="宋体" w:hAnsi="宋体" w:cs="宋体" w:eastAsia="宋体" w:hint="default"/>
          <w:spacing w:val="-3"/>
          <w:sz w:val="18"/>
          <w:szCs w:val="18"/>
        </w:rPr>
        <w:t>年收购广州优运可科技有限公司形成非同一控制下企业合并形成商誉</w:t>
      </w:r>
      <w:r>
        <w:rPr>
          <w:rFonts w:ascii="宋体" w:hAnsi="宋体" w:cs="宋体" w:eastAsia="宋体" w:hint="default"/>
          <w:spacing w:val="-3"/>
          <w:sz w:val="18"/>
          <w:szCs w:val="18"/>
        </w:rPr>
        <w:t>145,625.60</w:t>
      </w:r>
      <w:r>
        <w:rPr>
          <w:rFonts w:ascii="宋体" w:hAnsi="宋体" w:cs="宋体" w:eastAsia="宋体" w:hint="default"/>
          <w:spacing w:val="-3"/>
          <w:sz w:val="18"/>
          <w:szCs w:val="18"/>
        </w:rPr>
        <w:t>元。</w:t>
      </w:r>
      <w:r>
        <w:rPr>
          <w:rFonts w:ascii="宋体" w:hAnsi="宋体" w:cs="宋体" w:eastAsia="宋体" w:hint="default"/>
          <w:sz w:val="18"/>
          <w:szCs w:val="18"/>
        </w:rPr>
      </w:r>
    </w:p>
    <w:p>
      <w:pPr>
        <w:spacing w:line="367" w:lineRule="auto" w:before="31"/>
        <w:ind w:left="153" w:right="1124" w:firstLine="422"/>
        <w:jc w:val="both"/>
        <w:rPr>
          <w:rFonts w:ascii="宋体" w:hAnsi="宋体" w:cs="宋体" w:eastAsia="宋体" w:hint="default"/>
          <w:sz w:val="18"/>
          <w:szCs w:val="18"/>
        </w:rPr>
      </w:pPr>
      <w:r>
        <w:rPr>
          <w:rFonts w:ascii="宋体" w:hAnsi="宋体" w:cs="宋体" w:eastAsia="宋体" w:hint="default"/>
          <w:spacing w:val="-2"/>
          <w:sz w:val="18"/>
          <w:szCs w:val="18"/>
        </w:rPr>
        <w:t>4.</w:t>
      </w:r>
      <w:r>
        <w:rPr>
          <w:rFonts w:ascii="宋体" w:hAnsi="宋体" w:cs="宋体" w:eastAsia="宋体" w:hint="default"/>
          <w:spacing w:val="-2"/>
          <w:sz w:val="18"/>
          <w:szCs w:val="18"/>
        </w:rPr>
        <w:t>期末对商誉进行减值测试，未发现被分配了商誉的资产组或资产组组合的可收回金额低于账面价值的情形，故未计</w:t>
      </w:r>
      <w:r>
        <w:rPr>
          <w:rFonts w:ascii="宋体" w:hAnsi="宋体" w:cs="宋体" w:eastAsia="宋体" w:hint="default"/>
          <w:w w:val="101"/>
          <w:sz w:val="18"/>
          <w:szCs w:val="18"/>
        </w:rPr>
        <w:t> </w:t>
      </w:r>
      <w:r>
        <w:rPr>
          <w:rFonts w:ascii="宋体" w:hAnsi="宋体" w:cs="宋体" w:eastAsia="宋体" w:hint="default"/>
          <w:sz w:val="18"/>
          <w:szCs w:val="18"/>
        </w:rPr>
        <w:t>提减值准备。</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29、长期待摊费用" w:id="327"/>
      <w:bookmarkEnd w:id="327"/>
      <w:r>
        <w:rPr>
          <w:b w:val="0"/>
          <w:bCs w:val="0"/>
        </w:rPr>
      </w:r>
      <w:r>
        <w:rPr>
          <w:rFonts w:ascii="Times New Roman" w:hAnsi="Times New Roman" w:cs="Times New Roman" w:eastAsia="Times New Roman" w:hint="default"/>
        </w:rPr>
        <w:t>29</w:t>
      </w:r>
      <w:r>
        <w:rPr/>
        <w:t>、长期待摊费用</w:t>
      </w:r>
      <w:r>
        <w:rPr>
          <w:b w:val="0"/>
          <w:bCs w:val="0"/>
        </w:rPr>
      </w:r>
    </w:p>
    <w:p>
      <w:pPr>
        <w:spacing w:line="240" w:lineRule="auto" w:before="10"/>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模切钢板</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95,143.58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92,914.57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2,229.01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车</w:t>
            </w:r>
            <w:r>
              <w:rPr>
                <w:rFonts w:ascii="宋体" w:hAnsi="宋体" w:cs="宋体" w:eastAsia="宋体" w:hint="default"/>
                <w:spacing w:val="-5"/>
                <w:w w:val="101"/>
                <w:sz w:val="18"/>
                <w:szCs w:val="18"/>
              </w:rPr>
              <w:t>间</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综</w:t>
            </w:r>
            <w:r>
              <w:rPr>
                <w:rFonts w:ascii="宋体" w:hAnsi="宋体" w:cs="宋体" w:eastAsia="宋体" w:hint="default"/>
                <w:w w:val="101"/>
                <w:sz w:val="18"/>
                <w:szCs w:val="18"/>
              </w:rPr>
              <w:t>合</w:t>
            </w:r>
            <w:r>
              <w:rPr>
                <w:rFonts w:ascii="宋体" w:hAnsi="宋体" w:cs="宋体" w:eastAsia="宋体" w:hint="default"/>
                <w:spacing w:val="-5"/>
                <w:w w:val="101"/>
                <w:sz w:val="18"/>
                <w:szCs w:val="18"/>
              </w:rPr>
              <w:t>楼</w:t>
            </w:r>
            <w:r>
              <w:rPr>
                <w:rFonts w:ascii="宋体" w:hAnsi="宋体" w:cs="宋体" w:eastAsia="宋体" w:hint="default"/>
                <w:w w:val="101"/>
                <w:sz w:val="18"/>
                <w:szCs w:val="18"/>
              </w:rPr>
              <w:t>装</w:t>
            </w:r>
            <w:r>
              <w:rPr>
                <w:rFonts w:ascii="宋体" w:hAnsi="宋体" w:cs="宋体" w:eastAsia="宋体" w:hint="default"/>
                <w:spacing w:val="-5"/>
                <w:w w:val="101"/>
                <w:sz w:val="18"/>
                <w:szCs w:val="18"/>
              </w:rPr>
              <w:t>修</w:t>
            </w:r>
            <w:r>
              <w:rPr>
                <w:rFonts w:ascii="宋体" w:hAnsi="宋体" w:cs="宋体" w:eastAsia="宋体" w:hint="default"/>
                <w:w w:val="101"/>
                <w:sz w:val="18"/>
                <w:szCs w:val="18"/>
              </w:rPr>
              <w:t>费</w:t>
            </w:r>
            <w:r>
              <w:rPr>
                <w:rFonts w:ascii="宋体" w:hAnsi="宋体" w:cs="宋体" w:eastAsia="宋体" w:hint="default"/>
                <w:sz w:val="18"/>
                <w:szCs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681,621.97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1,184,578.55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490,891.65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1,375,308.87</w:t>
            </w:r>
          </w:p>
        </w:tc>
      </w:tr>
      <w:tr>
        <w:trPr>
          <w:trHeight w:val="39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托盘</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450,943.11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243,367.26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161,830.26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532,480.11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压缩机房装修改造</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20,214.56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17,326.92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2,887.64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499,249.14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315,315.36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183,933.78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大修理费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3,884,384.13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1,135,397.82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965,970.39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4,053,811.56</w:t>
            </w:r>
          </w:p>
        </w:tc>
      </w:tr>
      <w:tr>
        <w:trPr>
          <w:trHeight w:val="39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289,946.40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193,887.49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96,058.91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5,631,556.49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2,853,290.03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2,238,136.64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6,246,709.88</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宋体" w:hAnsi="宋体" w:cs="宋体" w:eastAsia="宋体" w:hint="default"/>
          <w:sz w:val="24"/>
          <w:szCs w:val="24"/>
        </w:rPr>
      </w:pPr>
    </w:p>
    <w:p>
      <w:pPr>
        <w:pStyle w:val="BodyText"/>
        <w:spacing w:line="256" w:lineRule="auto" w:before="36"/>
        <w:ind w:right="0" w:firstLine="422"/>
        <w:jc w:val="left"/>
      </w:pPr>
      <w:r>
        <w:rPr>
          <w:rFonts w:ascii="Times New Roman" w:hAnsi="Times New Roman" w:cs="Times New Roman" w:eastAsia="Times New Roman" w:hint="default"/>
          <w:spacing w:val="-1"/>
        </w:rPr>
        <w:t>1.</w:t>
      </w:r>
      <w:r>
        <w:rPr>
          <w:spacing w:val="-1"/>
        </w:rPr>
        <w:t>本公司对模切钢板、装修费的摊销期为</w:t>
      </w:r>
      <w:r>
        <w:rPr>
          <w:rFonts w:ascii="Times New Roman" w:hAnsi="Times New Roman" w:cs="Times New Roman" w:eastAsia="Times New Roman" w:hint="default"/>
          <w:spacing w:val="-1"/>
        </w:rPr>
        <w:t>36</w:t>
      </w:r>
      <w:r>
        <w:rPr>
          <w:spacing w:val="-1"/>
        </w:rPr>
        <w:t>个月，托盘的摊销期为</w:t>
      </w:r>
      <w:r>
        <w:rPr>
          <w:rFonts w:ascii="Times New Roman" w:hAnsi="Times New Roman" w:cs="Times New Roman" w:eastAsia="Times New Roman" w:hint="default"/>
          <w:spacing w:val="-1"/>
        </w:rPr>
        <w:t>60</w:t>
      </w:r>
      <w:r>
        <w:rPr>
          <w:spacing w:val="-1"/>
        </w:rPr>
        <w:t>个月，房租摊销期为租赁合同约</w:t>
      </w:r>
      <w:r>
        <w:rPr>
          <w:w w:val="100"/>
        </w:rPr>
        <w:t> </w:t>
      </w:r>
      <w:r>
        <w:rPr/>
        <w:t>定的租赁期限。</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bookmarkStart w:name="30、递延所得税资产/递延所得税负债" w:id="328"/>
      <w:bookmarkEnd w:id="328"/>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329"/>
      <w:bookmarkEnd w:id="329"/>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9"/>
        <w:gridCol w:w="1911"/>
        <w:gridCol w:w="1916"/>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9"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9"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24,452,722.86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5,339,269.14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14,071,660.20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2,778,119.06</w:t>
            </w:r>
          </w:p>
        </w:tc>
      </w:tr>
      <w:tr>
        <w:trPr>
          <w:trHeight w:val="398"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内部交易未实现利润</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1,307,292.40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196,093.86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1,450,775.77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217,616.36</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25,760,015.26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5,535,363.00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15,522,435.97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2,995,735.42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未经抵销的递延所得税负债" w:id="330"/>
      <w:bookmarkEnd w:id="330"/>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4"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2"/>
                <w:sz w:val="18"/>
                <w:szCs w:val="18"/>
              </w:rPr>
              <w:t>加速折旧资产所得税负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债</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28,449.60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7,112.40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28,449.60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7,112.40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以抵销后净额列示的递延所得税资产或负债" w:id="331"/>
      <w:bookmarkEnd w:id="331"/>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9"/>
        <w:gridCol w:w="1911"/>
        <w:gridCol w:w="1916"/>
        <w:gridCol w:w="1916"/>
      </w:tblGrid>
      <w:tr>
        <w:trPr>
          <w:trHeight w:val="163"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410" w:right="51" w:hanging="361"/>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期末互抵金额</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321" w:right="41"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或负债期末余额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413" w:right="46" w:hanging="360"/>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321" w:right="46"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或负债期初余额</w:t>
            </w:r>
          </w:p>
        </w:tc>
      </w:tr>
      <w:tr>
        <w:trPr>
          <w:trHeight w:val="394"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9" w:type="dxa"/>
            <w:vMerge/>
            <w:tcBorders>
              <w:left w:val="single" w:sz="4" w:space="0" w:color="000000"/>
              <w:right w:val="single" w:sz="4" w:space="0" w:color="000000"/>
            </w:tcBorders>
            <w:shd w:val="clear" w:color="auto" w:fill="D2D2D2"/>
          </w:tcPr>
          <w:p>
            <w:pPr/>
          </w:p>
        </w:tc>
        <w:tc>
          <w:tcPr>
            <w:tcW w:w="1911"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58"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9"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9"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6" w:right="0"/>
              <w:jc w:val="left"/>
              <w:rPr>
                <w:rFonts w:ascii="Times New Roman" w:hAnsi="Times New Roman" w:cs="Times New Roman" w:eastAsia="Times New Roman" w:hint="default"/>
                <w:sz w:val="18"/>
                <w:szCs w:val="18"/>
              </w:rPr>
            </w:pPr>
            <w:r>
              <w:rPr>
                <w:rFonts w:ascii="Times New Roman"/>
                <w:sz w:val="18"/>
              </w:rPr>
              <w:t>5,535,363.00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2,995,735.42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19"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7,112.40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未确认递延所得税资产明细" w:id="332"/>
      <w:bookmarkEnd w:id="332"/>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6,565,482.60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6,097,867.06</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6,565,482.60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6,097,867.06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5"/>
        <w:rPr>
          <w:rFonts w:ascii="宋体" w:hAnsi="宋体" w:cs="宋体" w:eastAsia="宋体" w:hint="default"/>
          <w:sz w:val="24"/>
          <w:szCs w:val="24"/>
        </w:rPr>
      </w:pPr>
    </w:p>
    <w:p>
      <w:pPr>
        <w:pStyle w:val="Heading3"/>
        <w:spacing w:line="240" w:lineRule="auto" w:before="36"/>
        <w:ind w:right="0"/>
        <w:jc w:val="left"/>
        <w:rPr>
          <w:b w:val="0"/>
          <w:bCs w:val="0"/>
        </w:rPr>
      </w:pPr>
      <w:bookmarkStart w:name="（5）未确认递延所得税资产的可抵扣亏损将于以下年度到期" w:id="333"/>
      <w:bookmarkEnd w:id="333"/>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140,478.57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77,244.50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77,244.50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830,078.09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944,340.19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2,182,464.78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2,575,286.31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2,360,517.49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2,360,517.49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1,115,177.74</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6,565,482.60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6,097,867.06</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1、其他非流动资产" w:id="334"/>
      <w:bookmarkEnd w:id="334"/>
      <w:r>
        <w:rPr>
          <w:b w:val="0"/>
          <w:bCs w:val="0"/>
        </w:rPr>
      </w:r>
      <w:r>
        <w:rPr>
          <w:rFonts w:ascii="Times New Roman" w:hAnsi="Times New Roman" w:cs="Times New Roman" w:eastAsia="Times New Roman" w:hint="default"/>
        </w:rPr>
        <w:t>31</w:t>
      </w:r>
      <w:r>
        <w:rPr/>
        <w:t>、其他非流动资产</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2、短期借款" w:id="335"/>
      <w:bookmarkEnd w:id="335"/>
      <w:r>
        <w:rPr>
          <w:b w:val="0"/>
          <w:bCs w:val="0"/>
        </w:rPr>
      </w:r>
      <w:r>
        <w:rPr>
          <w:rFonts w:ascii="Times New Roman" w:hAnsi="Times New Roman" w:cs="Times New Roman" w:eastAsia="Times New Roman" w:hint="default"/>
        </w:rPr>
        <w:t>32</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336"/>
      <w:bookmarkEnd w:id="336"/>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17,713,658.06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15,268,679.54</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152,854,977.73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94,990,000.00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170,568,635.79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110,258,679.54</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2）已逾期未偿还的短期借款情况" w:id="337"/>
      <w:bookmarkEnd w:id="337"/>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本期末已逾期未偿还的短期借款总额为元，其中重要的已逾期未偿还的短期借款情况如下：</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9"/>
        <w:gridCol w:w="1911"/>
        <w:gridCol w:w="1916"/>
        <w:gridCol w:w="1916"/>
      </w:tblGrid>
      <w:tr>
        <w:trPr>
          <w:trHeight w:val="398"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3"/>
        <w:ind w:left="153"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367" w:lineRule="auto" w:before="139"/>
        <w:ind w:left="153" w:right="1127" w:firstLine="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）保证借款系由控股股东陕西医药控股集团有限责任公司提供担保，详见第五节“重要事项”之十七“重大合同及其履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行情况”。</w:t>
      </w:r>
    </w:p>
    <w:p>
      <w:pPr>
        <w:spacing w:line="364" w:lineRule="auto" w:before="29"/>
        <w:ind w:left="153" w:right="1119" w:firstLine="0"/>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2</w:t>
      </w:r>
      <w:r>
        <w:rPr>
          <w:rFonts w:ascii="宋体" w:hAnsi="宋体" w:cs="宋体" w:eastAsia="宋体" w:hint="default"/>
          <w:spacing w:val="6"/>
          <w:sz w:val="18"/>
          <w:szCs w:val="18"/>
        </w:rPr>
        <w:t>）抵押、质押借款系本公司以</w:t>
      </w:r>
      <w:r>
        <w:rPr>
          <w:rFonts w:ascii="宋体" w:hAnsi="宋体" w:cs="宋体" w:eastAsia="宋体" w:hint="default"/>
          <w:spacing w:val="6"/>
          <w:sz w:val="18"/>
          <w:szCs w:val="18"/>
        </w:rPr>
        <w:t>4,287,397.84</w:t>
      </w:r>
      <w:r>
        <w:rPr>
          <w:rFonts w:ascii="宋体" w:hAnsi="宋体" w:cs="宋体" w:eastAsia="宋体" w:hint="default"/>
          <w:spacing w:val="6"/>
          <w:sz w:val="18"/>
          <w:szCs w:val="18"/>
        </w:rPr>
        <w:t>元应收账款作抵押，取得汇丰银行（中国）有限公司西安分行人民币</w:t>
      </w:r>
      <w:r>
        <w:rPr>
          <w:rFonts w:ascii="宋体" w:hAnsi="宋体" w:cs="宋体" w:eastAsia="宋体" w:hint="default"/>
          <w:spacing w:val="100"/>
          <w:sz w:val="18"/>
          <w:szCs w:val="18"/>
        </w:rPr>
        <w:t> </w:t>
      </w:r>
      <w:r>
        <w:rPr>
          <w:rFonts w:ascii="宋体" w:hAnsi="宋体" w:cs="宋体" w:eastAsia="宋体" w:hint="default"/>
          <w:spacing w:val="100"/>
          <w:sz w:val="18"/>
          <w:szCs w:val="18"/>
        </w:rPr>
      </w:r>
      <w:r>
        <w:rPr>
          <w:rFonts w:ascii="宋体" w:hAnsi="宋体" w:cs="宋体" w:eastAsia="宋体" w:hint="default"/>
          <w:spacing w:val="-4"/>
          <w:sz w:val="18"/>
          <w:szCs w:val="18"/>
        </w:rPr>
        <w:t>3,858,658.06</w:t>
      </w:r>
      <w:r>
        <w:rPr>
          <w:rFonts w:ascii="宋体" w:hAnsi="宋体" w:cs="宋体" w:eastAsia="宋体" w:hint="default"/>
          <w:spacing w:val="-4"/>
          <w:sz w:val="18"/>
          <w:szCs w:val="18"/>
        </w:rPr>
        <w:t>元的短期借款；本公司之子公司陕西永鑫以</w:t>
      </w:r>
      <w:r>
        <w:rPr>
          <w:rFonts w:ascii="宋体" w:hAnsi="宋体" w:cs="宋体" w:eastAsia="宋体" w:hint="default"/>
          <w:spacing w:val="-4"/>
          <w:sz w:val="18"/>
          <w:szCs w:val="18"/>
        </w:rPr>
        <w:t>9,321,052.63</w:t>
      </w:r>
      <w:r>
        <w:rPr>
          <w:rFonts w:ascii="宋体" w:hAnsi="宋体" w:cs="宋体" w:eastAsia="宋体" w:hint="default"/>
          <w:spacing w:val="-4"/>
          <w:sz w:val="18"/>
          <w:szCs w:val="18"/>
        </w:rPr>
        <w:t>元应收账款作抵押，取得惠商商业保理有限公司人民</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币</w:t>
      </w:r>
      <w:r>
        <w:rPr>
          <w:rFonts w:ascii="宋体" w:hAnsi="宋体" w:cs="宋体" w:eastAsia="宋体" w:hint="default"/>
          <w:sz w:val="18"/>
          <w:szCs w:val="18"/>
        </w:rPr>
        <w:t>8,855,000.00</w:t>
      </w:r>
      <w:r>
        <w:rPr>
          <w:rFonts w:ascii="宋体" w:hAnsi="宋体" w:cs="宋体" w:eastAsia="宋体" w:hint="default"/>
          <w:sz w:val="18"/>
          <w:szCs w:val="18"/>
        </w:rPr>
        <w:t>元的短期借款、以</w:t>
      </w:r>
      <w:r>
        <w:rPr>
          <w:rFonts w:ascii="宋体" w:hAnsi="宋体" w:cs="宋体" w:eastAsia="宋体" w:hint="default"/>
          <w:sz w:val="18"/>
          <w:szCs w:val="18"/>
        </w:rPr>
        <w:t>5,000,000.00</w:t>
      </w:r>
      <w:r>
        <w:rPr>
          <w:rFonts w:ascii="宋体" w:hAnsi="宋体" w:cs="宋体" w:eastAsia="宋体" w:hint="default"/>
          <w:sz w:val="18"/>
          <w:szCs w:val="18"/>
        </w:rPr>
        <w:t>元应收账款作抵押，取得浙商银行人民币</w:t>
      </w:r>
      <w:r>
        <w:rPr>
          <w:rFonts w:ascii="宋体" w:hAnsi="宋体" w:cs="宋体" w:eastAsia="宋体" w:hint="default"/>
          <w:sz w:val="18"/>
          <w:szCs w:val="18"/>
        </w:rPr>
        <w:t>5,000,000.00</w:t>
      </w:r>
      <w:r>
        <w:rPr>
          <w:rFonts w:ascii="宋体" w:hAnsi="宋体" w:cs="宋体" w:eastAsia="宋体" w:hint="default"/>
          <w:sz w:val="18"/>
          <w:szCs w:val="18"/>
        </w:rPr>
        <w:t>元的短期借款。</w:t>
      </w:r>
    </w:p>
    <w:p>
      <w:pPr>
        <w:spacing w:after="0" w:line="364" w:lineRule="auto"/>
        <w:jc w:val="both"/>
        <w:rPr>
          <w:rFonts w:ascii="宋体" w:hAnsi="宋体" w:cs="宋体" w:eastAsia="宋体" w:hint="default"/>
          <w:sz w:val="18"/>
          <w:szCs w:val="18"/>
        </w:rPr>
        <w:sectPr>
          <w:pgSz w:w="11910" w:h="16840"/>
          <w:pgMar w:header="0" w:footer="979" w:top="1060" w:bottom="1160" w:left="980" w:right="0"/>
        </w:sectPr>
      </w:pPr>
    </w:p>
    <w:p>
      <w:pPr>
        <w:spacing w:line="240" w:lineRule="auto" w:before="5"/>
        <w:rPr>
          <w:rFonts w:ascii="宋体" w:hAnsi="宋体" w:cs="宋体" w:eastAsia="宋体" w:hint="default"/>
          <w:sz w:val="24"/>
          <w:szCs w:val="24"/>
        </w:rPr>
      </w:pPr>
    </w:p>
    <w:p>
      <w:pPr>
        <w:pStyle w:val="Heading3"/>
        <w:spacing w:line="240" w:lineRule="auto" w:before="36"/>
        <w:ind w:right="0"/>
        <w:jc w:val="left"/>
        <w:rPr>
          <w:b w:val="0"/>
          <w:bCs w:val="0"/>
        </w:rPr>
      </w:pPr>
      <w:bookmarkStart w:name="33、交易性金融负债" w:id="338"/>
      <w:bookmarkEnd w:id="338"/>
      <w:r>
        <w:rPr>
          <w:b w:val="0"/>
          <w:bCs w:val="0"/>
        </w:rPr>
      </w:r>
      <w:r>
        <w:rPr>
          <w:rFonts w:ascii="Times New Roman" w:hAnsi="Times New Roman" w:cs="Times New Roman" w:eastAsia="Times New Roman" w:hint="default"/>
        </w:rPr>
        <w:t>33</w:t>
      </w:r>
      <w:r>
        <w:rPr/>
        <w:t>、交易性金融负债</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34、衍生金融负债" w:id="339"/>
      <w:bookmarkEnd w:id="339"/>
      <w:r>
        <w:rPr>
          <w:b w:val="0"/>
          <w:bCs w:val="0"/>
        </w:rPr>
      </w:r>
      <w:r>
        <w:rPr>
          <w:rFonts w:ascii="Times New Roman" w:hAnsi="Times New Roman" w:cs="Times New Roman" w:eastAsia="Times New Roman" w:hint="default"/>
        </w:rPr>
        <w:t>34</w:t>
      </w:r>
      <w:r>
        <w:rPr/>
        <w:t>、衍生金融负债</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5、应付票据" w:id="340"/>
      <w:bookmarkEnd w:id="340"/>
      <w:r>
        <w:rPr>
          <w:b w:val="0"/>
          <w:bCs w:val="0"/>
        </w:rPr>
      </w:r>
      <w:r>
        <w:rPr>
          <w:rFonts w:ascii="Times New Roman" w:hAnsi="Times New Roman" w:cs="Times New Roman" w:eastAsia="Times New Roman" w:hint="default"/>
        </w:rPr>
        <w:t>35</w:t>
      </w:r>
      <w:r>
        <w:rPr/>
        <w:t>、应付票据</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195,062,783.58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77,730,656.60</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195,062,783.58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77,730,656.60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本期末已到期未支付的应付票据总额为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36、应付账款" w:id="341"/>
      <w:bookmarkEnd w:id="341"/>
      <w:r>
        <w:rPr>
          <w:b w:val="0"/>
          <w:bCs w:val="0"/>
        </w:rPr>
      </w:r>
      <w:r>
        <w:rPr>
          <w:rFonts w:ascii="Times New Roman" w:hAnsi="Times New Roman" w:cs="Times New Roman" w:eastAsia="Times New Roman" w:hint="default"/>
        </w:rPr>
        <w:t>36</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342"/>
      <w:bookmarkEnd w:id="342"/>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122,069,886.27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85,839,506.23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11,033,246.06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4,803,656.14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150,529.02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168,969.24</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475,308.75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272,639.43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133,728,970.10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91,084,771.04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应付账款" w:id="343"/>
      <w:bookmarkEnd w:id="343"/>
      <w:r>
        <w:rPr>
          <w:b w:val="0"/>
          <w:bCs w:val="0"/>
        </w:rPr>
      </w: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88"/>
        <w:gridCol w:w="3193"/>
        <w:gridCol w:w="3194"/>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上海劲堃商务咨询有限公司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4,037,465.45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未结算流量款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呼和浩特市吉宏印刷包装有限公司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1,592,075.91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未结算材料款</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厦门吉宏包装科技股份有限公司黄冈分</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1,400,263.79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未结算材料款</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滦州吉宏包装有限公司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666,451.23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未结算材料款</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泸州启航科技有限公司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356,196.18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未结算材料款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8,052,452.56</w:t>
            </w:r>
          </w:p>
        </w:tc>
        <w:tc>
          <w:tcPr>
            <w:tcW w:w="3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7"/>
        <w:rPr>
          <w:rFonts w:ascii="宋体" w:hAnsi="宋体" w:cs="宋体" w:eastAsia="宋体" w:hint="default"/>
          <w:sz w:val="25"/>
          <w:szCs w:val="25"/>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12"/>
          <w:szCs w:val="12"/>
        </w:rPr>
      </w:pPr>
    </w:p>
    <w:p>
      <w:pPr>
        <w:pStyle w:val="BodyText"/>
        <w:spacing w:line="240" w:lineRule="auto" w:before="0"/>
        <w:ind w:left="633" w:right="0"/>
        <w:jc w:val="left"/>
      </w:pPr>
      <w:r>
        <w:rPr/>
        <w:t>本年应付账款期末账龄与上年年末账龄不衔接的原因系本年新合并子公司北京金印联。</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7、预收款项" w:id="344"/>
      <w:bookmarkEnd w:id="344"/>
      <w:r>
        <w:rPr>
          <w:b w:val="0"/>
          <w:bCs w:val="0"/>
        </w:rPr>
      </w:r>
      <w:r>
        <w:rPr>
          <w:rFonts w:ascii="Times New Roman" w:hAnsi="Times New Roman" w:cs="Times New Roman" w:eastAsia="Times New Roman" w:hint="default"/>
        </w:rPr>
        <w:t>37</w:t>
      </w:r>
      <w:r>
        <w:rPr/>
        <w:t>、预收款项</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1）预收款项列示" w:id="345"/>
      <w:bookmarkEnd w:id="345"/>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6,268,512.12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2,215,343.68</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4,720.01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719,408.07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34,708.91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56,022.10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81,195.40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142,190.40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6,389,136.44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3,132,964.25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预收款项" w:id="346"/>
      <w:bookmarkEnd w:id="346"/>
      <w:r>
        <w:rPr>
          <w:b w:val="0"/>
          <w:bCs w:val="0"/>
        </w:rPr>
      </w: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期末建造合同形成的已结算未完工项目情况" w:id="347"/>
      <w:bookmarkEnd w:id="347"/>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38、合同负债" w:id="348"/>
      <w:bookmarkEnd w:id="348"/>
      <w:r>
        <w:rPr>
          <w:b w:val="0"/>
          <w:bCs w:val="0"/>
        </w:rPr>
      </w:r>
      <w:r>
        <w:rPr>
          <w:rFonts w:ascii="Times New Roman" w:hAnsi="Times New Roman" w:cs="Times New Roman" w:eastAsia="Times New Roman" w:hint="default"/>
        </w:rPr>
        <w:t>38</w:t>
      </w:r>
      <w:r>
        <w:rPr/>
        <w:t>、合同负债</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9、应付职工薪酬" w:id="349"/>
      <w:bookmarkEnd w:id="349"/>
      <w:r>
        <w:rPr>
          <w:b w:val="0"/>
          <w:bCs w:val="0"/>
        </w:rPr>
      </w:r>
      <w:r>
        <w:rPr>
          <w:rFonts w:ascii="Times New Roman" w:hAnsi="Times New Roman" w:cs="Times New Roman" w:eastAsia="Times New Roman" w:hint="default"/>
        </w:rPr>
        <w:t>39</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350"/>
      <w:bookmarkEnd w:id="350"/>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10,532,309.94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101,284,782.31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97,989,983.69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13,827,108.56</w:t>
            </w:r>
          </w:p>
        </w:tc>
      </w:tr>
      <w:tr>
        <w:trPr>
          <w:trHeight w:val="716"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2"/>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设定提</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存计划</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9,363,202.97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9,363,202.97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10,532,309.94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110,647,985.28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107,353,186.66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13,827,108.56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5"/>
        <w:rPr>
          <w:rFonts w:ascii="宋体" w:hAnsi="宋体" w:cs="宋体" w:eastAsia="宋体" w:hint="default"/>
          <w:sz w:val="24"/>
          <w:szCs w:val="24"/>
        </w:rPr>
      </w:pPr>
    </w:p>
    <w:p>
      <w:pPr>
        <w:pStyle w:val="Heading3"/>
        <w:spacing w:line="240" w:lineRule="auto" w:before="36"/>
        <w:ind w:right="0"/>
        <w:jc w:val="left"/>
        <w:rPr>
          <w:b w:val="0"/>
          <w:bCs w:val="0"/>
        </w:rPr>
      </w:pPr>
      <w:bookmarkStart w:name="（2）短期薪酬列示" w:id="351"/>
      <w:bookmarkEnd w:id="351"/>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补贴</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10,256,165.88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89,774,314.90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86,505,526.42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13,524,954.36</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2,464,415.56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2,468,015.56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9,400.00</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4,821,984.10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4,821,984.10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其中：医疗保险费</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4,133,281.38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4,133,281.38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工伤保险费</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229,567.57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229,567.57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生育保险费</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459,135.15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459,135.15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3,034,943.14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3,028,278.14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6,665.00</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、工会经费和职工教育</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263,144.06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1,189,124.61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1,166,179.47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286,089.20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10,532,309.94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101,284,782.31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97,989,983.69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13,827,108.56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设定提存计划列示" w:id="352"/>
      <w:bookmarkEnd w:id="352"/>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9,006,096.39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9,006,096.39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357,106.58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357,106.58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9,363,202.97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9,363,202.97</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0、应交税费" w:id="353"/>
      <w:bookmarkEnd w:id="353"/>
      <w:r>
        <w:rPr>
          <w:b w:val="0"/>
          <w:bCs w:val="0"/>
        </w:rPr>
      </w:r>
      <w:r>
        <w:rPr>
          <w:rFonts w:ascii="Times New Roman" w:hAnsi="Times New Roman" w:cs="Times New Roman" w:eastAsia="Times New Roman" w:hint="default"/>
        </w:rPr>
        <w:t>40</w:t>
      </w:r>
      <w:r>
        <w:rPr/>
        <w:t>、应交税费</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93"/>
      </w:tblGrid>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2,827,284.86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1,869,880.25</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7,466,508.06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4,104,917.11</w:t>
            </w:r>
          </w:p>
        </w:tc>
      </w:tr>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674,435.61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178,214.14</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195,609.28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130,128.47</w:t>
            </w:r>
          </w:p>
        </w:tc>
      </w:tr>
      <w:tr>
        <w:trPr>
          <w:trHeight w:val="398"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296,593.29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232,517.11</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152,256.45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152,256.46</w:t>
            </w:r>
          </w:p>
        </w:tc>
      </w:tr>
      <w:tr>
        <w:trPr>
          <w:trHeight w:val="40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85,108.96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57,820.78</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56,739.30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36,153.85</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16,271.78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5,211.13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12"/>
        <w:rPr>
          <w:rFonts w:ascii="宋体" w:hAnsi="宋体" w:cs="宋体" w:eastAsia="宋体"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36,542.20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23,374.73</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5,101.69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11,807,369.23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6,795,575.72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1、其他应付款" w:id="354"/>
      <w:bookmarkEnd w:id="354"/>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401,152.80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949,697.37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23,502,077.29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12,811,639.24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89,670,497.39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107,742,996.38</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113,573,727.48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121,504,332.99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应付利息" w:id="355"/>
      <w:bookmarkEnd w:id="355"/>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401,152.80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949,697.37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401,152.80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949,697.37</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重要的已逾期未支付的利息情况：</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应付股利" w:id="356"/>
      <w:bookmarkEnd w:id="356"/>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798"/>
        <w:gridCol w:w="2583"/>
        <w:gridCol w:w="3193"/>
      </w:tblGrid>
      <w:tr>
        <w:trPr>
          <w:trHeight w:val="403" w:hRule="exact"/>
        </w:trPr>
        <w:tc>
          <w:tcPr>
            <w:tcW w:w="3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1" w:right="0"/>
              <w:jc w:val="left"/>
              <w:rPr>
                <w:rFonts w:ascii="宋体" w:hAnsi="宋体" w:cs="宋体" w:eastAsia="宋体" w:hint="default"/>
                <w:sz w:val="18"/>
                <w:szCs w:val="18"/>
              </w:rPr>
            </w:pPr>
            <w:r>
              <w:rPr>
                <w:rFonts w:ascii="宋体" w:hAnsi="宋体" w:cs="宋体" w:eastAsia="宋体" w:hint="default"/>
                <w:spacing w:val="-3"/>
                <w:sz w:val="18"/>
                <w:szCs w:val="18"/>
              </w:rPr>
              <w:t>金湖县行千里网络传媒服务中心（有限合伙）</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17,889,483.98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12,808,948.08</w:t>
            </w:r>
          </w:p>
        </w:tc>
      </w:tr>
      <w:tr>
        <w:trPr>
          <w:trHeight w:val="403"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徐天平</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4,372,393.98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李捷</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927,058.22</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李加东</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309,941.85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连学旺</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3,199.26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2,691.16</w:t>
            </w:r>
          </w:p>
        </w:tc>
      </w:tr>
      <w:tr>
        <w:trPr>
          <w:trHeight w:val="403" w:hRule="exact"/>
        </w:trPr>
        <w:tc>
          <w:tcPr>
            <w:tcW w:w="3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23,502,077.29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12,811,639.24</w:t>
            </w:r>
          </w:p>
        </w:tc>
      </w:tr>
    </w:tbl>
    <w:p>
      <w:pPr>
        <w:spacing w:line="343" w:lineRule="auto" w:before="53"/>
        <w:ind w:left="153" w:right="2115"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其他说明，包括重要的超过</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8"/>
          <w:sz w:val="18"/>
          <w:szCs w:val="18"/>
        </w:rPr>
        <w:t> </w:t>
      </w:r>
      <w:r>
        <w:rPr>
          <w:rFonts w:ascii="宋体" w:hAnsi="宋体" w:cs="宋体" w:eastAsia="宋体" w:hint="default"/>
          <w:spacing w:val="-3"/>
          <w:sz w:val="18"/>
          <w:szCs w:val="18"/>
        </w:rPr>
        <w:t>年未支付的应付股利，应披露未支付原因：</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系子公司应付股东的分红款项尚未支付。</w:t>
      </w:r>
    </w:p>
    <w:p>
      <w:pPr>
        <w:spacing w:after="0" w:line="343"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宋体" w:hAnsi="宋体" w:cs="宋体" w:eastAsia="宋体" w:hint="default"/>
          <w:sz w:val="24"/>
          <w:szCs w:val="24"/>
        </w:rPr>
      </w:pPr>
    </w:p>
    <w:p>
      <w:pPr>
        <w:pStyle w:val="Heading3"/>
        <w:spacing w:line="240" w:lineRule="auto" w:before="36"/>
        <w:ind w:right="0"/>
        <w:jc w:val="left"/>
        <w:rPr>
          <w:b w:val="0"/>
          <w:bCs w:val="0"/>
        </w:rPr>
      </w:pPr>
      <w:bookmarkStart w:name="（3）其他应付款" w:id="357"/>
      <w:bookmarkEnd w:id="357"/>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358"/>
      <w:bookmarkEnd w:id="358"/>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88,607,530.28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106,809,052.81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399,181.40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235,756.12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70,470.00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624,527.75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593,315.71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73,659.70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89,670,497.39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107,742,996.38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其他应付款" w:id="359"/>
      <w:bookmarkEnd w:id="359"/>
      <w:r>
        <w:rPr>
          <w:b w:val="0"/>
          <w:bCs w:val="0"/>
        </w:rPr>
      </w:r>
      <w:r>
        <w:rPr>
          <w:rFonts w:ascii="Times New Roman" w:hAnsi="Times New Roman" w:cs="Times New Roman" w:eastAsia="Times New Roman" w:hint="default"/>
        </w:rPr>
        <w:t>2</w:t>
      </w:r>
      <w:r>
        <w:rPr/>
        <w:t>）账龄超过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运输押金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300,000.00</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2、持有待售负债" w:id="360"/>
      <w:bookmarkEnd w:id="360"/>
      <w:r>
        <w:rPr>
          <w:b w:val="0"/>
          <w:bCs w:val="0"/>
        </w:rPr>
      </w:r>
      <w:r>
        <w:rPr>
          <w:rFonts w:ascii="Times New Roman" w:hAnsi="Times New Roman" w:cs="Times New Roman" w:eastAsia="Times New Roman" w:hint="default"/>
        </w:rPr>
        <w:t>42</w:t>
      </w:r>
      <w:r>
        <w:rPr/>
        <w:t>、持有待售负债</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43、一年内到期的非流动负债" w:id="361"/>
      <w:bookmarkEnd w:id="361"/>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44、其他流动负债" w:id="362"/>
      <w:bookmarkEnd w:id="362"/>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45、长期借款" w:id="363"/>
      <w:bookmarkEnd w:id="363"/>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64"/>
      <w:bookmarkEnd w:id="364"/>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63,660,000.00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63,660,000.00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宋体" w:hAnsi="宋体" w:cs="宋体" w:eastAsia="宋体" w:hint="default"/>
          <w:sz w:val="27"/>
          <w:szCs w:val="27"/>
        </w:rPr>
      </w:pPr>
    </w:p>
    <w:p>
      <w:pPr>
        <w:spacing w:line="364" w:lineRule="auto" w:before="46"/>
        <w:ind w:left="153" w:right="1127" w:firstLine="422"/>
        <w:jc w:val="both"/>
        <w:rPr>
          <w:rFonts w:ascii="宋体" w:hAnsi="宋体" w:cs="宋体" w:eastAsia="宋体" w:hint="default"/>
          <w:sz w:val="18"/>
          <w:szCs w:val="18"/>
        </w:rPr>
      </w:pPr>
      <w:r>
        <w:rPr>
          <w:rFonts w:ascii="宋体" w:hAnsi="宋体" w:cs="宋体" w:eastAsia="宋体" w:hint="default"/>
          <w:spacing w:val="-2"/>
          <w:sz w:val="18"/>
          <w:szCs w:val="18"/>
        </w:rPr>
        <w:t>注：本公司于</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9</w:t>
      </w:r>
      <w:r>
        <w:rPr>
          <w:rFonts w:ascii="宋体" w:hAnsi="宋体" w:cs="宋体" w:eastAsia="宋体" w:hint="default"/>
          <w:spacing w:val="-2"/>
          <w:sz w:val="18"/>
          <w:szCs w:val="18"/>
        </w:rPr>
        <w:t>月</w:t>
      </w:r>
      <w:r>
        <w:rPr>
          <w:rFonts w:ascii="宋体" w:hAnsi="宋体" w:cs="宋体" w:eastAsia="宋体" w:hint="default"/>
          <w:spacing w:val="-2"/>
          <w:sz w:val="18"/>
          <w:szCs w:val="18"/>
        </w:rPr>
        <w:t>12</w:t>
      </w:r>
      <w:r>
        <w:rPr>
          <w:rFonts w:ascii="宋体" w:hAnsi="宋体" w:cs="宋体" w:eastAsia="宋体" w:hint="default"/>
          <w:spacing w:val="-2"/>
          <w:sz w:val="18"/>
          <w:szCs w:val="18"/>
        </w:rPr>
        <w:t>日与中国工商银行股份有限公司签订《并购借款协议》，借款总金额为</w:t>
      </w:r>
      <w:r>
        <w:rPr>
          <w:rFonts w:ascii="宋体" w:hAnsi="宋体" w:cs="宋体" w:eastAsia="宋体" w:hint="default"/>
          <w:spacing w:val="-2"/>
          <w:sz w:val="18"/>
          <w:szCs w:val="18"/>
        </w:rPr>
        <w:t>7,900.00</w:t>
      </w:r>
      <w:r>
        <w:rPr>
          <w:rFonts w:ascii="宋体" w:hAnsi="宋体" w:cs="宋体" w:eastAsia="宋体" w:hint="default"/>
          <w:spacing w:val="-2"/>
          <w:sz w:val="18"/>
          <w:szCs w:val="18"/>
        </w:rPr>
        <w:t>万元</w:t>
      </w:r>
      <w:r>
        <w:rPr>
          <w:rFonts w:ascii="宋体" w:hAnsi="宋体" w:cs="宋体" w:eastAsia="宋体" w:hint="default"/>
          <w:spacing w:val="-2"/>
          <w:sz w:val="18"/>
          <w:szCs w:val="18"/>
        </w:rPr>
        <w:t>,</w:t>
      </w:r>
      <w:r>
        <w:rPr>
          <w:rFonts w:ascii="宋体" w:hAnsi="宋体" w:cs="宋体" w:eastAsia="宋体" w:hint="default"/>
          <w:spacing w:val="-2"/>
          <w:sz w:val="18"/>
          <w:szCs w:val="18"/>
        </w:rPr>
        <w:t>借款</w:t>
      </w:r>
      <w:r>
        <w:rPr>
          <w:rFonts w:ascii="宋体" w:hAnsi="宋体" w:cs="宋体" w:eastAsia="宋体" w:hint="default"/>
          <w:spacing w:val="-5"/>
          <w:w w:val="101"/>
          <w:sz w:val="18"/>
          <w:szCs w:val="18"/>
        </w:rPr>
        <w:t> </w:t>
      </w:r>
      <w:r>
        <w:rPr>
          <w:rFonts w:ascii="宋体" w:hAnsi="宋体" w:cs="宋体" w:eastAsia="宋体" w:hint="default"/>
          <w:spacing w:val="-3"/>
          <w:sz w:val="18"/>
          <w:szCs w:val="18"/>
        </w:rPr>
        <w:t>期限为</w:t>
      </w:r>
      <w:r>
        <w:rPr>
          <w:rFonts w:ascii="宋体" w:hAnsi="宋体" w:cs="宋体" w:eastAsia="宋体" w:hint="default"/>
          <w:spacing w:val="-3"/>
          <w:sz w:val="18"/>
          <w:szCs w:val="18"/>
        </w:rPr>
        <w:t>60</w:t>
      </w:r>
      <w:r>
        <w:rPr>
          <w:rFonts w:ascii="宋体" w:hAnsi="宋体" w:cs="宋体" w:eastAsia="宋体" w:hint="default"/>
          <w:spacing w:val="-3"/>
          <w:sz w:val="18"/>
          <w:szCs w:val="18"/>
        </w:rPr>
        <w:t>个月，质押主要内容为子公司领凯科技</w:t>
      </w:r>
      <w:r>
        <w:rPr>
          <w:rFonts w:ascii="宋体" w:hAnsi="宋体" w:cs="宋体" w:eastAsia="宋体" w:hint="default"/>
          <w:spacing w:val="-3"/>
          <w:sz w:val="18"/>
          <w:szCs w:val="18"/>
        </w:rPr>
        <w:t>70%</w:t>
      </w:r>
      <w:r>
        <w:rPr>
          <w:rFonts w:ascii="宋体" w:hAnsi="宋体" w:cs="宋体" w:eastAsia="宋体" w:hint="default"/>
          <w:spacing w:val="-3"/>
          <w:sz w:val="18"/>
          <w:szCs w:val="18"/>
        </w:rPr>
        <w:t>股权质押给质权人中国工商银行股份有限公司，依据子公司领凯科技股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东名册，股权总额</w:t>
      </w:r>
      <w:r>
        <w:rPr>
          <w:rFonts w:ascii="宋体" w:hAnsi="宋体" w:cs="宋体" w:eastAsia="宋体" w:hint="default"/>
          <w:spacing w:val="-3"/>
          <w:sz w:val="18"/>
          <w:szCs w:val="18"/>
        </w:rPr>
        <w:t>700</w:t>
      </w:r>
      <w:r>
        <w:rPr>
          <w:rFonts w:ascii="宋体" w:hAnsi="宋体" w:cs="宋体" w:eastAsia="宋体" w:hint="default"/>
          <w:spacing w:val="-3"/>
          <w:sz w:val="18"/>
          <w:szCs w:val="18"/>
        </w:rPr>
        <w:t>万元，出质股权数额</w:t>
      </w:r>
      <w:r>
        <w:rPr>
          <w:rFonts w:ascii="宋体" w:hAnsi="宋体" w:cs="宋体" w:eastAsia="宋体" w:hint="default"/>
          <w:spacing w:val="-3"/>
          <w:sz w:val="18"/>
          <w:szCs w:val="18"/>
        </w:rPr>
        <w:t>700</w:t>
      </w:r>
      <w:r>
        <w:rPr>
          <w:rFonts w:ascii="宋体" w:hAnsi="宋体" w:cs="宋体" w:eastAsia="宋体" w:hint="default"/>
          <w:spacing w:val="-3"/>
          <w:sz w:val="18"/>
          <w:szCs w:val="18"/>
        </w:rPr>
        <w:t>万元。</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bookmarkStart w:name="46、应付债券" w:id="365"/>
      <w:bookmarkEnd w:id="365"/>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366"/>
      <w:bookmarkEnd w:id="366"/>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应付债券的增减变动（不包括划分为金融负债的优先股、永续债等其他金融工具）" w:id="367"/>
      <w:bookmarkEnd w:id="367"/>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3）可转换公司债券的转股条件、转股时间说明" w:id="368"/>
      <w:bookmarkEnd w:id="368"/>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pStyle w:val="Heading3"/>
        <w:spacing w:line="240" w:lineRule="auto"/>
        <w:ind w:right="0"/>
        <w:jc w:val="left"/>
        <w:rPr>
          <w:b w:val="0"/>
          <w:bCs w:val="0"/>
        </w:rPr>
      </w:pPr>
      <w:bookmarkStart w:name="（4）划分为金融负债的其他金融工具说明" w:id="369"/>
      <w:bookmarkEnd w:id="369"/>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47、租赁负债" w:id="370"/>
      <w:bookmarkEnd w:id="370"/>
      <w:r>
        <w:rPr>
          <w:b w:val="0"/>
          <w:bCs w:val="0"/>
        </w:rPr>
      </w:r>
      <w:r>
        <w:rPr>
          <w:rFonts w:ascii="Times New Roman" w:hAnsi="Times New Roman" w:cs="Times New Roman" w:eastAsia="Times New Roman" w:hint="default"/>
        </w:rPr>
        <w:t>47</w:t>
      </w:r>
      <w:r>
        <w:rPr/>
        <w:t>、租赁负债</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48、长期应付款" w:id="371"/>
      <w:bookmarkEnd w:id="371"/>
      <w:r>
        <w:rPr>
          <w:b w:val="0"/>
          <w:bCs w:val="0"/>
        </w:rPr>
      </w:r>
      <w:r>
        <w:rPr>
          <w:rFonts w:ascii="Times New Roman" w:hAnsi="Times New Roman" w:cs="Times New Roman" w:eastAsia="Times New Roman" w:hint="default"/>
        </w:rPr>
        <w:t>48</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长期应付款" w:id="372"/>
      <w:bookmarkEnd w:id="372"/>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专项应付款" w:id="373"/>
      <w:bookmarkEnd w:id="373"/>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49、长期应付职工薪酬" w:id="374"/>
      <w:bookmarkEnd w:id="374"/>
      <w:r>
        <w:rPr>
          <w:b w:val="0"/>
          <w:bCs w:val="0"/>
        </w:rPr>
      </w:r>
      <w:r>
        <w:rPr>
          <w:rFonts w:ascii="Times New Roman" w:hAnsi="Times New Roman" w:cs="Times New Roman" w:eastAsia="Times New Roman" w:hint="default"/>
        </w:rPr>
        <w:t>49</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75"/>
      <w:bookmarkEnd w:id="375"/>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宋体" w:hAnsi="宋体" w:cs="宋体" w:eastAsia="宋体" w:hint="default"/>
          <w:sz w:val="24"/>
          <w:szCs w:val="24"/>
        </w:rPr>
      </w:pPr>
    </w:p>
    <w:p>
      <w:pPr>
        <w:pStyle w:val="Heading3"/>
        <w:spacing w:line="240" w:lineRule="auto" w:before="36"/>
        <w:ind w:right="0"/>
        <w:jc w:val="left"/>
        <w:rPr>
          <w:b w:val="0"/>
          <w:bCs w:val="0"/>
        </w:rPr>
      </w:pPr>
      <w:bookmarkStart w:name="（2）设定受益计划变动情况" w:id="376"/>
      <w:bookmarkEnd w:id="376"/>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50、预计负债" w:id="377"/>
      <w:bookmarkEnd w:id="377"/>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51、递延收益" w:id="378"/>
      <w:bookmarkEnd w:id="378"/>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0"/>
        <w:gridCol w:w="1611"/>
        <w:gridCol w:w="1595"/>
        <w:gridCol w:w="1594"/>
        <w:gridCol w:w="1594"/>
        <w:gridCol w:w="1594"/>
      </w:tblGrid>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99"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1,855,000.00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260,875.00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1,710,125.00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116,000.00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1,855,000.00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260,875.00</w:t>
            </w:r>
          </w:p>
        </w:tc>
        <w:tc>
          <w:tcPr>
            <w:tcW w:w="15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100"/>
              <w:ind w:right="10"/>
              <w:jc w:val="right"/>
              <w:rPr>
                <w:rFonts w:ascii="Times New Roman" w:hAnsi="Times New Roman" w:cs="Times New Roman" w:eastAsia="Times New Roman" w:hint="default"/>
                <w:sz w:val="18"/>
                <w:szCs w:val="18"/>
              </w:rPr>
            </w:pPr>
            <w:r>
              <w:rPr>
                <w:rFonts w:ascii="Times New Roman"/>
                <w:spacing w:val="-1"/>
                <w:sz w:val="18"/>
              </w:rPr>
              <w:t>1,710,125.00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08"/>
        <w:gridCol w:w="1013"/>
        <w:gridCol w:w="1008"/>
        <w:gridCol w:w="1013"/>
        <w:gridCol w:w="1009"/>
        <w:gridCol w:w="1248"/>
        <w:gridCol w:w="1013"/>
      </w:tblGrid>
      <w:tr>
        <w:trPr>
          <w:trHeight w:val="1028"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3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0" w:right="41" w:hanging="178"/>
              <w:jc w:val="left"/>
              <w:rPr>
                <w:rFonts w:ascii="宋体" w:hAnsi="宋体" w:cs="宋体" w:eastAsia="宋体" w:hint="default"/>
                <w:sz w:val="18"/>
                <w:szCs w:val="18"/>
              </w:rPr>
            </w:pPr>
            <w:r>
              <w:rPr>
                <w:rFonts w:ascii="宋体" w:hAnsi="宋体" w:cs="宋体" w:eastAsia="宋体" w:hint="default"/>
                <w:spacing w:val="-2"/>
                <w:sz w:val="18"/>
                <w:szCs w:val="18"/>
              </w:rPr>
              <w:t>本期新增补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58" w:right="41"/>
              <w:jc w:val="center"/>
              <w:rPr>
                <w:rFonts w:ascii="宋体" w:hAnsi="宋体" w:cs="宋体" w:eastAsia="宋体" w:hint="default"/>
                <w:sz w:val="18"/>
                <w:szCs w:val="18"/>
              </w:rPr>
            </w:pPr>
            <w:r>
              <w:rPr>
                <w:rFonts w:ascii="宋体" w:hAnsi="宋体" w:cs="宋体" w:eastAsia="宋体" w:hint="default"/>
                <w:spacing w:val="-2"/>
                <w:sz w:val="18"/>
                <w:szCs w:val="18"/>
              </w:rPr>
              <w:t>本期计入营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业外收入金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52" w:right="41"/>
              <w:jc w:val="left"/>
              <w:rPr>
                <w:rFonts w:ascii="宋体" w:hAnsi="宋体" w:cs="宋体" w:eastAsia="宋体" w:hint="default"/>
                <w:sz w:val="18"/>
                <w:szCs w:val="18"/>
              </w:rPr>
            </w:pPr>
            <w:r>
              <w:rPr>
                <w:rFonts w:ascii="宋体" w:hAnsi="宋体" w:cs="宋体" w:eastAsia="宋体" w:hint="default"/>
                <w:spacing w:val="-2"/>
                <w:sz w:val="18"/>
                <w:szCs w:val="18"/>
              </w:rPr>
              <w:t>本期计入其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他收益金额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52" w:right="46"/>
              <w:jc w:val="left"/>
              <w:rPr>
                <w:rFonts w:ascii="宋体" w:hAnsi="宋体" w:cs="宋体" w:eastAsia="宋体" w:hint="default"/>
                <w:sz w:val="18"/>
                <w:szCs w:val="18"/>
              </w:rPr>
            </w:pPr>
            <w:r>
              <w:rPr>
                <w:rFonts w:ascii="宋体" w:hAnsi="宋体" w:cs="宋体" w:eastAsia="宋体" w:hint="default"/>
                <w:spacing w:val="-2"/>
                <w:sz w:val="18"/>
                <w:szCs w:val="18"/>
              </w:rPr>
              <w:t>本期冲减成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本费用金额</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3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52" w:right="24" w:hanging="29"/>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与收益相关</w:t>
            </w:r>
          </w:p>
        </w:tc>
      </w:tr>
      <w:tr>
        <w:trPr>
          <w:trHeight w:val="40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17" w:right="0"/>
              <w:jc w:val="left"/>
              <w:rPr>
                <w:rFonts w:ascii="Times New Roman" w:hAnsi="Times New Roman" w:cs="Times New Roman" w:eastAsia="Times New Roman" w:hint="default"/>
                <w:sz w:val="18"/>
                <w:szCs w:val="18"/>
              </w:rPr>
            </w:pPr>
            <w:r>
              <w:rPr>
                <w:rFonts w:ascii="Times New Roman"/>
                <w:sz w:val="18"/>
              </w:rPr>
              <w:t>116,000.00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1,855,000.00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7" w:right="0"/>
              <w:jc w:val="left"/>
              <w:rPr>
                <w:rFonts w:ascii="Times New Roman" w:hAnsi="Times New Roman" w:cs="Times New Roman" w:eastAsia="Times New Roman" w:hint="default"/>
                <w:sz w:val="18"/>
                <w:szCs w:val="18"/>
              </w:rPr>
            </w:pPr>
            <w:r>
              <w:rPr>
                <w:rFonts w:ascii="Times New Roman"/>
                <w:sz w:val="18"/>
              </w:rPr>
              <w:t>260,875.00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8" w:right="0"/>
              <w:jc w:val="left"/>
              <w:rPr>
                <w:rFonts w:ascii="Times New Roman" w:hAnsi="Times New Roman" w:cs="Times New Roman" w:eastAsia="Times New Roman" w:hint="default"/>
                <w:sz w:val="18"/>
                <w:szCs w:val="18"/>
              </w:rPr>
            </w:pPr>
            <w:r>
              <w:rPr>
                <w:rFonts w:ascii="Times New Roman"/>
                <w:sz w:val="18"/>
              </w:rPr>
              <w:t>1,710,125.00</w:t>
            </w:r>
          </w:p>
        </w:tc>
        <w:tc>
          <w:tcPr>
            <w:tcW w:w="1013"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300" w:lineRule="auto" w:before="115"/>
        <w:ind w:left="153" w:right="1122" w:firstLine="422"/>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、根据《西安市人民政府印发关于推动</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年下半年工业促投资稳增长实施意见的通知》市政（</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60</w:t>
      </w:r>
      <w:r>
        <w:rPr>
          <w:rFonts w:ascii="宋体" w:hAnsi="宋体" w:cs="宋体" w:eastAsia="宋体" w:hint="default"/>
          <w:spacing w:val="-4"/>
          <w:sz w:val="18"/>
          <w:szCs w:val="18"/>
        </w:rPr>
        <w:t>号，本公司</w:t>
      </w:r>
      <w:r>
        <w:rPr>
          <w:rFonts w:ascii="宋体" w:hAnsi="宋体" w:cs="宋体" w:eastAsia="宋体" w:hint="default"/>
          <w:w w:val="101"/>
          <w:sz w:val="18"/>
          <w:szCs w:val="18"/>
        </w:rPr>
        <w:t> </w:t>
      </w:r>
      <w:r>
        <w:rPr>
          <w:rFonts w:ascii="宋体" w:hAnsi="宋体" w:cs="宋体" w:eastAsia="宋体" w:hint="default"/>
          <w:spacing w:val="-3"/>
          <w:sz w:val="18"/>
          <w:szCs w:val="18"/>
        </w:rPr>
        <w:t>之子公司陕西永鑫纸业包装有限公司收到鼓励企业稳增长奖励金</w:t>
      </w:r>
      <w:r>
        <w:rPr>
          <w:rFonts w:ascii="Times New Roman" w:hAnsi="Times New Roman" w:cs="Times New Roman" w:eastAsia="Times New Roman" w:hint="default"/>
          <w:spacing w:val="-3"/>
          <w:sz w:val="18"/>
          <w:szCs w:val="18"/>
        </w:rPr>
        <w:t>145,000.00</w:t>
      </w:r>
      <w:r>
        <w:rPr>
          <w:rFonts w:ascii="宋体" w:hAnsi="宋体" w:cs="宋体" w:eastAsia="宋体" w:hint="default"/>
          <w:spacing w:val="-3"/>
          <w:sz w:val="18"/>
          <w:szCs w:val="18"/>
        </w:rPr>
        <w:t>元，本期摊销至其他收益金额</w:t>
      </w:r>
      <w:r>
        <w:rPr>
          <w:rFonts w:ascii="Times New Roman" w:hAnsi="Times New Roman" w:cs="Times New Roman" w:eastAsia="Times New Roman" w:hint="default"/>
          <w:spacing w:val="-3"/>
          <w:sz w:val="18"/>
          <w:szCs w:val="18"/>
        </w:rPr>
        <w:t>29,000.00</w:t>
      </w:r>
      <w:r>
        <w:rPr>
          <w:rFonts w:ascii="宋体" w:hAnsi="宋体" w:cs="宋体" w:eastAsia="宋体" w:hint="default"/>
          <w:spacing w:val="-3"/>
          <w:sz w:val="18"/>
          <w:szCs w:val="18"/>
        </w:rPr>
        <w:t>元，期末</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z w:val="18"/>
          <w:szCs w:val="18"/>
        </w:rPr>
        <w:t>余额</w:t>
      </w:r>
      <w:r>
        <w:rPr>
          <w:rFonts w:ascii="Times New Roman" w:hAnsi="Times New Roman" w:cs="Times New Roman" w:eastAsia="Times New Roman" w:hint="default"/>
          <w:sz w:val="18"/>
          <w:szCs w:val="18"/>
        </w:rPr>
        <w:t>87,000.00</w:t>
      </w:r>
      <w:r>
        <w:rPr>
          <w:rFonts w:ascii="宋体" w:hAnsi="宋体" w:cs="宋体" w:eastAsia="宋体" w:hint="default"/>
          <w:sz w:val="18"/>
          <w:szCs w:val="18"/>
        </w:rPr>
        <w:t>元。</w:t>
      </w:r>
    </w:p>
    <w:p>
      <w:pPr>
        <w:spacing w:line="300" w:lineRule="auto" w:before="56"/>
        <w:ind w:left="153" w:right="1194" w:firstLine="436"/>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、根据西安市财政局关于拨付</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年西安工业发展专项资金的通知（市财函（</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1790</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本公司之子公司永鑫</w:t>
      </w:r>
      <w:r>
        <w:rPr>
          <w:rFonts w:ascii="宋体" w:hAnsi="宋体" w:cs="宋体" w:eastAsia="宋体" w:hint="default"/>
          <w:w w:val="101"/>
          <w:sz w:val="18"/>
          <w:szCs w:val="18"/>
        </w:rPr>
        <w:t> </w:t>
      </w:r>
      <w:r>
        <w:rPr>
          <w:rFonts w:ascii="宋体" w:hAnsi="宋体" w:cs="宋体" w:eastAsia="宋体" w:hint="default"/>
          <w:spacing w:val="-2"/>
          <w:sz w:val="18"/>
          <w:szCs w:val="18"/>
        </w:rPr>
        <w:t>纸业收到市级</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年技术改造项目补助款</w:t>
      </w:r>
      <w:r>
        <w:rPr>
          <w:rFonts w:ascii="Times New Roman" w:hAnsi="Times New Roman" w:cs="Times New Roman" w:eastAsia="Times New Roman" w:hint="default"/>
          <w:spacing w:val="-2"/>
          <w:sz w:val="18"/>
          <w:szCs w:val="18"/>
        </w:rPr>
        <w:t>1,855,000.00</w:t>
      </w:r>
      <w:r>
        <w:rPr>
          <w:rFonts w:ascii="宋体" w:hAnsi="宋体" w:cs="宋体" w:eastAsia="宋体" w:hint="default"/>
          <w:spacing w:val="-2"/>
          <w:sz w:val="18"/>
          <w:szCs w:val="18"/>
        </w:rPr>
        <w:t>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本期摊销至其他收益为</w:t>
      </w:r>
      <w:r>
        <w:rPr>
          <w:rFonts w:ascii="Times New Roman" w:hAnsi="Times New Roman" w:cs="Times New Roman" w:eastAsia="Times New Roman" w:hint="default"/>
          <w:spacing w:val="-2"/>
          <w:sz w:val="18"/>
          <w:szCs w:val="18"/>
        </w:rPr>
        <w:t>231,875.00</w:t>
      </w:r>
      <w:r>
        <w:rPr>
          <w:rFonts w:ascii="宋体" w:hAnsi="宋体" w:cs="宋体" w:eastAsia="宋体" w:hint="default"/>
          <w:spacing w:val="-2"/>
          <w:sz w:val="18"/>
          <w:szCs w:val="18"/>
        </w:rPr>
        <w:t>元，期末余额</w:t>
      </w:r>
      <w:r>
        <w:rPr>
          <w:rFonts w:ascii="Times New Roman" w:hAnsi="Times New Roman" w:cs="Times New Roman" w:eastAsia="Times New Roman" w:hint="default"/>
          <w:spacing w:val="-2"/>
          <w:sz w:val="18"/>
          <w:szCs w:val="18"/>
        </w:rPr>
        <w:t>1,623,125.00</w:t>
      </w:r>
      <w:r>
        <w:rPr>
          <w:rFonts w:ascii="宋体" w:hAnsi="宋体" w:cs="宋体" w:eastAsia="宋体" w:hint="default"/>
          <w:spacing w:val="-2"/>
          <w:sz w:val="18"/>
          <w:szCs w:val="18"/>
        </w:rPr>
        <w:t>元。</w:t>
      </w:r>
      <w:r>
        <w:rPr>
          <w:rFonts w:ascii="宋体" w:hAnsi="宋体" w:cs="宋体" w:eastAsia="宋体" w:hint="default"/>
          <w:sz w:val="18"/>
          <w:szCs w:val="18"/>
        </w:rPr>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bookmarkStart w:name="52、其他非流动负债" w:id="379"/>
      <w:bookmarkEnd w:id="379"/>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53、股本" w:id="380"/>
      <w:bookmarkEnd w:id="380"/>
      <w:r>
        <w:rPr>
          <w:b w:val="0"/>
          <w:bCs w:val="0"/>
        </w:rPr>
      </w:r>
      <w:r>
        <w:rPr>
          <w:rFonts w:ascii="Times New Roman" w:hAnsi="Times New Roman" w:cs="Times New Roman" w:eastAsia="Times New Roman" w:hint="default"/>
        </w:rPr>
        <w:t>53</w:t>
      </w:r>
      <w:r>
        <w:rPr/>
        <w:t>、股本</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9"/>
        <w:gridCol w:w="1196"/>
        <w:gridCol w:w="1196"/>
        <w:gridCol w:w="1196"/>
        <w:gridCol w:w="1186"/>
        <w:gridCol w:w="120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2" w:type="dxa"/>
            <w:gridSpan w:val="5"/>
            <w:vMerge/>
            <w:tcBorders>
              <w:left w:val="single" w:sz="4" w:space="0" w:color="000000"/>
              <w:bottom w:val="single" w:sz="4" w:space="0" w:color="000000"/>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2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12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9"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36" w:right="0"/>
              <w:jc w:val="left"/>
              <w:rPr>
                <w:rFonts w:ascii="Times New Roman" w:hAnsi="Times New Roman" w:cs="Times New Roman" w:eastAsia="Times New Roman" w:hint="default"/>
                <w:sz w:val="18"/>
                <w:szCs w:val="18"/>
              </w:rPr>
            </w:pPr>
            <w:r>
              <w:rPr>
                <w:rFonts w:ascii="Times New Roman"/>
                <w:sz w:val="18"/>
              </w:rPr>
              <w:t>150,000,000.00</w:t>
            </w:r>
          </w:p>
        </w:tc>
        <w:tc>
          <w:tcPr>
            <w:tcW w:w="118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150,000,000.00</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0"/>
        <w:rPr>
          <w:rFonts w:ascii="宋体" w:hAnsi="宋体" w:cs="宋体" w:eastAsia="宋体" w:hint="default"/>
          <w:sz w:val="24"/>
          <w:szCs w:val="24"/>
        </w:rPr>
      </w:pPr>
    </w:p>
    <w:p>
      <w:pPr>
        <w:pStyle w:val="Heading3"/>
        <w:spacing w:line="240" w:lineRule="auto" w:before="36"/>
        <w:ind w:right="0"/>
        <w:jc w:val="left"/>
        <w:rPr>
          <w:b w:val="0"/>
          <w:bCs w:val="0"/>
        </w:rPr>
      </w:pPr>
      <w:bookmarkStart w:name="54、其他权益工具" w:id="381"/>
      <w:bookmarkEnd w:id="381"/>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55、资本公积" w:id="382"/>
      <w:bookmarkEnd w:id="382"/>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145,564,409.15</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145,564,409.15</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2,796,394.13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3,126,394.13</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148,360,803.28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148,690,803.28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before="36"/>
        <w:ind w:right="0"/>
        <w:jc w:val="left"/>
        <w:rPr>
          <w:b w:val="0"/>
          <w:bCs w:val="0"/>
        </w:rPr>
      </w:pPr>
      <w:bookmarkStart w:name="56、库存股" w:id="383"/>
      <w:bookmarkEnd w:id="383"/>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57、其他综合收益" w:id="384"/>
      <w:bookmarkEnd w:id="384"/>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58、专项储备" w:id="385"/>
      <w:bookmarkEnd w:id="385"/>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59、盈余公积" w:id="386"/>
      <w:bookmarkEnd w:id="386"/>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33,252,946.03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1,409,644.36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34,662,590.39</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33,252,946.03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1,409,644.36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34,662,590.39</w:t>
            </w:r>
          </w:p>
        </w:tc>
      </w:tr>
    </w:tbl>
    <w:p>
      <w:pPr>
        <w:spacing w:line="352" w:lineRule="auto" w:before="53"/>
        <w:ind w:left="575" w:right="2115" w:hanging="423"/>
        <w:jc w:val="left"/>
        <w:rPr>
          <w:rFonts w:ascii="宋体" w:hAnsi="宋体" w:cs="宋体" w:eastAsia="宋体" w:hint="default"/>
          <w:sz w:val="18"/>
          <w:szCs w:val="18"/>
        </w:rPr>
      </w:pPr>
      <w:r>
        <w:rPr>
          <w:rFonts w:ascii="宋体" w:hAnsi="宋体" w:cs="宋体" w:eastAsia="宋体" w:hint="default"/>
          <w:spacing w:val="-3"/>
          <w:sz w:val="18"/>
          <w:szCs w:val="18"/>
        </w:rPr>
        <w:t>盈余公积说明，包括本期增减变动情况、变动原因说明：</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法定盈余公积增加系根据公司章程和董事会决议，按比例计提。</w:t>
      </w:r>
    </w:p>
    <w:p>
      <w:pPr>
        <w:spacing w:line="240" w:lineRule="auto" w:before="7"/>
        <w:rPr>
          <w:rFonts w:ascii="宋体" w:hAnsi="宋体" w:cs="宋体" w:eastAsia="宋体" w:hint="default"/>
          <w:sz w:val="20"/>
          <w:szCs w:val="20"/>
        </w:rPr>
      </w:pPr>
    </w:p>
    <w:p>
      <w:pPr>
        <w:pStyle w:val="Heading3"/>
        <w:spacing w:line="240" w:lineRule="auto"/>
        <w:ind w:right="0"/>
        <w:jc w:val="left"/>
        <w:rPr>
          <w:b w:val="0"/>
          <w:bCs w:val="0"/>
        </w:rPr>
      </w:pPr>
      <w:bookmarkStart w:name="60、未分配利润" w:id="387"/>
      <w:bookmarkEnd w:id="387"/>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2"/>
        <w:gridCol w:w="2936"/>
        <w:gridCol w:w="2919"/>
      </w:tblGrid>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99"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调整前上期末未分配利润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212,084,749.89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189,429,452.11</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212,084,749.89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189,429,452.11</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66,562,444.36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28,112,269.71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12"/>
        <w:rPr>
          <w:rFonts w:ascii="宋体" w:hAnsi="宋体" w:cs="宋体" w:eastAsia="宋体"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1,409,644.36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2,316,786.01</w:t>
            </w:r>
          </w:p>
        </w:tc>
      </w:tr>
      <w:tr>
        <w:trPr>
          <w:trHeight w:val="398"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应付普通股股利</w:t>
            </w:r>
          </w:p>
        </w:tc>
        <w:tc>
          <w:tcPr>
            <w:tcW w:w="29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5,250,000.00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57" w:right="0"/>
              <w:jc w:val="left"/>
              <w:rPr>
                <w:rFonts w:ascii="宋体" w:hAnsi="宋体" w:cs="宋体" w:eastAsia="宋体" w:hint="default"/>
                <w:sz w:val="18"/>
                <w:szCs w:val="18"/>
              </w:rPr>
            </w:pPr>
            <w:r>
              <w:rPr>
                <w:rFonts w:ascii="宋体" w:hAnsi="宋体" w:cs="宋体" w:eastAsia="宋体" w:hint="default"/>
                <w:spacing w:val="-3"/>
                <w:sz w:val="18"/>
                <w:szCs w:val="18"/>
              </w:rPr>
              <w:t>其他减少</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522,974.46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3,140,185.92</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271,464,575.43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212,084,749.89</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调整期初未分配利润明细：</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、由于《企业会计准则》及其相关新规定进行追溯调整，影响期初未分配利润 </w:t>
      </w:r>
      <w:r>
        <w:rPr>
          <w:rFonts w:ascii="Times New Roman" w:hAnsi="Times New Roman" w:cs="Times New Roman" w:eastAsia="Times New Roman" w:hint="default"/>
          <w:sz w:val="18"/>
          <w:szCs w:val="18"/>
        </w:rPr>
        <w:t>0.00 </w:t>
      </w:r>
      <w:r>
        <w:rPr>
          <w:rFonts w:ascii="Times New Roman" w:hAnsi="Times New Roman" w:cs="Times New Roman" w:eastAsia="Times New Roman" w:hint="default"/>
          <w:spacing w:val="23"/>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spacing w:before="10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、由于会计政策变更，影响期初未分配利润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元。</w:t>
      </w:r>
    </w:p>
    <w:p>
      <w:pPr>
        <w:spacing w:before="10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、由于重大会计差错更正，影响期初未分配利润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元。</w:t>
      </w:r>
    </w:p>
    <w:p>
      <w:pPr>
        <w:spacing w:before="10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、由于同一控制导致的合并范围变更，影响期初未分配利润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元。</w:t>
      </w:r>
    </w:p>
    <w:p>
      <w:pPr>
        <w:spacing w:before="10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61、营业收入和营业成本" w:id="388"/>
      <w:bookmarkEnd w:id="388"/>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9"/>
        <w:gridCol w:w="1911"/>
        <w:gridCol w:w="1916"/>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4"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9"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9"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1,243,638,288.56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1,038,406,242.29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552,320,515.43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439,914,354.14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3,703,284.68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77,351.99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2,803,817.43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187,443.09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1,247,341,573.24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1,038,483,594.28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555,124,332.86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440,101,797.23</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43" w:lineRule="auto" w:before="115"/>
        <w:ind w:left="153" w:right="92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5"/>
          <w:sz w:val="18"/>
          <w:szCs w:val="18"/>
        </w:rPr>
        <w:t> </w:t>
      </w:r>
      <w:r>
        <w:rPr>
          <w:rFonts w:ascii="宋体" w:hAnsi="宋体" w:cs="宋体" w:eastAsia="宋体" w:hint="default"/>
          <w:sz w:val="18"/>
          <w:szCs w:val="18"/>
        </w:rPr>
        <w:t>其他说明</w:t>
      </w:r>
    </w:p>
    <w:p>
      <w:pPr>
        <w:spacing w:line="240" w:lineRule="auto" w:before="5"/>
        <w:rPr>
          <w:rFonts w:ascii="宋体" w:hAnsi="宋体" w:cs="宋体" w:eastAsia="宋体" w:hint="default"/>
          <w:sz w:val="20"/>
          <w:szCs w:val="20"/>
        </w:rPr>
      </w:pPr>
    </w:p>
    <w:p>
      <w:pPr>
        <w:pStyle w:val="Heading3"/>
        <w:spacing w:line="240" w:lineRule="auto"/>
        <w:ind w:right="0"/>
        <w:jc w:val="left"/>
        <w:rPr>
          <w:b w:val="0"/>
          <w:bCs w:val="0"/>
        </w:rPr>
      </w:pPr>
      <w:bookmarkStart w:name="62、税金及附加" w:id="389"/>
      <w:bookmarkEnd w:id="389"/>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2,013,983.93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1,834,773.55</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881,324.31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797,723.69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1,914,013.33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1,866,230.58</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669,283.30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697,748.11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11,050.52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6,480.00</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457,551.09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375,991.90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588,004.01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514,805.98</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56,034.88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60,892.04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74,042.27</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6,596,105.01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6,223,830.96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5"/>
        <w:rPr>
          <w:rFonts w:ascii="宋体" w:hAnsi="宋体" w:cs="宋体" w:eastAsia="宋体" w:hint="default"/>
          <w:sz w:val="24"/>
          <w:szCs w:val="24"/>
        </w:rPr>
      </w:pPr>
    </w:p>
    <w:p>
      <w:pPr>
        <w:pStyle w:val="Heading3"/>
        <w:spacing w:line="240" w:lineRule="auto" w:before="36"/>
        <w:ind w:right="0"/>
        <w:jc w:val="left"/>
        <w:rPr>
          <w:b w:val="0"/>
          <w:bCs w:val="0"/>
        </w:rPr>
      </w:pPr>
      <w:bookmarkStart w:name="63、销售费用" w:id="390"/>
      <w:bookmarkEnd w:id="390"/>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15,991,606.64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10,961,587.04</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1,328,890.00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884,612.07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820,075.96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563,880.23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运输装卸费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17,579,383.81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16,862,357.90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567.72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750.19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资产折旧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28,118.50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24,032.29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176,305.51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160,993.34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1,249,469.99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1,241,909.16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1,278,337.92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106,241.66</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38,452,756.05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30,806,363.88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4、管理费用" w:id="391"/>
      <w:bookmarkEnd w:id="391"/>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16,903,757.82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9,137,832.55</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税金、上缴基金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617,955.83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484,108.28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528,886.37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484,247.81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417,370.07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400,241.32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369,330.68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213,999.61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安全环保费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2,493,441.71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1,591,236.93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资产摊销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2,846,488.51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1,043,798.62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2,225,984.27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854,514.59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138,642.27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224,152.91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713,478.48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358,806.51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316,084.61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283,071.51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990,426.76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458,568.72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审计咨询费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1,558,897.53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3,179,853.39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2,546,475.95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4,614,675.46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32,667,220.86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23,329,108.21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5"/>
        <w:rPr>
          <w:rFonts w:ascii="宋体" w:hAnsi="宋体" w:cs="宋体" w:eastAsia="宋体" w:hint="default"/>
          <w:sz w:val="24"/>
          <w:szCs w:val="24"/>
        </w:rPr>
      </w:pPr>
    </w:p>
    <w:p>
      <w:pPr>
        <w:pStyle w:val="Heading3"/>
        <w:spacing w:line="240" w:lineRule="auto" w:before="36"/>
        <w:ind w:right="0"/>
        <w:jc w:val="left"/>
        <w:rPr>
          <w:b w:val="0"/>
          <w:bCs w:val="0"/>
        </w:rPr>
      </w:pPr>
      <w:bookmarkStart w:name="65、研发费用" w:id="392"/>
      <w:bookmarkEnd w:id="392"/>
      <w:r>
        <w:rPr>
          <w:b w:val="0"/>
          <w:bCs w:val="0"/>
        </w:rPr>
      </w:r>
      <w:r>
        <w:rPr>
          <w:rFonts w:ascii="Times New Roman" w:hAnsi="Times New Roman" w:cs="Times New Roman" w:eastAsia="Times New Roman" w:hint="default"/>
        </w:rPr>
        <w:t>65</w:t>
      </w:r>
      <w:r>
        <w:rPr/>
        <w:t>、研发费用</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17,260,653.24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11,410,936.84</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试制材料及其他消耗费用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5,822,716.42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4,256,463.38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1,155,524.12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445,460.41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24,238,893.78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16,112,860.63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6、财务费用" w:id="393"/>
      <w:bookmarkEnd w:id="393"/>
      <w:r>
        <w:rPr>
          <w:b w:val="0"/>
          <w:bCs w:val="0"/>
        </w:rPr>
      </w:r>
      <w:r>
        <w:rPr>
          <w:rFonts w:ascii="Times New Roman" w:hAnsi="Times New Roman" w:cs="Times New Roman" w:eastAsia="Times New Roman" w:hint="default"/>
        </w:rPr>
        <w:t>66</w:t>
      </w:r>
      <w:r>
        <w:rPr/>
        <w:t>、财务费用</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14,008,628.79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9,494,720.51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1,072,018.50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1,152,080.54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-100,278.33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-38,346.79</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985,863.14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111,362.70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13,822,195.10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8,415,655.88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7、其他收益" w:id="394"/>
      <w:bookmarkEnd w:id="394"/>
      <w:r>
        <w:rPr>
          <w:b w:val="0"/>
          <w:bCs w:val="0"/>
        </w:rPr>
      </w:r>
      <w:r>
        <w:rPr>
          <w:rFonts w:ascii="Times New Roman" w:hAnsi="Times New Roman" w:cs="Times New Roman" w:eastAsia="Times New Roman" w:hint="default"/>
        </w:rPr>
        <w:t>67</w:t>
      </w:r>
      <w:r>
        <w:rPr/>
        <w:t>、其他收益</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产生其他收益的来源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5,538,115.95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1,934,200.00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8、投资收益" w:id="395"/>
      <w:bookmarkEnd w:id="395"/>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62"/>
        <w:gridCol w:w="3188"/>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6,273,351.39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5,774,558.30</w:t>
            </w:r>
          </w:p>
        </w:tc>
      </w:tr>
      <w:tr>
        <w:trPr>
          <w:trHeight w:val="716"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81"/>
              <w:jc w:val="left"/>
              <w:rPr>
                <w:rFonts w:ascii="宋体" w:hAnsi="宋体" w:cs="宋体" w:eastAsia="宋体" w:hint="default"/>
                <w:sz w:val="18"/>
                <w:szCs w:val="18"/>
              </w:rPr>
            </w:pPr>
            <w:r>
              <w:rPr>
                <w:rFonts w:ascii="宋体" w:hAnsi="宋体" w:cs="宋体" w:eastAsia="宋体" w:hint="default"/>
                <w:spacing w:val="-3"/>
                <w:sz w:val="18"/>
                <w:szCs w:val="18"/>
              </w:rPr>
              <w:t>处置以公允价值计量且其变动计入当期损</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益的金融资产取得的投资收益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40,669.69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6,314,021.08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5,774,558.30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9、净敞口套期收益" w:id="396"/>
      <w:bookmarkEnd w:id="396"/>
      <w:r>
        <w:rPr>
          <w:b w:val="0"/>
          <w:bCs w:val="0"/>
        </w:rPr>
      </w:r>
      <w:r>
        <w:rPr>
          <w:rFonts w:ascii="Times New Roman" w:hAnsi="Times New Roman" w:cs="Times New Roman" w:eastAsia="Times New Roman" w:hint="default"/>
        </w:rPr>
        <w:t>69</w:t>
      </w:r>
      <w:r>
        <w:rPr/>
        <w:t>、净敞口套期收益</w:t>
      </w:r>
      <w:r>
        <w:rPr>
          <w:b w:val="0"/>
          <w:bCs w:val="0"/>
        </w:rPr>
      </w:r>
    </w:p>
    <w:p>
      <w:pPr>
        <w:spacing w:line="240" w:lineRule="auto" w:before="10"/>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宋体" w:hAnsi="宋体" w:cs="宋体" w:eastAsia="宋体" w:hint="default"/>
          <w:sz w:val="24"/>
          <w:szCs w:val="24"/>
        </w:rPr>
      </w:pPr>
    </w:p>
    <w:p>
      <w:pPr>
        <w:pStyle w:val="Heading3"/>
        <w:spacing w:line="240" w:lineRule="auto" w:before="36"/>
        <w:ind w:right="0"/>
        <w:jc w:val="left"/>
        <w:rPr>
          <w:b w:val="0"/>
          <w:bCs w:val="0"/>
        </w:rPr>
      </w:pPr>
      <w:bookmarkStart w:name="70、公允价值变动收益" w:id="397"/>
      <w:bookmarkEnd w:id="397"/>
      <w:r>
        <w:rPr>
          <w:b w:val="0"/>
          <w:bCs w:val="0"/>
        </w:rPr>
      </w:r>
      <w:r>
        <w:rPr>
          <w:rFonts w:ascii="Times New Roman" w:hAnsi="Times New Roman" w:cs="Times New Roman" w:eastAsia="Times New Roman" w:hint="default"/>
        </w:rPr>
        <w:t>70</w:t>
      </w:r>
      <w:r>
        <w:rPr/>
        <w:t>、公允价值变动收益</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71、信用减值损失" w:id="398"/>
      <w:bookmarkEnd w:id="398"/>
      <w:r>
        <w:rPr>
          <w:b w:val="0"/>
          <w:bCs w:val="0"/>
        </w:rPr>
      </w:r>
      <w:r>
        <w:rPr>
          <w:rFonts w:ascii="Times New Roman" w:hAnsi="Times New Roman" w:cs="Times New Roman" w:eastAsia="Times New Roman" w:hint="default"/>
        </w:rPr>
        <w:t>71</w:t>
      </w:r>
      <w:r>
        <w:rPr/>
        <w:t>、信用减值损失</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其他应收款坏账损失</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540,059.29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-12,326,414.59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-11,786,355.30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before="36"/>
        <w:ind w:right="0"/>
        <w:jc w:val="left"/>
        <w:rPr>
          <w:b w:val="0"/>
          <w:bCs w:val="0"/>
        </w:rPr>
      </w:pPr>
      <w:bookmarkStart w:name="72、资产减值损失" w:id="399"/>
      <w:bookmarkEnd w:id="399"/>
      <w:r>
        <w:rPr>
          <w:b w:val="0"/>
          <w:bCs w:val="0"/>
        </w:rPr>
      </w:r>
      <w:r>
        <w:rPr>
          <w:rFonts w:ascii="Times New Roman" w:hAnsi="Times New Roman" w:cs="Times New Roman" w:eastAsia="Times New Roman" w:hint="default"/>
        </w:rPr>
        <w:t>72</w:t>
      </w:r>
      <w:r>
        <w:rPr/>
        <w:t>、资产减值损失</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1959" w:space="6872"/>
            <w:col w:w="209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-1,568,833.31</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-455,833.90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-731,680.19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-455,833.90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-2,300,513.50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3、资产处置收益" w:id="400"/>
      <w:bookmarkEnd w:id="400"/>
      <w:r>
        <w:rPr>
          <w:b w:val="0"/>
          <w:bCs w:val="0"/>
        </w:rPr>
      </w:r>
      <w:r>
        <w:rPr>
          <w:rFonts w:ascii="Times New Roman" w:hAnsi="Times New Roman" w:cs="Times New Roman" w:eastAsia="Times New Roman" w:hint="default"/>
        </w:rPr>
        <w:t>73</w:t>
      </w:r>
      <w:r>
        <w:rPr/>
        <w:t>、资产处置收益</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资产处置收益的来源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处置非流动资产收益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54,664.33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7,986.81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减：处置非流动资产损失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286,887.72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656,718.84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-232,223.39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-648,732.03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4、营业外收入" w:id="401"/>
      <w:bookmarkEnd w:id="401"/>
      <w:r>
        <w:rPr>
          <w:b w:val="0"/>
          <w:bCs w:val="0"/>
        </w:rPr>
      </w:r>
      <w:r>
        <w:rPr>
          <w:rFonts w:ascii="Times New Roman" w:hAnsi="Times New Roman" w:cs="Times New Roman" w:eastAsia="Times New Roman" w:hint="default"/>
        </w:rPr>
        <w:t>74</w:t>
      </w:r>
      <w:r>
        <w:rPr/>
        <w:t>、营业外收入</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800,000.00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26,857.16</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26,857.16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26,857.16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800,000.00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7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5"/>
        <w:ind w:right="0"/>
        <w:jc w:val="left"/>
        <w:rPr>
          <w:b w:val="0"/>
          <w:bCs w:val="0"/>
        </w:rPr>
      </w:pPr>
      <w:bookmarkStart w:name="75、营业外支出" w:id="402"/>
      <w:bookmarkEnd w:id="402"/>
      <w:r>
        <w:rPr>
          <w:b w:val="0"/>
          <w:bCs w:val="0"/>
        </w:rPr>
      </w:r>
      <w:r>
        <w:rPr>
          <w:rFonts w:ascii="Times New Roman" w:hAnsi="Times New Roman" w:cs="Times New Roman" w:eastAsia="Times New Roman" w:hint="default"/>
        </w:rPr>
        <w:t>75</w:t>
      </w:r>
      <w:r>
        <w:rPr/>
        <w:t>、营业外支出</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0"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滞纳金及罚款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20,000.00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95,961.41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959,326.50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95,961.41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95,961.41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979,326.50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6、所得税费用" w:id="403"/>
      <w:bookmarkEnd w:id="403"/>
      <w:r>
        <w:rPr>
          <w:b w:val="0"/>
          <w:bCs w:val="0"/>
        </w:rPr>
      </w:r>
      <w:r>
        <w:rPr>
          <w:rFonts w:ascii="Times New Roman" w:hAnsi="Times New Roman" w:cs="Times New Roman" w:eastAsia="Times New Roman" w:hint="default"/>
        </w:rPr>
        <w:t>76</w:t>
      </w:r>
      <w:r>
        <w:rPr/>
        <w:t>、所得税费用</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404"/>
      <w:bookmarkEnd w:id="404"/>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8,085,929.54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4,349,715.91</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-715,037.11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-685,826.23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7,370,892.43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3,663,889.68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会计利润与所得税费用调整过程" w:id="405"/>
      <w:bookmarkEnd w:id="405"/>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9"/>
        <w:gridCol w:w="4799"/>
      </w:tblGrid>
      <w:tr>
        <w:trPr>
          <w:trHeight w:val="401"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92,389,428.35</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适用税率计算的所得税费用</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13,858,414.25</w:t>
            </w:r>
          </w:p>
        </w:tc>
      </w:tr>
      <w:tr>
        <w:trPr>
          <w:trHeight w:val="404"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-3,762,769.48</w:t>
            </w:r>
          </w:p>
        </w:tc>
      </w:tr>
      <w:tr>
        <w:trPr>
          <w:trHeight w:val="401"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-910,515.84</w:t>
            </w:r>
          </w:p>
        </w:tc>
      </w:tr>
      <w:tr>
        <w:trPr>
          <w:trHeight w:val="401"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99,021.25</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使用前期未确认递延所得税资产的可抵扣亏损的影响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-493,819.13</w:t>
            </w:r>
          </w:p>
        </w:tc>
      </w:tr>
      <w:tr>
        <w:trPr>
          <w:trHeight w:val="716"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49"/>
              <w:jc w:val="left"/>
              <w:rPr>
                <w:rFonts w:ascii="宋体" w:hAnsi="宋体" w:cs="宋体" w:eastAsia="宋体" w:hint="default"/>
                <w:sz w:val="18"/>
                <w:szCs w:val="18"/>
              </w:rPr>
            </w:pPr>
            <w:r>
              <w:rPr>
                <w:rFonts w:ascii="宋体" w:hAnsi="宋体" w:cs="宋体" w:eastAsia="宋体" w:hint="default"/>
                <w:spacing w:val="-3"/>
                <w:sz w:val="18"/>
                <w:szCs w:val="18"/>
              </w:rPr>
              <w:t>本期未确认递延所得税资产的可抵扣暂时性差异或可抵扣亏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损的影响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1,115,177.74</w:t>
            </w:r>
          </w:p>
        </w:tc>
      </w:tr>
      <w:tr>
        <w:trPr>
          <w:trHeight w:val="398" w:hRule="exact"/>
        </w:trPr>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加计扣除项目的影响</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-2,116,827.66</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其他影响</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-417,788.70</w:t>
            </w:r>
          </w:p>
        </w:tc>
      </w:tr>
      <w:tr>
        <w:trPr>
          <w:trHeight w:val="404"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7,370,892.43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5"/>
        <w:rPr>
          <w:rFonts w:ascii="宋体" w:hAnsi="宋体" w:cs="宋体" w:eastAsia="宋体" w:hint="default"/>
          <w:sz w:val="24"/>
          <w:szCs w:val="24"/>
        </w:rPr>
      </w:pPr>
    </w:p>
    <w:p>
      <w:pPr>
        <w:pStyle w:val="Heading3"/>
        <w:spacing w:line="240" w:lineRule="auto" w:before="36"/>
        <w:ind w:right="0"/>
        <w:jc w:val="left"/>
        <w:rPr>
          <w:b w:val="0"/>
          <w:bCs w:val="0"/>
        </w:rPr>
      </w:pPr>
      <w:bookmarkStart w:name="77、其他综合收益" w:id="406"/>
      <w:bookmarkEnd w:id="406"/>
      <w:r>
        <w:rPr>
          <w:b w:val="0"/>
          <w:bCs w:val="0"/>
        </w:rPr>
      </w:r>
      <w:r>
        <w:rPr>
          <w:rFonts w:ascii="Times New Roman" w:hAnsi="Times New Roman" w:cs="Times New Roman" w:eastAsia="Times New Roman" w:hint="default"/>
        </w:rPr>
        <w:t>77</w:t>
      </w:r>
      <w:r>
        <w:rPr/>
        <w:t>、其他综合收益</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78、现金流量表项目" w:id="407"/>
      <w:bookmarkEnd w:id="407"/>
      <w:r>
        <w:rPr>
          <w:b w:val="0"/>
          <w:bCs w:val="0"/>
        </w:rPr>
      </w:r>
      <w:r>
        <w:rPr>
          <w:rFonts w:ascii="Times New Roman" w:hAnsi="Times New Roman" w:cs="Times New Roman" w:eastAsia="Times New Roman" w:hint="default"/>
        </w:rPr>
        <w:t>78</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408"/>
      <w:bookmarkEnd w:id="408"/>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其他往来增加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50,849,742.95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10,038,234.62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收到的政府补助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4,193,858.80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2,050,200.00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1,072,018.50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1,152,080.54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26,857.16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56,142,477.41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14,040,515.16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支付的其他与经营活动有关的现金" w:id="409"/>
      <w:bookmarkEnd w:id="40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713,478.48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201,026.02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劳动保护费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58,679.32</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2"/>
              <w:jc w:val="right"/>
              <w:rPr>
                <w:rFonts w:ascii="宋体" w:hAnsi="宋体" w:cs="宋体" w:eastAsia="宋体" w:hint="default"/>
                <w:sz w:val="18"/>
                <w:szCs w:val="18"/>
              </w:rPr>
            </w:pPr>
            <w:r>
              <w:rPr>
                <w:rFonts w:ascii="宋体"/>
                <w:spacing w:val="-1"/>
                <w:sz w:val="18"/>
              </w:rPr>
              <w:t>1,189,406.64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18"/>
                <w:szCs w:val="18"/>
              </w:rPr>
            </w:pPr>
            <w:r>
              <w:rPr>
                <w:rFonts w:ascii="宋体"/>
                <w:spacing w:val="-1"/>
                <w:sz w:val="18"/>
              </w:rPr>
              <w:t>417,377.88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1,857,776.37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981,823.36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17,579,383.81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14,498,463.97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9,620.26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144,876.85</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环保费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2"/>
              <w:jc w:val="right"/>
              <w:rPr>
                <w:rFonts w:ascii="宋体" w:hAnsi="宋体" w:cs="宋体" w:eastAsia="宋体" w:hint="default"/>
                <w:sz w:val="18"/>
                <w:szCs w:val="18"/>
              </w:rPr>
            </w:pPr>
            <w:r>
              <w:rPr>
                <w:rFonts w:ascii="宋体"/>
                <w:spacing w:val="-1"/>
                <w:sz w:val="18"/>
              </w:rPr>
              <w:t>2,493,441.71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18"/>
                <w:szCs w:val="18"/>
              </w:rPr>
            </w:pPr>
            <w:r>
              <w:rPr>
                <w:rFonts w:ascii="宋体"/>
                <w:spacing w:val="-1"/>
                <w:sz w:val="18"/>
              </w:rPr>
              <w:t>1,591,236.93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设计费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15,678.64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990,426.76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420,711.90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中介机构</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1,558,897.53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1,788,127.83</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董事会会费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2"/>
              <w:jc w:val="right"/>
              <w:rPr>
                <w:rFonts w:ascii="宋体" w:hAnsi="宋体" w:cs="宋体" w:eastAsia="宋体" w:hint="default"/>
                <w:sz w:val="18"/>
                <w:szCs w:val="18"/>
              </w:rPr>
            </w:pPr>
            <w:r>
              <w:rPr>
                <w:rFonts w:ascii="宋体"/>
                <w:spacing w:val="-1"/>
                <w:sz w:val="18"/>
              </w:rPr>
              <w:t>180,106.00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18"/>
                <w:szCs w:val="18"/>
              </w:rPr>
            </w:pPr>
            <w:r>
              <w:rPr>
                <w:rFonts w:ascii="宋体"/>
                <w:spacing w:val="-1"/>
                <w:sz w:val="18"/>
              </w:rPr>
              <w:t>153,501.93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567.72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750.19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138,642.27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142,998.09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邮电通信费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492,390.12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373,613.49</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1,249,469.99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33,758.49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诉讼费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2,382.74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4,042,613.32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1,423,561.62</w:t>
            </w:r>
          </w:p>
        </w:tc>
      </w:tr>
    </w:tbl>
    <w:p>
      <w:pPr>
        <w:spacing w:after="0" w:line="240" w:lineRule="auto"/>
        <w:jc w:val="right"/>
        <w:rPr>
          <w:rFonts w:ascii="宋体" w:hAnsi="宋体" w:cs="宋体" w:eastAsia="宋体" w:hint="default"/>
          <w:sz w:val="18"/>
          <w:szCs w:val="18"/>
        </w:rPr>
        <w:sectPr>
          <w:pgSz w:w="11910" w:h="16840"/>
          <w:pgMar w:header="0" w:footer="979" w:top="1060" w:bottom="1160" w:left="980" w:right="0"/>
        </w:sectPr>
      </w:pPr>
    </w:p>
    <w:p>
      <w:pPr>
        <w:spacing w:line="240" w:lineRule="auto" w:before="12"/>
        <w:rPr>
          <w:rFonts w:ascii="宋体" w:hAnsi="宋体" w:cs="宋体" w:eastAsia="宋体"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92" w:right="0"/>
              <w:jc w:val="left"/>
              <w:rPr>
                <w:rFonts w:ascii="宋体" w:hAnsi="宋体" w:cs="宋体" w:eastAsia="宋体" w:hint="default"/>
                <w:sz w:val="18"/>
                <w:szCs w:val="18"/>
              </w:rPr>
            </w:pPr>
            <w:r>
              <w:rPr>
                <w:rFonts w:ascii="宋体"/>
                <w:sz w:val="18"/>
              </w:rPr>
              <w:t>32,496,220.98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88" w:right="0"/>
              <w:jc w:val="left"/>
              <w:rPr>
                <w:rFonts w:ascii="宋体" w:hAnsi="宋体" w:cs="宋体" w:eastAsia="宋体" w:hint="default"/>
                <w:sz w:val="18"/>
                <w:szCs w:val="18"/>
              </w:rPr>
            </w:pPr>
            <w:r>
              <w:rPr>
                <w:rFonts w:ascii="宋体"/>
                <w:sz w:val="18"/>
              </w:rPr>
              <w:t>22,248,569.25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收到的其他与投资活动有关的现金" w:id="410"/>
      <w:bookmarkEnd w:id="410"/>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4）支付的其他与投资活动有关的现金" w:id="411"/>
      <w:bookmarkEnd w:id="411"/>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5）收到的其他与筹资活动有关的现金" w:id="412"/>
      <w:bookmarkEnd w:id="412"/>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收到其他与筹资相关的现金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50,000,000.00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支付的其他与筹资活动有关的现金" w:id="413"/>
      <w:bookmarkEnd w:id="413"/>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支付其他与筹资相关的现金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52,800,000.00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52,800,000.00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9、现金流量表补充资料" w:id="414"/>
      <w:bookmarkEnd w:id="414"/>
      <w:r>
        <w:rPr>
          <w:b w:val="0"/>
          <w:bCs w:val="0"/>
        </w:rPr>
      </w:r>
      <w:r>
        <w:rPr>
          <w:rFonts w:ascii="Times New Roman" w:hAnsi="Times New Roman" w:cs="Times New Roman" w:eastAsia="Times New Roman" w:hint="default"/>
        </w:rPr>
        <w:t>79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415"/>
      <w:bookmarkEnd w:id="41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85,018,535.92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31,051,012.66</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12,242,189.20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2,300,513.50</w:t>
            </w:r>
          </w:p>
        </w:tc>
      </w:tr>
      <w:tr>
        <w:trPr>
          <w:trHeight w:val="710"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w:t>
            </w:r>
            <w:r>
              <w:rPr>
                <w:rFonts w:ascii="宋体" w:hAnsi="宋体" w:cs="宋体" w:eastAsia="宋体" w:hint="default"/>
                <w:w w:val="101"/>
                <w:sz w:val="18"/>
                <w:szCs w:val="18"/>
              </w:rPr>
              <w:t> </w:t>
            </w:r>
            <w:r>
              <w:rPr>
                <w:rFonts w:ascii="宋体" w:hAnsi="宋体" w:cs="宋体" w:eastAsia="宋体" w:hint="default"/>
                <w:spacing w:val="-3"/>
                <w:sz w:val="18"/>
                <w:szCs w:val="18"/>
              </w:rPr>
              <w:t>生产性生物资产折旧</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23,238,507.56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22,183,660.44</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3,061,459.86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1,221,608.67</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2,238,136.64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1,099,000.00</w:t>
            </w: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长期资产的损失（收益以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232,223.39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648,732.03</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14,008,628.79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9,565,833.26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12"/>
        <w:rPr>
          <w:rFonts w:ascii="宋体" w:hAnsi="宋体" w:cs="宋体" w:eastAsia="宋体" w:hint="default"/>
          <w:sz w:val="27"/>
          <w:szCs w:val="27"/>
        </w:rPr>
      </w:pPr>
      <w:r>
        <w:rPr/>
        <w:pict>
          <v:group style="position:absolute;margin-left:223.300003pt;margin-top:163.36998pt;width:151.25pt;height:20.9pt;mso-position-horizontal-relative:page;mso-position-vertical-relative:page;z-index:-957040" coordorigin="4466,3267" coordsize="3025,418">
            <v:group style="position:absolute;left:4478;top:3279;width:2;height:394" coordorigin="4478,3279" coordsize="2,394">
              <v:shape style="position:absolute;left:4478;top:3279;width:2;height:394" coordorigin="4478,3279" coordsize="0,394" path="m4478,3279l4478,3673e" filled="false" stroked="true" strokeweight="1.2pt" strokecolor="#ffffff">
                <v:path arrowok="t"/>
              </v:shape>
            </v:group>
            <v:group style="position:absolute;left:4490;top:3279;width:3001;height:394" coordorigin="4490,3279" coordsize="3001,394">
              <v:shape style="position:absolute;left:4490;top:3279;width:3001;height:394" coordorigin="4490,3279" coordsize="3001,394" path="m4490,3673l7491,3673,7491,3279,4490,3279,4490,3673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6"/>
        <w:gridCol w:w="1085"/>
        <w:gridCol w:w="1983"/>
        <w:gridCol w:w="3183"/>
      </w:tblGrid>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6"/>
              <w:jc w:val="right"/>
              <w:rPr>
                <w:rFonts w:ascii="宋体" w:hAnsi="宋体" w:cs="宋体" w:eastAsia="宋体" w:hint="default"/>
                <w:sz w:val="18"/>
                <w:szCs w:val="18"/>
              </w:rPr>
            </w:pPr>
            <w:r>
              <w:rPr>
                <w:rFonts w:ascii="宋体" w:hAnsi="宋体" w:cs="宋体" w:eastAsia="宋体" w:hint="default"/>
                <w:spacing w:val="-2"/>
                <w:sz w:val="18"/>
                <w:szCs w:val="18"/>
              </w:rPr>
              <w:t>投资损失（收益以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2025" w:right="0"/>
              <w:jc w:val="left"/>
              <w:rPr>
                <w:rFonts w:ascii="Times New Roman" w:hAnsi="Times New Roman" w:cs="Times New Roman" w:eastAsia="Times New Roman" w:hint="default"/>
                <w:sz w:val="18"/>
                <w:szCs w:val="18"/>
              </w:rPr>
            </w:pPr>
            <w:r>
              <w:rPr>
                <w:rFonts w:ascii="Times New Roman"/>
                <w:sz w:val="18"/>
              </w:rPr>
              <w:t>-6,314,021.08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-5,774,558.30</w:t>
            </w:r>
          </w:p>
        </w:tc>
      </w:tr>
      <w:tr>
        <w:trPr>
          <w:trHeight w:val="711"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-707,924.71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-680,312.77</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-7,112.40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-5,513.46</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4"/>
              <w:jc w:val="right"/>
              <w:rPr>
                <w:rFonts w:ascii="宋体" w:hAnsi="宋体" w:cs="宋体" w:eastAsia="宋体" w:hint="default"/>
                <w:sz w:val="18"/>
                <w:szCs w:val="18"/>
              </w:rPr>
            </w:pPr>
            <w:r>
              <w:rPr>
                <w:rFonts w:ascii="宋体" w:hAnsi="宋体" w:cs="宋体" w:eastAsia="宋体" w:hint="default"/>
                <w:spacing w:val="-5"/>
                <w:sz w:val="18"/>
                <w:szCs w:val="18"/>
              </w:rPr>
              <w:t>存货的减少（增加以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1085" w:type="dxa"/>
            <w:tcBorders>
              <w:top w:val="single" w:sz="4" w:space="0" w:color="000000"/>
              <w:left w:val="single" w:sz="8" w:space="0" w:color="D2D2D2"/>
              <w:bottom w:val="single" w:sz="4" w:space="0" w:color="000000"/>
              <w:right w:val="nil" w:sz="6" w:space="0" w:color="auto"/>
            </w:tcBorders>
          </w:tcPr>
          <w:p>
            <w:pPr>
              <w:pStyle w:val="TableParagraph"/>
              <w:spacing w:line="240" w:lineRule="auto" w:before="53"/>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008" w:right="0"/>
              <w:jc w:val="left"/>
              <w:rPr>
                <w:rFonts w:ascii="Times New Roman" w:hAnsi="Times New Roman" w:cs="Times New Roman" w:eastAsia="Times New Roman" w:hint="default"/>
                <w:sz w:val="18"/>
                <w:szCs w:val="18"/>
              </w:rPr>
            </w:pPr>
            <w:r>
              <w:rPr>
                <w:rFonts w:ascii="Times New Roman"/>
                <w:sz w:val="18"/>
              </w:rPr>
              <w:t>9,021,943.31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11,448,619.91</w:t>
            </w: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843" w:right="0"/>
              <w:jc w:val="left"/>
              <w:rPr>
                <w:rFonts w:ascii="Times New Roman" w:hAnsi="Times New Roman" w:cs="Times New Roman" w:eastAsia="Times New Roman" w:hint="default"/>
                <w:sz w:val="18"/>
                <w:szCs w:val="18"/>
              </w:rPr>
            </w:pPr>
            <w:r>
              <w:rPr>
                <w:rFonts w:ascii="Times New Roman"/>
                <w:sz w:val="18"/>
              </w:rPr>
              <w:t>-164,479,095.96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-31,829,024.96</w:t>
            </w:r>
          </w:p>
        </w:tc>
      </w:tr>
      <w:tr>
        <w:trPr>
          <w:trHeight w:val="710"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05" w:right="0"/>
              <w:jc w:val="left"/>
              <w:rPr>
                <w:rFonts w:ascii="Times New Roman" w:hAnsi="Times New Roman" w:cs="Times New Roman" w:eastAsia="Times New Roman" w:hint="default"/>
                <w:sz w:val="18"/>
                <w:szCs w:val="18"/>
              </w:rPr>
            </w:pPr>
            <w:r>
              <w:rPr>
                <w:rFonts w:ascii="Times New Roman"/>
                <w:sz w:val="18"/>
              </w:rPr>
              <w:t>162,359,913.54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44,323,863.74</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19"/>
              <w:jc w:val="righ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left="1905" w:right="0"/>
              <w:jc w:val="left"/>
              <w:rPr>
                <w:rFonts w:ascii="Times New Roman" w:hAnsi="Times New Roman" w:cs="Times New Roman" w:eastAsia="Times New Roman" w:hint="default"/>
                <w:sz w:val="18"/>
                <w:szCs w:val="18"/>
              </w:rPr>
            </w:pPr>
            <w:r>
              <w:rPr>
                <w:rFonts w:ascii="Times New Roman"/>
                <w:sz w:val="18"/>
              </w:rPr>
              <w:t>139,913,384.06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85,553,434.72</w:t>
            </w:r>
          </w:p>
        </w:tc>
      </w:tr>
      <w:tr>
        <w:trPr>
          <w:trHeight w:val="163" w:hRule="exact"/>
        </w:trPr>
        <w:tc>
          <w:tcPr>
            <w:tcW w:w="3306"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53"/>
              <w:ind w:left="11" w:right="12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动：</w:t>
            </w:r>
          </w:p>
        </w:tc>
        <w:tc>
          <w:tcPr>
            <w:tcW w:w="30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3306" w:type="dxa"/>
            <w:vMerge/>
            <w:tcBorders>
              <w:left w:val="single" w:sz="4" w:space="0" w:color="000000"/>
              <w:right w:val="single" w:sz="4" w:space="0" w:color="000000"/>
            </w:tcBorders>
            <w:shd w:val="clear" w:color="auto" w:fill="D2D2D2"/>
          </w:tcPr>
          <w:p>
            <w:pPr/>
          </w:p>
        </w:tc>
        <w:tc>
          <w:tcPr>
            <w:tcW w:w="306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63" w:hRule="exact"/>
        </w:trPr>
        <w:tc>
          <w:tcPr>
            <w:tcW w:w="3306" w:type="dxa"/>
            <w:vMerge/>
            <w:tcBorders>
              <w:left w:val="single" w:sz="4" w:space="0" w:color="000000"/>
              <w:bottom w:val="single" w:sz="4" w:space="0" w:color="000000"/>
              <w:right w:val="single" w:sz="4" w:space="0" w:color="000000"/>
            </w:tcBorders>
            <w:shd w:val="clear" w:color="auto" w:fill="D2D2D2"/>
          </w:tcPr>
          <w:p>
            <w:pPr/>
          </w:p>
        </w:tc>
        <w:tc>
          <w:tcPr>
            <w:tcW w:w="30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05" w:right="0"/>
              <w:jc w:val="left"/>
              <w:rPr>
                <w:rFonts w:ascii="Times New Roman" w:hAnsi="Times New Roman" w:cs="Times New Roman" w:eastAsia="Times New Roman" w:hint="default"/>
                <w:sz w:val="18"/>
                <w:szCs w:val="18"/>
              </w:rPr>
            </w:pPr>
            <w:r>
              <w:rPr>
                <w:rFonts w:ascii="Times New Roman"/>
                <w:sz w:val="18"/>
              </w:rPr>
              <w:t>228,957,645.52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148,262,381.21</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left="1905" w:right="0"/>
              <w:jc w:val="left"/>
              <w:rPr>
                <w:rFonts w:ascii="Times New Roman" w:hAnsi="Times New Roman" w:cs="Times New Roman" w:eastAsia="Times New Roman" w:hint="default"/>
                <w:sz w:val="18"/>
                <w:szCs w:val="18"/>
              </w:rPr>
            </w:pPr>
            <w:r>
              <w:rPr>
                <w:rFonts w:ascii="Times New Roman"/>
                <w:sz w:val="18"/>
              </w:rPr>
              <w:t>148,262,381.21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132,774,482.64</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92" w:right="0"/>
              <w:jc w:val="left"/>
              <w:rPr>
                <w:rFonts w:ascii="Times New Roman" w:hAnsi="Times New Roman" w:cs="Times New Roman" w:eastAsia="Times New Roman" w:hint="default"/>
                <w:sz w:val="18"/>
                <w:szCs w:val="18"/>
              </w:rPr>
            </w:pPr>
            <w:r>
              <w:rPr>
                <w:rFonts w:ascii="Times New Roman"/>
                <w:sz w:val="18"/>
              </w:rPr>
              <w:t>80,695,264.31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15,487,898.57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本期支付的取得子公司的现金净额" w:id="416"/>
      <w:bookmarkEnd w:id="416"/>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977"/>
        <w:gridCol w:w="4581"/>
      </w:tblGrid>
      <w:tr>
        <w:trPr>
          <w:trHeight w:val="401"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本期发生的企业合并于本期支付的现金或现金等价物</w:t>
            </w:r>
          </w:p>
        </w:tc>
        <w:tc>
          <w:tcPr>
            <w:tcW w:w="45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70,153,221.41</w:t>
            </w:r>
          </w:p>
        </w:tc>
      </w:tr>
      <w:tr>
        <w:trPr>
          <w:trHeight w:val="403"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4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北京金印联国际供应链管理有限公司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77,468,600.00</w:t>
            </w:r>
          </w:p>
        </w:tc>
      </w:tr>
      <w:tr>
        <w:trPr>
          <w:trHeight w:val="399"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4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减：购买日子公司持有的现金及现金等价物</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7,315,378.59</w:t>
            </w:r>
          </w:p>
        </w:tc>
      </w:tr>
      <w:tr>
        <w:trPr>
          <w:trHeight w:val="403"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加：以前期间发生的企业合并于本期支付的现金或现金等价物</w:t>
            </w:r>
          </w:p>
        </w:tc>
        <w:tc>
          <w:tcPr>
            <w:tcW w:w="45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38,520,000.00</w:t>
            </w:r>
          </w:p>
        </w:tc>
      </w:tr>
      <w:tr>
        <w:trPr>
          <w:trHeight w:val="403"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9" w:hRule="exact"/>
        </w:trPr>
        <w:tc>
          <w:tcPr>
            <w:tcW w:w="4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霍尔果斯领凯网络科技有限公司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38,520,000.00</w:t>
            </w:r>
          </w:p>
        </w:tc>
      </w:tr>
      <w:tr>
        <w:trPr>
          <w:trHeight w:val="403"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取得子公司支付的现金净额</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108,673,221.41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收到的处置子公司的现金净额" w:id="417"/>
      <w:bookmarkEnd w:id="417"/>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宋体" w:hAnsi="宋体" w:cs="宋体" w:eastAsia="宋体" w:hint="default"/>
          <w:sz w:val="24"/>
          <w:szCs w:val="24"/>
        </w:rPr>
      </w:pPr>
    </w:p>
    <w:p>
      <w:pPr>
        <w:pStyle w:val="Heading3"/>
        <w:spacing w:line="240" w:lineRule="auto" w:before="36"/>
        <w:ind w:right="0"/>
        <w:jc w:val="left"/>
        <w:rPr>
          <w:b w:val="0"/>
          <w:bCs w:val="0"/>
        </w:rPr>
      </w:pPr>
      <w:bookmarkStart w:name="（4）现金和现金等价物的构成" w:id="418"/>
      <w:bookmarkEnd w:id="418"/>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228,957,645.52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148,262,381.21</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182,772.14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158,563.93</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214,760,194.28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140,345,804.29</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4"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可随时用于支付的其他货币资金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14,014,679.10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7,758,012.99</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228,957,645.52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148,262,381.21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80、所有者权益变动表项目注释" w:id="419"/>
      <w:bookmarkEnd w:id="419"/>
      <w:r>
        <w:rPr>
          <w:b w:val="0"/>
          <w:bCs w:val="0"/>
        </w:rPr>
      </w:r>
      <w:r>
        <w:rPr>
          <w:rFonts w:ascii="Times New Roman" w:hAnsi="Times New Roman" w:cs="Times New Roman" w:eastAsia="Times New Roman" w:hint="default"/>
        </w:rPr>
        <w:t>80</w:t>
      </w:r>
      <w:r>
        <w:rPr/>
        <w:t>、所有者权益变动表项目注释</w:t>
      </w:r>
      <w:r>
        <w:rPr>
          <w:b w:val="0"/>
          <w:bCs w:val="0"/>
        </w:rPr>
      </w:r>
    </w:p>
    <w:p>
      <w:pPr>
        <w:spacing w:line="240" w:lineRule="auto" w:before="10"/>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81、所有权或使用权受到限制的资产" w:id="420"/>
      <w:bookmarkEnd w:id="420"/>
      <w:r>
        <w:rPr>
          <w:b w:val="0"/>
          <w:bCs w:val="0"/>
        </w:rPr>
      </w:r>
      <w:r>
        <w:rPr>
          <w:rFonts w:ascii="Times New Roman" w:hAnsi="Times New Roman" w:cs="Times New Roman" w:eastAsia="Times New Roman" w:hint="default"/>
        </w:rPr>
        <w:t>81</w:t>
      </w:r>
      <w:r>
        <w:rPr/>
        <w:t>、所有权或使用权受到限制的资产</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3"/>
      </w:tblGrid>
      <w:tr>
        <w:trPr>
          <w:trHeight w:val="39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7,371,479.26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银行承兑汇票保证金</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18,608,450.48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应收账款抵押的保理产品</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10,914,551.51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固定资产抵押取得供应商账期额度</w:t>
            </w:r>
          </w:p>
        </w:tc>
      </w:tr>
      <w:tr>
        <w:trPr>
          <w:trHeight w:val="39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36,894,481.25</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6"/>
        <w:ind w:right="0"/>
        <w:jc w:val="left"/>
        <w:rPr>
          <w:b w:val="0"/>
          <w:bCs w:val="0"/>
        </w:rPr>
      </w:pPr>
      <w:bookmarkStart w:name="82、外币货币性项目" w:id="421"/>
      <w:bookmarkEnd w:id="421"/>
      <w:r>
        <w:rPr>
          <w:b w:val="0"/>
          <w:bCs w:val="0"/>
        </w:rPr>
      </w:r>
      <w:r>
        <w:rPr>
          <w:rFonts w:ascii="Times New Roman" w:hAnsi="Times New Roman" w:cs="Times New Roman" w:eastAsia="Times New Roman" w:hint="default"/>
        </w:rPr>
        <w:t>82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422"/>
      <w:bookmarkEnd w:id="42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3"/>
        <w:gridCol w:w="2307"/>
        <w:gridCol w:w="2387"/>
        <w:gridCol w:w="2391"/>
      </w:tblGrid>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9" w:right="0"/>
              <w:jc w:val="left"/>
              <w:rPr>
                <w:rFonts w:ascii="宋体" w:hAnsi="宋体" w:cs="宋体" w:eastAsia="宋体" w:hint="default"/>
                <w:sz w:val="18"/>
                <w:szCs w:val="18"/>
              </w:rPr>
            </w:pPr>
            <w:r>
              <w:rPr>
                <w:rFonts w:ascii="宋体" w:hAnsi="宋体" w:cs="宋体" w:eastAsia="宋体" w:hint="default"/>
                <w:spacing w:val="-3"/>
                <w:sz w:val="18"/>
                <w:szCs w:val="18"/>
              </w:rPr>
              <w:t>期末折算人民币余额</w:t>
            </w: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0" w:space="0" w:color="D2D2D2"/>
              <w:bottom w:val="single" w:sz="4" w:space="0" w:color="000000"/>
              <w:right w:val="single" w:sz="4" w:space="0" w:color="000000"/>
            </w:tcBorders>
          </w:tcPr>
          <w:p>
            <w:pPr/>
          </w:p>
        </w:tc>
      </w:tr>
      <w:tr>
        <w:trPr>
          <w:trHeight w:val="399"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24,562.65</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171,353.96</w:t>
            </w: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307"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307"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207,246.47</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1,445,792.83</w:t>
            </w: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2,113.22</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16,515.87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12"/>
        <w:rPr>
          <w:rFonts w:ascii="宋体" w:hAnsi="宋体" w:cs="宋体" w:eastAsia="宋体"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497"/>
        <w:gridCol w:w="2295"/>
        <w:gridCol w:w="2387"/>
        <w:gridCol w:w="2391"/>
      </w:tblGrid>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6"/>
              <w:jc w:val="center"/>
              <w:rPr>
                <w:rFonts w:ascii="宋体" w:hAnsi="宋体" w:cs="宋体" w:eastAsia="宋体" w:hint="default"/>
                <w:sz w:val="18"/>
                <w:szCs w:val="18"/>
              </w:rPr>
            </w:pPr>
            <w:r>
              <w:rPr>
                <w:rFonts w:ascii="宋体" w:hAnsi="宋体" w:cs="宋体" w:eastAsia="宋体" w:hint="default"/>
                <w:spacing w:val="-5"/>
                <w:sz w:val="18"/>
                <w:szCs w:val="18"/>
              </w:rPr>
              <w:t>日元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50" w:right="0"/>
              <w:jc w:val="left"/>
              <w:rPr>
                <w:rFonts w:ascii="Times New Roman" w:hAnsi="Times New Roman" w:cs="Times New Roman" w:eastAsia="Times New Roman" w:hint="default"/>
                <w:sz w:val="18"/>
                <w:szCs w:val="18"/>
              </w:rPr>
            </w:pPr>
            <w:r>
              <w:rPr>
                <w:rFonts w:ascii="Times New Roman"/>
                <w:sz w:val="18"/>
              </w:rPr>
              <w:t>173,932.00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0.0641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11,146.61</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3"/>
        <w:spacing w:line="254" w:lineRule="auto" w:before="36"/>
        <w:ind w:right="0"/>
        <w:jc w:val="left"/>
        <w:rPr>
          <w:b w:val="0"/>
          <w:bCs w:val="0"/>
        </w:rPr>
      </w:pPr>
      <w:bookmarkStart w:name="（2）境外经营实体说明，包括对于重要的境外经营实体，应披露其境外主要经营地、记账" w:id="423"/>
      <w:bookmarkEnd w:id="423"/>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6"/>
        </w:rPr>
        <w:t> </w:t>
      </w:r>
      <w:r>
        <w:rPr>
          <w:spacing w:val="-66"/>
        </w:rPr>
      </w:r>
      <w:r>
        <w:rPr/>
        <w:t>依据，记账本位币发生变化的还应披露原因。</w:t>
      </w:r>
      <w:r>
        <w:rPr>
          <w:b w:val="0"/>
          <w:bCs w:val="0"/>
        </w:rPr>
      </w:r>
    </w:p>
    <w:p>
      <w:pPr>
        <w:spacing w:line="240" w:lineRule="auto" w:before="5"/>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83、套期" w:id="424"/>
      <w:bookmarkEnd w:id="424"/>
      <w:r>
        <w:rPr>
          <w:b w:val="0"/>
          <w:bCs w:val="0"/>
        </w:rPr>
      </w:r>
      <w:r>
        <w:rPr>
          <w:rFonts w:ascii="Times New Roman" w:hAnsi="Times New Roman" w:cs="Times New Roman" w:eastAsia="Times New Roman" w:hint="default"/>
        </w:rPr>
        <w:t>83</w:t>
      </w:r>
      <w:r>
        <w:rPr/>
        <w:t>、套期</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84、政府补助" w:id="425"/>
      <w:bookmarkEnd w:id="425"/>
      <w:r>
        <w:rPr>
          <w:b w:val="0"/>
          <w:bCs w:val="0"/>
        </w:rPr>
      </w:r>
      <w:r>
        <w:rPr>
          <w:rFonts w:ascii="Times New Roman" w:hAnsi="Times New Roman" w:cs="Times New Roman" w:eastAsia="Times New Roman" w:hint="default"/>
        </w:rPr>
        <w:t>84</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426"/>
      <w:bookmarkEnd w:id="426"/>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计入当期损益的金额</w:t>
            </w:r>
          </w:p>
        </w:tc>
      </w:tr>
      <w:tr>
        <w:trPr>
          <w:trHeight w:val="10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因从事国家鼓励和扶持特定</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行业、产业而获得的补助（按</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国家级政策规定依法取得）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4" w:lineRule="auto"/>
              <w:ind w:left="23" w:right="11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第二届全市文化创意产业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十</w:t>
            </w:r>
            <w:r>
              <w:rPr>
                <w:rFonts w:ascii="宋体" w:hAnsi="宋体" w:cs="宋体" w:eastAsia="宋体" w:hint="default"/>
                <w:spacing w:val="-60"/>
                <w:sz w:val="18"/>
                <w:szCs w:val="18"/>
              </w:rPr>
              <w:t> </w:t>
            </w:r>
            <w:r>
              <w:rPr>
                <w:rFonts w:ascii="宋体" w:hAnsi="宋体" w:cs="宋体" w:eastAsia="宋体" w:hint="default"/>
                <w:sz w:val="18"/>
                <w:szCs w:val="18"/>
              </w:rPr>
              <w:t>佳企业、十佳人物</w:t>
            </w:r>
            <w:r>
              <w:rPr>
                <w:rFonts w:ascii="Times New Roman" w:hAnsi="Times New Roman" w:cs="Times New Roman" w:eastAsia="Times New Roman" w:hint="default"/>
                <w:sz w:val="18"/>
                <w:szCs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102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2"/>
              <w:jc w:val="left"/>
              <w:rPr>
                <w:rFonts w:ascii="宋体" w:hAnsi="宋体" w:cs="宋体" w:eastAsia="宋体" w:hint="default"/>
                <w:sz w:val="18"/>
                <w:szCs w:val="18"/>
              </w:rPr>
            </w:pPr>
            <w:r>
              <w:rPr>
                <w:rFonts w:ascii="宋体" w:hAnsi="宋体" w:cs="宋体" w:eastAsia="宋体" w:hint="default"/>
                <w:spacing w:val="-3"/>
                <w:sz w:val="18"/>
                <w:szCs w:val="18"/>
              </w:rPr>
              <w:t>因从事国家鼓励和扶持特定</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行业、产业而获得的补助（按</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国家级政策规定依法取得）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120,200.00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4"/>
              <w:ind w:left="23" w:right="147"/>
              <w:jc w:val="left"/>
              <w:rPr>
                <w:rFonts w:ascii="宋体" w:hAnsi="宋体" w:cs="宋体" w:eastAsia="宋体" w:hint="default"/>
                <w:sz w:val="18"/>
                <w:szCs w:val="18"/>
              </w:rPr>
            </w:pPr>
            <w:r>
              <w:rPr>
                <w:rFonts w:ascii="宋体" w:hAnsi="宋体" w:cs="宋体" w:eastAsia="宋体" w:hint="default"/>
                <w:spacing w:val="-3"/>
                <w:sz w:val="18"/>
                <w:szCs w:val="18"/>
              </w:rPr>
              <w:t>西安高新管委会关于落实</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年三次创业系列优惠政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策（第二批）补贴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120,200.00</w:t>
            </w:r>
          </w:p>
        </w:tc>
      </w:tr>
      <w:tr>
        <w:trPr>
          <w:trHeight w:val="102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因从事国家鼓励和扶持特定</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行业、产业而获得的补助（按</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国家级政策规定依法取得）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3"/>
              <w:ind w:left="23" w:right="12"/>
              <w:jc w:val="left"/>
              <w:rPr>
                <w:rFonts w:ascii="宋体" w:hAnsi="宋体" w:cs="宋体" w:eastAsia="宋体" w:hint="default"/>
                <w:sz w:val="18"/>
                <w:szCs w:val="18"/>
              </w:rPr>
            </w:pPr>
            <w:r>
              <w:rPr>
                <w:rFonts w:ascii="宋体" w:hAnsi="宋体" w:cs="宋体" w:eastAsia="宋体" w:hint="default"/>
                <w:spacing w:val="-6"/>
                <w:sz w:val="18"/>
                <w:szCs w:val="18"/>
              </w:rPr>
              <w:t>高新党发（</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60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号关于表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彰</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年度西安高新区突出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贡献企业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180,000.00</w:t>
            </w:r>
          </w:p>
        </w:tc>
      </w:tr>
      <w:tr>
        <w:trPr>
          <w:trHeight w:val="1027"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12"/>
              <w:jc w:val="left"/>
              <w:rPr>
                <w:rFonts w:ascii="宋体" w:hAnsi="宋体" w:cs="宋体" w:eastAsia="宋体" w:hint="default"/>
                <w:sz w:val="18"/>
                <w:szCs w:val="18"/>
              </w:rPr>
            </w:pPr>
            <w:r>
              <w:rPr>
                <w:rFonts w:ascii="宋体" w:hAnsi="宋体" w:cs="宋体" w:eastAsia="宋体" w:hint="default"/>
                <w:spacing w:val="-3"/>
                <w:sz w:val="18"/>
                <w:szCs w:val="18"/>
              </w:rPr>
              <w:t>因研究开发、技术更新及改造</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等获得的补助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1,855,000.00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47"/>
              <w:jc w:val="both"/>
              <w:rPr>
                <w:rFonts w:ascii="宋体" w:hAnsi="宋体" w:cs="宋体" w:eastAsia="宋体" w:hint="default"/>
                <w:sz w:val="18"/>
                <w:szCs w:val="18"/>
              </w:rPr>
            </w:pPr>
            <w:r>
              <w:rPr>
                <w:rFonts w:ascii="宋体" w:hAnsi="宋体" w:cs="宋体" w:eastAsia="宋体" w:hint="default"/>
                <w:sz w:val="18"/>
                <w:szCs w:val="18"/>
              </w:rPr>
              <w:t>西安市财政局关于拨付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年西安工业发展专项资金的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通知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231,875.00</w:t>
            </w:r>
          </w:p>
        </w:tc>
      </w:tr>
      <w:tr>
        <w:trPr>
          <w:trHeight w:val="102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24" w:right="12"/>
              <w:jc w:val="left"/>
              <w:rPr>
                <w:rFonts w:ascii="宋体" w:hAnsi="宋体" w:cs="宋体" w:eastAsia="宋体" w:hint="default"/>
                <w:sz w:val="18"/>
                <w:szCs w:val="18"/>
              </w:rPr>
            </w:pPr>
            <w:r>
              <w:rPr>
                <w:rFonts w:ascii="宋体" w:hAnsi="宋体" w:cs="宋体" w:eastAsia="宋体" w:hint="default"/>
                <w:spacing w:val="-3"/>
                <w:sz w:val="18"/>
                <w:szCs w:val="18"/>
              </w:rPr>
              <w:t>因研究开发、技术更新及改造</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等获得的补助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99"/>
              <w:jc w:val="left"/>
              <w:rPr>
                <w:rFonts w:ascii="宋体" w:hAnsi="宋体" w:cs="宋体" w:eastAsia="宋体" w:hint="default"/>
                <w:sz w:val="18"/>
                <w:szCs w:val="18"/>
              </w:rPr>
            </w:pPr>
            <w:r>
              <w:rPr>
                <w:rFonts w:ascii="宋体" w:hAnsi="宋体" w:cs="宋体" w:eastAsia="宋体" w:hint="default"/>
                <w:spacing w:val="-3"/>
                <w:sz w:val="18"/>
                <w:szCs w:val="18"/>
              </w:rPr>
              <w:t>天津市北辰区工业和信息化</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局奖励</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年度市级企业技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术中心认定企业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12"/>
        <w:rPr>
          <w:rFonts w:ascii="宋体" w:hAnsi="宋体" w:cs="宋体" w:eastAsia="宋体"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227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4" w:right="12"/>
              <w:jc w:val="left"/>
              <w:rPr>
                <w:rFonts w:ascii="宋体" w:hAnsi="宋体" w:cs="宋体" w:eastAsia="宋体" w:hint="default"/>
                <w:sz w:val="18"/>
                <w:szCs w:val="18"/>
              </w:rPr>
            </w:pPr>
            <w:r>
              <w:rPr>
                <w:rFonts w:ascii="宋体" w:hAnsi="宋体" w:cs="宋体" w:eastAsia="宋体" w:hint="default"/>
                <w:spacing w:val="-3"/>
                <w:sz w:val="18"/>
                <w:szCs w:val="18"/>
              </w:rPr>
              <w:t>因从事国家鼓励和扶持特定</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行业、产业而获得的补助（按</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国家级政策规定依法取得）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2,938,382.15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
              <w:jc w:val="left"/>
              <w:rPr>
                <w:rFonts w:ascii="宋体" w:hAnsi="宋体" w:cs="宋体" w:eastAsia="宋体" w:hint="default"/>
                <w:sz w:val="18"/>
                <w:szCs w:val="18"/>
              </w:rPr>
            </w:pPr>
            <w:r>
              <w:rPr>
                <w:rFonts w:ascii="宋体" w:hAnsi="宋体" w:cs="宋体" w:eastAsia="宋体" w:hint="default"/>
                <w:spacing w:val="-3"/>
                <w:sz w:val="18"/>
                <w:szCs w:val="18"/>
              </w:rPr>
              <w:t>《财政部、税务总局、海关总</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署关于深化增值税改革有关</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政策的公告》享受生产、生活</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性服务纳税人按照当期可抵</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扣进项税额的</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计提当期加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计抵减额的加计抵减政策优</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惠</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2,938,382.15</w:t>
            </w:r>
          </w:p>
        </w:tc>
      </w:tr>
      <w:tr>
        <w:trPr>
          <w:trHeight w:val="133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12"/>
              <w:jc w:val="left"/>
              <w:rPr>
                <w:rFonts w:ascii="宋体" w:hAnsi="宋体" w:cs="宋体" w:eastAsia="宋体" w:hint="default"/>
                <w:sz w:val="18"/>
                <w:szCs w:val="18"/>
              </w:rPr>
            </w:pPr>
            <w:r>
              <w:rPr>
                <w:rFonts w:ascii="宋体" w:hAnsi="宋体" w:cs="宋体" w:eastAsia="宋体" w:hint="default"/>
                <w:spacing w:val="-3"/>
                <w:sz w:val="18"/>
                <w:szCs w:val="18"/>
              </w:rPr>
              <w:t>因从事国家鼓励和扶持特定</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行业、产业而获得的补助（按</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国家级政策规定依法取得）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628,980.00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9"/>
              <w:jc w:val="left"/>
              <w:rPr>
                <w:rFonts w:ascii="宋体" w:hAnsi="宋体" w:cs="宋体" w:eastAsia="宋体" w:hint="default"/>
                <w:sz w:val="18"/>
                <w:szCs w:val="18"/>
              </w:rPr>
            </w:pPr>
            <w:r>
              <w:rPr>
                <w:rFonts w:ascii="宋体" w:hAnsi="宋体" w:cs="宋体" w:eastAsia="宋体" w:hint="default"/>
                <w:spacing w:val="-3"/>
                <w:sz w:val="18"/>
                <w:szCs w:val="18"/>
              </w:rPr>
              <w:t>金湖县戴楼镇人民政府签订</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9"/>
                <w:w w:val="101"/>
                <w:sz w:val="18"/>
                <w:szCs w:val="18"/>
              </w:rPr>
              <w:t>的《总部经济协议书》，本公</w:t>
            </w:r>
            <w:r>
              <w:rPr>
                <w:rFonts w:ascii="宋体" w:hAnsi="宋体" w:cs="宋体" w:eastAsia="宋体" w:hint="default"/>
                <w:w w:val="101"/>
                <w:sz w:val="18"/>
                <w:szCs w:val="18"/>
              </w:rPr>
              <w:t> </w:t>
            </w:r>
            <w:r>
              <w:rPr>
                <w:rFonts w:ascii="宋体" w:hAnsi="宋体" w:cs="宋体" w:eastAsia="宋体" w:hint="default"/>
                <w:spacing w:val="-3"/>
                <w:sz w:val="18"/>
                <w:szCs w:val="18"/>
              </w:rPr>
              <w:t>司之子公司霍尔果斯领凯收</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到税收优惠</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628,980.00</w:t>
            </w:r>
          </w:p>
        </w:tc>
      </w:tr>
      <w:tr>
        <w:trPr>
          <w:trHeight w:val="196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24" w:right="12"/>
              <w:jc w:val="left"/>
              <w:rPr>
                <w:rFonts w:ascii="宋体" w:hAnsi="宋体" w:cs="宋体" w:eastAsia="宋体" w:hint="default"/>
                <w:sz w:val="18"/>
                <w:szCs w:val="18"/>
              </w:rPr>
            </w:pPr>
            <w:r>
              <w:rPr>
                <w:rFonts w:ascii="宋体" w:hAnsi="宋体" w:cs="宋体" w:eastAsia="宋体" w:hint="default"/>
                <w:spacing w:val="-3"/>
                <w:sz w:val="18"/>
                <w:szCs w:val="18"/>
              </w:rPr>
              <w:t>因从事国家鼓励和扶持特定</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行业、产业而获得的补助（按</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国家级政策规定依法取得）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13"/>
              <w:jc w:val="left"/>
              <w:rPr>
                <w:rFonts w:ascii="宋体" w:hAnsi="宋体" w:cs="宋体" w:eastAsia="宋体" w:hint="default"/>
                <w:sz w:val="18"/>
                <w:szCs w:val="18"/>
              </w:rPr>
            </w:pPr>
            <w:r>
              <w:rPr>
                <w:rFonts w:ascii="宋体" w:hAnsi="宋体" w:cs="宋体" w:eastAsia="宋体" w:hint="default"/>
                <w:sz w:val="18"/>
                <w:szCs w:val="18"/>
              </w:rPr>
              <w:t>江苏省财政厅 江苏省科技厅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关于修订印发《江苏省高新技</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术企业培育资金管理办法（试</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9"/>
                <w:w w:val="101"/>
                <w:sz w:val="18"/>
                <w:szCs w:val="18"/>
              </w:rPr>
              <w:t>行）》的通知，本公司之子公</w:t>
            </w:r>
            <w:r>
              <w:rPr>
                <w:rFonts w:ascii="宋体" w:hAnsi="宋体" w:cs="宋体" w:eastAsia="宋体" w:hint="default"/>
                <w:w w:val="101"/>
                <w:sz w:val="18"/>
                <w:szCs w:val="18"/>
              </w:rPr>
              <w:t> </w:t>
            </w:r>
            <w:r>
              <w:rPr>
                <w:rFonts w:ascii="宋体" w:hAnsi="宋体" w:cs="宋体" w:eastAsia="宋体" w:hint="default"/>
                <w:spacing w:val="-3"/>
                <w:sz w:val="18"/>
                <w:szCs w:val="18"/>
              </w:rPr>
              <w:t>司霍尔果斯领凯收到高新技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术企业培育资金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102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因从事国家鼓励和扶持特定</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行业、产业而获得的补助（按</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国家级政策规定依法取得）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8,105.00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99"/>
              <w:jc w:val="left"/>
              <w:rPr>
                <w:rFonts w:ascii="宋体" w:hAnsi="宋体" w:cs="宋体" w:eastAsia="宋体" w:hint="default"/>
                <w:sz w:val="18"/>
                <w:szCs w:val="18"/>
              </w:rPr>
            </w:pPr>
            <w:r>
              <w:rPr>
                <w:rFonts w:ascii="宋体" w:hAnsi="宋体" w:cs="宋体" w:eastAsia="宋体" w:hint="default"/>
                <w:spacing w:val="-3"/>
                <w:sz w:val="18"/>
                <w:szCs w:val="18"/>
              </w:rPr>
              <w:t>《西安市人力资源和社会保</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障局关于做好</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稳岗补贴有关工作的通知》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8,105.00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政府补助退回情况" w:id="427"/>
      <w:bookmarkEnd w:id="427"/>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85、其他" w:id="428"/>
      <w:bookmarkEnd w:id="428"/>
      <w:r>
        <w:rPr>
          <w:b w:val="0"/>
          <w:bCs w:val="0"/>
        </w:rPr>
      </w:r>
      <w:r>
        <w:rPr>
          <w:rFonts w:ascii="Times New Roman" w:hAnsi="Times New Roman" w:cs="Times New Roman" w:eastAsia="Times New Roman" w:hint="default"/>
        </w:rPr>
        <w:t>85</w:t>
      </w:r>
      <w:r>
        <w:rPr/>
        <w:t>、其他</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八、合并范围的变更" w:id="429"/>
      <w:bookmarkEnd w:id="429"/>
      <w:r>
        <w:rPr>
          <w:b w:val="0"/>
          <w:bCs w:val="0"/>
        </w:rPr>
      </w:r>
      <w:r>
        <w:rPr/>
        <w:t>八、合并范围的变更</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非同一控制下企业合并" w:id="430"/>
      <w:bookmarkEnd w:id="430"/>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非同一控制下企业合并" w:id="431"/>
      <w:bookmarkEnd w:id="431"/>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037"/>
        <w:gridCol w:w="1042"/>
        <w:gridCol w:w="1181"/>
        <w:gridCol w:w="1042"/>
        <w:gridCol w:w="1042"/>
        <w:gridCol w:w="1042"/>
        <w:gridCol w:w="1037"/>
        <w:gridCol w:w="1181"/>
        <w:gridCol w:w="1095"/>
      </w:tblGrid>
      <w:tr>
        <w:trPr>
          <w:trHeight w:val="1027" w:hRule="exact"/>
        </w:trPr>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27" w:right="56" w:hanging="360"/>
              <w:jc w:val="left"/>
              <w:rPr>
                <w:rFonts w:ascii="宋体" w:hAnsi="宋体" w:cs="宋体" w:eastAsia="宋体" w:hint="default"/>
                <w:sz w:val="18"/>
                <w:szCs w:val="18"/>
              </w:rPr>
            </w:pPr>
            <w:r>
              <w:rPr>
                <w:rFonts w:ascii="宋体" w:hAnsi="宋体" w:cs="宋体" w:eastAsia="宋体" w:hint="default"/>
                <w:spacing w:val="-2"/>
                <w:sz w:val="18"/>
                <w:szCs w:val="18"/>
              </w:rPr>
              <w:t>被购买方名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称</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27" w:right="60" w:hanging="360"/>
              <w:jc w:val="left"/>
              <w:rPr>
                <w:rFonts w:ascii="宋体" w:hAnsi="宋体" w:cs="宋体" w:eastAsia="宋体" w:hint="default"/>
                <w:sz w:val="18"/>
                <w:szCs w:val="18"/>
              </w:rPr>
            </w:pPr>
            <w:r>
              <w:rPr>
                <w:rFonts w:ascii="宋体" w:hAnsi="宋体" w:cs="宋体" w:eastAsia="宋体" w:hint="default"/>
                <w:spacing w:val="-2"/>
                <w:sz w:val="18"/>
                <w:szCs w:val="18"/>
              </w:rPr>
              <w:t>股权取得时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点</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3"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27" w:right="60" w:hanging="360"/>
              <w:jc w:val="left"/>
              <w:rPr>
                <w:rFonts w:ascii="宋体" w:hAnsi="宋体" w:cs="宋体" w:eastAsia="宋体" w:hint="default"/>
                <w:sz w:val="18"/>
                <w:szCs w:val="18"/>
              </w:rPr>
            </w:pPr>
            <w:r>
              <w:rPr>
                <w:rFonts w:ascii="宋体" w:hAnsi="宋体" w:cs="宋体" w:eastAsia="宋体" w:hint="default"/>
                <w:spacing w:val="-2"/>
                <w:sz w:val="18"/>
                <w:szCs w:val="18"/>
              </w:rPr>
              <w:t>股权取得比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27" w:right="60" w:hanging="361"/>
              <w:jc w:val="left"/>
              <w:rPr>
                <w:rFonts w:ascii="宋体" w:hAnsi="宋体" w:cs="宋体" w:eastAsia="宋体" w:hint="default"/>
                <w:sz w:val="18"/>
                <w:szCs w:val="18"/>
              </w:rPr>
            </w:pPr>
            <w:r>
              <w:rPr>
                <w:rFonts w:ascii="宋体" w:hAnsi="宋体" w:cs="宋体" w:eastAsia="宋体" w:hint="default"/>
                <w:spacing w:val="-2"/>
                <w:sz w:val="18"/>
                <w:szCs w:val="18"/>
              </w:rPr>
              <w:t>股权取得方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4"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4" w:right="56" w:hanging="178"/>
              <w:jc w:val="left"/>
              <w:rPr>
                <w:rFonts w:ascii="宋体" w:hAnsi="宋体" w:cs="宋体" w:eastAsia="宋体" w:hint="default"/>
                <w:sz w:val="18"/>
                <w:szCs w:val="18"/>
              </w:rPr>
            </w:pPr>
            <w:r>
              <w:rPr>
                <w:rFonts w:ascii="宋体" w:hAnsi="宋体" w:cs="宋体" w:eastAsia="宋体" w:hint="default"/>
                <w:spacing w:val="-2"/>
                <w:sz w:val="18"/>
                <w:szCs w:val="18"/>
              </w:rPr>
              <w:t>购买日的确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定依据</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 w:right="41"/>
              <w:jc w:val="center"/>
              <w:rPr>
                <w:rFonts w:ascii="宋体" w:hAnsi="宋体" w:cs="宋体" w:eastAsia="宋体" w:hint="default"/>
                <w:sz w:val="18"/>
                <w:szCs w:val="18"/>
              </w:rPr>
            </w:pPr>
            <w:r>
              <w:rPr>
                <w:rFonts w:ascii="宋体" w:hAnsi="宋体" w:cs="宋体" w:eastAsia="宋体" w:hint="default"/>
                <w:spacing w:val="-2"/>
                <w:sz w:val="18"/>
                <w:szCs w:val="18"/>
              </w:rPr>
              <w:t>购买日至期末</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被购买方的收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入</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5" w:right="84"/>
              <w:jc w:val="both"/>
              <w:rPr>
                <w:rFonts w:ascii="宋体" w:hAnsi="宋体" w:cs="宋体" w:eastAsia="宋体" w:hint="default"/>
                <w:sz w:val="18"/>
                <w:szCs w:val="18"/>
              </w:rPr>
            </w:pPr>
            <w:r>
              <w:rPr>
                <w:rFonts w:ascii="宋体" w:hAnsi="宋体" w:cs="宋体" w:eastAsia="宋体" w:hint="default"/>
                <w:spacing w:val="-2"/>
                <w:sz w:val="18"/>
                <w:szCs w:val="18"/>
              </w:rPr>
              <w:t>购买日至期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末被购买方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的净利润</w:t>
            </w:r>
          </w:p>
        </w:tc>
      </w:tr>
      <w:tr>
        <w:trPr>
          <w:trHeight w:val="1335"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99"/>
              <w:jc w:val="both"/>
              <w:rPr>
                <w:rFonts w:ascii="宋体" w:hAnsi="宋体" w:cs="宋体" w:eastAsia="宋体" w:hint="default"/>
                <w:sz w:val="18"/>
                <w:szCs w:val="18"/>
              </w:rPr>
            </w:pPr>
            <w:r>
              <w:rPr>
                <w:rFonts w:ascii="宋体" w:hAnsi="宋体" w:cs="宋体" w:eastAsia="宋体" w:hint="default"/>
                <w:spacing w:val="-2"/>
                <w:sz w:val="18"/>
                <w:szCs w:val="18"/>
              </w:rPr>
              <w:t>北京金印联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国际供应链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管理有限公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121,607,900.00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70.00%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4" w:right="99"/>
              <w:jc w:val="left"/>
              <w:rPr>
                <w:rFonts w:ascii="宋体" w:hAnsi="宋体" w:cs="宋体" w:eastAsia="宋体" w:hint="default"/>
                <w:sz w:val="18"/>
                <w:szCs w:val="18"/>
              </w:rPr>
            </w:pPr>
            <w:r>
              <w:rPr>
                <w:rFonts w:ascii="宋体" w:hAnsi="宋体" w:cs="宋体" w:eastAsia="宋体" w:hint="default"/>
                <w:spacing w:val="-2"/>
                <w:sz w:val="18"/>
                <w:szCs w:val="18"/>
              </w:rPr>
              <w:t>工商变更登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记</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166,300,294.06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12,040,736.37</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5"/>
        <w:rPr>
          <w:rFonts w:ascii="宋体" w:hAnsi="宋体" w:cs="宋体" w:eastAsia="宋体" w:hint="default"/>
          <w:sz w:val="24"/>
          <w:szCs w:val="24"/>
        </w:rPr>
      </w:pPr>
    </w:p>
    <w:p>
      <w:pPr>
        <w:pStyle w:val="Heading3"/>
        <w:spacing w:line="240" w:lineRule="auto" w:before="36"/>
        <w:ind w:right="0"/>
        <w:jc w:val="left"/>
        <w:rPr>
          <w:b w:val="0"/>
          <w:bCs w:val="0"/>
        </w:rPr>
      </w:pPr>
      <w:bookmarkStart w:name="（2）合并成本及商誉" w:id="432"/>
      <w:bookmarkEnd w:id="432"/>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121,607,900.00</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121,607,900.00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减：取得的可辨认净资产公允价值份额</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49,416,145.24</w:t>
            </w:r>
          </w:p>
        </w:tc>
      </w:tr>
      <w:tr>
        <w:trPr>
          <w:trHeight w:val="716"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11" w:right="184"/>
              <w:jc w:val="left"/>
              <w:rPr>
                <w:rFonts w:ascii="宋体" w:hAnsi="宋体" w:cs="宋体" w:eastAsia="宋体" w:hint="default"/>
                <w:sz w:val="18"/>
                <w:szCs w:val="18"/>
              </w:rPr>
            </w:pPr>
            <w:r>
              <w:rPr>
                <w:rFonts w:ascii="宋体" w:hAnsi="宋体" w:cs="宋体" w:eastAsia="宋体" w:hint="default"/>
                <w:spacing w:val="-3"/>
                <w:sz w:val="18"/>
                <w:szCs w:val="18"/>
              </w:rPr>
              <w:t>商誉</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合并成本小于取得的可辨认净资产公允价值份额的金</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额</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72,191,754.76</w:t>
            </w:r>
          </w:p>
        </w:tc>
      </w:tr>
    </w:tbl>
    <w:p>
      <w:pPr>
        <w:spacing w:line="362" w:lineRule="auto" w:before="53"/>
        <w:ind w:left="153" w:right="6054" w:firstLine="0"/>
        <w:jc w:val="left"/>
        <w:rPr>
          <w:rFonts w:ascii="宋体" w:hAnsi="宋体" w:cs="宋体" w:eastAsia="宋体" w:hint="default"/>
          <w:sz w:val="18"/>
          <w:szCs w:val="18"/>
        </w:rPr>
      </w:pPr>
      <w:r>
        <w:rPr>
          <w:rFonts w:ascii="宋体" w:hAnsi="宋体" w:cs="宋体" w:eastAsia="宋体" w:hint="default"/>
          <w:spacing w:val="-3"/>
          <w:sz w:val="18"/>
          <w:szCs w:val="18"/>
        </w:rPr>
        <w:t>合并成本公允价值的确定方法、或有对价及其变动的说明：</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大额商誉形成的主要原因：</w:t>
      </w:r>
    </w:p>
    <w:p>
      <w:pPr>
        <w:pStyle w:val="BodyText"/>
        <w:spacing w:line="295" w:lineRule="auto" w:before="17"/>
        <w:ind w:right="1127" w:firstLine="422"/>
        <w:jc w:val="both"/>
      </w:pPr>
      <w:r>
        <w:rPr/>
        <w:t>依据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日召开的第四届董事会第十六次会议，审议通过《关于公司收购北京金印联国际供</w:t>
      </w:r>
      <w:r>
        <w:rPr>
          <w:w w:val="100"/>
        </w:rPr>
        <w:t> </w:t>
      </w:r>
      <w:r>
        <w:rPr>
          <w:spacing w:val="-1"/>
        </w:rPr>
        <w:t>应链管理有限公司</w:t>
      </w:r>
      <w:r>
        <w:rPr>
          <w:rFonts w:ascii="Times New Roman" w:hAnsi="Times New Roman" w:cs="Times New Roman" w:eastAsia="Times New Roman" w:hint="default"/>
          <w:spacing w:val="-1"/>
        </w:rPr>
        <w:t>70%</w:t>
      </w:r>
      <w:r>
        <w:rPr>
          <w:spacing w:val="-1"/>
        </w:rPr>
        <w:t>股权的议案》以及《股权转让协议》，本公司本年以人民币</w:t>
      </w:r>
      <w:r>
        <w:rPr>
          <w:rFonts w:ascii="Times New Roman" w:hAnsi="Times New Roman" w:cs="Times New Roman" w:eastAsia="Times New Roman" w:hint="default"/>
          <w:spacing w:val="-1"/>
        </w:rPr>
        <w:t>12,160.79</w:t>
      </w:r>
      <w:r>
        <w:rPr>
          <w:spacing w:val="-1"/>
        </w:rPr>
        <w:t>万元收购北京</w:t>
      </w:r>
      <w:r>
        <w:rPr>
          <w:spacing w:val="-39"/>
        </w:rPr>
        <w:t> </w:t>
      </w:r>
      <w:r>
        <w:rPr>
          <w:spacing w:val="-39"/>
        </w:rPr>
      </w:r>
      <w:r>
        <w:rPr>
          <w:spacing w:val="5"/>
        </w:rPr>
        <w:t>金印联国际供应链管理有限公司</w:t>
      </w:r>
      <w:r>
        <w:rPr>
          <w:rFonts w:ascii="Times New Roman" w:hAnsi="Times New Roman" w:cs="Times New Roman" w:eastAsia="Times New Roman" w:hint="default"/>
          <w:spacing w:val="5"/>
        </w:rPr>
        <w:t>70%</w:t>
      </w:r>
      <w:r>
        <w:rPr>
          <w:spacing w:val="5"/>
        </w:rPr>
        <w:t>股权</w:t>
      </w:r>
      <w:r>
        <w:rPr>
          <w:rFonts w:ascii="Times New Roman" w:hAnsi="Times New Roman" w:cs="Times New Roman" w:eastAsia="Times New Roman" w:hint="default"/>
          <w:spacing w:val="5"/>
        </w:rPr>
        <w:t>,</w:t>
      </w:r>
      <w:r>
        <w:rPr>
          <w:spacing w:val="5"/>
        </w:rPr>
        <w:t>收购价格与北京金印联账面净资产公允价值的差额确认商誉</w:t>
      </w:r>
      <w:r>
        <w:rPr>
          <w:spacing w:val="25"/>
        </w:rPr>
        <w:t> </w:t>
      </w:r>
      <w:r>
        <w:rPr>
          <w:spacing w:val="25"/>
        </w:rPr>
      </w:r>
      <w:r>
        <w:rPr>
          <w:rFonts w:ascii="Times New Roman" w:hAnsi="Times New Roman" w:cs="Times New Roman" w:eastAsia="Times New Roman" w:hint="default"/>
        </w:rPr>
        <w:t>72,191,754.76</w:t>
      </w:r>
      <w:r>
        <w:rPr/>
        <w:t>元。</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3）被购买方于购买日可辨认资产、负债" w:id="433"/>
      <w:bookmarkEnd w:id="433"/>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9"/>
        <w:gridCol w:w="3201"/>
        <w:gridCol w:w="3193"/>
      </w:tblGrid>
      <w:tr>
        <w:trPr>
          <w:trHeight w:val="398"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72" w:right="0"/>
              <w:jc w:val="left"/>
              <w:rPr>
                <w:rFonts w:ascii="宋体" w:hAnsi="宋体" w:cs="宋体" w:eastAsia="宋体" w:hint="default"/>
                <w:sz w:val="18"/>
                <w:szCs w:val="18"/>
              </w:rPr>
            </w:pPr>
            <w:r>
              <w:rPr>
                <w:rFonts w:ascii="宋体" w:hAnsi="宋体" w:cs="宋体" w:eastAsia="宋体" w:hint="default"/>
                <w:spacing w:val="-3"/>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购买日账面价值</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13,669,771.62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13,669,771.62</w:t>
            </w:r>
          </w:p>
        </w:tc>
      </w:tr>
      <w:tr>
        <w:trPr>
          <w:trHeight w:val="404"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73,126,028.05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73,126,028.05</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43,092,668.15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39,059,161.53</w:t>
            </w:r>
          </w:p>
        </w:tc>
      </w:tr>
      <w:tr>
        <w:trPr>
          <w:trHeight w:val="398"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16,076,987.26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6,035,815.87</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625,860.66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348,551.37</w:t>
            </w:r>
          </w:p>
        </w:tc>
      </w:tr>
      <w:tr>
        <w:trPr>
          <w:trHeight w:val="404"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60,588,121.80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60,588,121.80</w:t>
            </w:r>
          </w:p>
        </w:tc>
      </w:tr>
      <w:tr>
        <w:trPr>
          <w:trHeight w:val="398"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70,594,493.20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56,605,074.78</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49,416,145.24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39,877,350.56</w:t>
            </w:r>
          </w:p>
        </w:tc>
      </w:tr>
    </w:tbl>
    <w:p>
      <w:pPr>
        <w:spacing w:line="360" w:lineRule="auto" w:before="53"/>
        <w:ind w:left="153" w:right="7523" w:firstLine="0"/>
        <w:jc w:val="both"/>
        <w:rPr>
          <w:rFonts w:ascii="宋体" w:hAnsi="宋体" w:cs="宋体" w:eastAsia="宋体" w:hint="default"/>
          <w:sz w:val="18"/>
          <w:szCs w:val="18"/>
        </w:rPr>
      </w:pPr>
      <w:r>
        <w:rPr>
          <w:rFonts w:ascii="宋体" w:hAnsi="宋体" w:cs="宋体" w:eastAsia="宋体" w:hint="default"/>
          <w:spacing w:val="-3"/>
          <w:sz w:val="18"/>
          <w:szCs w:val="18"/>
        </w:rPr>
        <w:t>可辨认资产、负债公允价值的确定方法：</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企业合并中承担的被购买方的或有负债：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其他说明：</w:t>
      </w:r>
    </w:p>
    <w:p>
      <w:pPr>
        <w:spacing w:line="240" w:lineRule="auto" w:before="5"/>
        <w:rPr>
          <w:rFonts w:ascii="宋体" w:hAnsi="宋体" w:cs="宋体" w:eastAsia="宋体" w:hint="default"/>
          <w:sz w:val="19"/>
          <w:szCs w:val="19"/>
        </w:rPr>
      </w:pPr>
    </w:p>
    <w:p>
      <w:pPr>
        <w:pStyle w:val="Heading3"/>
        <w:spacing w:line="240" w:lineRule="auto"/>
        <w:ind w:right="0"/>
        <w:jc w:val="both"/>
        <w:rPr>
          <w:b w:val="0"/>
          <w:bCs w:val="0"/>
        </w:rPr>
      </w:pPr>
      <w:bookmarkStart w:name="（4）购买日之前持有的股权按照公允价值重新计量产生的利得或损失" w:id="434"/>
      <w:bookmarkEnd w:id="434"/>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是否存在通过多次交易分步实现企业合并且在报告期内取得控制权的交易</w:t>
      </w:r>
    </w:p>
    <w:p>
      <w:pPr>
        <w:spacing w:before="119"/>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both"/>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宋体" w:hAnsi="宋体" w:cs="宋体" w:eastAsia="宋体" w:hint="default"/>
          <w:sz w:val="24"/>
          <w:szCs w:val="24"/>
        </w:rPr>
      </w:pPr>
    </w:p>
    <w:p>
      <w:pPr>
        <w:pStyle w:val="Heading3"/>
        <w:spacing w:line="240" w:lineRule="auto" w:before="36"/>
        <w:ind w:right="0"/>
        <w:jc w:val="left"/>
        <w:rPr>
          <w:b w:val="0"/>
          <w:bCs w:val="0"/>
        </w:rPr>
      </w:pPr>
      <w:bookmarkStart w:name="（5）购买日或合并当期期末无法合理确定合并对价或被购买方可辨认资产、负债公允价值" w:id="435"/>
      <w:bookmarkEnd w:id="435"/>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6）其他说明" w:id="436"/>
      <w:bookmarkEnd w:id="436"/>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同一控制下企业合并" w:id="437"/>
      <w:bookmarkEnd w:id="437"/>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438"/>
      <w:bookmarkEnd w:id="438"/>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2）合并成本" w:id="439"/>
      <w:bookmarkEnd w:id="439"/>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3）合并日被合并方资产、负债的账面价值" w:id="440"/>
      <w:bookmarkEnd w:id="440"/>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反向购买" w:id="441"/>
      <w:bookmarkEnd w:id="441"/>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4、处置子公司" w:id="442"/>
      <w:bookmarkEnd w:id="442"/>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是否存在单次处置对子公司投资即丧失控制权的情形</w:t>
      </w:r>
    </w:p>
    <w:p>
      <w:pPr>
        <w:spacing w:line="343" w:lineRule="auto" w:before="115"/>
        <w:ind w:left="153" w:right="43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是否存在通过多次交易分步处置对子公司投资且在本期丧失控制权的情形</w:t>
      </w:r>
    </w:p>
    <w:p>
      <w:pPr>
        <w:spacing w:before="3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5、其他原因的合并范围变动" w:id="443"/>
      <w:bookmarkEnd w:id="443"/>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6、其他" w:id="444"/>
      <w:bookmarkEnd w:id="444"/>
      <w:r>
        <w:rPr>
          <w:b w:val="0"/>
          <w:bCs w:val="0"/>
        </w:rPr>
      </w:r>
      <w:r>
        <w:rPr>
          <w:rFonts w:ascii="Times New Roman" w:hAnsi="Times New Roman" w:cs="Times New Roman" w:eastAsia="Times New Roman" w:hint="default"/>
        </w:rPr>
        <w:t>6</w:t>
      </w:r>
      <w:r>
        <w:rPr/>
        <w:t>、其他</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6"/>
        <w:rPr>
          <w:rFonts w:ascii="宋体" w:hAnsi="宋体" w:cs="宋体" w:eastAsia="宋体" w:hint="default"/>
          <w:sz w:val="22"/>
          <w:szCs w:val="22"/>
        </w:rPr>
      </w:pPr>
    </w:p>
    <w:p>
      <w:pPr>
        <w:pStyle w:val="Heading2"/>
        <w:spacing w:line="240" w:lineRule="auto" w:before="26"/>
        <w:ind w:right="0"/>
        <w:jc w:val="left"/>
        <w:rPr>
          <w:b w:val="0"/>
          <w:bCs w:val="0"/>
        </w:rPr>
      </w:pPr>
      <w:bookmarkStart w:name="九、在其他主体中的权益" w:id="445"/>
      <w:bookmarkEnd w:id="445"/>
      <w:r>
        <w:rPr>
          <w:b w:val="0"/>
          <w:bCs w:val="0"/>
        </w:rPr>
      </w:r>
      <w:r>
        <w:rPr/>
        <w:t>九、在其他主体中的权益</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在子公司中的权益" w:id="446"/>
      <w:bookmarkEnd w:id="446"/>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447"/>
      <w:bookmarkEnd w:id="447"/>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403"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陕西永鑫纸业包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装有限公司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65"/>
              <w:jc w:val="left"/>
              <w:rPr>
                <w:rFonts w:ascii="宋体" w:hAnsi="宋体" w:cs="宋体" w:eastAsia="宋体" w:hint="default"/>
                <w:sz w:val="18"/>
                <w:szCs w:val="18"/>
              </w:rPr>
            </w:pPr>
            <w:r>
              <w:rPr>
                <w:rFonts w:ascii="宋体" w:hAnsi="宋体" w:cs="宋体" w:eastAsia="宋体" w:hint="default"/>
                <w:spacing w:val="-3"/>
                <w:sz w:val="18"/>
                <w:szCs w:val="18"/>
              </w:rPr>
              <w:t>陕西省西安市临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潼区经济开发区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70"/>
              <w:jc w:val="left"/>
              <w:rPr>
                <w:rFonts w:ascii="宋体" w:hAnsi="宋体" w:cs="宋体" w:eastAsia="宋体" w:hint="default"/>
                <w:sz w:val="18"/>
                <w:szCs w:val="18"/>
              </w:rPr>
            </w:pPr>
            <w:r>
              <w:rPr>
                <w:rFonts w:ascii="宋体" w:hAnsi="宋体" w:cs="宋体" w:eastAsia="宋体" w:hint="default"/>
                <w:spacing w:val="-3"/>
                <w:sz w:val="18"/>
                <w:szCs w:val="18"/>
              </w:rPr>
              <w:t>陕西省西安市临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潼区经济开发区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生产企业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直接出资取得</w:t>
            </w:r>
          </w:p>
        </w:tc>
      </w:tr>
      <w:tr>
        <w:trPr>
          <w:trHeight w:val="102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pacing w:val="-3"/>
                <w:sz w:val="18"/>
                <w:szCs w:val="18"/>
              </w:rPr>
              <w:t>西安易诺和创科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技发展有限公司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2"/>
              <w:jc w:val="both"/>
              <w:rPr>
                <w:rFonts w:ascii="宋体" w:hAnsi="宋体" w:cs="宋体" w:eastAsia="宋体" w:hint="default"/>
                <w:sz w:val="18"/>
                <w:szCs w:val="18"/>
              </w:rPr>
            </w:pPr>
            <w:r>
              <w:rPr>
                <w:rFonts w:ascii="宋体" w:hAnsi="宋体" w:cs="宋体" w:eastAsia="宋体" w:hint="default"/>
                <w:spacing w:val="-3"/>
                <w:sz w:val="18"/>
                <w:szCs w:val="18"/>
              </w:rPr>
              <w:t>西安市高新区科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技一路</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号西安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医药园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7"/>
              <w:jc w:val="both"/>
              <w:rPr>
                <w:rFonts w:ascii="宋体" w:hAnsi="宋体" w:cs="宋体" w:eastAsia="宋体" w:hint="default"/>
                <w:sz w:val="18"/>
                <w:szCs w:val="18"/>
              </w:rPr>
            </w:pPr>
            <w:r>
              <w:rPr>
                <w:rFonts w:ascii="宋体" w:hAnsi="宋体" w:cs="宋体" w:eastAsia="宋体" w:hint="default"/>
                <w:spacing w:val="-3"/>
                <w:sz w:val="18"/>
                <w:szCs w:val="18"/>
              </w:rPr>
              <w:t>西安市高新区科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技一路</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号西安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医药园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生产企业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直接出资取得</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pacing w:val="-3"/>
                <w:sz w:val="18"/>
                <w:szCs w:val="18"/>
              </w:rPr>
              <w:t>天津滨海环球印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务有限公司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65"/>
              <w:jc w:val="both"/>
              <w:rPr>
                <w:rFonts w:ascii="宋体" w:hAnsi="宋体" w:cs="宋体" w:eastAsia="宋体" w:hint="default"/>
                <w:sz w:val="18"/>
                <w:szCs w:val="18"/>
              </w:rPr>
            </w:pPr>
            <w:r>
              <w:rPr>
                <w:rFonts w:ascii="宋体" w:hAnsi="宋体" w:cs="宋体" w:eastAsia="宋体" w:hint="default"/>
                <w:spacing w:val="-3"/>
                <w:sz w:val="18"/>
                <w:szCs w:val="18"/>
              </w:rPr>
              <w:t>天津市北辰区天</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津医药医疗器械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工业园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70"/>
              <w:jc w:val="both"/>
              <w:rPr>
                <w:rFonts w:ascii="宋体" w:hAnsi="宋体" w:cs="宋体" w:eastAsia="宋体" w:hint="default"/>
                <w:sz w:val="18"/>
                <w:szCs w:val="18"/>
              </w:rPr>
            </w:pPr>
            <w:r>
              <w:rPr>
                <w:rFonts w:ascii="宋体" w:hAnsi="宋体" w:cs="宋体" w:eastAsia="宋体" w:hint="default"/>
                <w:spacing w:val="-3"/>
                <w:sz w:val="18"/>
                <w:szCs w:val="18"/>
              </w:rPr>
              <w:t>天津市北辰区天</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津医药医疗器械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工业园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生产企业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869" w:right="0"/>
              <w:jc w:val="left"/>
              <w:rPr>
                <w:rFonts w:ascii="Times New Roman" w:hAnsi="Times New Roman" w:cs="Times New Roman" w:eastAsia="Times New Roman" w:hint="default"/>
                <w:sz w:val="18"/>
                <w:szCs w:val="18"/>
              </w:rPr>
            </w:pPr>
            <w:r>
              <w:rPr>
                <w:rFonts w:ascii="Times New Roman"/>
                <w:sz w:val="18"/>
              </w:rPr>
              <w:t>1.75%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直接出资取得</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霍尔果斯领凯网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络科技有限公司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65"/>
              <w:jc w:val="left"/>
              <w:rPr>
                <w:rFonts w:ascii="宋体" w:hAnsi="宋体" w:cs="宋体" w:eastAsia="宋体" w:hint="default"/>
                <w:sz w:val="18"/>
                <w:szCs w:val="18"/>
              </w:rPr>
            </w:pPr>
            <w:r>
              <w:rPr>
                <w:rFonts w:ascii="宋体" w:hAnsi="宋体" w:cs="宋体" w:eastAsia="宋体" w:hint="default"/>
                <w:spacing w:val="-3"/>
                <w:sz w:val="18"/>
                <w:szCs w:val="18"/>
              </w:rPr>
              <w:t>新疆伊犁州霍尔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果斯经济开发区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新疆伊犁州霍尔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果斯经济开发区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直接出资取得</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北京金印联国际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供应链管理有限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供应链管理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直接出资取得</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重要的非全资子公司" w:id="448"/>
      <w:bookmarkEnd w:id="448"/>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43"/>
        <w:gridCol w:w="889"/>
        <w:gridCol w:w="1916"/>
        <w:gridCol w:w="1911"/>
        <w:gridCol w:w="1916"/>
      </w:tblGrid>
      <w:tr>
        <w:trPr>
          <w:trHeight w:val="76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2"/>
              <w:ind w:left="76" w:right="75"/>
              <w:jc w:val="left"/>
              <w:rPr>
                <w:rFonts w:ascii="宋体" w:hAnsi="宋体" w:cs="宋体" w:eastAsia="宋体" w:hint="default"/>
                <w:sz w:val="18"/>
                <w:szCs w:val="18"/>
              </w:rPr>
            </w:pPr>
            <w:r>
              <w:rPr>
                <w:rFonts w:ascii="宋体" w:hAnsi="宋体" w:cs="宋体" w:eastAsia="宋体" w:hint="default"/>
                <w:sz w:val="18"/>
                <w:szCs w:val="18"/>
              </w:rPr>
              <w:t>少数股东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2"/>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本期归属于少数股东的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损益</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2"/>
              <w:ind w:left="590" w:right="41" w:hanging="538"/>
              <w:jc w:val="left"/>
              <w:rPr>
                <w:rFonts w:ascii="宋体" w:hAnsi="宋体" w:cs="宋体" w:eastAsia="宋体" w:hint="default"/>
                <w:sz w:val="18"/>
                <w:szCs w:val="18"/>
              </w:rPr>
            </w:pPr>
            <w:r>
              <w:rPr>
                <w:rFonts w:ascii="宋体" w:hAnsi="宋体" w:cs="宋体" w:eastAsia="宋体" w:hint="default"/>
                <w:spacing w:val="-2"/>
                <w:sz w:val="18"/>
                <w:szCs w:val="18"/>
              </w:rPr>
              <w:t>本期向少数股东宣告分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pacing w:val="-2"/>
                <w:sz w:val="18"/>
                <w:szCs w:val="18"/>
              </w:rPr>
              <w:t>期末少数股东权益余额</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陕西永鑫纸业包装有限公司</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1,322,972.40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12,356,908.73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天津滨海环球印务有限公司</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100,728.99</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1,546,447.71</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霍尔果斯领凯网络科技有限公司</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13,420,169.26</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23,071,496.93</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北京金印联国际供应链管理有限公司</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3,612,220.91</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26,090,750.16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3"/>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75pt;height:.75pt;mso-position-horizontal-relative:char;mso-position-vertical-relative:line" coordorigin="0,0" coordsize="14035,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0"/>
        <w:jc w:val="left"/>
        <w:rPr>
          <w:b w:val="0"/>
          <w:bCs w:val="0"/>
        </w:rPr>
      </w:pPr>
      <w:bookmarkStart w:name="（3）重要非全资子公司的主要财务信息" w:id="449"/>
      <w:bookmarkEnd w:id="449"/>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7"/>
        <w:rPr>
          <w:rFonts w:ascii="宋体" w:hAnsi="宋体" w:cs="宋体" w:eastAsia="宋体" w:hint="default"/>
          <w:b/>
          <w:bCs/>
          <w:sz w:val="23"/>
          <w:szCs w:val="23"/>
        </w:rPr>
      </w:pPr>
    </w:p>
    <w:p>
      <w:pPr>
        <w:spacing w:before="46"/>
        <w:ind w:left="0" w:right="24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811"/>
        <w:gridCol w:w="1186"/>
        <w:gridCol w:w="1186"/>
        <w:gridCol w:w="1186"/>
        <w:gridCol w:w="1186"/>
        <w:gridCol w:w="1004"/>
        <w:gridCol w:w="1195"/>
        <w:gridCol w:w="1095"/>
        <w:gridCol w:w="1186"/>
        <w:gridCol w:w="1181"/>
        <w:gridCol w:w="1095"/>
        <w:gridCol w:w="610"/>
        <w:gridCol w:w="1099"/>
      </w:tblGrid>
      <w:tr>
        <w:trPr>
          <w:trHeight w:val="403" w:hRule="exact"/>
        </w:trPr>
        <w:tc>
          <w:tcPr>
            <w:tcW w:w="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21" w:lineRule="auto"/>
              <w:ind w:left="311" w:right="36" w:hanging="274"/>
              <w:jc w:val="left"/>
              <w:rPr>
                <w:rFonts w:ascii="宋体" w:hAnsi="宋体" w:cs="宋体" w:eastAsia="宋体" w:hint="default"/>
                <w:sz w:val="18"/>
                <w:szCs w:val="18"/>
              </w:rPr>
            </w:pPr>
            <w:r>
              <w:rPr>
                <w:rFonts w:ascii="宋体" w:hAnsi="宋体" w:cs="宋体" w:eastAsia="宋体" w:hint="default"/>
                <w:sz w:val="18"/>
                <w:szCs w:val="18"/>
              </w:rPr>
              <w:t>子公司名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称</w:t>
            </w:r>
          </w:p>
        </w:tc>
        <w:tc>
          <w:tcPr>
            <w:tcW w:w="694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2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6" w:hRule="exact"/>
        </w:trPr>
        <w:tc>
          <w:tcPr>
            <w:tcW w:w="811" w:type="dxa"/>
            <w:vMerge/>
            <w:tcBorders>
              <w:left w:val="single" w:sz="4" w:space="0" w:color="000000"/>
              <w:bottom w:val="single" w:sz="4" w:space="0" w:color="000000"/>
              <w:right w:val="single" w:sz="4" w:space="0" w:color="000000"/>
            </w:tcBorders>
            <w:shd w:val="clear" w:color="auto" w:fill="D2D2D2"/>
          </w:tcPr>
          <w:p>
            <w:pP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pacing w:val="-2"/>
                <w:sz w:val="18"/>
                <w:szCs w:val="18"/>
              </w:rPr>
              <w:t>非流动负债</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20" w:right="22"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r>
      <w:tr>
        <w:trPr>
          <w:trHeight w:val="1027"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50"/>
              <w:jc w:val="both"/>
              <w:rPr>
                <w:rFonts w:ascii="宋体" w:hAnsi="宋体" w:cs="宋体" w:eastAsia="宋体" w:hint="default"/>
                <w:sz w:val="18"/>
                <w:szCs w:val="18"/>
              </w:rPr>
            </w:pPr>
            <w:r>
              <w:rPr>
                <w:rFonts w:ascii="宋体" w:hAnsi="宋体" w:cs="宋体" w:eastAsia="宋体" w:hint="default"/>
                <w:sz w:val="18"/>
                <w:szCs w:val="18"/>
              </w:rPr>
              <w:t>陕西永鑫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纸业包装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48,630,164.87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36,183,846.79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84,814,011.66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41,914,190.86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1,710,125.00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43,624,315.86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36,462,909.38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33,683,999.62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70,146,909.00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33,251,121.21</w:t>
            </w:r>
          </w:p>
        </w:tc>
        <w:tc>
          <w:tcPr>
            <w:tcW w:w="610"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33,367,121.21</w:t>
            </w:r>
          </w:p>
        </w:tc>
      </w:tr>
      <w:tr>
        <w:trPr>
          <w:trHeight w:val="1023"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50"/>
              <w:jc w:val="both"/>
              <w:rPr>
                <w:rFonts w:ascii="宋体" w:hAnsi="宋体" w:cs="宋体" w:eastAsia="宋体" w:hint="default"/>
                <w:sz w:val="18"/>
                <w:szCs w:val="18"/>
              </w:rPr>
            </w:pPr>
            <w:r>
              <w:rPr>
                <w:rFonts w:ascii="宋体" w:hAnsi="宋体" w:cs="宋体" w:eastAsia="宋体" w:hint="default"/>
                <w:sz w:val="18"/>
                <w:szCs w:val="18"/>
              </w:rPr>
              <w:t>天津滨海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环球印务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111,220,062.86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142,069,868.33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253,289,931.19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47,096,903.00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47,096,903.00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89,573,309.72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138,638,528.58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228,211,838.30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35,449,342.31</w:t>
            </w:r>
          </w:p>
        </w:tc>
        <w:tc>
          <w:tcPr>
            <w:tcW w:w="610"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35,449,342.31</w:t>
            </w:r>
          </w:p>
        </w:tc>
      </w:tr>
      <w:tr>
        <w:trPr>
          <w:trHeight w:val="1340"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50"/>
              <w:jc w:val="both"/>
              <w:rPr>
                <w:rFonts w:ascii="宋体" w:hAnsi="宋体" w:cs="宋体" w:eastAsia="宋体" w:hint="default"/>
                <w:sz w:val="18"/>
                <w:szCs w:val="18"/>
              </w:rPr>
            </w:pPr>
            <w:r>
              <w:rPr>
                <w:rFonts w:ascii="宋体" w:hAnsi="宋体" w:cs="宋体" w:eastAsia="宋体" w:hint="default"/>
                <w:sz w:val="18"/>
                <w:szCs w:val="18"/>
              </w:rPr>
              <w:t>霍尔果斯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领凯网络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198,068,918.40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8,502,008.14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206,570,926.54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129,665,936.76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129,665,936.76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55,215,443.69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9,994,051.59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65,209,495.28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27,957,359.04</w:t>
            </w:r>
          </w:p>
        </w:tc>
        <w:tc>
          <w:tcPr>
            <w:tcW w:w="610"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27,957,359.04</w:t>
            </w:r>
          </w:p>
        </w:tc>
      </w:tr>
      <w:tr>
        <w:trPr>
          <w:trHeight w:val="1340"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50"/>
              <w:jc w:val="both"/>
              <w:rPr>
                <w:rFonts w:ascii="宋体" w:hAnsi="宋体" w:cs="宋体" w:eastAsia="宋体" w:hint="default"/>
                <w:sz w:val="18"/>
                <w:szCs w:val="18"/>
              </w:rPr>
            </w:pPr>
            <w:r>
              <w:rPr>
                <w:rFonts w:ascii="宋体" w:hAnsi="宋体" w:cs="宋体" w:eastAsia="宋体" w:hint="default"/>
                <w:sz w:val="18"/>
                <w:szCs w:val="18"/>
              </w:rPr>
              <w:t>北京金印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联国际供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应链管理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153,659,878.64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18,181,300.85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171,841,179.49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84,872,012.27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84,872,012.27</w:t>
            </w:r>
          </w:p>
        </w:tc>
        <w:tc>
          <w:tcPr>
            <w:tcW w:w="109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bl>
    <w:p>
      <w:pPr>
        <w:spacing w:before="54"/>
        <w:ind w:left="0" w:right="24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556"/>
        <w:gridCol w:w="1551"/>
        <w:gridCol w:w="1556"/>
        <w:gridCol w:w="1560"/>
        <w:gridCol w:w="1560"/>
        <w:gridCol w:w="1560"/>
        <w:gridCol w:w="1556"/>
        <w:gridCol w:w="1556"/>
        <w:gridCol w:w="1565"/>
      </w:tblGrid>
      <w:tr>
        <w:trPr>
          <w:trHeight w:val="398" w:hRule="exact"/>
        </w:trPr>
        <w:tc>
          <w:tcPr>
            <w:tcW w:w="15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2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623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556" w:type="dxa"/>
            <w:vMerge/>
            <w:tcBorders>
              <w:left w:val="single" w:sz="4" w:space="0" w:color="000000"/>
              <w:bottom w:val="single" w:sz="4" w:space="0" w:color="000000"/>
              <w:right w:val="single" w:sz="4" w:space="0" w:color="000000"/>
            </w:tcBorders>
            <w:shd w:val="clear" w:color="auto" w:fill="D2D2D2"/>
          </w:tcPr>
          <w:p>
            <w:pP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0"/>
              <w:jc w:val="right"/>
              <w:rPr>
                <w:rFonts w:ascii="宋体" w:hAnsi="宋体" w:cs="宋体" w:eastAsia="宋体" w:hint="default"/>
                <w:sz w:val="18"/>
                <w:szCs w:val="18"/>
              </w:rPr>
            </w:pPr>
            <w:r>
              <w:rPr>
                <w:rFonts w:ascii="宋体" w:hAnsi="宋体" w:cs="宋体" w:eastAsia="宋体" w:hint="default"/>
                <w:spacing w:val="-2"/>
                <w:sz w:val="18"/>
                <w:szCs w:val="18"/>
              </w:rPr>
              <w:t>经营活动现金流量</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pacing w:val="-2"/>
                <w:sz w:val="18"/>
                <w:szCs w:val="18"/>
              </w:rPr>
              <w:t>经营活动现金流量</w:t>
            </w:r>
          </w:p>
        </w:tc>
      </w:tr>
      <w:tr>
        <w:trPr>
          <w:trHeight w:val="716"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75"/>
              <w:jc w:val="left"/>
              <w:rPr>
                <w:rFonts w:ascii="宋体" w:hAnsi="宋体" w:cs="宋体" w:eastAsia="宋体" w:hint="default"/>
                <w:sz w:val="18"/>
                <w:szCs w:val="18"/>
              </w:rPr>
            </w:pPr>
            <w:r>
              <w:rPr>
                <w:rFonts w:ascii="宋体" w:hAnsi="宋体" w:cs="宋体" w:eastAsia="宋体" w:hint="default"/>
                <w:spacing w:val="-2"/>
                <w:sz w:val="18"/>
                <w:szCs w:val="18"/>
              </w:rPr>
              <w:t>陕西永鑫纸业包装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109,029,572.03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4,409,908.01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4,409,908.01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2,922,386.33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71,137,044.92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1,761,604.48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1,761,604.48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-14,954,690.47</w:t>
            </w:r>
          </w:p>
        </w:tc>
      </w:tr>
      <w:tr>
        <w:trPr>
          <w:trHeight w:val="715"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75"/>
              <w:jc w:val="left"/>
              <w:rPr>
                <w:rFonts w:ascii="宋体" w:hAnsi="宋体" w:cs="宋体" w:eastAsia="宋体" w:hint="default"/>
                <w:sz w:val="18"/>
                <w:szCs w:val="18"/>
              </w:rPr>
            </w:pPr>
            <w:r>
              <w:rPr>
                <w:rFonts w:ascii="宋体" w:hAnsi="宋体" w:cs="宋体" w:eastAsia="宋体" w:hint="default"/>
                <w:spacing w:val="-2"/>
                <w:sz w:val="18"/>
                <w:szCs w:val="18"/>
              </w:rPr>
              <w:t>天津滨海环球印务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146,904,684.08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13,430,532.20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13,430,532.20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29,492,573.76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132,043,888.77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9,739,067.65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9,739,067.65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24,776,588.47</w:t>
            </w:r>
          </w:p>
        </w:tc>
      </w:tr>
    </w:tbl>
    <w:p>
      <w:pPr>
        <w:spacing w:after="0" w:line="240" w:lineRule="auto"/>
        <w:jc w:val="right"/>
        <w:rPr>
          <w:rFonts w:ascii="Times New Roman" w:hAnsi="Times New Roman" w:cs="Times New Roman" w:eastAsia="Times New Roman" w:hint="default"/>
          <w:sz w:val="18"/>
          <w:szCs w:val="18"/>
        </w:rPr>
        <w:sectPr>
          <w:headerReference w:type="default" r:id="rId35"/>
          <w:footerReference w:type="default" r:id="rId36"/>
          <w:pgSz w:w="16840" w:h="11910" w:orient="landscape"/>
          <w:pgMar w:header="460" w:footer="974" w:top="1060" w:bottom="1160" w:left="1300" w:right="1280"/>
          <w:pgNumType w:start="189"/>
        </w:sectPr>
      </w:pPr>
    </w:p>
    <w:p>
      <w:pPr>
        <w:spacing w:line="240" w:lineRule="auto" w:before="3"/>
        <w:rPr>
          <w:rFonts w:ascii="宋体" w:hAnsi="宋体" w:cs="宋体" w:eastAsia="宋体" w:hint="default"/>
          <w:sz w:val="2"/>
          <w:szCs w:val="2"/>
        </w:rPr>
      </w:pPr>
      <w:r>
        <w:rPr/>
        <w:pict>
          <v:shape style="position:absolute;margin-left:499.070099pt;margin-top:401.426025pt;width:91.05pt;height:38.950pt;mso-position-horizontal-relative:page;mso-position-vertical-relative:page;z-index:-956992" type="#_x0000_t202" filled="false" stroked="false">
            <v:textbox inset="0,0,0,0">
              <w:txbxContent>
                <w:p>
                  <w:pPr>
                    <w:spacing w:before="126"/>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505.100006pt;margin-top:381.140015pt;width:85pt;height:59.2pt;mso-position-horizontal-relative:page;mso-position-vertical-relative:page;z-index:-956968" coordorigin="10102,7623" coordsize="1700,1184">
            <v:group style="position:absolute;left:10114;top:7635;width:2;height:394" coordorigin="10114,7635" coordsize="2,394">
              <v:shape style="position:absolute;left:10114;top:7635;width:2;height:394" coordorigin="10114,7635" coordsize="0,394" path="m10114,7635l10114,8028e" filled="false" stroked="true" strokeweight="1.2pt" strokecolor="#ffffff">
                <v:path arrowok="t"/>
              </v:shape>
            </v:group>
            <v:group style="position:absolute;left:10102;top:8029;width:1700;height:779" coordorigin="10102,8029" coordsize="1700,779">
              <v:shape style="position:absolute;left:10102;top:8029;width:1700;height:779" coordorigin="10102,8029" coordsize="1700,779" path="m10102,8807l11802,8807,11802,8029,10102,8029,10102,8807xe" filled="true" fillcolor="#ffffff" stroked="false">
                <v:path arrowok="t"/>
                <v:fill type="solid"/>
              </v:shape>
            </v:group>
            <v:group style="position:absolute;left:10126;top:7635;width:1657;height:394" coordorigin="10126,7635" coordsize="1657,394">
              <v:shape style="position:absolute;left:10126;top:7635;width:1657;height:394" coordorigin="10126,7635" coordsize="1657,394" path="m10126,8028l11782,8028,11782,7635,10126,7635,10126,8028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556"/>
        <w:gridCol w:w="1551"/>
        <w:gridCol w:w="1556"/>
        <w:gridCol w:w="1560"/>
        <w:gridCol w:w="1560"/>
        <w:gridCol w:w="1560"/>
        <w:gridCol w:w="1556"/>
        <w:gridCol w:w="1556"/>
        <w:gridCol w:w="1565"/>
      </w:tblGrid>
      <w:tr>
        <w:trPr>
          <w:trHeight w:val="730" w:hRule="exact"/>
        </w:trPr>
        <w:tc>
          <w:tcPr>
            <w:tcW w:w="1556" w:type="dxa"/>
            <w:tcBorders>
              <w:top w:val="single" w:sz="15" w:space="0" w:color="000000"/>
              <w:left w:val="single" w:sz="4" w:space="0" w:color="000000"/>
              <w:bottom w:val="single" w:sz="4" w:space="0" w:color="000000"/>
              <w:right w:val="single" w:sz="4" w:space="0" w:color="000000"/>
            </w:tcBorders>
          </w:tcPr>
          <w:p>
            <w:pPr>
              <w:pStyle w:val="TableParagraph"/>
              <w:spacing w:line="321" w:lineRule="auto" w:before="53"/>
              <w:ind w:left="23" w:right="75"/>
              <w:jc w:val="left"/>
              <w:rPr>
                <w:rFonts w:ascii="宋体" w:hAnsi="宋体" w:cs="宋体" w:eastAsia="宋体" w:hint="default"/>
                <w:sz w:val="18"/>
                <w:szCs w:val="18"/>
              </w:rPr>
            </w:pPr>
            <w:r>
              <w:rPr>
                <w:rFonts w:ascii="宋体" w:hAnsi="宋体" w:cs="宋体" w:eastAsia="宋体" w:hint="default"/>
                <w:spacing w:val="-2"/>
                <w:sz w:val="18"/>
                <w:szCs w:val="18"/>
              </w:rPr>
              <w:t>霍尔果斯领凯网络</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科技有限公司</w:t>
            </w:r>
          </w:p>
        </w:tc>
        <w:tc>
          <w:tcPr>
            <w:tcW w:w="155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585,160,498.60</w:t>
            </w:r>
          </w:p>
        </w:tc>
        <w:tc>
          <w:tcPr>
            <w:tcW w:w="15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44,733,897.54</w:t>
            </w: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44,733,897.54</w:t>
            </w: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-18,184,644.80</w:t>
            </w: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90" w:right="0"/>
              <w:jc w:val="left"/>
              <w:rPr>
                <w:rFonts w:ascii="Times New Roman" w:hAnsi="Times New Roman" w:cs="Times New Roman" w:eastAsia="Times New Roman" w:hint="default"/>
                <w:sz w:val="18"/>
                <w:szCs w:val="18"/>
              </w:rPr>
            </w:pPr>
            <w:r>
              <w:rPr>
                <w:rFonts w:ascii="Times New Roman"/>
                <w:sz w:val="18"/>
              </w:rPr>
              <w:t>59,424,335.50</w:t>
            </w:r>
          </w:p>
        </w:tc>
        <w:tc>
          <w:tcPr>
            <w:tcW w:w="15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76" w:right="0"/>
              <w:jc w:val="left"/>
              <w:rPr>
                <w:rFonts w:ascii="Times New Roman" w:hAnsi="Times New Roman" w:cs="Times New Roman" w:eastAsia="Times New Roman" w:hint="default"/>
                <w:sz w:val="18"/>
                <w:szCs w:val="18"/>
              </w:rPr>
            </w:pPr>
            <w:r>
              <w:rPr>
                <w:rFonts w:ascii="Times New Roman"/>
                <w:sz w:val="18"/>
              </w:rPr>
              <w:t>7,790,728.68</w:t>
            </w:r>
          </w:p>
        </w:tc>
        <w:tc>
          <w:tcPr>
            <w:tcW w:w="15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81" w:right="0"/>
              <w:jc w:val="left"/>
              <w:rPr>
                <w:rFonts w:ascii="Times New Roman" w:hAnsi="Times New Roman" w:cs="Times New Roman" w:eastAsia="Times New Roman" w:hint="default"/>
                <w:sz w:val="18"/>
                <w:szCs w:val="18"/>
              </w:rPr>
            </w:pPr>
            <w:r>
              <w:rPr>
                <w:rFonts w:ascii="Times New Roman"/>
                <w:sz w:val="18"/>
              </w:rPr>
              <w:t>7,790,728.68</w:t>
            </w:r>
          </w:p>
        </w:tc>
        <w:tc>
          <w:tcPr>
            <w:tcW w:w="156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-1,273,426.93</w:t>
            </w:r>
          </w:p>
        </w:tc>
      </w:tr>
      <w:tr>
        <w:trPr>
          <w:trHeight w:val="716"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75"/>
              <w:jc w:val="left"/>
              <w:rPr>
                <w:rFonts w:ascii="宋体" w:hAnsi="宋体" w:cs="宋体" w:eastAsia="宋体" w:hint="default"/>
                <w:sz w:val="18"/>
                <w:szCs w:val="18"/>
              </w:rPr>
            </w:pPr>
            <w:r>
              <w:rPr>
                <w:rFonts w:ascii="宋体" w:hAnsi="宋体" w:cs="宋体" w:eastAsia="宋体" w:hint="default"/>
                <w:spacing w:val="-2"/>
                <w:sz w:val="18"/>
                <w:szCs w:val="18"/>
              </w:rPr>
              <w:t>北京金印联国际供</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应链管理有限公司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166,300,294.06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12,040,736.37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12,040,736.37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5,685,497.17</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140" w:right="0"/>
        <w:jc w:val="left"/>
        <w:rPr>
          <w:b w:val="0"/>
          <w:bCs w:val="0"/>
        </w:rPr>
      </w:pPr>
      <w:bookmarkStart w:name="2、在子公司的所有者权益份额发生变化且仍控制子公司的交易" w:id="450"/>
      <w:bookmarkEnd w:id="450"/>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9"/>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left="140" w:right="0"/>
        <w:jc w:val="left"/>
        <w:rPr>
          <w:b w:val="0"/>
          <w:bCs w:val="0"/>
        </w:rPr>
      </w:pPr>
      <w:bookmarkStart w:name="3、在合营安排或联营企业中的权益" w:id="451"/>
      <w:bookmarkEnd w:id="451"/>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40" w:right="0"/>
        <w:jc w:val="left"/>
        <w:rPr>
          <w:b w:val="0"/>
          <w:bCs w:val="0"/>
        </w:rPr>
      </w:pPr>
      <w:bookmarkStart w:name="（1）重要的合营企业或联营企业" w:id="452"/>
      <w:bookmarkEnd w:id="452"/>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1"/>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2007"/>
        <w:gridCol w:w="2002"/>
        <w:gridCol w:w="1402"/>
        <w:gridCol w:w="3274"/>
        <w:gridCol w:w="643"/>
        <w:gridCol w:w="1066"/>
        <w:gridCol w:w="1623"/>
        <w:gridCol w:w="2002"/>
      </w:tblGrid>
      <w:tr>
        <w:trPr>
          <w:trHeight w:val="404" w:hRule="exact"/>
        </w:trPr>
        <w:tc>
          <w:tcPr>
            <w:tcW w:w="200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907" w:right="94" w:hanging="812"/>
              <w:jc w:val="left"/>
              <w:rPr>
                <w:rFonts w:ascii="宋体" w:hAnsi="宋体" w:cs="宋体" w:eastAsia="宋体" w:hint="default"/>
                <w:sz w:val="18"/>
                <w:szCs w:val="18"/>
              </w:rPr>
            </w:pPr>
            <w:r>
              <w:rPr>
                <w:rFonts w:ascii="宋体" w:hAnsi="宋体" w:cs="宋体" w:eastAsia="宋体" w:hint="default"/>
                <w:spacing w:val="-2"/>
                <w:sz w:val="18"/>
                <w:szCs w:val="18"/>
              </w:rPr>
              <w:t>合营企业或联营企业名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称</w:t>
            </w:r>
          </w:p>
        </w:tc>
        <w:tc>
          <w:tcPr>
            <w:tcW w:w="2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3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333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20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87" w:right="89" w:hanging="92"/>
              <w:jc w:val="left"/>
              <w:rPr>
                <w:rFonts w:ascii="宋体" w:hAnsi="宋体" w:cs="宋体" w:eastAsia="宋体" w:hint="default"/>
                <w:sz w:val="18"/>
                <w:szCs w:val="18"/>
              </w:rPr>
            </w:pPr>
            <w:r>
              <w:rPr>
                <w:rFonts w:ascii="宋体" w:hAnsi="宋体" w:cs="宋体" w:eastAsia="宋体" w:hint="default"/>
                <w:spacing w:val="-2"/>
                <w:sz w:val="18"/>
                <w:szCs w:val="18"/>
              </w:rPr>
              <w:t>对合营企业或联营企业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投资的会计处理方法</w:t>
            </w:r>
          </w:p>
        </w:tc>
      </w:tr>
      <w:tr>
        <w:trPr>
          <w:trHeight w:val="403" w:hRule="exact"/>
        </w:trPr>
        <w:tc>
          <w:tcPr>
            <w:tcW w:w="2007" w:type="dxa"/>
            <w:vMerge/>
            <w:tcBorders>
              <w:left w:val="single" w:sz="4" w:space="0" w:color="000000"/>
              <w:bottom w:val="single" w:sz="4" w:space="0" w:color="000000"/>
              <w:right w:val="single" w:sz="4" w:space="0" w:color="000000"/>
            </w:tcBorders>
            <w:shd w:val="clear" w:color="auto" w:fill="D2D2D2"/>
          </w:tcPr>
          <w:p>
            <w:pPr/>
          </w:p>
        </w:tc>
        <w:tc>
          <w:tcPr>
            <w:tcW w:w="2002" w:type="dxa"/>
            <w:vMerge/>
            <w:tcBorders>
              <w:left w:val="single" w:sz="4" w:space="0" w:color="000000"/>
              <w:bottom w:val="single" w:sz="4" w:space="0" w:color="000000"/>
              <w:right w:val="single" w:sz="4" w:space="0" w:color="000000"/>
            </w:tcBorders>
            <w:shd w:val="clear" w:color="auto" w:fill="D2D2D2"/>
          </w:tcPr>
          <w:p>
            <w:pPr/>
          </w:p>
        </w:tc>
        <w:tc>
          <w:tcPr>
            <w:tcW w:w="1402" w:type="dxa"/>
            <w:vMerge/>
            <w:tcBorders>
              <w:left w:val="single" w:sz="4" w:space="0" w:color="000000"/>
              <w:bottom w:val="single" w:sz="4" w:space="0" w:color="000000"/>
              <w:right w:val="single" w:sz="4" w:space="0" w:color="000000"/>
            </w:tcBorders>
            <w:shd w:val="clear" w:color="auto" w:fill="D2D2D2"/>
          </w:tcPr>
          <w:p>
            <w:pPr/>
          </w:p>
        </w:tc>
        <w:tc>
          <w:tcPr>
            <w:tcW w:w="3274" w:type="dxa"/>
            <w:vMerge/>
            <w:tcBorders>
              <w:left w:val="single" w:sz="4" w:space="0" w:color="000000"/>
              <w:bottom w:val="single" w:sz="4" w:space="0" w:color="000000"/>
              <w:right w:val="single" w:sz="4" w:space="0" w:color="000000"/>
            </w:tcBorders>
            <w:shd w:val="clear" w:color="auto" w:fill="D2D2D2"/>
          </w:tcPr>
          <w:p>
            <w:pPr/>
          </w:p>
        </w:tc>
        <w:tc>
          <w:tcPr>
            <w:tcW w:w="17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2002"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66"/>
              <w:jc w:val="left"/>
              <w:rPr>
                <w:rFonts w:ascii="宋体" w:hAnsi="宋体" w:cs="宋体" w:eastAsia="宋体" w:hint="default"/>
                <w:sz w:val="18"/>
                <w:szCs w:val="18"/>
              </w:rPr>
            </w:pPr>
            <w:r>
              <w:rPr>
                <w:rFonts w:ascii="宋体" w:hAnsi="宋体" w:cs="宋体" w:eastAsia="宋体" w:hint="default"/>
                <w:spacing w:val="-2"/>
                <w:sz w:val="18"/>
                <w:szCs w:val="18"/>
              </w:rPr>
              <w:t>西安德宝药用包装有限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陕西西安</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西安市高新区</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pacing w:val="-4"/>
                <w:sz w:val="18"/>
                <w:szCs w:val="18"/>
              </w:rPr>
              <w:t>开发、生产、销售药用包装铝管及相关包</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装材料产品</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123" w:right="0"/>
              <w:jc w:val="left"/>
              <w:rPr>
                <w:rFonts w:ascii="Times New Roman" w:hAnsi="Times New Roman" w:cs="Times New Roman" w:eastAsia="Times New Roman" w:hint="default"/>
                <w:sz w:val="18"/>
                <w:szCs w:val="18"/>
              </w:rPr>
            </w:pPr>
            <w:r>
              <w:rPr>
                <w:rFonts w:ascii="Times New Roman"/>
                <w:sz w:val="18"/>
              </w:rPr>
              <w:t>46.00%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964" w:hRule="exact"/>
        </w:trPr>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23" w:right="166"/>
              <w:jc w:val="left"/>
              <w:rPr>
                <w:rFonts w:ascii="宋体" w:hAnsi="宋体" w:cs="宋体" w:eastAsia="宋体" w:hint="default"/>
                <w:sz w:val="18"/>
                <w:szCs w:val="18"/>
              </w:rPr>
            </w:pPr>
            <w:r>
              <w:rPr>
                <w:rFonts w:ascii="宋体" w:hAnsi="宋体" w:cs="宋体" w:eastAsia="宋体" w:hint="default"/>
                <w:spacing w:val="-2"/>
                <w:sz w:val="18"/>
                <w:szCs w:val="18"/>
              </w:rPr>
              <w:t>上海久旭环保科技股份</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上海市普陀区</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5"/>
              <w:jc w:val="left"/>
              <w:rPr>
                <w:rFonts w:ascii="宋体" w:hAnsi="宋体" w:cs="宋体" w:eastAsia="宋体" w:hint="default"/>
                <w:sz w:val="18"/>
                <w:szCs w:val="18"/>
              </w:rPr>
            </w:pPr>
            <w:r>
              <w:rPr>
                <w:rFonts w:ascii="宋体" w:hAnsi="宋体" w:cs="宋体" w:eastAsia="宋体" w:hint="default"/>
                <w:spacing w:val="-3"/>
                <w:sz w:val="18"/>
                <w:szCs w:val="18"/>
              </w:rPr>
              <w:t>环保、印务、计算机、网络信息、通信、</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4"/>
                <w:sz w:val="18"/>
                <w:szCs w:val="18"/>
              </w:rPr>
              <w:t>电子、生物、新媒体、农业科技的技术开</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发、转让、咨询、服务，计算机技术开发</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9"/>
                <w:sz w:val="18"/>
                <w:szCs w:val="18"/>
              </w:rPr>
              <w:t>与销售，计算机、电子产品等销售，智能</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9"/>
                <w:sz w:val="18"/>
                <w:szCs w:val="18"/>
              </w:rPr>
              <w:t>通信、电子设备等安装、销售，商务咨询</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进出口业务</w:t>
            </w:r>
          </w:p>
        </w:tc>
        <w:tc>
          <w:tcPr>
            <w:tcW w:w="64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6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576" w:right="0"/>
              <w:jc w:val="left"/>
              <w:rPr>
                <w:rFonts w:ascii="Times New Roman" w:hAnsi="Times New Roman" w:cs="Times New Roman" w:eastAsia="Times New Roman" w:hint="default"/>
                <w:sz w:val="18"/>
                <w:szCs w:val="18"/>
              </w:rPr>
            </w:pPr>
            <w:r>
              <w:rPr>
                <w:rFonts w:ascii="Times New Roman"/>
                <w:sz w:val="18"/>
              </w:rPr>
              <w:t>5.00%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6840" w:h="11910" w:orient="landscape"/>
          <w:pgMar w:header="460" w:footer="974" w:top="1060" w:bottom="1160" w:left="1300" w:right="128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p>
      <w:pPr>
        <w:pStyle w:val="Heading3"/>
        <w:spacing w:line="240" w:lineRule="auto" w:before="36"/>
        <w:ind w:right="0"/>
        <w:jc w:val="left"/>
        <w:rPr>
          <w:b w:val="0"/>
          <w:bCs w:val="0"/>
        </w:rPr>
      </w:pPr>
      <w:bookmarkStart w:name="（2）重要合营企业的主要财务信息" w:id="453"/>
      <w:bookmarkEnd w:id="453"/>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重要联营企业的主要财务信息" w:id="454"/>
      <w:bookmarkEnd w:id="454"/>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9"/>
        <w:gridCol w:w="3201"/>
        <w:gridCol w:w="3193"/>
      </w:tblGrid>
      <w:tr>
        <w:trPr>
          <w:trHeight w:val="399"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6" w:right="0"/>
              <w:jc w:val="left"/>
              <w:rPr>
                <w:rFonts w:ascii="宋体" w:hAnsi="宋体" w:cs="宋体" w:eastAsia="宋体" w:hint="default"/>
                <w:sz w:val="18"/>
                <w:szCs w:val="18"/>
              </w:rPr>
            </w:pPr>
            <w:r>
              <w:rPr>
                <w:rFonts w:ascii="宋体" w:hAnsi="宋体" w:cs="宋体" w:eastAsia="宋体" w:hint="default"/>
                <w:spacing w:val="-3"/>
                <w:sz w:val="18"/>
                <w:szCs w:val="18"/>
              </w:rPr>
              <w:t>西安德宝药用包装有限公司</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90,747,454.03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74,221,127.27</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39,655,980.69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45,194,087.02</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130,403,434.72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119,415,214.29</w:t>
            </w:r>
          </w:p>
        </w:tc>
      </w:tr>
      <w:tr>
        <w:trPr>
          <w:trHeight w:val="399"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17,603,343.12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16,671,481.48</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684,000.00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763,200.00</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18,287,343.12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17,434,681.48</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112,116,091.60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101,980,532.81</w:t>
            </w:r>
          </w:p>
        </w:tc>
      </w:tr>
      <w:tr>
        <w:trPr>
          <w:trHeight w:val="398"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按持股比例计算的净资产份额</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51,573,402.14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46,911,045.09</w:t>
            </w:r>
          </w:p>
        </w:tc>
      </w:tr>
      <w:tr>
        <w:trPr>
          <w:trHeight w:val="404"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对联营企业权益投资的账面价值</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51,573,402.14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46,911,045.09</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75,645,306.30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70,913,680.40</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13,213,867.46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12,561,609.65</w:t>
            </w:r>
          </w:p>
        </w:tc>
      </w:tr>
      <w:tr>
        <w:trPr>
          <w:trHeight w:val="398"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13,213,867.46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12,561,609.65</w:t>
            </w:r>
          </w:p>
        </w:tc>
      </w:tr>
      <w:tr>
        <w:trPr>
          <w:trHeight w:val="404"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本年度收到的来自联营企业的股利</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1,416,021.99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2,210,308.58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不重要的合营企业和联营企业的汇总财务信息" w:id="455"/>
      <w:bookmarkEnd w:id="455"/>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5）合营企业或联营企业向本公司转移资金的能力存在重大限制的说明" w:id="456"/>
      <w:bookmarkEnd w:id="456"/>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6）合营企业或联营企业发生的超额亏损" w:id="457"/>
      <w:bookmarkEnd w:id="457"/>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7）与合营企业投资相关的未确认承诺" w:id="458"/>
      <w:bookmarkEnd w:id="458"/>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headerReference w:type="default" r:id="rId37"/>
          <w:footerReference w:type="default" r:id="rId38"/>
          <w:pgSz w:w="11910" w:h="16840"/>
          <w:pgMar w:header="460" w:footer="979" w:top="1060" w:bottom="1160" w:left="980" w:right="0"/>
          <w:pgNumType w:start="191"/>
        </w:sectPr>
      </w:pPr>
    </w:p>
    <w:p>
      <w:pPr>
        <w:spacing w:line="240" w:lineRule="auto" w:before="9"/>
        <w:rPr>
          <w:rFonts w:ascii="宋体" w:hAnsi="宋体" w:cs="宋体" w:eastAsia="宋体" w:hint="default"/>
          <w:sz w:val="20"/>
          <w:szCs w:val="20"/>
        </w:rPr>
      </w:pPr>
    </w:p>
    <w:p>
      <w:pPr>
        <w:pStyle w:val="Heading3"/>
        <w:spacing w:line="240" w:lineRule="auto" w:before="36"/>
        <w:ind w:right="0"/>
        <w:jc w:val="left"/>
        <w:rPr>
          <w:b w:val="0"/>
          <w:bCs w:val="0"/>
        </w:rPr>
      </w:pPr>
      <w:bookmarkStart w:name="（8）与合营企业或联营企业投资相关的或有负债" w:id="459"/>
      <w:bookmarkEnd w:id="459"/>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4、重要的共同经营" w:id="460"/>
      <w:bookmarkEnd w:id="460"/>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5、在未纳入合并财务报表范围的结构化主体中的权益" w:id="461"/>
      <w:bookmarkEnd w:id="461"/>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6、其他" w:id="462"/>
      <w:bookmarkEnd w:id="462"/>
      <w:r>
        <w:rPr>
          <w:b w:val="0"/>
          <w:bCs w:val="0"/>
        </w:rPr>
      </w:r>
      <w:r>
        <w:rPr>
          <w:rFonts w:ascii="Times New Roman" w:hAnsi="Times New Roman" w:cs="Times New Roman" w:eastAsia="Times New Roman" w:hint="default"/>
        </w:rPr>
        <w:t>6</w:t>
      </w:r>
      <w:r>
        <w:rPr/>
        <w:t>、其他</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十、与金融工具相关的风险" w:id="463"/>
      <w:bookmarkEnd w:id="463"/>
      <w:r>
        <w:rPr>
          <w:b w:val="0"/>
          <w:bCs w:val="0"/>
        </w:rPr>
      </w:r>
      <w:r>
        <w:rPr/>
        <w:t>十、与金融工具相关的风险</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十一、公允价值的披露" w:id="464"/>
      <w:bookmarkEnd w:id="464"/>
      <w:r>
        <w:rPr>
          <w:b w:val="0"/>
          <w:bCs w:val="0"/>
        </w:rPr>
      </w:r>
      <w:r>
        <w:rPr/>
        <w:t>十一、公允价值的披露</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十二、关联方及关联交易" w:id="465"/>
      <w:bookmarkEnd w:id="465"/>
      <w:r>
        <w:rPr>
          <w:b w:val="0"/>
          <w:bCs w:val="0"/>
        </w:rPr>
      </w:r>
      <w:r>
        <w:rPr/>
        <w:t>十二、关联方及关联交易</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left"/>
        <w:rPr>
          <w:b w:val="0"/>
          <w:bCs w:val="0"/>
        </w:rPr>
      </w:pPr>
      <w:bookmarkStart w:name="1、本企业的母公司情况" w:id="466"/>
      <w:bookmarkEnd w:id="466"/>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2027"/>
        <w:gridCol w:w="1277"/>
        <w:gridCol w:w="1484"/>
        <w:gridCol w:w="1594"/>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88" w:right="104" w:hanging="183"/>
              <w:jc w:val="left"/>
              <w:rPr>
                <w:rFonts w:ascii="宋体" w:hAnsi="宋体" w:cs="宋体" w:eastAsia="宋体" w:hint="default"/>
                <w:sz w:val="18"/>
                <w:szCs w:val="18"/>
              </w:rPr>
            </w:pPr>
            <w:r>
              <w:rPr>
                <w:rFonts w:ascii="宋体" w:hAnsi="宋体" w:cs="宋体" w:eastAsia="宋体" w:hint="default"/>
                <w:spacing w:val="-3"/>
                <w:sz w:val="18"/>
                <w:szCs w:val="18"/>
              </w:rPr>
              <w:t>母公司对本企业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的持股比例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45" w:right="65" w:hanging="274"/>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表决权比例</w:t>
            </w:r>
          </w:p>
        </w:tc>
      </w:tr>
      <w:tr>
        <w:trPr>
          <w:trHeight w:val="414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21" w:lineRule="auto" w:before="119"/>
              <w:ind w:left="24" w:right="113"/>
              <w:jc w:val="left"/>
              <w:rPr>
                <w:rFonts w:ascii="宋体" w:hAnsi="宋体" w:cs="宋体" w:eastAsia="宋体" w:hint="default"/>
                <w:sz w:val="18"/>
                <w:szCs w:val="18"/>
              </w:rPr>
            </w:pPr>
            <w:r>
              <w:rPr>
                <w:rFonts w:ascii="宋体" w:hAnsi="宋体" w:cs="宋体" w:eastAsia="宋体" w:hint="default"/>
                <w:spacing w:val="-2"/>
                <w:sz w:val="18"/>
                <w:szCs w:val="18"/>
              </w:rPr>
              <w:t>陕西医药控股集团</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21" w:lineRule="auto" w:before="119"/>
              <w:ind w:left="23" w:right="113"/>
              <w:jc w:val="left"/>
              <w:rPr>
                <w:rFonts w:ascii="宋体" w:hAnsi="宋体" w:cs="宋体" w:eastAsia="宋体" w:hint="default"/>
                <w:sz w:val="18"/>
                <w:szCs w:val="18"/>
              </w:rPr>
            </w:pPr>
            <w:r>
              <w:rPr>
                <w:rFonts w:ascii="宋体" w:hAnsi="宋体" w:cs="宋体" w:eastAsia="宋体" w:hint="default"/>
                <w:spacing w:val="-2"/>
                <w:sz w:val="18"/>
                <w:szCs w:val="18"/>
              </w:rPr>
              <w:t>西安市高新区科技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二路</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7"/>
              <w:jc w:val="left"/>
              <w:rPr>
                <w:rFonts w:ascii="宋体" w:hAnsi="宋体" w:cs="宋体" w:eastAsia="宋体" w:hint="default"/>
                <w:sz w:val="18"/>
                <w:szCs w:val="18"/>
              </w:rPr>
            </w:pPr>
            <w:r>
              <w:rPr>
                <w:rFonts w:ascii="宋体" w:hAnsi="宋体" w:cs="宋体" w:eastAsia="宋体" w:hint="default"/>
                <w:spacing w:val="-4"/>
                <w:sz w:val="18"/>
                <w:szCs w:val="18"/>
              </w:rPr>
              <w:t>医药及相关产业投资、医</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4"/>
                <w:sz w:val="18"/>
                <w:szCs w:val="18"/>
              </w:rPr>
              <w:t>药企业受托管理、资产重</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4"/>
                <w:sz w:val="18"/>
                <w:szCs w:val="18"/>
              </w:rPr>
              <w:t>组；医药实业投资项目的</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4"/>
                <w:sz w:val="18"/>
                <w:szCs w:val="18"/>
              </w:rPr>
              <w:t>咨询服务；办理药品、医</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4"/>
                <w:sz w:val="18"/>
                <w:szCs w:val="18"/>
              </w:rPr>
              <w:t>疗器械的展览展销；中西</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4"/>
                <w:sz w:val="18"/>
                <w:szCs w:val="18"/>
              </w:rPr>
              <w:t>药品、生物制品、医药保</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4"/>
                <w:sz w:val="18"/>
                <w:szCs w:val="18"/>
              </w:rPr>
              <w:t>健品的开发研制；医药行</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业的人员上岗培训</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上述</w:t>
            </w:r>
            <w:r>
              <w:rPr>
                <w:rFonts w:ascii="宋体" w:hAnsi="宋体" w:cs="宋体" w:eastAsia="宋体" w:hint="default"/>
                <w:spacing w:val="-61"/>
                <w:sz w:val="18"/>
                <w:szCs w:val="18"/>
              </w:rPr>
              <w:t> </w:t>
            </w:r>
            <w:r>
              <w:rPr>
                <w:rFonts w:ascii="宋体" w:hAnsi="宋体" w:cs="宋体" w:eastAsia="宋体" w:hint="default"/>
                <w:spacing w:val="-4"/>
                <w:sz w:val="18"/>
                <w:szCs w:val="18"/>
              </w:rPr>
              <w:t>范围中国家法律、行政法</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规和国务院决定规定必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须报经批准的，凭许可证</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4"/>
                <w:sz w:val="18"/>
                <w:szCs w:val="18"/>
              </w:rPr>
              <w:t>在有效期内经营；未经批</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准不得从事经营活动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167,100.00</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万元</w:t>
            </w:r>
            <w:r>
              <w:rPr>
                <w:rFonts w:ascii="宋体" w:hAnsi="宋体" w:cs="宋体" w:eastAsia="宋体" w:hint="default"/>
                <w:sz w:val="18"/>
                <w:szCs w:val="18"/>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893" w:right="0"/>
              <w:jc w:val="left"/>
              <w:rPr>
                <w:rFonts w:ascii="Times New Roman" w:hAnsi="Times New Roman" w:cs="Times New Roman" w:eastAsia="Times New Roman" w:hint="default"/>
                <w:sz w:val="18"/>
                <w:szCs w:val="18"/>
              </w:rPr>
            </w:pPr>
            <w:r>
              <w:rPr>
                <w:rFonts w:ascii="Times New Roman"/>
                <w:sz w:val="18"/>
              </w:rPr>
              <w:t>46.25%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46.25%</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本企业的母公司情况的说明</w:t>
      </w:r>
    </w:p>
    <w:p>
      <w:pPr>
        <w:spacing w:after="0"/>
        <w:jc w:val="left"/>
        <w:rPr>
          <w:rFonts w:ascii="宋体" w:hAnsi="宋体" w:cs="宋体" w:eastAsia="宋体" w:hint="default"/>
          <w:sz w:val="18"/>
          <w:szCs w:val="18"/>
        </w:rPr>
        <w:sectPr>
          <w:pgSz w:w="11910" w:h="16840"/>
          <w:pgMar w:header="460" w:footer="979" w:top="1100" w:bottom="1160" w:left="980" w:right="0"/>
        </w:sectPr>
      </w:pPr>
    </w:p>
    <w:p>
      <w:pPr>
        <w:spacing w:line="240" w:lineRule="auto" w:before="3"/>
        <w:rPr>
          <w:rFonts w:ascii="宋体" w:hAnsi="宋体" w:cs="宋体" w:eastAsia="宋体" w:hint="default"/>
          <w:sz w:val="22"/>
          <w:szCs w:val="22"/>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本企业最终控制方是陕西省国资委。</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2、本企业的子公司情况" w:id="467"/>
      <w:bookmarkEnd w:id="467"/>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10"/>
        <w:rPr>
          <w:rFonts w:ascii="宋体" w:hAnsi="宋体" w:cs="宋体" w:eastAsia="宋体" w:hint="default"/>
          <w:b/>
          <w:bCs/>
          <w:sz w:val="26"/>
          <w:szCs w:val="26"/>
        </w:rPr>
      </w:pPr>
    </w:p>
    <w:p>
      <w:pPr>
        <w:spacing w:line="304" w:lineRule="auto" w:before="0"/>
        <w:ind w:left="153" w:right="1004" w:firstLine="0"/>
        <w:jc w:val="left"/>
        <w:rPr>
          <w:rFonts w:ascii="宋体" w:hAnsi="宋体" w:cs="宋体" w:eastAsia="宋体" w:hint="default"/>
          <w:sz w:val="18"/>
          <w:szCs w:val="18"/>
        </w:rPr>
      </w:pPr>
      <w:r>
        <w:rPr>
          <w:rFonts w:ascii="宋体" w:hAnsi="宋体" w:cs="宋体" w:eastAsia="宋体" w:hint="default"/>
          <w:spacing w:val="-3"/>
          <w:sz w:val="18"/>
          <w:szCs w:val="18"/>
        </w:rPr>
        <w:t>本企业子公司的情况详见附注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第十二节 财务报告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九、在其他主体中的权益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、在子公司中的权益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）企业集</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团的构成</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bookmarkStart w:name="3、本企业合营和联营企业情况" w:id="468"/>
      <w:bookmarkEnd w:id="468"/>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spacing w:line="304" w:lineRule="auto"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本企业重要的合营或联营企业详见附注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第十二节 财务报告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九、在其他主体中的权益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之</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、在合营安排或联营企业中</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3"/>
          <w:sz w:val="18"/>
          <w:szCs w:val="18"/>
        </w:rPr>
        <w:t>的权益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）重要的合营企业或联营企业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4、其他关联方情况" w:id="469"/>
      <w:bookmarkEnd w:id="46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397"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香港原石国际有限公司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比特（香港）投资有限公司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陕西医药控股集团实业开发有限责任公司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陕西医药控股集团中药产业投资有限责任公司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陕西医药控股集团山海丹药业股份有限责任公司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陕西孙思邈健康有限责任公司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陕西医药控股集团天宁制药有限责任公司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陕西医药控股集团派昂医药有限责任公司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陕西医药控股集团山海丹药业股份有限公司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陕西医药产业投资管理有限公司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陕西医药控股医药研究院有限公司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陕西中药研究所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西安海欣制药有限公司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受控股股东重大影响</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西安正大制药有限公司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受控股股东重大影响</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国药控股陕西有限公司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受控股股东重大影响</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陕西长安华科发展股份有限公司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受控股股东重大影响</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西安杨森制药有限公司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受控股股东重大影响</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陕西汉江药业集团股份有限公司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受控股股东重大影响</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陕西省外经贸实业集团有限公司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受控股股东重大影响</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陕西孙思邈高新制药有限公司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受控股股东重大影响</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陕西省产业扶贫投资开发有限公司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受控股股东重大影响</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上海久日投资管理有限公司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董事投资公司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上海岱旭创业投资合伙企业（有限合伙）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董事投资公司</w:t>
            </w:r>
          </w:p>
        </w:tc>
      </w:tr>
    </w:tbl>
    <w:p>
      <w:pPr>
        <w:spacing w:after="0" w:line="240" w:lineRule="auto"/>
        <w:jc w:val="left"/>
        <w:rPr>
          <w:rFonts w:ascii="宋体" w:hAnsi="宋体" w:cs="宋体" w:eastAsia="宋体" w:hint="default"/>
          <w:sz w:val="18"/>
          <w:szCs w:val="18"/>
        </w:rPr>
        <w:sectPr>
          <w:pgSz w:w="11910" w:h="16840"/>
          <w:pgMar w:header="460" w:footer="979" w:top="1100" w:bottom="1160" w:left="980" w:right="0"/>
        </w:sectPr>
      </w:pPr>
    </w:p>
    <w:p>
      <w:pPr>
        <w:spacing w:line="240" w:lineRule="auto" w:before="10"/>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34" w:hRule="exact"/>
        </w:trPr>
        <w:tc>
          <w:tcPr>
            <w:tcW w:w="4783" w:type="dxa"/>
            <w:tcBorders>
              <w:top w:val="nil" w:sz="6" w:space="0" w:color="auto"/>
              <w:left w:val="nil" w:sz="6" w:space="0" w:color="auto"/>
              <w:bottom w:val="single" w:sz="4" w:space="0" w:color="000000"/>
              <w:right w:val="nil" w:sz="6" w:space="0" w:color="auto"/>
            </w:tcBorders>
          </w:tcPr>
          <w:p>
            <w:pPr/>
          </w:p>
        </w:tc>
        <w:tc>
          <w:tcPr>
            <w:tcW w:w="4787" w:type="dxa"/>
            <w:tcBorders>
              <w:top w:val="nil" w:sz="6" w:space="0" w:color="auto"/>
              <w:left w:val="nil" w:sz="6" w:space="0" w:color="auto"/>
              <w:bottom w:val="single" w:sz="4" w:space="0" w:color="000000"/>
              <w:right w:val="nil" w:sz="6" w:space="0" w:color="auto"/>
            </w:tcBorders>
          </w:tcPr>
          <w:p>
            <w:pP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宁波保税区盈呗投资合伙企业（有限合伙）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董事投资公司</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pict>
          <v:group style="position:absolute;margin-left:55.223999pt;margin-top:-49.656334pt;width:485pt;height:.1pt;mso-position-horizontal-relative:page;mso-position-vertical-relative:paragraph;z-index:-956944" coordorigin="1104,-993" coordsize="9700,2">
            <v:shape style="position:absolute;left:1104;top:-993;width:9700;height:2" coordorigin="1104,-993" coordsize="9700,0" path="m1104,-993l10804,-993e" filled="false" stroked="true" strokeweight=".72pt" strokecolor="#000000">
              <v:path arrowok="t"/>
            </v:shape>
            <w10:wrap type="none"/>
          </v:group>
        </w:pict>
      </w:r>
      <w:bookmarkStart w:name="5、关联交易情况" w:id="470"/>
      <w:bookmarkEnd w:id="47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471"/>
      <w:bookmarkEnd w:id="47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b/>
          <w:bCs/>
          <w:sz w:val="18"/>
          <w:szCs w:val="18"/>
        </w:rPr>
        <w:t>采购商品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接受劳务情况表</w:t>
      </w:r>
      <w:r>
        <w:rPr>
          <w:rFonts w:ascii="宋体" w:hAnsi="宋体" w:cs="宋体" w:eastAsia="宋体" w:hint="default"/>
          <w:sz w:val="18"/>
          <w:szCs w:val="18"/>
        </w:rPr>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5"/>
        <w:gridCol w:w="1705"/>
        <w:gridCol w:w="1709"/>
        <w:gridCol w:w="1709"/>
      </w:tblGrid>
      <w:tr>
        <w:trPr>
          <w:trHeight w:val="399"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pacing w:val="-3"/>
                <w:sz w:val="18"/>
                <w:szCs w:val="18"/>
              </w:rPr>
              <w:t>获批的交易额度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西安海欣制药有限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仓储管理费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296,558.49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424,800.00</w:t>
            </w:r>
          </w:p>
        </w:tc>
      </w:tr>
      <w:tr>
        <w:trPr>
          <w:trHeight w:val="1028"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60"/>
              <w:jc w:val="both"/>
              <w:rPr>
                <w:rFonts w:ascii="宋体" w:hAnsi="宋体" w:cs="宋体" w:eastAsia="宋体" w:hint="default"/>
                <w:sz w:val="18"/>
                <w:szCs w:val="18"/>
              </w:rPr>
            </w:pPr>
            <w:r>
              <w:rPr>
                <w:rFonts w:ascii="宋体" w:hAnsi="宋体" w:cs="宋体" w:eastAsia="宋体" w:hint="default"/>
                <w:spacing w:val="-2"/>
                <w:sz w:val="18"/>
                <w:szCs w:val="18"/>
              </w:rPr>
              <w:t>陕西医药控股集团</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实业开发有限责任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56"/>
              <w:jc w:val="both"/>
              <w:rPr>
                <w:rFonts w:ascii="宋体" w:hAnsi="宋体" w:cs="宋体" w:eastAsia="宋体" w:hint="default"/>
                <w:sz w:val="18"/>
                <w:szCs w:val="18"/>
              </w:rPr>
            </w:pPr>
            <w:r>
              <w:rPr>
                <w:rFonts w:ascii="宋体" w:hAnsi="宋体" w:cs="宋体" w:eastAsia="宋体" w:hint="default"/>
                <w:spacing w:val="-3"/>
                <w:sz w:val="18"/>
                <w:szCs w:val="18"/>
              </w:rPr>
              <w:t>购买生产用水和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供暖用蒸汽及其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他服务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1,278,048.00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881,100.36</w:t>
            </w:r>
          </w:p>
        </w:tc>
      </w:tr>
    </w:tbl>
    <w:p>
      <w:pPr>
        <w:spacing w:line="240" w:lineRule="auto" w:before="9"/>
        <w:rPr>
          <w:rFonts w:ascii="宋体" w:hAnsi="宋体" w:cs="宋体" w:eastAsia="宋体" w:hint="default"/>
          <w:sz w:val="27"/>
          <w:szCs w:val="27"/>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b/>
          <w:bCs/>
          <w:sz w:val="18"/>
          <w:szCs w:val="18"/>
        </w:rPr>
        <w:t>出售商品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提供劳务情况表</w:t>
      </w:r>
      <w:r>
        <w:rPr>
          <w:rFonts w:ascii="宋体" w:hAnsi="宋体" w:cs="宋体" w:eastAsia="宋体" w:hint="default"/>
          <w:sz w:val="18"/>
          <w:szCs w:val="18"/>
        </w:rPr>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6"/>
        <w:gridCol w:w="2262"/>
        <w:gridCol w:w="2261"/>
        <w:gridCol w:w="2651"/>
      </w:tblGrid>
      <w:tr>
        <w:trPr>
          <w:trHeight w:val="404"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7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西安杨森制药有限公司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13,005,587.23</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23,732,143.91</w:t>
            </w:r>
          </w:p>
        </w:tc>
      </w:tr>
      <w:tr>
        <w:trPr>
          <w:trHeight w:val="398"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西安海欣制药有限公司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1,068,932.35</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822,203.34</w:t>
            </w: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7"/>
              <w:jc w:val="left"/>
              <w:rPr>
                <w:rFonts w:ascii="宋体" w:hAnsi="宋体" w:cs="宋体" w:eastAsia="宋体" w:hint="default"/>
                <w:sz w:val="18"/>
                <w:szCs w:val="18"/>
              </w:rPr>
            </w:pPr>
            <w:r>
              <w:rPr>
                <w:rFonts w:ascii="宋体" w:hAnsi="宋体" w:cs="宋体" w:eastAsia="宋体" w:hint="default"/>
                <w:spacing w:val="-3"/>
                <w:sz w:val="18"/>
                <w:szCs w:val="18"/>
              </w:rPr>
              <w:t>陕西医药控股集团天宁制药有</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限责任公司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1"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112,762.15</w:t>
            </w: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陕西医药控股集团实业开发有</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限责任公司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1"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344,184.32</w:t>
            </w: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陕西医药控股集团派昂医药有</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限责任公司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1"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220,405.47</w:t>
            </w:r>
          </w:p>
        </w:tc>
      </w:tr>
      <w:tr>
        <w:trPr>
          <w:trHeight w:val="40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陕西孙思邈高新制药有限公司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90,252.10</w:t>
            </w:r>
          </w:p>
        </w:tc>
        <w:tc>
          <w:tcPr>
            <w:tcW w:w="265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关联受托管理/承包及委托管理/出包情况" w:id="472"/>
      <w:bookmarkEnd w:id="472"/>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关联租赁情况" w:id="473"/>
      <w:bookmarkEnd w:id="473"/>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4）关联担保情况" w:id="474"/>
      <w:bookmarkEnd w:id="474"/>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460" w:footer="979" w:top="1060" w:bottom="1160" w:left="980" w:right="0"/>
        </w:sectPr>
      </w:pPr>
    </w:p>
    <w:p>
      <w:pPr>
        <w:spacing w:line="240" w:lineRule="auto" w:before="3"/>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1"/>
          <w:szCs w:val="21"/>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本公司作为被担保方</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99"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陕药集团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陕药集团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陕药集团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关联方资金拆借" w:id="475"/>
      <w:bookmarkEnd w:id="475"/>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1"/>
        <w:gridCol w:w="1916"/>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102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24" w:right="75"/>
              <w:jc w:val="left"/>
              <w:rPr>
                <w:rFonts w:ascii="宋体" w:hAnsi="宋体" w:cs="宋体" w:eastAsia="宋体" w:hint="default"/>
                <w:sz w:val="18"/>
                <w:szCs w:val="18"/>
              </w:rPr>
            </w:pPr>
            <w:r>
              <w:rPr>
                <w:rFonts w:ascii="宋体" w:hAnsi="宋体" w:cs="宋体" w:eastAsia="宋体" w:hint="default"/>
                <w:spacing w:val="-2"/>
                <w:sz w:val="18"/>
                <w:szCs w:val="18"/>
              </w:rPr>
              <w:t>陕西医药控股集团有限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责任公司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4"/>
              <w:ind w:left="24" w:right="-44"/>
              <w:jc w:val="left"/>
              <w:rPr>
                <w:rFonts w:ascii="宋体" w:hAnsi="宋体" w:cs="宋体" w:eastAsia="宋体" w:hint="default"/>
                <w:sz w:val="18"/>
                <w:szCs w:val="18"/>
              </w:rPr>
            </w:pPr>
            <w:r>
              <w:rPr>
                <w:rFonts w:ascii="宋体" w:hAnsi="宋体" w:cs="宋体" w:eastAsia="宋体" w:hint="default"/>
                <w:spacing w:val="-2"/>
                <w:sz w:val="18"/>
                <w:szCs w:val="18"/>
              </w:rPr>
              <w:t>利率：</w:t>
            </w:r>
            <w:r>
              <w:rPr>
                <w:rFonts w:ascii="Times New Roman" w:hAnsi="Times New Roman" w:cs="Times New Roman" w:eastAsia="Times New Roman" w:hint="default"/>
                <w:spacing w:val="-2"/>
                <w:sz w:val="18"/>
                <w:szCs w:val="18"/>
              </w:rPr>
              <w:t>4.35%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4.785%</w:t>
            </w:r>
            <w:r>
              <w:rPr>
                <w:rFonts w:ascii="宋体" w:hAnsi="宋体" w:cs="宋体" w:eastAsia="宋体" w:hint="default"/>
                <w:spacing w:val="-2"/>
                <w:sz w:val="18"/>
                <w:szCs w:val="18"/>
              </w:rPr>
              <w:t>，</w:t>
            </w:r>
            <w:r>
              <w:rPr>
                <w:rFonts w:ascii="宋体" w:hAnsi="宋体" w:cs="宋体" w:eastAsia="宋体" w:hint="default"/>
                <w:spacing w:val="-58"/>
                <w:sz w:val="18"/>
                <w:szCs w:val="18"/>
              </w:rPr>
              <w:t> </w:t>
            </w:r>
            <w:r>
              <w:rPr>
                <w:rFonts w:ascii="宋体" w:hAnsi="宋体" w:cs="宋体" w:eastAsia="宋体" w:hint="default"/>
                <w:sz w:val="18"/>
                <w:szCs w:val="18"/>
              </w:rPr>
              <w:t>借款期限</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个月，支付</w:t>
            </w:r>
          </w:p>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借款利息</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169.11</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万元</w:t>
            </w:r>
            <w:r>
              <w:rPr>
                <w:rFonts w:ascii="宋体" w:hAnsi="宋体" w:cs="宋体" w:eastAsia="宋体" w:hint="default"/>
                <w:sz w:val="18"/>
                <w:szCs w:val="18"/>
              </w:rPr>
            </w:r>
          </w:p>
        </w:tc>
      </w:tr>
      <w:tr>
        <w:trPr>
          <w:trHeight w:val="398" w:hRule="exact"/>
        </w:trPr>
        <w:tc>
          <w:tcPr>
            <w:tcW w:w="9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关联方资产转让、债务重组情况" w:id="476"/>
      <w:bookmarkEnd w:id="476"/>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7）关键管理人员报酬" w:id="477"/>
      <w:bookmarkEnd w:id="477"/>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关键管理人员报酬合计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3,210,718.50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3,237,841.00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8）其他关联交易" w:id="478"/>
      <w:bookmarkEnd w:id="478"/>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6、关联方应收应付款项" w:id="479"/>
      <w:bookmarkEnd w:id="479"/>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480"/>
      <w:bookmarkEnd w:id="480"/>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398" w:hRule="exact"/>
        </w:trPr>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594"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西安杨森制药有限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15" w:right="0"/>
              <w:jc w:val="left"/>
              <w:rPr>
                <w:rFonts w:ascii="Times New Roman" w:hAnsi="Times New Roman" w:cs="Times New Roman" w:eastAsia="Times New Roman" w:hint="default"/>
                <w:sz w:val="18"/>
                <w:szCs w:val="18"/>
              </w:rPr>
            </w:pPr>
            <w:r>
              <w:rPr>
                <w:rFonts w:ascii="Times New Roman"/>
                <w:sz w:val="18"/>
              </w:rPr>
              <w:t>3,090,209.59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48" w:right="0"/>
              <w:jc w:val="left"/>
              <w:rPr>
                <w:rFonts w:ascii="Times New Roman" w:hAnsi="Times New Roman" w:cs="Times New Roman" w:eastAsia="Times New Roman" w:hint="default"/>
                <w:sz w:val="18"/>
                <w:szCs w:val="18"/>
              </w:rPr>
            </w:pPr>
            <w:r>
              <w:rPr>
                <w:rFonts w:ascii="Times New Roman"/>
                <w:sz w:val="18"/>
              </w:rPr>
              <w:t>154,510.48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6,881,034.97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49" w:right="0"/>
              <w:jc w:val="left"/>
              <w:rPr>
                <w:rFonts w:ascii="Times New Roman" w:hAnsi="Times New Roman" w:cs="Times New Roman" w:eastAsia="Times New Roman" w:hint="default"/>
                <w:sz w:val="18"/>
                <w:szCs w:val="18"/>
              </w:rPr>
            </w:pPr>
            <w:r>
              <w:rPr>
                <w:rFonts w:ascii="Times New Roman"/>
                <w:sz w:val="18"/>
              </w:rPr>
              <w:t>344,051.75</w:t>
            </w:r>
          </w:p>
        </w:tc>
      </w:tr>
    </w:tbl>
    <w:p>
      <w:pPr>
        <w:spacing w:after="0" w:line="240" w:lineRule="auto"/>
        <w:jc w:val="left"/>
        <w:rPr>
          <w:rFonts w:ascii="Times New Roman" w:hAnsi="Times New Roman" w:cs="Times New Roman" w:eastAsia="Times New Roman" w:hint="default"/>
          <w:sz w:val="18"/>
          <w:szCs w:val="18"/>
        </w:rPr>
        <w:sectPr>
          <w:pgSz w:w="11910" w:h="16840"/>
          <w:pgMar w:header="460" w:footer="979" w:top="1060" w:bottom="1160" w:left="980" w:right="0"/>
        </w:sectPr>
      </w:pPr>
    </w:p>
    <w:p>
      <w:pPr>
        <w:spacing w:line="240" w:lineRule="auto" w:before="12"/>
        <w:rPr>
          <w:rFonts w:ascii="宋体" w:hAnsi="宋体" w:cs="宋体" w:eastAsia="宋体"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西安海欣制药有限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468,500.74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23,425.04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997,820.10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62,192.12</w:t>
            </w:r>
          </w:p>
        </w:tc>
      </w:tr>
      <w:tr>
        <w:trPr>
          <w:trHeight w:val="102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18"/>
              <w:jc w:val="both"/>
              <w:rPr>
                <w:rFonts w:ascii="宋体" w:hAnsi="宋体" w:cs="宋体" w:eastAsia="宋体" w:hint="default"/>
                <w:sz w:val="18"/>
                <w:szCs w:val="18"/>
              </w:rPr>
            </w:pPr>
            <w:r>
              <w:rPr>
                <w:rFonts w:ascii="宋体" w:hAnsi="宋体" w:cs="宋体" w:eastAsia="宋体" w:hint="default"/>
                <w:spacing w:val="-2"/>
                <w:sz w:val="18"/>
                <w:szCs w:val="18"/>
              </w:rPr>
              <w:t>陕西医药控股集团</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天宁制药有限责任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8.25</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18"/>
              <w:jc w:val="both"/>
              <w:rPr>
                <w:rFonts w:ascii="宋体" w:hAnsi="宋体" w:cs="宋体" w:eastAsia="宋体" w:hint="default"/>
                <w:sz w:val="18"/>
                <w:szCs w:val="18"/>
              </w:rPr>
            </w:pPr>
            <w:r>
              <w:rPr>
                <w:rFonts w:ascii="宋体" w:hAnsi="宋体" w:cs="宋体" w:eastAsia="宋体" w:hint="default"/>
                <w:spacing w:val="-2"/>
                <w:sz w:val="18"/>
                <w:szCs w:val="18"/>
              </w:rPr>
              <w:t>陕西医药控股集团</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实业开发有限责任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639,851.00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3"/>
                <w:sz w:val="18"/>
              </w:rPr>
              <w:t>111,576.54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789,851.00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58,890.41</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陕西孙思邈高新制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101,984.87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5,099.24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7" w:firstLine="91"/>
              <w:jc w:val="left"/>
              <w:rPr>
                <w:rFonts w:ascii="宋体" w:hAnsi="宋体" w:cs="宋体" w:eastAsia="宋体" w:hint="default"/>
                <w:sz w:val="18"/>
                <w:szCs w:val="18"/>
              </w:rPr>
            </w:pPr>
            <w:r>
              <w:rPr>
                <w:rFonts w:ascii="宋体" w:hAnsi="宋体" w:cs="宋体" w:eastAsia="宋体" w:hint="default"/>
                <w:spacing w:val="-2"/>
                <w:sz w:val="18"/>
                <w:szCs w:val="18"/>
              </w:rPr>
              <w:t>西安德宝药用包装</w:t>
            </w:r>
            <w:r>
              <w:rPr>
                <w:rFonts w:ascii="宋体" w:hAnsi="宋体" w:cs="宋体" w:eastAsia="宋体" w:hint="default"/>
                <w:w w:val="101"/>
                <w:sz w:val="18"/>
                <w:szCs w:val="18"/>
              </w:rPr>
              <w:t> </w:t>
            </w:r>
            <w:r>
              <w:rPr>
                <w:rFonts w:ascii="宋体" w:hAnsi="宋体" w:cs="宋体" w:eastAsia="宋体" w:hint="default"/>
                <w:sz w:val="18"/>
                <w:szCs w:val="18"/>
              </w:rPr>
              <w:t>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36,267.30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1,813.37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应付项目" w:id="481"/>
      <w:bookmarkEnd w:id="481"/>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5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5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652" w:right="109" w:hanging="543"/>
              <w:jc w:val="left"/>
              <w:rPr>
                <w:rFonts w:ascii="宋体" w:hAnsi="宋体" w:cs="宋体" w:eastAsia="宋体" w:hint="default"/>
                <w:sz w:val="18"/>
                <w:szCs w:val="18"/>
              </w:rPr>
            </w:pPr>
            <w:r>
              <w:rPr>
                <w:rFonts w:ascii="宋体" w:hAnsi="宋体" w:cs="宋体" w:eastAsia="宋体" w:hint="default"/>
                <w:spacing w:val="-3"/>
                <w:sz w:val="18"/>
                <w:szCs w:val="18"/>
              </w:rPr>
              <w:t>陕西医药控股集团实业开发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50" w:right="0"/>
              <w:jc w:val="left"/>
              <w:rPr>
                <w:rFonts w:ascii="Times New Roman" w:hAnsi="Times New Roman" w:cs="Times New Roman" w:eastAsia="Times New Roman" w:hint="default"/>
                <w:sz w:val="18"/>
                <w:szCs w:val="18"/>
              </w:rPr>
            </w:pPr>
            <w:r>
              <w:rPr>
                <w:rFonts w:ascii="Times New Roman"/>
                <w:sz w:val="18"/>
              </w:rPr>
              <w:t>271,698.12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西安海欣制药有限公司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424,800.00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13" w:right="109" w:hanging="903"/>
              <w:jc w:val="left"/>
              <w:rPr>
                <w:rFonts w:ascii="宋体" w:hAnsi="宋体" w:cs="宋体" w:eastAsia="宋体" w:hint="default"/>
                <w:sz w:val="18"/>
                <w:szCs w:val="18"/>
              </w:rPr>
            </w:pPr>
            <w:r>
              <w:rPr>
                <w:rFonts w:ascii="宋体" w:hAnsi="宋体" w:cs="宋体" w:eastAsia="宋体" w:hint="default"/>
                <w:spacing w:val="-3"/>
                <w:sz w:val="18"/>
                <w:szCs w:val="18"/>
              </w:rPr>
              <w:t>陕西医药控股集团有限责任</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关联方承诺" w:id="482"/>
      <w:bookmarkEnd w:id="482"/>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4"/>
        <w:rPr>
          <w:rFonts w:ascii="宋体" w:hAnsi="宋体" w:cs="宋体" w:eastAsia="宋体" w:hint="default"/>
          <w:b/>
          <w:bCs/>
          <w:sz w:val="26"/>
          <w:szCs w:val="26"/>
        </w:rPr>
      </w:pPr>
    </w:p>
    <w:p>
      <w:pPr>
        <w:spacing w:line="304" w:lineRule="auto" w:before="0"/>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详见“第五节 重要事项”之“三、承诺事项履行情况”之“</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、公司实际控制人、股东、关联方、收购人以及公司等承诺相</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3"/>
          <w:sz w:val="18"/>
          <w:szCs w:val="18"/>
        </w:rPr>
        <w:t>关方在报告期内履行完毕及截至报告期末尚未履行完毕的承诺事项”</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8、其他" w:id="483"/>
      <w:bookmarkEnd w:id="483"/>
      <w:r>
        <w:rPr>
          <w:b w:val="0"/>
          <w:bCs w:val="0"/>
        </w:rPr>
      </w:r>
      <w:r>
        <w:rPr>
          <w:rFonts w:ascii="Times New Roman" w:hAnsi="Times New Roman" w:cs="Times New Roman" w:eastAsia="Times New Roman" w:hint="default"/>
        </w:rPr>
        <w:t>8</w:t>
      </w:r>
      <w:r>
        <w:rPr/>
        <w:t>、其他</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Heading2"/>
        <w:spacing w:line="240" w:lineRule="auto"/>
        <w:ind w:right="0"/>
        <w:jc w:val="left"/>
        <w:rPr>
          <w:b w:val="0"/>
          <w:bCs w:val="0"/>
        </w:rPr>
      </w:pPr>
      <w:bookmarkStart w:name="十三、股份支付" w:id="484"/>
      <w:bookmarkEnd w:id="484"/>
      <w:r>
        <w:rPr>
          <w:b w:val="0"/>
          <w:bCs w:val="0"/>
        </w:rPr>
      </w:r>
      <w:r>
        <w:rPr/>
        <w:t>十三、股份支付</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十四、承诺及或有事项" w:id="485"/>
      <w:bookmarkEnd w:id="485"/>
      <w:r>
        <w:rPr>
          <w:b w:val="0"/>
          <w:bCs w:val="0"/>
        </w:rPr>
      </w:r>
      <w:r>
        <w:rPr/>
        <w:t>十四、承诺及或有事项</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left"/>
        <w:rPr>
          <w:b w:val="0"/>
          <w:bCs w:val="0"/>
        </w:rPr>
      </w:pPr>
      <w:bookmarkStart w:name="1、重要承诺事项" w:id="486"/>
      <w:bookmarkEnd w:id="486"/>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460" w:footer="979" w:top="1060" w:bottom="1160" w:left="980" w:right="0"/>
        </w:sectPr>
      </w:pPr>
    </w:p>
    <w:p>
      <w:pPr>
        <w:spacing w:line="240" w:lineRule="auto" w:before="0"/>
        <w:rPr>
          <w:rFonts w:ascii="宋体" w:hAnsi="宋体" w:cs="宋体" w:eastAsia="宋体" w:hint="default"/>
          <w:sz w:val="24"/>
          <w:szCs w:val="24"/>
        </w:rPr>
      </w:pPr>
    </w:p>
    <w:p>
      <w:pPr>
        <w:pStyle w:val="Heading3"/>
        <w:spacing w:line="240" w:lineRule="auto" w:before="36"/>
        <w:ind w:right="0"/>
        <w:jc w:val="left"/>
        <w:rPr>
          <w:b w:val="0"/>
          <w:bCs w:val="0"/>
        </w:rPr>
      </w:pPr>
      <w:bookmarkStart w:name="2、或有事项" w:id="487"/>
      <w:bookmarkEnd w:id="487"/>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88"/>
      <w:bookmarkEnd w:id="488"/>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0"/>
        <w:rPr>
          <w:rFonts w:ascii="宋体" w:hAnsi="宋体" w:cs="宋体" w:eastAsia="宋体" w:hint="default"/>
          <w:b/>
          <w:bCs/>
          <w:sz w:val="31"/>
          <w:szCs w:val="31"/>
        </w:rPr>
      </w:pPr>
    </w:p>
    <w:p>
      <w:pPr>
        <w:pStyle w:val="BodyText"/>
        <w:spacing w:line="240" w:lineRule="auto" w:before="0"/>
        <w:ind w:left="575" w:right="0"/>
        <w:jc w:val="left"/>
      </w:pPr>
      <w:r>
        <w:rPr/>
        <w:t>（一）截止资产负债表日，本公司已背书给他人的尚未到期的银行承兑汇票</w:t>
      </w:r>
      <w:r>
        <w:rPr>
          <w:spacing w:val="-48"/>
        </w:rPr>
        <w:t> </w:t>
      </w:r>
      <w:r>
        <w:rPr>
          <w:rFonts w:ascii="宋体" w:hAnsi="宋体" w:cs="宋体" w:eastAsia="宋体" w:hint="default"/>
        </w:rPr>
        <w:t>55,451,816.52</w:t>
      </w:r>
      <w:r>
        <w:rPr>
          <w:rFonts w:ascii="宋体" w:hAnsi="宋体" w:cs="宋体" w:eastAsia="宋体" w:hint="default"/>
          <w:spacing w:val="-55"/>
        </w:rPr>
        <w:t> </w:t>
      </w:r>
      <w:r>
        <w:rPr/>
        <w:t>元。</w:t>
      </w:r>
    </w:p>
    <w:p>
      <w:pPr>
        <w:spacing w:line="240" w:lineRule="auto" w:before="8"/>
        <w:rPr>
          <w:rFonts w:ascii="宋体" w:hAnsi="宋体" w:cs="宋体" w:eastAsia="宋体" w:hint="default"/>
          <w:sz w:val="14"/>
          <w:szCs w:val="14"/>
        </w:rPr>
      </w:pPr>
    </w:p>
    <w:p>
      <w:pPr>
        <w:pStyle w:val="BodyText"/>
        <w:spacing w:line="240" w:lineRule="auto" w:before="0"/>
        <w:ind w:left="575" w:right="0"/>
        <w:jc w:val="left"/>
        <w:rPr>
          <w:rFonts w:ascii="宋体" w:hAnsi="宋体" w:cs="宋体" w:eastAsia="宋体" w:hint="default"/>
        </w:rPr>
      </w:pPr>
      <w:r>
        <w:rPr>
          <w:w w:val="100"/>
        </w:rPr>
        <w:t>（二</w:t>
      </w:r>
      <w:r>
        <w:rPr>
          <w:spacing w:val="-106"/>
          <w:w w:val="100"/>
        </w:rPr>
        <w:t>）</w:t>
      </w:r>
      <w:r>
        <w:rPr>
          <w:w w:val="100"/>
        </w:rPr>
        <w:t>本公</w:t>
      </w:r>
      <w:r>
        <w:rPr>
          <w:spacing w:val="-5"/>
          <w:w w:val="100"/>
        </w:rPr>
        <w:t>司</w:t>
      </w:r>
      <w:r>
        <w:rPr>
          <w:w w:val="100"/>
        </w:rPr>
        <w:t>为子公</w:t>
      </w:r>
      <w:r>
        <w:rPr>
          <w:spacing w:val="-5"/>
          <w:w w:val="100"/>
        </w:rPr>
        <w:t>司</w:t>
      </w:r>
      <w:r>
        <w:rPr>
          <w:w w:val="100"/>
        </w:rPr>
        <w:t>天津环</w:t>
      </w:r>
      <w:r>
        <w:rPr>
          <w:spacing w:val="-5"/>
          <w:w w:val="100"/>
        </w:rPr>
        <w:t>球</w:t>
      </w:r>
      <w:r>
        <w:rPr>
          <w:w w:val="100"/>
        </w:rPr>
        <w:t>提供全</w:t>
      </w:r>
      <w:r>
        <w:rPr>
          <w:spacing w:val="-5"/>
          <w:w w:val="100"/>
        </w:rPr>
        <w:t>额</w:t>
      </w:r>
      <w:r>
        <w:rPr>
          <w:w w:val="100"/>
        </w:rPr>
        <w:t>担保</w:t>
      </w:r>
      <w:r>
        <w:rPr>
          <w:spacing w:val="-104"/>
          <w:w w:val="100"/>
        </w:rPr>
        <w:t>，</w:t>
      </w:r>
      <w:r>
        <w:rPr>
          <w:spacing w:val="-5"/>
          <w:w w:val="100"/>
        </w:rPr>
        <w:t>截</w:t>
      </w:r>
      <w:r>
        <w:rPr>
          <w:w w:val="100"/>
        </w:rPr>
        <w:t>止</w:t>
      </w:r>
      <w:r>
        <w:rPr>
          <w:spacing w:val="-77"/>
        </w:rPr>
        <w:t> </w:t>
      </w:r>
      <w:r>
        <w:rPr>
          <w:rFonts w:ascii="宋体" w:hAnsi="宋体" w:cs="宋体" w:eastAsia="宋体" w:hint="default"/>
          <w:w w:val="100"/>
        </w:rPr>
        <w:t>2</w:t>
      </w:r>
      <w:r>
        <w:rPr>
          <w:rFonts w:ascii="宋体" w:hAnsi="宋体" w:cs="宋体" w:eastAsia="宋体" w:hint="default"/>
          <w:spacing w:val="-5"/>
          <w:w w:val="100"/>
        </w:rPr>
        <w:t>0</w:t>
      </w:r>
      <w:r>
        <w:rPr>
          <w:rFonts w:ascii="宋体" w:hAnsi="宋体" w:cs="宋体" w:eastAsia="宋体" w:hint="default"/>
          <w:w w:val="100"/>
        </w:rPr>
        <w:t>19</w:t>
      </w:r>
      <w:r>
        <w:rPr>
          <w:rFonts w:ascii="宋体" w:hAnsi="宋体" w:cs="宋体" w:eastAsia="宋体" w:hint="default"/>
          <w:spacing w:val="-77"/>
        </w:rPr>
        <w:t> </w:t>
      </w:r>
      <w:r>
        <w:rPr>
          <w:w w:val="100"/>
        </w:rPr>
        <w:t>年</w:t>
      </w:r>
      <w:r>
        <w:rPr>
          <w:spacing w:val="-77"/>
        </w:rPr>
        <w:t> </w:t>
      </w:r>
      <w:r>
        <w:rPr>
          <w:rFonts w:ascii="宋体" w:hAnsi="宋体" w:cs="宋体" w:eastAsia="宋体" w:hint="default"/>
          <w:spacing w:val="-5"/>
          <w:w w:val="100"/>
        </w:rPr>
        <w:t>1</w:t>
      </w:r>
      <w:r>
        <w:rPr>
          <w:rFonts w:ascii="宋体" w:hAnsi="宋体" w:cs="宋体" w:eastAsia="宋体" w:hint="default"/>
          <w:w w:val="100"/>
        </w:rPr>
        <w:t>2</w:t>
      </w:r>
      <w:r>
        <w:rPr>
          <w:rFonts w:ascii="宋体" w:hAnsi="宋体" w:cs="宋体" w:eastAsia="宋体" w:hint="default"/>
          <w:spacing w:val="-81"/>
        </w:rPr>
        <w:t> </w:t>
      </w:r>
      <w:r>
        <w:rPr>
          <w:w w:val="100"/>
        </w:rPr>
        <w:t>月</w:t>
      </w:r>
      <w:r>
        <w:rPr>
          <w:spacing w:val="-77"/>
        </w:rPr>
        <w:t> </w:t>
      </w:r>
      <w:r>
        <w:rPr>
          <w:rFonts w:ascii="宋体" w:hAnsi="宋体" w:cs="宋体" w:eastAsia="宋体" w:hint="default"/>
          <w:w w:val="100"/>
        </w:rPr>
        <w:t>31</w:t>
      </w:r>
      <w:r>
        <w:rPr>
          <w:rFonts w:ascii="宋体" w:hAnsi="宋体" w:cs="宋体" w:eastAsia="宋体" w:hint="default"/>
          <w:spacing w:val="-81"/>
        </w:rPr>
        <w:t> </w:t>
      </w:r>
      <w:r>
        <w:rPr>
          <w:w w:val="100"/>
        </w:rPr>
        <w:t>日取得</w:t>
      </w:r>
      <w:r>
        <w:rPr>
          <w:spacing w:val="-5"/>
          <w:w w:val="100"/>
        </w:rPr>
        <w:t>招</w:t>
      </w:r>
      <w:r>
        <w:rPr>
          <w:w w:val="100"/>
        </w:rPr>
        <w:t>商银行</w:t>
      </w:r>
      <w:r>
        <w:rPr>
          <w:spacing w:val="-5"/>
          <w:w w:val="100"/>
        </w:rPr>
        <w:t>借</w:t>
      </w:r>
      <w:r>
        <w:rPr>
          <w:w w:val="100"/>
        </w:rPr>
        <w:t>款</w:t>
      </w:r>
      <w:r>
        <w:rPr>
          <w:spacing w:val="-76"/>
        </w:rPr>
        <w:t> </w:t>
      </w:r>
      <w:r>
        <w:rPr>
          <w:rFonts w:ascii="宋体" w:hAnsi="宋体" w:cs="宋体" w:eastAsia="宋体" w:hint="default"/>
          <w:w w:val="100"/>
        </w:rPr>
        <w:t>7,</w:t>
      </w:r>
      <w:r>
        <w:rPr>
          <w:rFonts w:ascii="宋体" w:hAnsi="宋体" w:cs="宋体" w:eastAsia="宋体" w:hint="default"/>
          <w:spacing w:val="-5"/>
          <w:w w:val="100"/>
        </w:rPr>
        <w:t>8</w:t>
      </w:r>
      <w:r>
        <w:rPr>
          <w:rFonts w:ascii="宋体" w:hAnsi="宋体" w:cs="宋体" w:eastAsia="宋体" w:hint="default"/>
          <w:w w:val="100"/>
        </w:rPr>
        <w:t>54,977.</w:t>
      </w:r>
      <w:r>
        <w:rPr>
          <w:rFonts w:ascii="宋体" w:hAnsi="宋体" w:cs="宋体" w:eastAsia="宋体" w:hint="default"/>
          <w:spacing w:val="-5"/>
          <w:w w:val="100"/>
        </w:rPr>
        <w:t>7</w:t>
      </w:r>
      <w:r>
        <w:rPr>
          <w:rFonts w:ascii="宋体" w:hAnsi="宋体" w:cs="宋体" w:eastAsia="宋体" w:hint="default"/>
          <w:w w:val="100"/>
        </w:rPr>
        <w:t>3</w:t>
      </w:r>
    </w:p>
    <w:p>
      <w:pPr>
        <w:spacing w:line="240" w:lineRule="auto" w:before="12"/>
        <w:rPr>
          <w:rFonts w:ascii="宋体" w:hAnsi="宋体" w:cs="宋体" w:eastAsia="宋体" w:hint="default"/>
          <w:sz w:val="14"/>
          <w:szCs w:val="14"/>
        </w:rPr>
      </w:pPr>
    </w:p>
    <w:p>
      <w:pPr>
        <w:pStyle w:val="BodyText"/>
        <w:spacing w:line="240" w:lineRule="auto" w:before="0"/>
        <w:ind w:right="0"/>
        <w:jc w:val="left"/>
      </w:pPr>
      <w:r>
        <w:rPr>
          <w:w w:val="100"/>
        </w:rPr>
        <w:t>元</w:t>
      </w:r>
    </w:p>
    <w:p>
      <w:pPr>
        <w:spacing w:line="240" w:lineRule="auto" w:before="8"/>
        <w:rPr>
          <w:rFonts w:ascii="宋体" w:hAnsi="宋体" w:cs="宋体" w:eastAsia="宋体" w:hint="default"/>
          <w:sz w:val="14"/>
          <w:szCs w:val="14"/>
        </w:rPr>
      </w:pPr>
    </w:p>
    <w:p>
      <w:pPr>
        <w:pStyle w:val="BodyText"/>
        <w:spacing w:line="240" w:lineRule="auto" w:before="0"/>
        <w:ind w:left="575" w:right="0"/>
        <w:jc w:val="left"/>
      </w:pPr>
      <w:r>
        <w:rPr>
          <w:spacing w:val="2"/>
        </w:rPr>
        <w:t>（三）本公司为子公司霍尔果斯领凯提供全额担保，截止 </w:t>
      </w:r>
      <w:r>
        <w:rPr>
          <w:rFonts w:ascii="宋体" w:hAnsi="宋体" w:cs="宋体" w:eastAsia="宋体" w:hint="default"/>
        </w:rPr>
        <w:t>2019 </w:t>
      </w:r>
      <w:r>
        <w:rPr/>
        <w:t>年 </w:t>
      </w:r>
      <w:r>
        <w:rPr>
          <w:rFonts w:ascii="宋体" w:hAnsi="宋体" w:cs="宋体" w:eastAsia="宋体" w:hint="default"/>
        </w:rPr>
        <w:t>12 </w:t>
      </w:r>
      <w:r>
        <w:rPr/>
        <w:t>月 </w:t>
      </w:r>
      <w:r>
        <w:rPr>
          <w:rFonts w:ascii="宋体" w:hAnsi="宋体" w:cs="宋体" w:eastAsia="宋体" w:hint="default"/>
        </w:rPr>
        <w:t>31 </w:t>
      </w:r>
      <w:r>
        <w:rPr>
          <w:rFonts w:ascii="宋体" w:hAnsi="宋体" w:cs="宋体" w:eastAsia="宋体" w:hint="default"/>
          <w:spacing w:val="3"/>
        </w:rPr>
        <w:t> </w:t>
      </w:r>
      <w:r>
        <w:rPr>
          <w:spacing w:val="2"/>
        </w:rPr>
        <w:t>日取得永丰银行借款</w:t>
      </w:r>
      <w:r>
        <w:rPr/>
      </w:r>
    </w:p>
    <w:p>
      <w:pPr>
        <w:spacing w:line="240" w:lineRule="auto" w:before="12"/>
        <w:rPr>
          <w:rFonts w:ascii="宋体" w:hAnsi="宋体" w:cs="宋体" w:eastAsia="宋体" w:hint="default"/>
          <w:sz w:val="14"/>
          <w:szCs w:val="14"/>
        </w:rPr>
      </w:pPr>
    </w:p>
    <w:p>
      <w:pPr>
        <w:pStyle w:val="BodyText"/>
        <w:spacing w:line="240" w:lineRule="auto" w:before="0"/>
        <w:ind w:right="0"/>
        <w:jc w:val="left"/>
      </w:pPr>
      <w:r>
        <w:rPr>
          <w:rFonts w:ascii="宋体" w:hAnsi="宋体" w:cs="宋体" w:eastAsia="宋体" w:hint="default"/>
        </w:rPr>
        <w:t>15,000,000.00</w:t>
      </w:r>
      <w:r>
        <w:rPr>
          <w:rFonts w:ascii="宋体" w:hAnsi="宋体" w:cs="宋体" w:eastAsia="宋体" w:hint="default"/>
          <w:spacing w:val="-47"/>
        </w:rPr>
        <w:t> </w:t>
      </w:r>
      <w:r>
        <w:rPr/>
        <w:t>元。</w:t>
      </w:r>
    </w:p>
    <w:p>
      <w:pPr>
        <w:spacing w:line="240" w:lineRule="auto" w:before="8"/>
        <w:rPr>
          <w:rFonts w:ascii="宋体" w:hAnsi="宋体" w:cs="宋体" w:eastAsia="宋体" w:hint="default"/>
          <w:sz w:val="14"/>
          <w:szCs w:val="14"/>
        </w:rPr>
      </w:pPr>
    </w:p>
    <w:p>
      <w:pPr>
        <w:pStyle w:val="BodyText"/>
        <w:spacing w:line="240" w:lineRule="auto" w:before="0"/>
        <w:ind w:left="575" w:right="0"/>
        <w:jc w:val="left"/>
      </w:pPr>
      <w:r>
        <w:rPr/>
        <w:t>（四）本公司为霍尔果斯领凯之子公司江苏领凯提供全额担保，截止</w:t>
      </w:r>
      <w:r>
        <w:rPr>
          <w:spacing w:val="-36"/>
        </w:rPr>
        <w:t> </w:t>
      </w:r>
      <w:r>
        <w:rPr>
          <w:rFonts w:ascii="宋体" w:hAnsi="宋体" w:cs="宋体" w:eastAsia="宋体" w:hint="default"/>
        </w:rPr>
        <w:t>2019</w:t>
      </w:r>
      <w:r>
        <w:rPr>
          <w:rFonts w:ascii="宋体" w:hAnsi="宋体" w:cs="宋体" w:eastAsia="宋体" w:hint="default"/>
          <w:spacing w:val="-37"/>
        </w:rPr>
        <w:t> </w:t>
      </w:r>
      <w:r>
        <w:rPr/>
        <w:t>年</w:t>
      </w:r>
      <w:r>
        <w:rPr>
          <w:spacing w:val="-37"/>
        </w:rPr>
        <w:t> </w:t>
      </w:r>
      <w:r>
        <w:rPr>
          <w:rFonts w:ascii="宋体" w:hAnsi="宋体" w:cs="宋体" w:eastAsia="宋体" w:hint="default"/>
          <w:spacing w:val="-3"/>
        </w:rPr>
        <w:t>12</w:t>
      </w:r>
      <w:r>
        <w:rPr>
          <w:rFonts w:ascii="宋体" w:hAnsi="宋体" w:cs="宋体" w:eastAsia="宋体" w:hint="default"/>
          <w:spacing w:val="-37"/>
        </w:rPr>
        <w:t> </w:t>
      </w:r>
      <w:r>
        <w:rPr/>
        <w:t>月</w:t>
      </w:r>
      <w:r>
        <w:rPr>
          <w:spacing w:val="-37"/>
        </w:rPr>
        <w:t> </w:t>
      </w:r>
      <w:r>
        <w:rPr>
          <w:rFonts w:ascii="宋体" w:hAnsi="宋体" w:cs="宋体" w:eastAsia="宋体" w:hint="default"/>
        </w:rPr>
        <w:t>31</w:t>
      </w:r>
      <w:r>
        <w:rPr>
          <w:rFonts w:ascii="宋体" w:hAnsi="宋体" w:cs="宋体" w:eastAsia="宋体" w:hint="default"/>
          <w:spacing w:val="-42"/>
        </w:rPr>
        <w:t> </w:t>
      </w:r>
      <w:r>
        <w:rPr/>
        <w:t>日取得招商银</w:t>
      </w:r>
    </w:p>
    <w:p>
      <w:pPr>
        <w:spacing w:line="240" w:lineRule="auto" w:before="12"/>
        <w:rPr>
          <w:rFonts w:ascii="宋体" w:hAnsi="宋体" w:cs="宋体" w:eastAsia="宋体" w:hint="default"/>
          <w:sz w:val="14"/>
          <w:szCs w:val="14"/>
        </w:rPr>
      </w:pPr>
    </w:p>
    <w:p>
      <w:pPr>
        <w:pStyle w:val="BodyText"/>
        <w:spacing w:line="240" w:lineRule="auto" w:before="0"/>
        <w:ind w:right="0"/>
        <w:jc w:val="left"/>
      </w:pPr>
      <w:r>
        <w:rPr/>
        <w:t>行股份有限公司南京分行</w:t>
      </w:r>
      <w:r>
        <w:rPr>
          <w:spacing w:val="-51"/>
        </w:rPr>
        <w:t> </w:t>
      </w:r>
      <w:r>
        <w:rPr>
          <w:rFonts w:ascii="宋体" w:hAnsi="宋体" w:cs="宋体" w:eastAsia="宋体" w:hint="default"/>
        </w:rPr>
        <w:t>20,000,000.00</w:t>
      </w:r>
      <w:r>
        <w:rPr>
          <w:rFonts w:ascii="宋体" w:hAnsi="宋体" w:cs="宋体" w:eastAsia="宋体" w:hint="default"/>
          <w:spacing w:val="-52"/>
        </w:rPr>
        <w:t> </w:t>
      </w:r>
      <w:r>
        <w:rPr/>
        <w:t>元。</w:t>
      </w:r>
    </w:p>
    <w:p>
      <w:pPr>
        <w:spacing w:line="240" w:lineRule="auto" w:before="8"/>
        <w:rPr>
          <w:rFonts w:ascii="宋体" w:hAnsi="宋体" w:cs="宋体" w:eastAsia="宋体" w:hint="default"/>
          <w:sz w:val="14"/>
          <w:szCs w:val="14"/>
        </w:rPr>
      </w:pPr>
    </w:p>
    <w:p>
      <w:pPr>
        <w:pStyle w:val="BodyText"/>
        <w:spacing w:line="410" w:lineRule="auto" w:before="0"/>
        <w:ind w:right="1125" w:firstLine="422"/>
        <w:jc w:val="left"/>
      </w:pPr>
      <w:r>
        <w:rPr>
          <w:spacing w:val="-11"/>
          <w:w w:val="100"/>
        </w:rPr>
        <w:t>（五）本公司为子公司陕西永鑫提供全额担保，截止</w:t>
      </w:r>
      <w:r>
        <w:rPr>
          <w:spacing w:val="-72"/>
          <w:w w:val="100"/>
        </w:rPr>
        <w:t> </w:t>
      </w:r>
      <w:r>
        <w:rPr>
          <w:rFonts w:ascii="宋体" w:hAnsi="宋体" w:cs="宋体" w:eastAsia="宋体" w:hint="default"/>
          <w:spacing w:val="-2"/>
          <w:w w:val="100"/>
        </w:rPr>
        <w:t>2019</w:t>
      </w:r>
      <w:r>
        <w:rPr>
          <w:rFonts w:ascii="宋体" w:hAnsi="宋体" w:cs="宋体" w:eastAsia="宋体" w:hint="default"/>
          <w:spacing w:val="-73"/>
          <w:w w:val="100"/>
        </w:rPr>
        <w:t> </w:t>
      </w:r>
      <w:r>
        <w:rPr>
          <w:w w:val="100"/>
        </w:rPr>
        <w:t>年</w:t>
      </w:r>
      <w:r>
        <w:rPr>
          <w:spacing w:val="-73"/>
          <w:w w:val="100"/>
        </w:rPr>
        <w:t> </w:t>
      </w:r>
      <w:r>
        <w:rPr>
          <w:rFonts w:ascii="宋体" w:hAnsi="宋体" w:cs="宋体" w:eastAsia="宋体" w:hint="default"/>
          <w:spacing w:val="-3"/>
          <w:w w:val="100"/>
        </w:rPr>
        <w:t>12</w:t>
      </w:r>
      <w:r>
        <w:rPr>
          <w:rFonts w:ascii="宋体" w:hAnsi="宋体" w:cs="宋体" w:eastAsia="宋体" w:hint="default"/>
          <w:spacing w:val="-78"/>
          <w:w w:val="100"/>
        </w:rPr>
        <w:t> </w:t>
      </w:r>
      <w:r>
        <w:rPr>
          <w:w w:val="100"/>
        </w:rPr>
        <w:t>月</w:t>
      </w:r>
      <w:r>
        <w:rPr>
          <w:spacing w:val="-73"/>
          <w:w w:val="100"/>
        </w:rPr>
        <w:t> </w:t>
      </w:r>
      <w:r>
        <w:rPr>
          <w:rFonts w:ascii="宋体" w:hAnsi="宋体" w:cs="宋体" w:eastAsia="宋体" w:hint="default"/>
          <w:w w:val="100"/>
        </w:rPr>
        <w:t>31</w:t>
      </w:r>
      <w:r>
        <w:rPr>
          <w:rFonts w:ascii="宋体" w:hAnsi="宋体" w:cs="宋体" w:eastAsia="宋体" w:hint="default"/>
          <w:spacing w:val="-78"/>
          <w:w w:val="100"/>
        </w:rPr>
        <w:t> </w:t>
      </w:r>
      <w:r>
        <w:rPr>
          <w:spacing w:val="-2"/>
          <w:w w:val="100"/>
        </w:rPr>
        <w:t>日取得浙商银行借款</w:t>
      </w:r>
      <w:r>
        <w:rPr>
          <w:spacing w:val="-72"/>
          <w:w w:val="100"/>
        </w:rPr>
        <w:t> </w:t>
      </w:r>
      <w:r>
        <w:rPr>
          <w:rFonts w:ascii="宋体" w:hAnsi="宋体" w:cs="宋体" w:eastAsia="宋体" w:hint="default"/>
          <w:spacing w:val="-2"/>
          <w:w w:val="100"/>
        </w:rPr>
        <w:t>5,000,000.00</w:t>
      </w:r>
      <w:r>
        <w:rPr>
          <w:rFonts w:ascii="宋体" w:hAnsi="宋体" w:cs="宋体" w:eastAsia="宋体" w:hint="default"/>
          <w:spacing w:val="-5"/>
          <w:w w:val="100"/>
        </w:rPr>
        <w:t> </w:t>
      </w:r>
      <w:r>
        <w:rPr/>
        <w:t>元。</w:t>
      </w:r>
    </w:p>
    <w:p>
      <w:pPr>
        <w:spacing w:line="240" w:lineRule="auto" w:before="1"/>
        <w:rPr>
          <w:rFonts w:ascii="宋体" w:hAnsi="宋体" w:cs="宋体" w:eastAsia="宋体" w:hint="default"/>
          <w:sz w:val="20"/>
          <w:szCs w:val="20"/>
        </w:rPr>
      </w:pPr>
    </w:p>
    <w:p>
      <w:pPr>
        <w:spacing w:line="484" w:lineRule="auto" w:before="0"/>
        <w:ind w:left="153" w:right="7859" w:firstLine="0"/>
        <w:jc w:val="left"/>
        <w:rPr>
          <w:rFonts w:ascii="宋体" w:hAnsi="宋体" w:cs="宋体" w:eastAsia="宋体" w:hint="default"/>
          <w:sz w:val="21"/>
          <w:szCs w:val="21"/>
        </w:rPr>
      </w:pPr>
      <w:bookmarkStart w:name="3、其他" w:id="489"/>
      <w:bookmarkEnd w:id="48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五、资产负债表日后事项" w:id="490"/>
      <w:bookmarkEnd w:id="490"/>
      <w:r>
        <w:rPr>
          <w:rFonts w:ascii="宋体" w:hAnsi="宋体" w:cs="宋体" w:eastAsia="宋体" w:hint="default"/>
          <w:b/>
          <w:bCs/>
          <w:w w:val="100"/>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bookmarkStart w:name="1、重要的非调整事项" w:id="491"/>
      <w:bookmarkEnd w:id="49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利润分配情况" w:id="492"/>
      <w:bookmarkEnd w:id="492"/>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3"/>
        <w:rPr>
          <w:rFonts w:ascii="宋体" w:hAnsi="宋体" w:cs="宋体" w:eastAsia="宋体" w:hint="default"/>
          <w:b/>
          <w:bCs/>
          <w:sz w:val="30"/>
          <w:szCs w:val="30"/>
        </w:rPr>
      </w:pPr>
    </w:p>
    <w:p>
      <w:pPr>
        <w:pStyle w:val="BodyText"/>
        <w:spacing w:line="240" w:lineRule="auto" w:before="0"/>
        <w:ind w:left="575" w:right="0"/>
        <w:jc w:val="left"/>
      </w:pPr>
      <w:r>
        <w:rPr/>
        <w:t>根据公司</w:t>
      </w:r>
      <w:r>
        <w:rPr>
          <w:spacing w:val="-33"/>
        </w:rPr>
        <w:t> </w:t>
      </w:r>
      <w:r>
        <w:rPr>
          <w:rFonts w:ascii="宋体" w:hAnsi="宋体" w:cs="宋体" w:eastAsia="宋体" w:hint="default"/>
        </w:rPr>
        <w:t>2020</w:t>
      </w:r>
      <w:r>
        <w:rPr>
          <w:rFonts w:ascii="宋体" w:hAnsi="宋体" w:cs="宋体" w:eastAsia="宋体" w:hint="default"/>
          <w:spacing w:val="-33"/>
        </w:rPr>
        <w:t> </w:t>
      </w:r>
      <w:r>
        <w:rPr/>
        <w:t>年</w:t>
      </w:r>
      <w:r>
        <w:rPr>
          <w:spacing w:val="-33"/>
        </w:rPr>
        <w:t> </w:t>
      </w:r>
      <w:r>
        <w:rPr>
          <w:rFonts w:ascii="宋体" w:hAnsi="宋体" w:cs="宋体" w:eastAsia="宋体" w:hint="default"/>
        </w:rPr>
        <w:t>4</w:t>
      </w:r>
      <w:r>
        <w:rPr>
          <w:rFonts w:ascii="宋体" w:hAnsi="宋体" w:cs="宋体" w:eastAsia="宋体" w:hint="default"/>
          <w:spacing w:val="-33"/>
        </w:rPr>
        <w:t> </w:t>
      </w:r>
      <w:r>
        <w:rPr/>
        <w:t>月</w:t>
      </w:r>
      <w:r>
        <w:rPr>
          <w:spacing w:val="-38"/>
        </w:rPr>
        <w:t> </w:t>
      </w:r>
      <w:r>
        <w:rPr>
          <w:rFonts w:ascii="宋体" w:hAnsi="宋体" w:cs="宋体" w:eastAsia="宋体" w:hint="default"/>
        </w:rPr>
        <w:t>9</w:t>
      </w:r>
      <w:r>
        <w:rPr>
          <w:rFonts w:ascii="宋体" w:hAnsi="宋体" w:cs="宋体" w:eastAsia="宋体" w:hint="default"/>
          <w:spacing w:val="-33"/>
        </w:rPr>
        <w:t> </w:t>
      </w:r>
      <w:r>
        <w:rPr/>
        <w:t>日第四届董事会第二十一次会议审议通过的《</w:t>
      </w:r>
      <w:r>
        <w:rPr>
          <w:rFonts w:ascii="宋体" w:hAnsi="宋体" w:cs="宋体" w:eastAsia="宋体" w:hint="default"/>
        </w:rPr>
        <w:t>2019</w:t>
      </w:r>
      <w:r>
        <w:rPr>
          <w:rFonts w:ascii="宋体" w:hAnsi="宋体" w:cs="宋体" w:eastAsia="宋体" w:hint="default"/>
          <w:spacing w:val="-33"/>
        </w:rPr>
        <w:t> </w:t>
      </w:r>
      <w:r>
        <w:rPr/>
        <w:t>年度利润分配预案》</w:t>
      </w:r>
      <w:r>
        <w:rPr>
          <w:rFonts w:ascii="宋体" w:hAnsi="宋体" w:cs="宋体" w:eastAsia="宋体" w:hint="default"/>
        </w:rPr>
        <w:t>:</w:t>
      </w:r>
      <w:r>
        <w:rPr/>
        <w:t>以</w:t>
      </w:r>
    </w:p>
    <w:p>
      <w:pPr>
        <w:spacing w:line="240" w:lineRule="auto" w:before="13"/>
        <w:rPr>
          <w:rFonts w:ascii="宋体" w:hAnsi="宋体" w:cs="宋体" w:eastAsia="宋体" w:hint="default"/>
          <w:sz w:val="14"/>
          <w:szCs w:val="14"/>
        </w:rPr>
      </w:pPr>
    </w:p>
    <w:p>
      <w:pPr>
        <w:pStyle w:val="BodyText"/>
        <w:spacing w:line="240" w:lineRule="auto" w:before="0"/>
        <w:ind w:right="0"/>
        <w:jc w:val="left"/>
      </w:pPr>
      <w:r>
        <w:rPr>
          <w:rFonts w:ascii="宋体" w:hAnsi="宋体" w:cs="宋体" w:eastAsia="宋体" w:hint="default"/>
          <w:w w:val="100"/>
        </w:rPr>
        <w:t>2019</w:t>
      </w:r>
      <w:r>
        <w:rPr>
          <w:rFonts w:ascii="宋体" w:hAnsi="宋体" w:cs="宋体" w:eastAsia="宋体" w:hint="default"/>
          <w:spacing w:val="-53"/>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7"/>
        </w:rPr>
        <w:t> </w:t>
      </w:r>
      <w:r>
        <w:rPr>
          <w:w w:val="100"/>
        </w:rPr>
        <w:t>月</w:t>
      </w:r>
      <w:r>
        <w:rPr>
          <w:spacing w:val="-53"/>
        </w:rPr>
        <w:t> </w:t>
      </w:r>
      <w:r>
        <w:rPr>
          <w:rFonts w:ascii="宋体" w:hAnsi="宋体" w:cs="宋体" w:eastAsia="宋体" w:hint="default"/>
          <w:w w:val="100"/>
        </w:rPr>
        <w:t>31</w:t>
      </w:r>
      <w:r>
        <w:rPr>
          <w:rFonts w:ascii="宋体" w:hAnsi="宋体" w:cs="宋体" w:eastAsia="宋体" w:hint="default"/>
          <w:spacing w:val="-53"/>
        </w:rPr>
        <w:t> </w:t>
      </w:r>
      <w:r>
        <w:rPr>
          <w:w w:val="100"/>
        </w:rPr>
        <w:t>日</w:t>
      </w:r>
      <w:r>
        <w:rPr>
          <w:spacing w:val="-5"/>
          <w:w w:val="100"/>
        </w:rPr>
        <w:t>总</w:t>
      </w:r>
      <w:r>
        <w:rPr>
          <w:w w:val="100"/>
        </w:rPr>
        <w:t>股本</w:t>
      </w:r>
      <w:r>
        <w:rPr>
          <w:spacing w:val="-52"/>
        </w:rPr>
        <w:t> </w:t>
      </w:r>
      <w:r>
        <w:rPr>
          <w:rFonts w:ascii="宋体" w:hAnsi="宋体" w:cs="宋体" w:eastAsia="宋体" w:hint="default"/>
          <w:w w:val="100"/>
        </w:rPr>
        <w:t>150</w:t>
      </w:r>
      <w:r>
        <w:rPr>
          <w:rFonts w:ascii="宋体" w:hAnsi="宋体" w:cs="宋体" w:eastAsia="宋体" w:hint="default"/>
          <w:spacing w:val="-5"/>
          <w:w w:val="100"/>
        </w:rPr>
        <w:t>,</w:t>
      </w:r>
      <w:r>
        <w:rPr>
          <w:rFonts w:ascii="宋体" w:hAnsi="宋体" w:cs="宋体" w:eastAsia="宋体" w:hint="default"/>
          <w:w w:val="100"/>
        </w:rPr>
        <w:t>000,000</w:t>
      </w:r>
      <w:r>
        <w:rPr>
          <w:rFonts w:ascii="宋体" w:hAnsi="宋体" w:cs="宋体" w:eastAsia="宋体" w:hint="default"/>
          <w:spacing w:val="-57"/>
        </w:rPr>
        <w:t> </w:t>
      </w:r>
      <w:r>
        <w:rPr>
          <w:w w:val="100"/>
        </w:rPr>
        <w:t>股为基</w:t>
      </w:r>
      <w:r>
        <w:rPr>
          <w:spacing w:val="-5"/>
          <w:w w:val="100"/>
        </w:rPr>
        <w:t>数</w:t>
      </w:r>
      <w:r>
        <w:rPr>
          <w:spacing w:val="-63"/>
          <w:w w:val="100"/>
        </w:rPr>
        <w:t>，</w:t>
      </w:r>
      <w:r>
        <w:rPr>
          <w:spacing w:val="-5"/>
          <w:w w:val="100"/>
        </w:rPr>
        <w:t>向</w:t>
      </w:r>
      <w:r>
        <w:rPr>
          <w:w w:val="100"/>
        </w:rPr>
        <w:t>全体股东每</w:t>
      </w:r>
      <w:r>
        <w:rPr>
          <w:spacing w:val="-52"/>
        </w:rPr>
        <w:t> </w:t>
      </w:r>
      <w:r>
        <w:rPr>
          <w:rFonts w:ascii="宋体" w:hAnsi="宋体" w:cs="宋体" w:eastAsia="宋体" w:hint="default"/>
          <w:spacing w:val="-5"/>
          <w:w w:val="100"/>
        </w:rPr>
        <w:t>1</w:t>
      </w:r>
      <w:r>
        <w:rPr>
          <w:rFonts w:ascii="宋体" w:hAnsi="宋体" w:cs="宋体" w:eastAsia="宋体" w:hint="default"/>
          <w:w w:val="100"/>
        </w:rPr>
        <w:t>0</w:t>
      </w:r>
      <w:r>
        <w:rPr>
          <w:rFonts w:ascii="宋体" w:hAnsi="宋体" w:cs="宋体" w:eastAsia="宋体" w:hint="default"/>
          <w:spacing w:val="-53"/>
        </w:rPr>
        <w:t> </w:t>
      </w:r>
      <w:r>
        <w:rPr>
          <w:w w:val="100"/>
        </w:rPr>
        <w:t>股派</w:t>
      </w:r>
      <w:r>
        <w:rPr>
          <w:spacing w:val="-5"/>
          <w:w w:val="100"/>
        </w:rPr>
        <w:t>发</w:t>
      </w:r>
      <w:r>
        <w:rPr>
          <w:w w:val="100"/>
        </w:rPr>
        <w:t>现金股</w:t>
      </w:r>
      <w:r>
        <w:rPr>
          <w:spacing w:val="-5"/>
          <w:w w:val="100"/>
        </w:rPr>
        <w:t>利</w:t>
      </w:r>
      <w:r>
        <w:rPr>
          <w:w w:val="100"/>
        </w:rPr>
        <w:t>人民币</w:t>
      </w:r>
      <w:r>
        <w:rPr>
          <w:spacing w:val="-4"/>
        </w:rPr>
        <w:t> </w:t>
      </w:r>
      <w:r>
        <w:rPr>
          <w:rFonts w:ascii="宋体" w:hAnsi="宋体" w:cs="宋体" w:eastAsia="宋体" w:hint="default"/>
          <w:w w:val="100"/>
        </w:rPr>
        <w:t>1</w:t>
      </w:r>
      <w:r>
        <w:rPr>
          <w:rFonts w:ascii="宋体" w:hAnsi="宋体" w:cs="宋体" w:eastAsia="宋体" w:hint="default"/>
          <w:spacing w:val="-53"/>
        </w:rPr>
        <w:t> </w:t>
      </w:r>
      <w:r>
        <w:rPr>
          <w:spacing w:val="-63"/>
          <w:w w:val="100"/>
        </w:rPr>
        <w:t>元</w:t>
      </w:r>
      <w:r>
        <w:rPr>
          <w:spacing w:val="-5"/>
          <w:w w:val="100"/>
        </w:rPr>
        <w:t>（</w:t>
      </w:r>
      <w:r>
        <w:rPr>
          <w:w w:val="100"/>
        </w:rPr>
        <w:t>含税</w:t>
      </w:r>
      <w:r>
        <w:rPr>
          <w:spacing w:val="-106"/>
          <w:w w:val="100"/>
        </w:rPr>
        <w:t>）</w:t>
      </w:r>
      <w:r>
        <w:rPr>
          <w:w w:val="100"/>
        </w:rPr>
        <w:t>，</w:t>
      </w:r>
    </w:p>
    <w:p>
      <w:pPr>
        <w:spacing w:line="240" w:lineRule="auto" w:before="8"/>
        <w:rPr>
          <w:rFonts w:ascii="宋体" w:hAnsi="宋体" w:cs="宋体" w:eastAsia="宋体" w:hint="default"/>
          <w:sz w:val="14"/>
          <w:szCs w:val="14"/>
        </w:rPr>
      </w:pPr>
    </w:p>
    <w:p>
      <w:pPr>
        <w:pStyle w:val="BodyText"/>
        <w:spacing w:line="240" w:lineRule="auto" w:before="0"/>
        <w:ind w:right="0"/>
        <w:jc w:val="left"/>
      </w:pPr>
      <w:r>
        <w:rPr/>
        <w:t>不送红股，以资本公积向全体股东每</w:t>
      </w:r>
      <w:r>
        <w:rPr>
          <w:spacing w:val="-51"/>
        </w:rPr>
        <w:t> </w:t>
      </w:r>
      <w:r>
        <w:rPr>
          <w:rFonts w:ascii="宋体" w:hAnsi="宋体" w:cs="宋体" w:eastAsia="宋体" w:hint="default"/>
        </w:rPr>
        <w:t>10</w:t>
      </w:r>
      <w:r>
        <w:rPr>
          <w:rFonts w:ascii="宋体" w:hAnsi="宋体" w:cs="宋体" w:eastAsia="宋体" w:hint="default"/>
          <w:spacing w:val="-57"/>
        </w:rPr>
        <w:t> </w:t>
      </w:r>
      <w:r>
        <w:rPr/>
        <w:t>股转增</w:t>
      </w:r>
      <w:r>
        <w:rPr>
          <w:spacing w:val="-57"/>
        </w:rPr>
        <w:t> </w:t>
      </w:r>
      <w:r>
        <w:rPr>
          <w:rFonts w:ascii="宋体" w:hAnsi="宋体" w:cs="宋体" w:eastAsia="宋体" w:hint="default"/>
        </w:rPr>
        <w:t>2</w:t>
      </w:r>
      <w:r>
        <w:rPr>
          <w:rFonts w:ascii="宋体" w:hAnsi="宋体" w:cs="宋体" w:eastAsia="宋体" w:hint="default"/>
          <w:spacing w:val="-52"/>
        </w:rPr>
        <w:t> </w:t>
      </w:r>
      <w:r>
        <w:rPr/>
        <w:t>股。该预案尚需提交公司</w:t>
      </w:r>
      <w:r>
        <w:rPr>
          <w:spacing w:val="-51"/>
        </w:rPr>
        <w:t> </w:t>
      </w:r>
      <w:r>
        <w:rPr>
          <w:rFonts w:ascii="宋体" w:hAnsi="宋体" w:cs="宋体" w:eastAsia="宋体" w:hint="default"/>
        </w:rPr>
        <w:t>2019</w:t>
      </w:r>
      <w:r>
        <w:rPr>
          <w:rFonts w:ascii="宋体" w:hAnsi="宋体" w:cs="宋体" w:eastAsia="宋体" w:hint="default"/>
          <w:spacing w:val="-51"/>
        </w:rPr>
        <w:t> </w:t>
      </w:r>
      <w:r>
        <w:rPr/>
        <w:t>年度股东大会审议。</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bookmarkStart w:name="3、销售退回" w:id="493"/>
      <w:bookmarkEnd w:id="493"/>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6"/>
          <w:szCs w:val="16"/>
        </w:rPr>
      </w:pPr>
    </w:p>
    <w:p>
      <w:pPr>
        <w:pStyle w:val="Heading3"/>
        <w:spacing w:line="240" w:lineRule="auto"/>
        <w:ind w:right="0"/>
        <w:jc w:val="left"/>
        <w:rPr>
          <w:b w:val="0"/>
          <w:bCs w:val="0"/>
        </w:rPr>
      </w:pPr>
      <w:bookmarkStart w:name="4、其他资产负债表日后事项说明" w:id="494"/>
      <w:bookmarkEnd w:id="494"/>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10"/>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460" w:footer="979" w:top="1060" w:bottom="1160" w:left="980" w:right="0"/>
        </w:sectPr>
      </w:pPr>
    </w:p>
    <w:p>
      <w:pPr>
        <w:spacing w:line="240" w:lineRule="auto" w:before="6"/>
        <w:rPr>
          <w:rFonts w:ascii="宋体" w:hAnsi="宋体" w:cs="宋体" w:eastAsia="宋体" w:hint="default"/>
          <w:sz w:val="22"/>
          <w:szCs w:val="22"/>
        </w:rPr>
      </w:pPr>
    </w:p>
    <w:p>
      <w:pPr>
        <w:pStyle w:val="Heading2"/>
        <w:spacing w:line="240" w:lineRule="auto" w:before="26"/>
        <w:ind w:right="0"/>
        <w:jc w:val="left"/>
        <w:rPr>
          <w:b w:val="0"/>
          <w:bCs w:val="0"/>
        </w:rPr>
      </w:pPr>
      <w:bookmarkStart w:name="十六、其他重要事项" w:id="495"/>
      <w:bookmarkEnd w:id="495"/>
      <w:r>
        <w:rPr>
          <w:b w:val="0"/>
          <w:bCs w:val="0"/>
        </w:rPr>
      </w:r>
      <w:r>
        <w:rPr/>
        <w:t>十六、其他重要事项</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前期会计差错更正" w:id="496"/>
      <w:bookmarkEnd w:id="496"/>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债务重组" w:id="497"/>
      <w:bookmarkEnd w:id="497"/>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资产置换" w:id="498"/>
      <w:bookmarkEnd w:id="498"/>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4、年金计划" w:id="499"/>
      <w:bookmarkEnd w:id="499"/>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5、终止经营" w:id="500"/>
      <w:bookmarkEnd w:id="500"/>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6、分部信息" w:id="501"/>
      <w:bookmarkEnd w:id="501"/>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7、其他对投资者决策有影响的重要交易和事项" w:id="502"/>
      <w:bookmarkEnd w:id="502"/>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8、其他" w:id="503"/>
      <w:bookmarkEnd w:id="503"/>
      <w:r>
        <w:rPr>
          <w:b w:val="0"/>
          <w:bCs w:val="0"/>
        </w:rPr>
      </w:r>
      <w:r>
        <w:rPr>
          <w:rFonts w:ascii="Times New Roman" w:hAnsi="Times New Roman" w:cs="Times New Roman" w:eastAsia="Times New Roman" w:hint="default"/>
        </w:rPr>
        <w:t>8</w:t>
      </w:r>
      <w:r>
        <w:rPr/>
        <w:t>、其他</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460" w:footer="979" w:top="1060" w:bottom="1160" w:left="980" w:right="0"/>
        </w:sectPr>
      </w:pPr>
    </w:p>
    <w:p>
      <w:pPr>
        <w:spacing w:line="240" w:lineRule="auto" w:before="11"/>
        <w:rPr>
          <w:rFonts w:ascii="宋体" w:hAnsi="宋体" w:cs="宋体" w:eastAsia="宋体" w:hint="default"/>
          <w:sz w:val="5"/>
          <w:szCs w:val="5"/>
        </w:rPr>
      </w:pPr>
    </w:p>
    <w:p>
      <w:pPr>
        <w:spacing w:line="658" w:lineRule="exact"/>
        <w:ind w:left="104"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701.75pt;height:32.950pt;mso-position-horizontal-relative:char;mso-position-vertical-relative:line" coordorigin="0,0" coordsize="14035,659">
            <v:group style="position:absolute;left:7;top:652;width:14020;height:2" coordorigin="7,652" coordsize="14020,2">
              <v:shape style="position:absolute;left:7;top:652;width:14020;height:2" coordorigin="7,652" coordsize="14020,0" path="m7,652l14027,652e" filled="false" stroked="true" strokeweight=".72pt" strokecolor="#000000">
                <v:path arrowok="t"/>
              </v:shape>
              <v:shape style="position:absolute;left:36;top:0;width:2310;height:615" type="#_x0000_t75" stroked="false">
                <v:imagedata r:id="rId6" o:title=""/>
              </v:shape>
              <v:shape style="position:absolute;left:0;top:0;width:14035;height:659" type="#_x0000_t202" filled="false" stroked="false">
                <v:textbox inset="0,0,0,0">
                  <w:txbxContent>
                    <w:p>
                      <w:pPr>
                        <w:spacing w:line="240" w:lineRule="auto" w:before="0"/>
                        <w:rPr>
                          <w:rFonts w:ascii="宋体" w:hAnsi="宋体" w:cs="宋体" w:eastAsia="宋体" w:hint="default"/>
                          <w:sz w:val="18"/>
                          <w:szCs w:val="18"/>
                        </w:rPr>
                      </w:pPr>
                    </w:p>
                    <w:p>
                      <w:pPr>
                        <w:spacing w:before="122"/>
                        <w:ind w:left="0" w:right="29" w:firstLine="0"/>
                        <w:jc w:val="right"/>
                        <w:rPr>
                          <w:rFonts w:ascii="宋体" w:hAnsi="宋体" w:cs="宋体" w:eastAsia="宋体" w:hint="default"/>
                          <w:sz w:val="18"/>
                          <w:szCs w:val="18"/>
                        </w:rPr>
                      </w:pPr>
                      <w:r>
                        <w:rPr>
                          <w:rFonts w:ascii="宋体" w:hAnsi="宋体" w:cs="宋体" w:eastAsia="宋体" w:hint="default"/>
                          <w:spacing w:val="-3"/>
                          <w:sz w:val="18"/>
                          <w:szCs w:val="18"/>
                        </w:rPr>
                        <w:t>西安环球印务股份有限公司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年年度报告全文</w:t>
                      </w:r>
                    </w:p>
                  </w:txbxContent>
                </v:textbox>
                <w10:wrap type="none"/>
              </v:shape>
            </v:group>
          </v:group>
        </w:pict>
      </w:r>
      <w:r>
        <w:rPr>
          <w:rFonts w:ascii="宋体" w:hAnsi="宋体" w:cs="宋体" w:eastAsia="宋体" w:hint="default"/>
          <w:position w:val="-12"/>
          <w:sz w:val="20"/>
          <w:szCs w:val="20"/>
        </w:rPr>
      </w:r>
    </w:p>
    <w:p>
      <w:pPr>
        <w:pStyle w:val="Heading2"/>
        <w:spacing w:line="284" w:lineRule="exact"/>
        <w:ind w:left="140" w:right="0"/>
        <w:jc w:val="left"/>
        <w:rPr>
          <w:b w:val="0"/>
          <w:bCs w:val="0"/>
        </w:rPr>
      </w:pPr>
      <w:bookmarkStart w:name="十七、母公司财务报表主要项目注释" w:id="504"/>
      <w:bookmarkEnd w:id="504"/>
      <w:r>
        <w:rPr>
          <w:b w:val="0"/>
          <w:bCs w:val="0"/>
        </w:rPr>
      </w:r>
      <w:r>
        <w:rPr/>
        <w:t>十七、母公司财务报表主要项目注释</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left="140" w:right="0"/>
        <w:jc w:val="left"/>
        <w:rPr>
          <w:b w:val="0"/>
          <w:bCs w:val="0"/>
        </w:rPr>
      </w:pPr>
      <w:bookmarkStart w:name="1、应收账款" w:id="505"/>
      <w:bookmarkEnd w:id="505"/>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40" w:right="0"/>
        <w:jc w:val="left"/>
        <w:rPr>
          <w:b w:val="0"/>
          <w:bCs w:val="0"/>
        </w:rPr>
      </w:pPr>
      <w:bookmarkStart w:name="（1）应收账款分类披露" w:id="506"/>
      <w:bookmarkEnd w:id="50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7"/>
        <w:rPr>
          <w:rFonts w:ascii="宋体" w:hAnsi="宋体" w:cs="宋体" w:eastAsia="宋体" w:hint="default"/>
          <w:b/>
          <w:bCs/>
          <w:sz w:val="23"/>
          <w:szCs w:val="23"/>
        </w:rPr>
      </w:pPr>
    </w:p>
    <w:p>
      <w:pPr>
        <w:spacing w:before="46"/>
        <w:ind w:left="0" w:right="24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377"/>
        <w:gridCol w:w="1181"/>
        <w:gridCol w:w="1100"/>
        <w:gridCol w:w="1099"/>
        <w:gridCol w:w="1104"/>
        <w:gridCol w:w="1181"/>
        <w:gridCol w:w="1181"/>
        <w:gridCol w:w="1153"/>
        <w:gridCol w:w="1152"/>
        <w:gridCol w:w="1142"/>
        <w:gridCol w:w="1349"/>
      </w:tblGrid>
      <w:tr>
        <w:trPr>
          <w:trHeight w:val="403" w:hRule="exact"/>
        </w:trPr>
        <w:tc>
          <w:tcPr>
            <w:tcW w:w="237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97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23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28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0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9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4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7" w:hRule="exact"/>
        </w:trPr>
        <w:tc>
          <w:tcPr>
            <w:tcW w:w="2377" w:type="dxa"/>
            <w:vMerge/>
            <w:tcBorders>
              <w:left w:val="single" w:sz="4" w:space="0" w:color="000000"/>
              <w:bottom w:val="nil" w:sz="6" w:space="0" w:color="auto"/>
              <w:right w:val="single" w:sz="4" w:space="0" w:color="000000"/>
            </w:tcBorders>
            <w:shd w:val="clear" w:color="auto" w:fill="D2D2D2"/>
          </w:tcPr>
          <w:p>
            <w:pPr/>
          </w:p>
        </w:tc>
        <w:tc>
          <w:tcPr>
            <w:tcW w:w="2281" w:type="dxa"/>
            <w:gridSpan w:val="2"/>
            <w:vMerge/>
            <w:tcBorders>
              <w:left w:val="single" w:sz="4" w:space="0" w:color="000000"/>
              <w:bottom w:val="single" w:sz="4" w:space="0" w:color="000000"/>
              <w:right w:val="single" w:sz="4" w:space="0" w:color="000000"/>
            </w:tcBorders>
            <w:shd w:val="clear" w:color="auto" w:fill="D2D2D2"/>
          </w:tcPr>
          <w:p>
            <w:pPr/>
          </w:p>
        </w:tc>
        <w:tc>
          <w:tcPr>
            <w:tcW w:w="2204" w:type="dxa"/>
            <w:gridSpan w:val="2"/>
            <w:vMerge/>
            <w:tcBorders>
              <w:left w:val="single" w:sz="4" w:space="0" w:color="000000"/>
              <w:bottom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333" w:type="dxa"/>
            <w:gridSpan w:val="2"/>
            <w:vMerge/>
            <w:tcBorders>
              <w:left w:val="single" w:sz="4" w:space="0" w:color="000000"/>
              <w:bottom w:val="single" w:sz="4" w:space="0" w:color="000000"/>
              <w:right w:val="single" w:sz="4" w:space="0" w:color="000000"/>
            </w:tcBorders>
            <w:shd w:val="clear" w:color="auto" w:fill="D2D2D2"/>
          </w:tcPr>
          <w:p>
            <w:pPr/>
          </w:p>
        </w:tc>
        <w:tc>
          <w:tcPr>
            <w:tcW w:w="2295" w:type="dxa"/>
            <w:gridSpan w:val="2"/>
            <w:vMerge/>
            <w:tcBorders>
              <w:left w:val="single" w:sz="4" w:space="0" w:color="000000"/>
              <w:bottom w:val="single" w:sz="4" w:space="0" w:color="000000"/>
              <w:right w:val="single" w:sz="4" w:space="0" w:color="000000"/>
            </w:tcBorders>
            <w:shd w:val="clear" w:color="auto" w:fill="D2D2D2"/>
          </w:tcPr>
          <w:p>
            <w:pPr/>
          </w:p>
        </w:tc>
        <w:tc>
          <w:tcPr>
            <w:tcW w:w="13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2" w:hRule="exact"/>
        </w:trPr>
        <w:tc>
          <w:tcPr>
            <w:tcW w:w="2377"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6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6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8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49"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2377"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00" w:type="dxa"/>
            <w:vMerge/>
            <w:tcBorders>
              <w:left w:val="single" w:sz="4" w:space="0" w:color="000000"/>
              <w:bottom w:val="single" w:sz="4" w:space="0" w:color="000000"/>
              <w:right w:val="single" w:sz="4" w:space="0" w:color="000000"/>
            </w:tcBorders>
            <w:shd w:val="clear" w:color="auto" w:fill="D2D2D2"/>
          </w:tcPr>
          <w:p>
            <w:pPr/>
          </w:p>
        </w:tc>
        <w:tc>
          <w:tcPr>
            <w:tcW w:w="1099" w:type="dxa"/>
            <w:vMerge/>
            <w:tcBorders>
              <w:left w:val="single" w:sz="4" w:space="0" w:color="000000"/>
              <w:bottom w:val="single" w:sz="4" w:space="0" w:color="000000"/>
              <w:right w:val="single" w:sz="4" w:space="0" w:color="000000"/>
            </w:tcBorders>
            <w:shd w:val="clear" w:color="auto" w:fill="D2D2D2"/>
          </w:tcPr>
          <w:p>
            <w:pPr/>
          </w:p>
        </w:tc>
        <w:tc>
          <w:tcPr>
            <w:tcW w:w="1104"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53"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1142"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2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3" w:right="175"/>
              <w:jc w:val="left"/>
              <w:rPr>
                <w:rFonts w:ascii="宋体" w:hAnsi="宋体" w:cs="宋体" w:eastAsia="宋体" w:hint="default"/>
                <w:sz w:val="18"/>
                <w:szCs w:val="18"/>
              </w:rPr>
            </w:pPr>
            <w:r>
              <w:rPr>
                <w:rFonts w:ascii="宋体" w:hAnsi="宋体" w:cs="宋体" w:eastAsia="宋体" w:hint="default"/>
                <w:spacing w:val="-3"/>
                <w:sz w:val="18"/>
                <w:szCs w:val="18"/>
              </w:rPr>
              <w:t>按单项计提坏账准备的应收</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账款</w:t>
            </w:r>
          </w:p>
        </w:tc>
        <w:tc>
          <w:tcPr>
            <w:tcW w:w="11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1,617,525.07</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1,547,225.04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95.65%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70,300.03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1,542,480.57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1,526,888.11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98.99%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15,592.46</w:t>
            </w:r>
          </w:p>
        </w:tc>
      </w:tr>
      <w:tr>
        <w:trPr>
          <w:trHeight w:val="403" w:hRule="exact"/>
        </w:trPr>
        <w:tc>
          <w:tcPr>
            <w:tcW w:w="2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75"/>
              <w:jc w:val="left"/>
              <w:rPr>
                <w:rFonts w:ascii="宋体" w:hAnsi="宋体" w:cs="宋体" w:eastAsia="宋体" w:hint="default"/>
                <w:sz w:val="18"/>
                <w:szCs w:val="18"/>
              </w:rPr>
            </w:pPr>
            <w:r>
              <w:rPr>
                <w:rFonts w:ascii="宋体" w:hAnsi="宋体" w:cs="宋体" w:eastAsia="宋体" w:hint="default"/>
                <w:spacing w:val="-3"/>
                <w:sz w:val="18"/>
                <w:szCs w:val="18"/>
              </w:rPr>
              <w:t>单项金额虽不重大但单项计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提坏账准备的应收账款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1,617,525.07</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1,547,225.04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95.65%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70,300.03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1,542,480.57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1,526,888.11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98.99%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15,592.46</w:t>
            </w:r>
          </w:p>
        </w:tc>
      </w:tr>
      <w:tr>
        <w:trPr>
          <w:trHeight w:val="716" w:hRule="exact"/>
        </w:trPr>
        <w:tc>
          <w:tcPr>
            <w:tcW w:w="2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3" w:right="175"/>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按组合计提坏账准备的应收</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账款</w:t>
            </w:r>
          </w:p>
        </w:tc>
        <w:tc>
          <w:tcPr>
            <w:tcW w:w="11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106,775,406.22</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98.51%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4,566,267.65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102,209,138.57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118,833,499.98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98.72%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4,937,682.41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113,895,817.57</w:t>
            </w:r>
          </w:p>
        </w:tc>
      </w:tr>
      <w:tr>
        <w:trPr>
          <w:trHeight w:val="403" w:hRule="exact"/>
        </w:trPr>
        <w:tc>
          <w:tcPr>
            <w:tcW w:w="2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按账龄分析的组合</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89,138,938.59</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82.24%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center"/>
              <w:rPr>
                <w:rFonts w:ascii="Times New Roman" w:hAnsi="Times New Roman" w:cs="Times New Roman" w:eastAsia="Times New Roman" w:hint="default"/>
                <w:sz w:val="18"/>
                <w:szCs w:val="18"/>
              </w:rPr>
            </w:pPr>
            <w:r>
              <w:rPr>
                <w:rFonts w:ascii="Times New Roman"/>
                <w:sz w:val="18"/>
              </w:rPr>
              <w:t>4,566,267.65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84,572,670.94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96,771,713.92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80.39%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4,937,682.41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113,895,817.57</w:t>
            </w:r>
          </w:p>
        </w:tc>
      </w:tr>
      <w:tr>
        <w:trPr>
          <w:trHeight w:val="71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75"/>
              <w:jc w:val="left"/>
              <w:rPr>
                <w:rFonts w:ascii="宋体" w:hAnsi="宋体" w:cs="宋体" w:eastAsia="宋体" w:hint="default"/>
                <w:sz w:val="18"/>
                <w:szCs w:val="18"/>
              </w:rPr>
            </w:pPr>
            <w:r>
              <w:rPr>
                <w:rFonts w:ascii="宋体" w:hAnsi="宋体" w:cs="宋体" w:eastAsia="宋体" w:hint="default"/>
                <w:spacing w:val="-3"/>
                <w:sz w:val="18"/>
                <w:szCs w:val="18"/>
              </w:rPr>
              <w:t>公司及所属子公司往来款项</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的组合</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17,636,467.63</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16.27%</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17,636,467.63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22,061,786.06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18.33%</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108,392,931.29</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center"/>
              <w:rPr>
                <w:rFonts w:ascii="Times New Roman" w:hAnsi="Times New Roman" w:cs="Times New Roman" w:eastAsia="Times New Roman" w:hint="default"/>
                <w:sz w:val="18"/>
                <w:szCs w:val="18"/>
              </w:rPr>
            </w:pPr>
            <w:r>
              <w:rPr>
                <w:rFonts w:ascii="Times New Roman"/>
                <w:spacing w:val="-2"/>
                <w:sz w:val="18"/>
              </w:rPr>
              <w:t>6,113,492.69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102,279,438.60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120,375,980.55</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6,464,570.52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113,911,410.03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78"/>
        <w:ind w:left="0" w:right="148" w:firstLine="0"/>
        <w:jc w:val="right"/>
        <w:rPr>
          <w:rFonts w:ascii="Times New Roman" w:hAnsi="Times New Roman" w:cs="Times New Roman" w:eastAsia="Times New Roman" w:hint="default"/>
          <w:sz w:val="18"/>
          <w:szCs w:val="18"/>
        </w:rPr>
      </w:pPr>
      <w:r>
        <w:rPr>
          <w:rFonts w:ascii="Times New Roman"/>
          <w:sz w:val="18"/>
        </w:rPr>
        <w:t>199</w: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3" name="image1.jpeg" descr=""/>
            <wp:cNvGraphicFramePr>
              <a:graphicFrameLocks noChangeAspect="1"/>
            </wp:cNvGraphicFramePr>
            <a:graphic>
              <a:graphicData uri="http://schemas.openxmlformats.org/drawingml/2006/picture">
                <pic:pic>
                  <pic:nvPicPr>
                    <pic:cNvPr id="14" name="image1.jpeg"/>
                    <pic:cNvPicPr/>
                  </pic:nvPicPr>
                  <pic:blipFill>
                    <a:blip r:embed="rId15"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39"/>
          <w:footerReference w:type="default" r:id="rId40"/>
          <w:pgSz w:w="16840" w:h="11910" w:orient="landscape"/>
          <w:pgMar w:header="0" w:footer="0" w:top="380" w:bottom="0" w:left="1300" w:right="1280"/>
        </w:sectPr>
      </w:pPr>
    </w:p>
    <w:p>
      <w:pPr>
        <w:spacing w:line="240" w:lineRule="auto" w:before="1"/>
        <w:rPr>
          <w:rFonts w:ascii="Times New Roman" w:hAnsi="Times New Roman" w:cs="Times New Roman" w:eastAsia="Times New Roman" w:hint="default"/>
          <w:sz w:val="29"/>
          <w:szCs w:val="29"/>
        </w:rPr>
      </w:pPr>
    </w:p>
    <w:p>
      <w:pPr>
        <w:spacing w:before="46"/>
        <w:ind w:left="15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按单项计提坏账准备：</w:t>
      </w:r>
      <w:r>
        <w:rPr>
          <w:rFonts w:ascii="Times New Roman" w:hAnsi="Times New Roman" w:cs="Times New Roman" w:eastAsia="Times New Roman" w:hint="default"/>
          <w:sz w:val="18"/>
          <w:szCs w:val="18"/>
        </w:rPr>
        <w:t>20336.93</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99"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140,600.06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70,300.03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挂账时间较长，回收的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可能性较低</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1,476,925.01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1,476,925.01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挂账时间较长，回收的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可能性较低</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1,617,525.07</w:t>
            </w:r>
          </w:p>
        </w:tc>
        <w:tc>
          <w:tcPr>
            <w:tcW w:w="191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1,547,225.04</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9"/>
        <w:rPr>
          <w:rFonts w:ascii="宋体" w:hAnsi="宋体" w:cs="宋体" w:eastAsia="宋体" w:hint="default"/>
          <w:sz w:val="27"/>
          <w:szCs w:val="27"/>
        </w:rPr>
      </w:pPr>
    </w:p>
    <w:p>
      <w:pPr>
        <w:spacing w:before="46"/>
        <w:ind w:left="15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-371414.76</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88,187,636.52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4,409,381.83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642,524.00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64,252.40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308,778.07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92,633.42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89,138,938.59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4,566,267.65</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77"/>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p>
    <w:p>
      <w:pPr>
        <w:spacing w:line="240" w:lineRule="auto" w:before="6"/>
        <w:rPr>
          <w:rFonts w:ascii="宋体" w:hAnsi="宋体" w:cs="宋体" w:eastAsia="宋体" w:hint="default"/>
          <w:sz w:val="12"/>
          <w:szCs w:val="12"/>
        </w:rPr>
      </w:pPr>
    </w:p>
    <w:p>
      <w:pPr>
        <w:spacing w:before="0"/>
        <w:ind w:left="580" w:right="0" w:firstLine="0"/>
        <w:jc w:val="left"/>
        <w:rPr>
          <w:rFonts w:ascii="宋体" w:hAnsi="宋体" w:cs="宋体" w:eastAsia="宋体" w:hint="default"/>
          <w:sz w:val="18"/>
          <w:szCs w:val="18"/>
        </w:rPr>
      </w:pPr>
      <w:r>
        <w:rPr>
          <w:rFonts w:ascii="宋体" w:hAnsi="宋体" w:cs="宋体" w:eastAsia="宋体" w:hint="default"/>
          <w:spacing w:val="-3"/>
          <w:sz w:val="18"/>
          <w:szCs w:val="18"/>
        </w:rPr>
        <w:t>①单项金额重大并单项计提坏账准备的应收账款：账面金额人民币</w:t>
      </w:r>
      <w:r>
        <w:rPr>
          <w:rFonts w:ascii="宋体" w:hAnsi="宋体" w:cs="宋体" w:eastAsia="宋体" w:hint="default"/>
          <w:spacing w:val="-3"/>
          <w:sz w:val="18"/>
          <w:szCs w:val="18"/>
        </w:rPr>
        <w:t>500</w:t>
      </w:r>
      <w:r>
        <w:rPr>
          <w:rFonts w:ascii="宋体" w:hAnsi="宋体" w:cs="宋体" w:eastAsia="宋体" w:hint="default"/>
          <w:spacing w:val="-3"/>
          <w:sz w:val="18"/>
          <w:szCs w:val="18"/>
        </w:rPr>
        <w:t>万元以上或公司应收账款前五名客户。</w:t>
      </w:r>
    </w:p>
    <w:p>
      <w:pPr>
        <w:spacing w:line="362" w:lineRule="auto" w:before="125"/>
        <w:ind w:left="153" w:right="1122" w:firstLine="427"/>
        <w:jc w:val="both"/>
        <w:rPr>
          <w:rFonts w:ascii="宋体" w:hAnsi="宋体" w:cs="宋体" w:eastAsia="宋体" w:hint="default"/>
          <w:sz w:val="18"/>
          <w:szCs w:val="18"/>
        </w:rPr>
      </w:pPr>
      <w:r>
        <w:rPr>
          <w:rFonts w:ascii="宋体" w:hAnsi="宋体" w:cs="宋体" w:eastAsia="宋体" w:hint="default"/>
          <w:spacing w:val="-4"/>
          <w:sz w:val="18"/>
          <w:szCs w:val="18"/>
        </w:rPr>
        <w:t>②单项金额不重大但按信用风险特征组合后该组合的风险较大的应收账款：账龄超过</w:t>
      </w:r>
      <w:r>
        <w:rPr>
          <w:rFonts w:ascii="宋体" w:hAnsi="宋体" w:cs="宋体" w:eastAsia="宋体" w:hint="default"/>
          <w:spacing w:val="-4"/>
          <w:sz w:val="18"/>
          <w:szCs w:val="18"/>
        </w:rPr>
        <w:t>3</w:t>
      </w:r>
      <w:r>
        <w:rPr>
          <w:rFonts w:ascii="宋体" w:hAnsi="宋体" w:cs="宋体" w:eastAsia="宋体" w:hint="default"/>
          <w:spacing w:val="-4"/>
          <w:sz w:val="18"/>
          <w:szCs w:val="18"/>
        </w:rPr>
        <w:t>年以上的应收款项以及与对方存</w:t>
      </w:r>
      <w:r>
        <w:rPr>
          <w:rFonts w:ascii="宋体" w:hAnsi="宋体" w:cs="宋体" w:eastAsia="宋体" w:hint="default"/>
          <w:w w:val="101"/>
          <w:sz w:val="18"/>
          <w:szCs w:val="18"/>
        </w:rPr>
        <w:t> </w:t>
      </w:r>
      <w:r>
        <w:rPr>
          <w:rFonts w:ascii="宋体" w:hAnsi="宋体" w:cs="宋体" w:eastAsia="宋体" w:hint="default"/>
          <w:spacing w:val="-3"/>
          <w:sz w:val="18"/>
          <w:szCs w:val="18"/>
        </w:rPr>
        <w:t>在争议或涉及诉讼、仲裁的应收款项；已有明显迹象表明债务人很可能无法履行还款义务的应收款项。</w:t>
      </w:r>
    </w:p>
    <w:p>
      <w:pPr>
        <w:spacing w:line="367" w:lineRule="auto" w:before="32"/>
        <w:ind w:left="153" w:right="1128" w:firstLine="480"/>
        <w:jc w:val="both"/>
        <w:rPr>
          <w:rFonts w:ascii="宋体" w:hAnsi="宋体" w:cs="宋体" w:eastAsia="宋体" w:hint="default"/>
          <w:sz w:val="18"/>
          <w:szCs w:val="18"/>
        </w:rPr>
      </w:pPr>
      <w:r>
        <w:rPr>
          <w:rFonts w:ascii="宋体" w:hAnsi="宋体" w:cs="宋体" w:eastAsia="宋体" w:hint="default"/>
          <w:spacing w:val="-3"/>
          <w:sz w:val="18"/>
          <w:szCs w:val="18"/>
        </w:rPr>
        <w:t>③按组合计提坏账准备的应收账款：除上述第①、②种情形以外的应收账款。本公司对其他不重大应收账款分为二个</w:t>
      </w:r>
      <w:r>
        <w:rPr>
          <w:rFonts w:ascii="宋体" w:hAnsi="宋体" w:cs="宋体" w:eastAsia="宋体" w:hint="default"/>
          <w:w w:val="101"/>
          <w:sz w:val="18"/>
          <w:szCs w:val="18"/>
        </w:rPr>
        <w:t> </w:t>
      </w:r>
      <w:r>
        <w:rPr>
          <w:rFonts w:ascii="宋体" w:hAnsi="宋体" w:cs="宋体" w:eastAsia="宋体" w:hint="default"/>
          <w:spacing w:val="-8"/>
          <w:w w:val="101"/>
          <w:sz w:val="18"/>
          <w:szCs w:val="18"/>
        </w:rPr>
        <w:t>组合：按账龄分析组合，按账龄分析计提坏账准备；公司及所属子公司往来款项的组合系指公司及所控制的公司之间的往来，</w:t>
      </w:r>
      <w:r>
        <w:rPr>
          <w:rFonts w:ascii="宋体" w:hAnsi="宋体" w:cs="宋体" w:eastAsia="宋体" w:hint="default"/>
          <w:spacing w:val="-53"/>
          <w:w w:val="101"/>
          <w:sz w:val="18"/>
          <w:szCs w:val="18"/>
        </w:rPr>
        <w:t> </w:t>
      </w:r>
      <w:r>
        <w:rPr>
          <w:rFonts w:ascii="宋体" w:hAnsi="宋体" w:cs="宋体" w:eastAsia="宋体" w:hint="default"/>
          <w:spacing w:val="-53"/>
          <w:w w:val="101"/>
          <w:sz w:val="18"/>
          <w:szCs w:val="18"/>
        </w:rPr>
      </w:r>
      <w:r>
        <w:rPr>
          <w:rFonts w:ascii="宋体" w:hAnsi="宋体" w:cs="宋体" w:eastAsia="宋体" w:hint="default"/>
          <w:sz w:val="18"/>
          <w:szCs w:val="18"/>
        </w:rPr>
        <w:t>不计提坏账准备。</w:t>
      </w:r>
    </w:p>
    <w:p>
      <w:pPr>
        <w:spacing w:line="240" w:lineRule="auto" w:before="0"/>
        <w:rPr>
          <w:rFonts w:ascii="宋体" w:hAnsi="宋体" w:cs="宋体" w:eastAsia="宋体" w:hint="default"/>
          <w:sz w:val="18"/>
          <w:szCs w:val="18"/>
        </w:rPr>
      </w:pPr>
    </w:p>
    <w:p>
      <w:pPr>
        <w:spacing w:before="12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如是按照预期信用损失一般模型计提应收账款坏账准备，请参照其他应收款的披露方式披露坏账准备的相关信息：</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按账龄披露</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94" w:type="dxa"/>
        <w:tblLayout w:type="fixed"/>
        <w:tblCellMar>
          <w:top w:w="0" w:type="dxa"/>
          <w:left w:w="0" w:type="dxa"/>
          <w:bottom w:w="0" w:type="dxa"/>
          <w:right w:w="0" w:type="dxa"/>
        </w:tblCellMar>
        <w:tblLook w:val="01E0"/>
      </w:tblPr>
      <w:tblGrid>
        <w:gridCol w:w="4764"/>
        <w:gridCol w:w="4800"/>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89,198,645.66</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10,706,763.42</w:t>
            </w:r>
          </w:p>
        </w:tc>
      </w:tr>
      <w:tr>
        <w:trPr>
          <w:trHeight w:val="39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6,869,997.14</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1,617,525.07</w:t>
            </w:r>
          </w:p>
        </w:tc>
      </w:tr>
    </w:tbl>
    <w:p>
      <w:pPr>
        <w:spacing w:after="0" w:line="240" w:lineRule="auto"/>
        <w:jc w:val="right"/>
        <w:rPr>
          <w:rFonts w:ascii="Times New Roman" w:hAnsi="Times New Roman" w:cs="Times New Roman" w:eastAsia="Times New Roman" w:hint="default"/>
          <w:sz w:val="18"/>
          <w:szCs w:val="18"/>
        </w:rPr>
        <w:sectPr>
          <w:footerReference w:type="default" r:id="rId41"/>
          <w:pgSz w:w="11910" w:h="16840"/>
          <w:pgMar w:footer="979" w:header="0" w:top="1060" w:bottom="1160" w:left="980" w:right="0"/>
          <w:pgNumType w:start="200"/>
        </w:sectPr>
      </w:pPr>
    </w:p>
    <w:p>
      <w:pPr>
        <w:spacing w:line="240" w:lineRule="auto" w:before="12"/>
        <w:rPr>
          <w:rFonts w:ascii="宋体" w:hAnsi="宋体" w:cs="宋体" w:eastAsia="宋体" w:hint="default"/>
          <w:sz w:val="27"/>
          <w:szCs w:val="27"/>
        </w:rPr>
      </w:pPr>
    </w:p>
    <w:tbl>
      <w:tblPr>
        <w:tblW w:w="0" w:type="auto"/>
        <w:jc w:val="left"/>
        <w:tblInd w:w="184" w:type="dxa"/>
        <w:tblLayout w:type="fixed"/>
        <w:tblCellMar>
          <w:top w:w="0" w:type="dxa"/>
          <w:left w:w="0" w:type="dxa"/>
          <w:bottom w:w="0" w:type="dxa"/>
          <w:right w:w="0" w:type="dxa"/>
        </w:tblCellMar>
        <w:tblLook w:val="01E0"/>
      </w:tblPr>
      <w:tblGrid>
        <w:gridCol w:w="4785"/>
        <w:gridCol w:w="4788"/>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892"/>
              <w:jc w:val="righ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140,600.06</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892"/>
              <w:jc w:val="righ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31,184.93</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3892"/>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1,445,740.08</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108,392,931.29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本期计提、收回或转回的坏账准备情况" w:id="507"/>
      <w:bookmarkEnd w:id="50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应收账款坏账准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6,464,570.52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-351,077.83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6,113,492.69</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6,464,570.52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65" w:right="0"/>
              <w:jc w:val="left"/>
              <w:rPr>
                <w:rFonts w:ascii="Times New Roman" w:hAnsi="Times New Roman" w:cs="Times New Roman" w:eastAsia="Times New Roman" w:hint="default"/>
                <w:sz w:val="18"/>
                <w:szCs w:val="18"/>
              </w:rPr>
            </w:pPr>
            <w:r>
              <w:rPr>
                <w:rFonts w:ascii="Times New Roman"/>
                <w:sz w:val="18"/>
              </w:rPr>
              <w:t>-351,077.83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6,113,492.69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实际核销的应收账款情况" w:id="508"/>
      <w:bookmarkEnd w:id="50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4）按欠款方归集的期末余额前五名的应收账款情况" w:id="509"/>
      <w:bookmarkEnd w:id="50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921" w:right="104" w:hanging="812"/>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17,636,467.63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17,099,763.03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854,988.15</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11,598,197.64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579,909.88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5,584,001.92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279,200.10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2,899,120.12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144,956.01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54,817,550.34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50.57%</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因金融资产转移而终止确认的应收账款" w:id="510"/>
      <w:bookmarkEnd w:id="510"/>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6）转移应收账款且继续涉入形成的资产、负债金额" w:id="511"/>
      <w:bookmarkEnd w:id="511"/>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宋体" w:hAnsi="宋体" w:cs="宋体" w:eastAsia="宋体" w:hint="default"/>
          <w:sz w:val="24"/>
          <w:szCs w:val="24"/>
        </w:rPr>
      </w:pPr>
    </w:p>
    <w:p>
      <w:pPr>
        <w:pStyle w:val="Heading3"/>
        <w:spacing w:line="240" w:lineRule="auto" w:before="36"/>
        <w:ind w:right="0"/>
        <w:jc w:val="left"/>
        <w:rPr>
          <w:b w:val="0"/>
          <w:bCs w:val="0"/>
        </w:rPr>
      </w:pPr>
      <w:bookmarkStart w:name="2、其他应收款" w:id="512"/>
      <w:bookmarkEnd w:id="51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1,846,194.45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34,675,511.91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7,878,303.13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36,521,706.36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7,878,303.13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应收利息" w:id="513"/>
      <w:bookmarkEnd w:id="513"/>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应收利息分类" w:id="514"/>
      <w:bookmarkEnd w:id="514"/>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霍尔果斯领凯网络科技有限公司</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1,846,194.45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1,846,194.45</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重要逾期利息" w:id="515"/>
      <w:bookmarkEnd w:id="515"/>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坏账准备计提情况" w:id="516"/>
      <w:bookmarkEnd w:id="516"/>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应收股利" w:id="517"/>
      <w:bookmarkEnd w:id="517"/>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股利分类" w:id="518"/>
      <w:bookmarkEnd w:id="518"/>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0"/>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重要的账龄超过1年的应收股利" w:id="519"/>
      <w:bookmarkEnd w:id="519"/>
      <w:r>
        <w:rPr>
          <w:b w:val="0"/>
          <w:bCs w:val="0"/>
        </w:rPr>
      </w:r>
      <w:r>
        <w:rPr>
          <w:rFonts w:ascii="Times New Roman" w:hAnsi="Times New Roman" w:cs="Times New Roman" w:eastAsia="Times New Roman" w:hint="default"/>
        </w:rPr>
        <w:t>2</w:t>
      </w:r>
      <w:r>
        <w:rPr/>
        <w:t>）重要的账龄超过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坏账准备计提情况" w:id="520"/>
      <w:bookmarkEnd w:id="520"/>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宋体" w:hAnsi="宋体" w:cs="宋体" w:eastAsia="宋体" w:hint="default"/>
          <w:sz w:val="24"/>
          <w:szCs w:val="24"/>
        </w:rPr>
      </w:pPr>
    </w:p>
    <w:p>
      <w:pPr>
        <w:pStyle w:val="Heading3"/>
        <w:spacing w:line="240" w:lineRule="auto" w:before="36"/>
        <w:ind w:right="0"/>
        <w:jc w:val="left"/>
        <w:rPr>
          <w:b w:val="0"/>
          <w:bCs w:val="0"/>
        </w:rPr>
      </w:pPr>
      <w:bookmarkStart w:name="（3）其他应收款" w:id="521"/>
      <w:bookmarkEnd w:id="521"/>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按款项性质分类情况" w:id="522"/>
      <w:bookmarkEnd w:id="522"/>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288,400.00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34,422,075.28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7,639,950.24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34,742,075.28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7,928,350.24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坏账准备计提情况" w:id="523"/>
      <w:bookmarkEnd w:id="523"/>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4"/>
        <w:gridCol w:w="1662"/>
        <w:gridCol w:w="2098"/>
        <w:gridCol w:w="2103"/>
        <w:gridCol w:w="1800"/>
      </w:tblGrid>
      <w:tr>
        <w:trPr>
          <w:trHeight w:val="398" w:hRule="exact"/>
        </w:trPr>
        <w:tc>
          <w:tcPr>
            <w:tcW w:w="18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5" w:hRule="exact"/>
        </w:trPr>
        <w:tc>
          <w:tcPr>
            <w:tcW w:w="18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2"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53"/>
              <w:ind w:left="561"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1"/>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7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8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3" w:type="dxa"/>
            <w:vMerge/>
            <w:tcBorders>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50,047.11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50,047.11</w:t>
            </w:r>
          </w:p>
        </w:tc>
      </w:tr>
      <w:tr>
        <w:trPr>
          <w:trHeight w:val="159" w:hRule="exact"/>
        </w:trPr>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4"/>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4" w:type="dxa"/>
            <w:vMerge/>
            <w:tcBorders>
              <w:left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3" w:hRule="exact"/>
        </w:trPr>
        <w:tc>
          <w:tcPr>
            <w:tcW w:w="1894" w:type="dxa"/>
            <w:vMerge/>
            <w:tcBorders>
              <w:left w:val="single" w:sz="4" w:space="0" w:color="000000"/>
              <w:bottom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16,516.26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16,516.26</w:t>
            </w: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66,563.37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66,563.37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line="338" w:lineRule="auto" w:before="120"/>
        <w:ind w:left="153"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3937" w:space="4894"/>
            <w:col w:w="2099"/>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9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27,281,267.30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25,000.00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4,189,323.55</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3,246,484.43</w:t>
            </w:r>
          </w:p>
        </w:tc>
      </w:tr>
      <w:tr>
        <w:trPr>
          <w:trHeight w:val="39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3,196,484.43</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34,742,075.28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计提、收回或转回的坏账准备情况" w:id="524"/>
      <w:bookmarkEnd w:id="524"/>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4"/>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580" w:bottom="700" w:left="980" w:right="0"/>
        </w:sectPr>
      </w:pPr>
    </w:p>
    <w:p>
      <w:pPr>
        <w:spacing w:line="240" w:lineRule="auto" w:before="12"/>
        <w:rPr>
          <w:rFonts w:ascii="宋体" w:hAnsi="宋体" w:cs="宋体" w:eastAsia="宋体"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580"/>
        <w:gridCol w:w="1085"/>
        <w:gridCol w:w="1335"/>
        <w:gridCol w:w="1330"/>
        <w:gridCol w:w="1090"/>
        <w:gridCol w:w="1575"/>
        <w:gridCol w:w="1580"/>
      </w:tblGrid>
      <w:tr>
        <w:trPr>
          <w:trHeight w:val="403"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5" w:type="dxa"/>
            <w:vMerge/>
            <w:tcBorders>
              <w:left w:val="single" w:sz="4" w:space="0" w:color="000000"/>
              <w:bottom w:val="single" w:sz="4" w:space="0" w:color="000000"/>
              <w:right w:val="single" w:sz="4" w:space="0" w:color="000000"/>
            </w:tcBorders>
            <w:shd w:val="clear" w:color="auto" w:fill="D2D2D2"/>
          </w:tcPr>
          <w:p>
            <w:pP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80"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99"/>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50,047.11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16,516.26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66,563.37</w:t>
            </w: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50,047.11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16,516.26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66,563.37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本期实际核销的其他应收款情况" w:id="525"/>
      <w:bookmarkEnd w:id="525"/>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5）按欠款方归集的期末余额前五名的其他应收款情况" w:id="526"/>
      <w:bookmarkEnd w:id="526"/>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6"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81" w:right="75"/>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0"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7"/>
              <w:jc w:val="left"/>
              <w:rPr>
                <w:rFonts w:ascii="宋体" w:hAnsi="宋体" w:cs="宋体" w:eastAsia="宋体" w:hint="default"/>
                <w:sz w:val="18"/>
                <w:szCs w:val="18"/>
              </w:rPr>
            </w:pPr>
            <w:r>
              <w:rPr>
                <w:rFonts w:ascii="宋体" w:hAnsi="宋体" w:cs="宋体" w:eastAsia="宋体" w:hint="default"/>
                <w:spacing w:val="-3"/>
                <w:sz w:val="18"/>
                <w:szCs w:val="18"/>
              </w:rPr>
              <w:t>霍尔果斯领凯网络科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27,000,000.00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77.72%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27"/>
              <w:jc w:val="left"/>
              <w:rPr>
                <w:rFonts w:ascii="宋体" w:hAnsi="宋体" w:cs="宋体" w:eastAsia="宋体" w:hint="default"/>
                <w:sz w:val="18"/>
                <w:szCs w:val="18"/>
              </w:rPr>
            </w:pPr>
            <w:r>
              <w:rPr>
                <w:rFonts w:ascii="宋体" w:hAnsi="宋体" w:cs="宋体" w:eastAsia="宋体" w:hint="default"/>
                <w:spacing w:val="-3"/>
                <w:sz w:val="18"/>
                <w:szCs w:val="18"/>
              </w:rPr>
              <w:t>西安易诺和创科技发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展有限公司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7,385,807.98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21.26%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27"/>
              <w:jc w:val="left"/>
              <w:rPr>
                <w:rFonts w:ascii="宋体" w:hAnsi="宋体" w:cs="宋体" w:eastAsia="宋体" w:hint="default"/>
                <w:sz w:val="18"/>
                <w:szCs w:val="18"/>
              </w:rPr>
            </w:pPr>
            <w:r>
              <w:rPr>
                <w:rFonts w:ascii="宋体" w:hAnsi="宋体" w:cs="宋体" w:eastAsia="宋体" w:hint="default"/>
                <w:spacing w:val="-3"/>
                <w:sz w:val="18"/>
                <w:szCs w:val="18"/>
              </w:rPr>
              <w:t>长春生物制品研究所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有限责任公司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招标保证金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55,000.00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0.16%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2,750.00</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1"/>
              <w:jc w:val="left"/>
              <w:rPr>
                <w:rFonts w:ascii="宋体" w:hAnsi="宋体" w:cs="宋体" w:eastAsia="宋体" w:hint="default"/>
                <w:sz w:val="18"/>
                <w:szCs w:val="18"/>
              </w:rPr>
            </w:pPr>
            <w:r>
              <w:rPr>
                <w:rFonts w:ascii="宋体" w:hAnsi="宋体" w:cs="宋体" w:eastAsia="宋体" w:hint="default"/>
                <w:spacing w:val="-3"/>
                <w:sz w:val="18"/>
                <w:szCs w:val="18"/>
              </w:rPr>
              <w:t>马应龙药业集团股份</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招标保证金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0.14%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2,500.00</w:t>
            </w:r>
          </w:p>
        </w:tc>
      </w:tr>
      <w:tr>
        <w:trPr>
          <w:trHeight w:val="398"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朗致集团有限公司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招标保证金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0.14%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34,540,807.98</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99.42%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7,750.00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涉及政府补助的应收款项" w:id="527"/>
      <w:bookmarkEnd w:id="527"/>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7）因金融资产转移而终止确认的其他应收款" w:id="528"/>
      <w:bookmarkEnd w:id="528"/>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8）转移其他应收款且继续涉入形成的资产、负债金额" w:id="529"/>
      <w:bookmarkEnd w:id="529"/>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3、长期股权投资" w:id="530"/>
      <w:bookmarkEnd w:id="530"/>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0" w:footer="979" w:top="1060" w:bottom="1160" w:left="980" w:right="0"/>
        </w:sectPr>
      </w:pPr>
    </w:p>
    <w:p>
      <w:pPr>
        <w:spacing w:line="240" w:lineRule="auto" w:before="12"/>
        <w:rPr>
          <w:rFonts w:ascii="宋体" w:hAnsi="宋体" w:cs="宋体" w:eastAsia="宋体"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9"/>
        <w:gridCol w:w="1368"/>
        <w:gridCol w:w="1364"/>
        <w:gridCol w:w="1369"/>
        <w:gridCol w:w="1369"/>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7"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2"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452,436,726.38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452,436,726.38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330,828,826.38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330,828,826.38</w:t>
            </w: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8"/>
              <w:jc w:val="left"/>
              <w:rPr>
                <w:rFonts w:ascii="宋体" w:hAnsi="宋体" w:cs="宋体" w:eastAsia="宋体" w:hint="default"/>
                <w:sz w:val="18"/>
                <w:szCs w:val="18"/>
              </w:rPr>
            </w:pPr>
            <w:r>
              <w:rPr>
                <w:rFonts w:ascii="宋体" w:hAnsi="宋体" w:cs="宋体" w:eastAsia="宋体" w:hint="default"/>
                <w:spacing w:val="-3"/>
                <w:sz w:val="18"/>
                <w:szCs w:val="18"/>
              </w:rPr>
              <w:t>对联营、合营企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业投资</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76,561,722.14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76,561,722.14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71,907,638.55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71,907,638.55</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528,998,448.52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528,998,448.52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402,736,464.93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402,736,464.93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对子公司投资" w:id="531"/>
      <w:bookmarkEnd w:id="531"/>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68"/>
        <w:gridCol w:w="1167"/>
        <w:gridCol w:w="1167"/>
        <w:gridCol w:w="1167"/>
        <w:gridCol w:w="1167"/>
        <w:gridCol w:w="1210"/>
        <w:gridCol w:w="1215"/>
        <w:gridCol w:w="1215"/>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9"/>
              <w:ind w:left="278" w:right="95" w:hanging="183"/>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账</w:t>
            </w:r>
            <w:r>
              <w:rPr>
                <w:rFonts w:ascii="宋体" w:hAnsi="宋体" w:cs="宋体" w:eastAsia="宋体" w:hint="default"/>
                <w:spacing w:val="-75"/>
                <w:sz w:val="18"/>
                <w:szCs w:val="18"/>
              </w:rPr>
              <w:t> </w:t>
            </w:r>
            <w:r>
              <w:rPr>
                <w:rFonts w:ascii="宋体" w:hAnsi="宋体" w:cs="宋体" w:eastAsia="宋体" w:hint="default"/>
                <w:sz w:val="18"/>
                <w:szCs w:val="18"/>
              </w:rPr>
              <w:t>面价值</w:t>
            </w:r>
            <w:r>
              <w:rPr>
                <w:rFonts w:ascii="Times New Roman" w:hAnsi="Times New Roman" w:cs="Times New Roman" w:eastAsia="Times New Roman" w:hint="default"/>
                <w:sz w:val="18"/>
                <w:szCs w:val="18"/>
              </w:rPr>
              <w:t>)</w:t>
            </w:r>
          </w:p>
        </w:tc>
        <w:tc>
          <w:tcPr>
            <w:tcW w:w="47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9"/>
              <w:ind w:left="393" w:right="33" w:hanging="36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期末余额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账面</w:t>
            </w:r>
            <w:r>
              <w:rPr>
                <w:rFonts w:ascii="宋体" w:hAnsi="宋体" w:cs="宋体" w:eastAsia="宋体" w:hint="default"/>
                <w:spacing w:val="-73"/>
                <w:sz w:val="18"/>
                <w:szCs w:val="18"/>
              </w:rPr>
              <w:t> </w:t>
            </w:r>
            <w:r>
              <w:rPr>
                <w:rFonts w:ascii="宋体" w:hAnsi="宋体" w:cs="宋体" w:eastAsia="宋体" w:hint="default"/>
                <w:sz w:val="18"/>
                <w:szCs w:val="18"/>
              </w:rPr>
              <w:t>价值</w:t>
            </w:r>
            <w:r>
              <w:rPr>
                <w:rFonts w:ascii="Times New Roman" w:hAnsi="Times New Roman" w:cs="Times New Roman" w:eastAsia="Times New Roman" w:hint="default"/>
                <w:sz w:val="18"/>
                <w:szCs w:val="18"/>
              </w:rPr>
              <w:t>)</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422" w:right="55" w:hanging="360"/>
              <w:jc w:val="left"/>
              <w:rPr>
                <w:rFonts w:ascii="宋体" w:hAnsi="宋体" w:cs="宋体" w:eastAsia="宋体" w:hint="default"/>
                <w:sz w:val="18"/>
                <w:szCs w:val="18"/>
              </w:rPr>
            </w:pPr>
            <w:r>
              <w:rPr>
                <w:rFonts w:ascii="宋体" w:hAnsi="宋体" w:cs="宋体" w:eastAsia="宋体" w:hint="default"/>
                <w:spacing w:val="-2"/>
                <w:sz w:val="18"/>
                <w:szCs w:val="18"/>
              </w:rPr>
              <w:t>减值准备期末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r>
      <w:tr>
        <w:trPr>
          <w:trHeight w:val="40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5"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47"/>
              <w:jc w:val="left"/>
              <w:rPr>
                <w:rFonts w:ascii="宋体" w:hAnsi="宋体" w:cs="宋体" w:eastAsia="宋体" w:hint="default"/>
                <w:sz w:val="18"/>
                <w:szCs w:val="18"/>
              </w:rPr>
            </w:pPr>
            <w:r>
              <w:rPr>
                <w:rFonts w:ascii="宋体" w:hAnsi="宋体" w:cs="宋体" w:eastAsia="宋体" w:hint="default"/>
                <w:spacing w:val="-2"/>
                <w:sz w:val="18"/>
                <w:szCs w:val="18"/>
              </w:rPr>
              <w:t>陕西永鑫纸业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包装有限公司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16,869,533.93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3" w:right="0"/>
              <w:jc w:val="center"/>
              <w:rPr>
                <w:rFonts w:ascii="Times New Roman" w:hAnsi="Times New Roman" w:cs="Times New Roman" w:eastAsia="Times New Roman" w:hint="default"/>
                <w:sz w:val="18"/>
                <w:szCs w:val="18"/>
              </w:rPr>
            </w:pPr>
            <w:r>
              <w:rPr>
                <w:rFonts w:ascii="Times New Roman"/>
                <w:sz w:val="18"/>
              </w:rPr>
              <w:t>16,869,533.93</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西安易诺和创</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科技发展有限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22,148,192.45</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23" w:right="0"/>
              <w:jc w:val="center"/>
              <w:rPr>
                <w:rFonts w:ascii="Times New Roman" w:hAnsi="Times New Roman" w:cs="Times New Roman" w:eastAsia="Times New Roman" w:hint="default"/>
                <w:sz w:val="18"/>
                <w:szCs w:val="18"/>
              </w:rPr>
            </w:pPr>
            <w:r>
              <w:rPr>
                <w:rFonts w:ascii="Times New Roman"/>
                <w:sz w:val="18"/>
              </w:rPr>
              <w:t>22,148,192.45</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47"/>
              <w:jc w:val="left"/>
              <w:rPr>
                <w:rFonts w:ascii="宋体" w:hAnsi="宋体" w:cs="宋体" w:eastAsia="宋体" w:hint="default"/>
                <w:sz w:val="18"/>
                <w:szCs w:val="18"/>
              </w:rPr>
            </w:pPr>
            <w:r>
              <w:rPr>
                <w:rFonts w:ascii="宋体" w:hAnsi="宋体" w:cs="宋体" w:eastAsia="宋体" w:hint="default"/>
                <w:spacing w:val="-2"/>
                <w:sz w:val="18"/>
                <w:szCs w:val="18"/>
              </w:rPr>
              <w:t>天津滨海环球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印务有限公司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159,951,100.0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159,951,100.00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霍尔果斯领凯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网络科技有限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131,860,000.0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131,860,000.00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北京金印联国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际供应链管理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121,607,900.0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121,607,900.00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330,828,826.3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121,607,900.0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452,436,726.38</w:t>
            </w:r>
          </w:p>
        </w:tc>
        <w:tc>
          <w:tcPr>
            <w:tcW w:w="12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对联营、合营企业投资" w:id="532"/>
      <w:bookmarkEnd w:id="532"/>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691"/>
        <w:gridCol w:w="1090"/>
        <w:gridCol w:w="687"/>
        <w:gridCol w:w="691"/>
        <w:gridCol w:w="999"/>
        <w:gridCol w:w="692"/>
        <w:gridCol w:w="686"/>
        <w:gridCol w:w="1004"/>
        <w:gridCol w:w="687"/>
        <w:gridCol w:w="691"/>
        <w:gridCol w:w="1090"/>
        <w:gridCol w:w="692"/>
      </w:tblGrid>
      <w:tr>
        <w:trPr>
          <w:trHeight w:val="404" w:hRule="exact"/>
        </w:trPr>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49" w:right="65" w:hanging="178"/>
              <w:jc w:val="left"/>
              <w:rPr>
                <w:rFonts w:ascii="宋体" w:hAnsi="宋体" w:cs="宋体" w:eastAsia="宋体" w:hint="default"/>
                <w:sz w:val="18"/>
                <w:szCs w:val="18"/>
              </w:rPr>
            </w:pPr>
            <w:r>
              <w:rPr>
                <w:rFonts w:ascii="宋体" w:hAnsi="宋体" w:cs="宋体" w:eastAsia="宋体" w:hint="default"/>
                <w:sz w:val="18"/>
                <w:szCs w:val="18"/>
              </w:rPr>
              <w:t>投资单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位</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00" w:lineRule="auto"/>
              <w:ind w:left="240" w:right="50" w:hanging="179"/>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r>
              <w:rPr>
                <w:rFonts w:ascii="宋体" w:hAnsi="宋体" w:cs="宋体" w:eastAsia="宋体" w:hint="default"/>
                <w:spacing w:val="-87"/>
                <w:sz w:val="18"/>
                <w:szCs w:val="18"/>
              </w:rPr>
              <w:t> </w:t>
            </w:r>
            <w:r>
              <w:rPr>
                <w:rFonts w:ascii="宋体" w:hAnsi="宋体" w:cs="宋体" w:eastAsia="宋体" w:hint="default"/>
                <w:sz w:val="18"/>
                <w:szCs w:val="18"/>
              </w:rPr>
              <w:t>面价值</w:t>
            </w:r>
            <w:r>
              <w:rPr>
                <w:rFonts w:ascii="Times New Roman" w:hAnsi="Times New Roman" w:cs="Times New Roman" w:eastAsia="Times New Roman" w:hint="default"/>
                <w:sz w:val="18"/>
                <w:szCs w:val="18"/>
              </w:rPr>
              <w:t>)</w:t>
            </w:r>
          </w:p>
        </w:tc>
        <w:tc>
          <w:tcPr>
            <w:tcW w:w="613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00" w:lineRule="auto"/>
              <w:ind w:left="239" w:right="50" w:hanging="178"/>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r>
              <w:rPr>
                <w:rFonts w:ascii="宋体" w:hAnsi="宋体" w:cs="宋体" w:eastAsia="宋体" w:hint="default"/>
                <w:spacing w:val="-87"/>
                <w:sz w:val="18"/>
                <w:szCs w:val="18"/>
              </w:rPr>
              <w:t> </w:t>
            </w:r>
            <w:r>
              <w:rPr>
                <w:rFonts w:ascii="宋体" w:hAnsi="宋体" w:cs="宋体" w:eastAsia="宋体" w:hint="default"/>
                <w:sz w:val="18"/>
                <w:szCs w:val="18"/>
              </w:rPr>
              <w:t>面价值</w:t>
            </w:r>
            <w:r>
              <w:rPr>
                <w:rFonts w:ascii="Times New Roman" w:hAnsi="Times New Roman" w:cs="Times New Roman" w:eastAsia="Times New Roman" w:hint="default"/>
                <w:sz w:val="18"/>
                <w:szCs w:val="18"/>
              </w:rPr>
              <w:t>)</w:t>
            </w:r>
          </w:p>
        </w:tc>
        <w:tc>
          <w:tcPr>
            <w:tcW w:w="6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71" w:right="65"/>
              <w:jc w:val="both"/>
              <w:rPr>
                <w:rFonts w:ascii="宋体" w:hAnsi="宋体" w:cs="宋体" w:eastAsia="宋体" w:hint="default"/>
                <w:sz w:val="18"/>
                <w:szCs w:val="18"/>
              </w:rPr>
            </w:pPr>
            <w:r>
              <w:rPr>
                <w:rFonts w:ascii="宋体" w:hAnsi="宋体" w:cs="宋体" w:eastAsia="宋体" w:hint="default"/>
                <w:sz w:val="18"/>
                <w:szCs w:val="18"/>
              </w:rPr>
              <w:t>减值准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备期末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余额</w:t>
            </w:r>
          </w:p>
        </w:tc>
      </w:tr>
      <w:tr>
        <w:trPr>
          <w:trHeight w:val="1027" w:hRule="exact"/>
        </w:trPr>
        <w:tc>
          <w:tcPr>
            <w:tcW w:w="691"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9" w:right="60" w:hanging="178"/>
              <w:jc w:val="left"/>
              <w:rPr>
                <w:rFonts w:ascii="宋体" w:hAnsi="宋体" w:cs="宋体" w:eastAsia="宋体" w:hint="default"/>
                <w:sz w:val="18"/>
                <w:szCs w:val="18"/>
              </w:rPr>
            </w:pPr>
            <w:r>
              <w:rPr>
                <w:rFonts w:ascii="宋体" w:hAnsi="宋体" w:cs="宋体" w:eastAsia="宋体" w:hint="default"/>
                <w:sz w:val="18"/>
                <w:szCs w:val="18"/>
              </w:rPr>
              <w:t>追加投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9" w:right="65" w:hanging="178"/>
              <w:jc w:val="left"/>
              <w:rPr>
                <w:rFonts w:ascii="宋体" w:hAnsi="宋体" w:cs="宋体" w:eastAsia="宋体" w:hint="default"/>
                <w:sz w:val="18"/>
                <w:szCs w:val="18"/>
              </w:rPr>
            </w:pPr>
            <w:r>
              <w:rPr>
                <w:rFonts w:ascii="宋体" w:hAnsi="宋体" w:cs="宋体" w:eastAsia="宋体" w:hint="default"/>
                <w:sz w:val="18"/>
                <w:szCs w:val="18"/>
              </w:rPr>
              <w:t>减少投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w:t>
            </w:r>
          </w:p>
        </w:tc>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7" w:right="36"/>
              <w:jc w:val="center"/>
              <w:rPr>
                <w:rFonts w:ascii="宋体" w:hAnsi="宋体" w:cs="宋体" w:eastAsia="宋体" w:hint="default"/>
                <w:sz w:val="18"/>
                <w:szCs w:val="18"/>
              </w:rPr>
            </w:pPr>
            <w:r>
              <w:rPr>
                <w:rFonts w:ascii="宋体" w:hAnsi="宋体" w:cs="宋体" w:eastAsia="宋体" w:hint="default"/>
                <w:spacing w:val="-2"/>
                <w:sz w:val="18"/>
                <w:szCs w:val="18"/>
              </w:rPr>
              <w:t>权益法下确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认的投资损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1" w:right="65"/>
              <w:jc w:val="both"/>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调整</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72" w:right="60"/>
              <w:jc w:val="left"/>
              <w:rPr>
                <w:rFonts w:ascii="宋体" w:hAnsi="宋体" w:cs="宋体" w:eastAsia="宋体" w:hint="default"/>
                <w:sz w:val="18"/>
                <w:szCs w:val="18"/>
              </w:rPr>
            </w:pPr>
            <w:r>
              <w:rPr>
                <w:rFonts w:ascii="宋体" w:hAnsi="宋体" w:cs="宋体" w:eastAsia="宋体" w:hint="default"/>
                <w:sz w:val="18"/>
                <w:szCs w:val="18"/>
              </w:rPr>
              <w:t>其他权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益变动</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7" w:right="41"/>
              <w:jc w:val="center"/>
              <w:rPr>
                <w:rFonts w:ascii="宋体" w:hAnsi="宋体" w:cs="宋体" w:eastAsia="宋体" w:hint="default"/>
                <w:sz w:val="18"/>
                <w:szCs w:val="18"/>
              </w:rPr>
            </w:pPr>
            <w:r>
              <w:rPr>
                <w:rFonts w:ascii="宋体" w:hAnsi="宋体" w:cs="宋体" w:eastAsia="宋体" w:hint="default"/>
                <w:spacing w:val="-2"/>
                <w:sz w:val="18"/>
                <w:szCs w:val="18"/>
              </w:rPr>
              <w:t>宣告发放现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金股利或利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润</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72" w:right="60"/>
              <w:jc w:val="left"/>
              <w:rPr>
                <w:rFonts w:ascii="宋体" w:hAnsi="宋体" w:cs="宋体" w:eastAsia="宋体" w:hint="default"/>
                <w:sz w:val="18"/>
                <w:szCs w:val="18"/>
              </w:rPr>
            </w:pPr>
            <w:r>
              <w:rPr>
                <w:rFonts w:ascii="宋体" w:hAnsi="宋体" w:cs="宋体" w:eastAsia="宋体" w:hint="default"/>
                <w:sz w:val="18"/>
                <w:szCs w:val="18"/>
              </w:rPr>
              <w:t>计提减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值准备</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0" w:type="dxa"/>
            <w:vMerge/>
            <w:tcBorders>
              <w:left w:val="single" w:sz="4" w:space="0" w:color="000000"/>
              <w:bottom w:val="single" w:sz="4" w:space="0" w:color="000000"/>
              <w:right w:val="single" w:sz="4" w:space="0" w:color="000000"/>
            </w:tcBorders>
            <w:shd w:val="clear" w:color="auto" w:fill="D2D2D2"/>
          </w:tcPr>
          <w:p>
            <w:pPr/>
          </w:p>
        </w:tc>
        <w:tc>
          <w:tcPr>
            <w:tcW w:w="692"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70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4" w:hRule="exact"/>
        </w:trPr>
        <w:tc>
          <w:tcPr>
            <w:tcW w:w="970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12"/>
        <w:rPr>
          <w:rFonts w:ascii="宋体" w:hAnsi="宋体" w:cs="宋体" w:eastAsia="宋体"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691"/>
        <w:gridCol w:w="1090"/>
        <w:gridCol w:w="687"/>
        <w:gridCol w:w="691"/>
        <w:gridCol w:w="999"/>
        <w:gridCol w:w="692"/>
        <w:gridCol w:w="686"/>
        <w:gridCol w:w="1004"/>
        <w:gridCol w:w="687"/>
        <w:gridCol w:w="691"/>
        <w:gridCol w:w="1090"/>
        <w:gridCol w:w="692"/>
      </w:tblGrid>
      <w:tr>
        <w:trPr>
          <w:trHeight w:val="1340"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3"/>
              <w:jc w:val="both"/>
              <w:rPr>
                <w:rFonts w:ascii="宋体" w:hAnsi="宋体" w:cs="宋体" w:eastAsia="宋体" w:hint="default"/>
                <w:sz w:val="18"/>
                <w:szCs w:val="18"/>
              </w:rPr>
            </w:pPr>
            <w:r>
              <w:rPr>
                <w:rFonts w:ascii="宋体" w:hAnsi="宋体" w:cs="宋体" w:eastAsia="宋体" w:hint="default"/>
                <w:sz w:val="18"/>
                <w:szCs w:val="18"/>
              </w:rPr>
              <w:t>西安德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宝药用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包装有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46,911,073.39</w:t>
            </w:r>
          </w:p>
        </w:tc>
        <w:tc>
          <w:tcPr>
            <w:tcW w:w="687"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6,078,379.03</w:t>
            </w:r>
          </w:p>
        </w:tc>
        <w:tc>
          <w:tcPr>
            <w:tcW w:w="69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1,416,021.99</w:t>
            </w:r>
          </w:p>
        </w:tc>
        <w:tc>
          <w:tcPr>
            <w:tcW w:w="687"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51,573,430.43</w:t>
            </w:r>
          </w:p>
        </w:tc>
        <w:tc>
          <w:tcPr>
            <w:tcW w:w="692" w:type="dxa"/>
            <w:tcBorders>
              <w:top w:val="single" w:sz="4" w:space="0" w:color="000000"/>
              <w:left w:val="single" w:sz="4" w:space="0" w:color="000000"/>
              <w:bottom w:val="single" w:sz="4" w:space="0" w:color="000000"/>
              <w:right w:val="single" w:sz="4" w:space="0" w:color="000000"/>
            </w:tcBorders>
          </w:tcPr>
          <w:p>
            <w:pPr/>
          </w:p>
        </w:tc>
      </w:tr>
      <w:tr>
        <w:trPr>
          <w:trHeight w:val="1647"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3"/>
              <w:jc w:val="both"/>
              <w:rPr>
                <w:rFonts w:ascii="宋体" w:hAnsi="宋体" w:cs="宋体" w:eastAsia="宋体" w:hint="default"/>
                <w:sz w:val="18"/>
                <w:szCs w:val="18"/>
              </w:rPr>
            </w:pPr>
            <w:r>
              <w:rPr>
                <w:rFonts w:ascii="宋体" w:hAnsi="宋体" w:cs="宋体" w:eastAsia="宋体" w:hint="default"/>
                <w:sz w:val="18"/>
                <w:szCs w:val="18"/>
              </w:rPr>
              <w:t>上海久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旭环保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24,996,565.16</w:t>
            </w:r>
          </w:p>
        </w:tc>
        <w:tc>
          <w:tcPr>
            <w:tcW w:w="687"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-8,273.45</w:t>
            </w:r>
          </w:p>
        </w:tc>
        <w:tc>
          <w:tcPr>
            <w:tcW w:w="69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24,988,291.71</w:t>
            </w:r>
          </w:p>
        </w:tc>
        <w:tc>
          <w:tcPr>
            <w:tcW w:w="6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71,907,638.55</w:t>
            </w:r>
          </w:p>
        </w:tc>
        <w:tc>
          <w:tcPr>
            <w:tcW w:w="687"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6,070,105.58</w:t>
            </w:r>
          </w:p>
        </w:tc>
        <w:tc>
          <w:tcPr>
            <w:tcW w:w="69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1,416,021.99</w:t>
            </w:r>
          </w:p>
        </w:tc>
        <w:tc>
          <w:tcPr>
            <w:tcW w:w="687"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 w:right="0"/>
              <w:jc w:val="center"/>
              <w:rPr>
                <w:rFonts w:ascii="Times New Roman" w:hAnsi="Times New Roman" w:cs="Times New Roman" w:eastAsia="Times New Roman" w:hint="default"/>
                <w:sz w:val="18"/>
                <w:szCs w:val="18"/>
              </w:rPr>
            </w:pPr>
            <w:r>
              <w:rPr>
                <w:rFonts w:ascii="Times New Roman"/>
                <w:sz w:val="18"/>
              </w:rPr>
              <w:t>76,561,722.14</w:t>
            </w:r>
          </w:p>
        </w:tc>
        <w:tc>
          <w:tcPr>
            <w:tcW w:w="6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71,907,638.55</w:t>
            </w:r>
          </w:p>
        </w:tc>
        <w:tc>
          <w:tcPr>
            <w:tcW w:w="687"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6,070,105.58</w:t>
            </w:r>
          </w:p>
        </w:tc>
        <w:tc>
          <w:tcPr>
            <w:tcW w:w="69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1,416,021.99</w:t>
            </w:r>
          </w:p>
        </w:tc>
        <w:tc>
          <w:tcPr>
            <w:tcW w:w="687"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76,561,722.14</w:t>
            </w:r>
          </w:p>
        </w:tc>
        <w:tc>
          <w:tcPr>
            <w:tcW w:w="6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其他说明" w:id="533"/>
      <w:bookmarkEnd w:id="533"/>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4、营业收入和营业成本" w:id="534"/>
      <w:bookmarkEnd w:id="534"/>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6"/>
        <w:gridCol w:w="1911"/>
        <w:gridCol w:w="1916"/>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2" w:type="dxa"/>
            <w:gridSpan w:val="2"/>
            <w:vMerge/>
            <w:tcBorders>
              <w:left w:val="single" w:sz="4" w:space="0" w:color="000000"/>
              <w:bottom w:val="single" w:sz="4" w:space="0" w:color="000000"/>
              <w:right w:val="single" w:sz="4" w:space="0" w:color="000000"/>
            </w:tcBorders>
            <w:shd w:val="clear" w:color="auto" w:fill="D2D2D2"/>
          </w:tcPr>
          <w:p>
            <w:pP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2"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7"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362,106,532.93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292,688,569.57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380,559,310.53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302,891,760.19</w:t>
            </w:r>
          </w:p>
        </w:tc>
      </w:tr>
      <w:tr>
        <w:trPr>
          <w:trHeight w:val="40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3,974,981.62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2,450,874.72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3,817,935.68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2,470,314.03</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366,081,514.55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295,139,444.29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384,377,246.21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305,362,074.22</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5、投资收益" w:id="535"/>
      <w:bookmarkEnd w:id="535"/>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70"/>
        <w:gridCol w:w="3188"/>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6,070,105.58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5,774,558.30</w:t>
            </w:r>
          </w:p>
        </w:tc>
      </w:tr>
      <w:tr>
        <w:trPr>
          <w:trHeight w:val="399"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6,070,105.58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5,774,558.30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其他" w:id="536"/>
      <w:bookmarkEnd w:id="536"/>
      <w:r>
        <w:rPr>
          <w:b w:val="0"/>
          <w:bCs w:val="0"/>
        </w:rPr>
      </w:r>
      <w:r>
        <w:rPr>
          <w:rFonts w:ascii="Times New Roman" w:hAnsi="Times New Roman" w:cs="Times New Roman" w:eastAsia="Times New Roman" w:hint="default"/>
        </w:rPr>
        <w:t>6</w:t>
      </w:r>
      <w:r>
        <w:rPr/>
        <w:t>、其他</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6"/>
        <w:rPr>
          <w:rFonts w:ascii="宋体" w:hAnsi="宋体" w:cs="宋体" w:eastAsia="宋体" w:hint="default"/>
          <w:sz w:val="22"/>
          <w:szCs w:val="22"/>
        </w:rPr>
      </w:pPr>
    </w:p>
    <w:p>
      <w:pPr>
        <w:pStyle w:val="Heading2"/>
        <w:spacing w:line="240" w:lineRule="auto" w:before="26"/>
        <w:ind w:right="0"/>
        <w:jc w:val="left"/>
        <w:rPr>
          <w:b w:val="0"/>
          <w:bCs w:val="0"/>
        </w:rPr>
      </w:pPr>
      <w:bookmarkStart w:name="十八、补充资料" w:id="537"/>
      <w:bookmarkEnd w:id="537"/>
      <w:r>
        <w:rPr>
          <w:b w:val="0"/>
          <w:bCs w:val="0"/>
        </w:rPr>
      </w:r>
      <w:r>
        <w:rPr/>
        <w:t>十八、补充资料</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当期非经常性损益明细表" w:id="538"/>
      <w:bookmarkEnd w:id="538"/>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7"/>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70"/>
        <w:gridCol w:w="3188"/>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-232,223.39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处置固定资产损失</w:t>
            </w:r>
          </w:p>
        </w:tc>
      </w:tr>
      <w:tr>
        <w:trPr>
          <w:trHeight w:val="102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35"/>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5,538,115.95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pacing w:val="-3"/>
                <w:sz w:val="18"/>
                <w:szCs w:val="18"/>
              </w:rPr>
              <w:t>收到政府补助及税收优惠</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-69,104.25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675,848.09</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1,050,637.28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3,510,302.94</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w w:val="101"/>
          <w:sz w:val="18"/>
          <w:szCs w:val="18"/>
        </w:rPr>
        <w:t>对</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根</w:t>
      </w:r>
      <w:r>
        <w:rPr>
          <w:rFonts w:ascii="宋体" w:hAnsi="宋体" w:cs="宋体" w:eastAsia="宋体" w:hint="default"/>
          <w:spacing w:val="-68"/>
          <w:w w:val="101"/>
          <w:sz w:val="18"/>
          <w:szCs w:val="18"/>
        </w:rPr>
        <w:t>据</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的</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信</w:t>
      </w:r>
      <w:r>
        <w:rPr>
          <w:rFonts w:ascii="宋体" w:hAnsi="宋体" w:cs="宋体" w:eastAsia="宋体" w:hint="default"/>
          <w:spacing w:val="-5"/>
          <w:w w:val="101"/>
          <w:sz w:val="18"/>
          <w:szCs w:val="18"/>
        </w:rPr>
        <w:t>息</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w w:val="101"/>
          <w:sz w:val="18"/>
          <w:szCs w:val="18"/>
        </w:rPr>
        <w:t>解</w:t>
      </w:r>
      <w:r>
        <w:rPr>
          <w:rFonts w:ascii="宋体" w:hAnsi="宋体" w:cs="宋体" w:eastAsia="宋体" w:hint="default"/>
          <w:spacing w:val="-5"/>
          <w:w w:val="101"/>
          <w:sz w:val="18"/>
          <w:szCs w:val="18"/>
        </w:rPr>
        <w:t>释</w:t>
      </w:r>
      <w:r>
        <w:rPr>
          <w:rFonts w:ascii="宋体" w:hAnsi="宋体" w:cs="宋体" w:eastAsia="宋体" w:hint="default"/>
          <w:w w:val="101"/>
          <w:sz w:val="18"/>
          <w:szCs w:val="18"/>
        </w:rPr>
        <w:t>性</w:t>
      </w:r>
      <w:r>
        <w:rPr>
          <w:rFonts w:ascii="宋体" w:hAnsi="宋体" w:cs="宋体" w:eastAsia="宋体" w:hint="default"/>
          <w:spacing w:val="-5"/>
          <w:w w:val="101"/>
          <w:sz w:val="18"/>
          <w:szCs w:val="18"/>
        </w:rPr>
        <w:t>公</w:t>
      </w:r>
      <w:r>
        <w:rPr>
          <w:rFonts w:ascii="宋体" w:hAnsi="宋体" w:cs="宋体" w:eastAsia="宋体" w:hint="default"/>
          <w:w w:val="101"/>
          <w:sz w:val="18"/>
          <w:szCs w:val="18"/>
        </w:rPr>
        <w:t>告第</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非</w:t>
      </w:r>
      <w:r>
        <w:rPr>
          <w:rFonts w:ascii="宋体" w:hAnsi="宋体" w:cs="宋体" w:eastAsia="宋体" w:hint="default"/>
          <w:spacing w:val="-5"/>
          <w:w w:val="101"/>
          <w:sz w:val="18"/>
          <w:szCs w:val="18"/>
        </w:rPr>
        <w:t>经</w:t>
      </w:r>
      <w:r>
        <w:rPr>
          <w:rFonts w:ascii="宋体" w:hAnsi="宋体" w:cs="宋体" w:eastAsia="宋体" w:hint="default"/>
          <w:w w:val="101"/>
          <w:sz w:val="18"/>
          <w:szCs w:val="18"/>
        </w:rPr>
        <w:t>常</w:t>
      </w:r>
      <w:r>
        <w:rPr>
          <w:rFonts w:ascii="宋体" w:hAnsi="宋体" w:cs="宋体" w:eastAsia="宋体" w:hint="default"/>
          <w:spacing w:val="-5"/>
          <w:w w:val="101"/>
          <w:sz w:val="18"/>
          <w:szCs w:val="18"/>
        </w:rPr>
        <w:t>性</w:t>
      </w:r>
      <w:r>
        <w:rPr>
          <w:rFonts w:ascii="宋体" w:hAnsi="宋体" w:cs="宋体" w:eastAsia="宋体" w:hint="default"/>
          <w:w w:val="101"/>
          <w:sz w:val="18"/>
          <w:szCs w:val="18"/>
        </w:rPr>
        <w:t>损益</w:t>
      </w:r>
      <w:r>
        <w:rPr>
          <w:rFonts w:ascii="宋体" w:hAnsi="宋体" w:cs="宋体" w:eastAsia="宋体" w:hint="default"/>
          <w:spacing w:val="-73"/>
          <w:w w:val="101"/>
          <w:sz w:val="18"/>
          <w:szCs w:val="18"/>
        </w:rPr>
        <w:t>》</w:t>
      </w:r>
      <w:r>
        <w:rPr>
          <w:rFonts w:ascii="宋体" w:hAnsi="宋体" w:cs="宋体" w:eastAsia="宋体" w:hint="default"/>
          <w:w w:val="101"/>
          <w:sz w:val="18"/>
          <w:szCs w:val="18"/>
        </w:rPr>
        <w:t>定</w:t>
      </w:r>
      <w:r>
        <w:rPr>
          <w:rFonts w:ascii="宋体" w:hAnsi="宋体" w:cs="宋体" w:eastAsia="宋体" w:hint="default"/>
          <w:spacing w:val="-5"/>
          <w:w w:val="101"/>
          <w:sz w:val="18"/>
          <w:szCs w:val="18"/>
        </w:rPr>
        <w:t>义</w:t>
      </w:r>
      <w:r>
        <w:rPr>
          <w:rFonts w:ascii="宋体" w:hAnsi="宋体" w:cs="宋体" w:eastAsia="宋体" w:hint="default"/>
          <w:w w:val="101"/>
          <w:sz w:val="18"/>
          <w:szCs w:val="18"/>
        </w:rPr>
        <w:t>界</w:t>
      </w:r>
      <w:r>
        <w:rPr>
          <w:rFonts w:ascii="宋体" w:hAnsi="宋体" w:cs="宋体" w:eastAsia="宋体" w:hint="default"/>
          <w:spacing w:val="-5"/>
          <w:w w:val="101"/>
          <w:sz w:val="18"/>
          <w:szCs w:val="18"/>
        </w:rPr>
        <w:t>定</w:t>
      </w:r>
      <w:r>
        <w:rPr>
          <w:rFonts w:ascii="宋体" w:hAnsi="宋体" w:cs="宋体" w:eastAsia="宋体" w:hint="default"/>
          <w:w w:val="101"/>
          <w:sz w:val="18"/>
          <w:szCs w:val="18"/>
        </w:rPr>
        <w:t>的</w:t>
      </w:r>
      <w:r>
        <w:rPr>
          <w:rFonts w:ascii="宋体" w:hAnsi="宋体" w:cs="宋体" w:eastAsia="宋体" w:hint="default"/>
          <w:spacing w:val="-5"/>
          <w:w w:val="101"/>
          <w:sz w:val="18"/>
          <w:szCs w:val="18"/>
        </w:rPr>
        <w:t>非</w:t>
      </w:r>
      <w:r>
        <w:rPr>
          <w:rFonts w:ascii="宋体" w:hAnsi="宋体" w:cs="宋体" w:eastAsia="宋体" w:hint="default"/>
          <w:w w:val="101"/>
          <w:sz w:val="18"/>
          <w:szCs w:val="18"/>
        </w:rPr>
        <w:t>经</w:t>
      </w:r>
      <w:r>
        <w:rPr>
          <w:rFonts w:ascii="宋体" w:hAnsi="宋体" w:cs="宋体" w:eastAsia="宋体" w:hint="default"/>
          <w:spacing w:val="-5"/>
          <w:w w:val="101"/>
          <w:sz w:val="18"/>
          <w:szCs w:val="18"/>
        </w:rPr>
        <w:t>常</w:t>
      </w:r>
      <w:r>
        <w:rPr>
          <w:rFonts w:ascii="宋体" w:hAnsi="宋体" w:cs="宋体" w:eastAsia="宋体" w:hint="default"/>
          <w:w w:val="101"/>
          <w:sz w:val="18"/>
          <w:szCs w:val="18"/>
        </w:rPr>
        <w:t>性</w:t>
      </w:r>
      <w:r>
        <w:rPr>
          <w:rFonts w:ascii="宋体" w:hAnsi="宋体" w:cs="宋体" w:eastAsia="宋体" w:hint="default"/>
          <w:spacing w:val="-5"/>
          <w:w w:val="101"/>
          <w:sz w:val="18"/>
          <w:szCs w:val="18"/>
        </w:rPr>
        <w:t>损</w:t>
      </w:r>
      <w:r>
        <w:rPr>
          <w:rFonts w:ascii="宋体" w:hAnsi="宋体" w:cs="宋体" w:eastAsia="宋体" w:hint="default"/>
          <w:w w:val="101"/>
          <w:sz w:val="18"/>
          <w:szCs w:val="18"/>
        </w:rPr>
        <w:t>益</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68"/>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w:t>
      </w:r>
      <w:r>
        <w:rPr>
          <w:rFonts w:ascii="宋体" w:hAnsi="宋体" w:cs="宋体" w:eastAsia="宋体" w:hint="default"/>
          <w:spacing w:val="-73"/>
          <w:w w:val="101"/>
          <w:sz w:val="18"/>
          <w:szCs w:val="18"/>
        </w:rPr>
        <w:t>把</w:t>
      </w:r>
      <w:r>
        <w:rPr>
          <w:rFonts w:ascii="宋体" w:hAnsi="宋体" w:cs="宋体" w:eastAsia="宋体" w:hint="default"/>
          <w:w w:val="101"/>
          <w:sz w:val="18"/>
          <w:szCs w:val="18"/>
        </w:rPr>
        <w:t>《公</w:t>
      </w:r>
      <w:r>
        <w:rPr>
          <w:rFonts w:ascii="宋体" w:hAnsi="宋体" w:cs="宋体" w:eastAsia="宋体" w:hint="default"/>
          <w:sz w:val="18"/>
          <w:szCs w:val="18"/>
        </w:rPr>
      </w:r>
    </w:p>
    <w:p>
      <w:pPr>
        <w:spacing w:line="304" w:lineRule="auto" w:before="58"/>
        <w:ind w:left="153" w:right="1004" w:firstLine="0"/>
        <w:jc w:val="left"/>
        <w:rPr>
          <w:rFonts w:ascii="宋体" w:hAnsi="宋体" w:cs="宋体" w:eastAsia="宋体" w:hint="default"/>
          <w:sz w:val="18"/>
          <w:szCs w:val="18"/>
        </w:rPr>
      </w:pPr>
      <w:r>
        <w:rPr>
          <w:rFonts w:ascii="宋体" w:hAnsi="宋体" w:cs="宋体" w:eastAsia="宋体" w:hint="default"/>
          <w:spacing w:val="-3"/>
          <w:sz w:val="18"/>
          <w:szCs w:val="18"/>
        </w:rPr>
        <w:t>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非经常性损益》中列举的非经常性损益项目界定为经常性损益的项目，应</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说明原因。</w:t>
      </w:r>
    </w:p>
    <w:p>
      <w:pPr>
        <w:spacing w:before="6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539"/>
      <w:bookmarkEnd w:id="539"/>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3"/>
        <w:gridCol w:w="3078"/>
        <w:gridCol w:w="1916"/>
        <w:gridCol w:w="1911"/>
      </w:tblGrid>
      <w:tr>
        <w:trPr>
          <w:trHeight w:val="207" w:hRule="exact"/>
        </w:trPr>
        <w:tc>
          <w:tcPr>
            <w:tcW w:w="265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86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3" w:type="dxa"/>
            <w:vMerge/>
            <w:tcBorders>
              <w:left w:val="single" w:sz="4" w:space="0" w:color="000000"/>
              <w:bottom w:val="nil" w:sz="6" w:space="0" w:color="auto"/>
              <w:right w:val="single" w:sz="4" w:space="0" w:color="000000"/>
            </w:tcBorders>
            <w:shd w:val="clear" w:color="auto" w:fill="D2D2D2"/>
          </w:tcPr>
          <w:p>
            <w:pPr/>
          </w:p>
        </w:tc>
        <w:tc>
          <w:tcPr>
            <w:tcW w:w="3078"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r>
      <w:tr>
        <w:trPr>
          <w:trHeight w:val="206" w:hRule="exact"/>
        </w:trPr>
        <w:tc>
          <w:tcPr>
            <w:tcW w:w="265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30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3"/>
                <w:sz w:val="18"/>
              </w:rPr>
              <w:t>11.59%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0.44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0.44</w:t>
            </w:r>
          </w:p>
        </w:tc>
      </w:tr>
      <w:tr>
        <w:trPr>
          <w:trHeight w:val="716"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4"/>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普通股股东的净利润</w:t>
            </w:r>
          </w:p>
        </w:tc>
        <w:tc>
          <w:tcPr>
            <w:tcW w:w="30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0.42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0.42</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3、境内外会计准则下会计数据差异" w:id="540"/>
      <w:bookmarkEnd w:id="540"/>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541"/>
      <w:bookmarkEnd w:id="541"/>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542"/>
      <w:bookmarkEnd w:id="542"/>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5"/>
        <w:rPr>
          <w:rFonts w:ascii="宋体" w:hAnsi="宋体" w:cs="宋体" w:eastAsia="宋体" w:hint="default"/>
          <w:sz w:val="24"/>
          <w:szCs w:val="24"/>
        </w:rPr>
      </w:pPr>
    </w:p>
    <w:p>
      <w:pPr>
        <w:pStyle w:val="Heading3"/>
        <w:spacing w:line="254" w:lineRule="auto" w:before="36"/>
        <w:ind w:right="0"/>
        <w:jc w:val="left"/>
        <w:rPr>
          <w:b w:val="0"/>
          <w:bCs w:val="0"/>
        </w:rPr>
      </w:pPr>
      <w:bookmarkStart w:name="（3）境内外会计准则下会计数据差异原因说明，对已经境外审计机构审计的数据进行差异" w:id="543"/>
      <w:bookmarkEnd w:id="543"/>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6"/>
        </w:rPr>
        <w:t> </w:t>
      </w:r>
      <w:r>
        <w:rPr>
          <w:spacing w:val="-66"/>
        </w:rPr>
      </w:r>
      <w:r>
        <w:rPr/>
        <w:t>明该境外机构的名称</w:t>
      </w:r>
      <w:r>
        <w:rPr>
          <w:b w:val="0"/>
          <w:bCs w:val="0"/>
        </w:rPr>
      </w:r>
    </w:p>
    <w:p>
      <w:pPr>
        <w:spacing w:line="240" w:lineRule="auto" w:before="5"/>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4、其他" w:id="544"/>
      <w:bookmarkEnd w:id="544"/>
      <w:r>
        <w:rPr>
          <w:b w:val="0"/>
          <w:bCs w:val="0"/>
        </w:rPr>
      </w:r>
      <w:r>
        <w:rPr>
          <w:rFonts w:ascii="Times New Roman" w:hAnsi="Times New Roman" w:cs="Times New Roman" w:eastAsia="Times New Roman" w:hint="default"/>
        </w:rPr>
        <w:t>4</w:t>
      </w:r>
      <w:r>
        <w:rPr/>
        <w:t>、其他</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Heading1"/>
        <w:spacing w:line="240" w:lineRule="auto"/>
        <w:ind w:left="3283" w:right="0"/>
        <w:jc w:val="left"/>
        <w:rPr>
          <w:b w:val="0"/>
          <w:bCs w:val="0"/>
        </w:rPr>
      </w:pPr>
      <w:bookmarkStart w:name="第十三节 备查文件目录" w:id="545"/>
      <w:bookmarkEnd w:id="545"/>
      <w:r>
        <w:rPr>
          <w:b w:val="0"/>
          <w:bCs w:val="0"/>
        </w:rPr>
      </w:r>
      <w:bookmarkStart w:name="_bookmark12" w:id="546"/>
      <w:bookmarkEnd w:id="546"/>
      <w:r>
        <w:rPr>
          <w:b w:val="0"/>
          <w:bCs w:val="0"/>
        </w:rPr>
      </w:r>
      <w:r>
        <w:rPr/>
        <w:t>第十三节</w:t>
      </w:r>
      <w:r>
        <w:rPr>
          <w:spacing w:val="1"/>
        </w:rPr>
        <w:t> </w:t>
      </w:r>
      <w:r>
        <w:rPr/>
        <w:t>备查文件目录</w:t>
      </w:r>
      <w:r>
        <w:rPr>
          <w:b w:val="0"/>
          <w:bCs w:val="0"/>
        </w:rPr>
      </w:r>
    </w:p>
    <w:p>
      <w:pPr>
        <w:spacing w:line="240" w:lineRule="auto" w:before="11"/>
        <w:rPr>
          <w:rFonts w:ascii="宋体" w:hAnsi="宋体" w:cs="宋体" w:eastAsia="宋体" w:hint="default"/>
          <w:b/>
          <w:bCs/>
          <w:sz w:val="46"/>
          <w:szCs w:val="46"/>
        </w:rPr>
      </w:pPr>
    </w:p>
    <w:p>
      <w:pPr>
        <w:pStyle w:val="BodyText"/>
        <w:spacing w:line="400" w:lineRule="auto" w:before="0"/>
        <w:ind w:right="2115"/>
        <w:jc w:val="left"/>
      </w:pPr>
      <w:r>
        <w:rPr/>
        <w:t>一、载有公司法定代表人签名的</w:t>
      </w:r>
      <w:r>
        <w:rPr>
          <w:rFonts w:ascii="Times New Roman" w:hAnsi="Times New Roman" w:cs="Times New Roman" w:eastAsia="Times New Roman" w:hint="default"/>
        </w:rPr>
        <w:t>2019</w:t>
      </w:r>
      <w:r>
        <w:rPr/>
        <w:t>年度报告文本。</w:t>
      </w:r>
      <w:r>
        <w:rPr>
          <w:spacing w:val="-102"/>
        </w:rPr>
        <w:t> </w:t>
      </w:r>
      <w:r>
        <w:rPr>
          <w:spacing w:val="-102"/>
        </w:rPr>
      </w:r>
      <w:r>
        <w:rPr/>
        <w:t>二、载有公司法定代表人、主管会计工作负责人、会计机构负责人签名并盖章的财务报表。</w:t>
      </w:r>
      <w:r>
        <w:rPr>
          <w:spacing w:val="-103"/>
        </w:rPr>
        <w:t> </w:t>
      </w:r>
      <w:r>
        <w:rPr>
          <w:spacing w:val="-103"/>
        </w:rPr>
      </w:r>
      <w:r>
        <w:rPr>
          <w:spacing w:val="-2"/>
        </w:rPr>
        <w:t>三、报告期内公司在中国证监会指定报纸上公开披露过的所有公司文件的正本及公告的原稿。</w:t>
      </w:r>
      <w:r>
        <w:rPr>
          <w:spacing w:val="-24"/>
        </w:rPr>
        <w:t> </w:t>
      </w:r>
      <w:r>
        <w:rPr>
          <w:spacing w:val="-24"/>
        </w:rPr>
      </w:r>
      <w:r>
        <w:rPr/>
        <w:t>四、其他有关资料。</w:t>
      </w:r>
    </w:p>
    <w:sectPr>
      <w:pgSz w:w="11910" w:h="16840"/>
      <w:pgMar w:header="0"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57664"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56992" type="#_x0000_t75" stroked="false">
          <v:imagedata r:id="rId1" o:title=""/>
        </v:shape>
      </w:pict>
    </w:r>
    <w:r>
      <w:rPr/>
      <w:pict>
        <v:shape style="position:absolute;margin-left:523.309998pt;margin-top:781.957336pt;width:17.7pt;height:11.15pt;mso-position-horizontal-relative:page;mso-position-vertical-relative:page;z-index:-956968"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146</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56944" type="#_x0000_t75" stroked="false">
          <v:imagedata r:id="rId1" o:title=""/>
        </v:shape>
      </w:pict>
    </w:r>
    <w:r>
      <w:rPr/>
      <w:pict>
        <v:shape style="position:absolute;margin-left:523.309998pt;margin-top:781.957336pt;width:17.7pt;height:11.15pt;mso-position-horizontal-relative:page;mso-position-vertical-relative:page;z-index:-95692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157</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199585pt;margin-top:570.315369pt;width:42.059457pt;height:18.942809pt;mso-position-horizontal-relative:page;mso-position-vertical-relative:page;z-index:-956848" type="#_x0000_t75" stroked="false">
          <v:imagedata r:id="rId1" o:title=""/>
        </v:shape>
      </w:pict>
    </w:r>
    <w:r>
      <w:rPr/>
      <w:pict>
        <v:shape style="position:absolute;margin-left:754.700012pt;margin-top:535.477417pt;width:17.7pt;height:11.15pt;mso-position-horizontal-relative:page;mso-position-vertical-relative:page;z-index:-956824"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189</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56728" type="#_x0000_t75" stroked="false">
          <v:imagedata r:id="rId1" o:title=""/>
        </v:shape>
      </w:pict>
    </w:r>
    <w:r>
      <w:rPr/>
      <w:pict>
        <v:shape style="position:absolute;margin-left:523.309998pt;margin-top:781.957336pt;width:17.7pt;height:11.15pt;mso-position-horizontal-relative:page;mso-position-vertical-relative:page;z-index:-956704"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191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56680" type="#_x0000_t75" stroked="false">
          <v:imagedata r:id="rId1" o:title=""/>
        </v:shape>
      </w:pict>
    </w:r>
    <w:r>
      <w:rPr/>
      <w:pict>
        <v:shape style="position:absolute;margin-left:523.309998pt;margin-top:781.957336pt;width:17.7pt;height:11.15pt;mso-position-horizontal-relative:page;mso-position-vertical-relative:page;z-index:-95665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200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57568" type="#_x0000_t75" stroked="false">
          <v:imagedata r:id="rId1" o:title=""/>
        </v:shape>
      </w:pict>
    </w:r>
    <w:r>
      <w:rPr/>
      <w:pict>
        <v:shape style="position:absolute;margin-left:527.869995pt;margin-top:781.957336pt;width:13.15pt;height:11.15pt;mso-position-horizontal-relative:page;mso-position-vertical-relative:page;z-index:-957544"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57520" type="#_x0000_t75" stroked="false">
          <v:imagedata r:id="rId1" o:title=""/>
        </v:shape>
      </w:pict>
    </w:r>
    <w:r>
      <w:rPr/>
      <w:pict>
        <v:shape style="position:absolute;margin-left:527.869995pt;margin-top:781.957336pt;width:13.15pt;height:11.15pt;mso-position-horizontal-relative:page;mso-position-vertical-relative:page;z-index:-95749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25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199585pt;margin-top:570.315369pt;width:42.059457pt;height:18.942809pt;mso-position-horizontal-relative:page;mso-position-vertical-relative:page;z-index:-957424" type="#_x0000_t75" stroked="false">
          <v:imagedata r:id="rId1" o:title=""/>
        </v:shape>
      </w:pict>
    </w:r>
    <w:r>
      <w:rPr/>
      <w:pict>
        <v:shape style="position:absolute;margin-left:759.26001pt;margin-top:535.477417pt;width:13.15pt;height:11.15pt;mso-position-horizontal-relative:page;mso-position-vertical-relative:page;z-index:-95740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53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57304" type="#_x0000_t75" stroked="false">
          <v:imagedata r:id="rId1" o:title=""/>
        </v:shape>
      </w:pict>
    </w:r>
    <w:r>
      <w:rPr/>
      <w:pict>
        <v:shape style="position:absolute;margin-left:527.869995pt;margin-top:781.957336pt;width:13.15pt;height:11.15pt;mso-position-horizontal-relative:page;mso-position-vertical-relative:page;z-index:-95728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55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57256" type="#_x0000_t75" stroked="false">
          <v:imagedata r:id="rId1" o:title=""/>
        </v:shape>
      </w:pict>
    </w:r>
    <w:r>
      <w:rPr/>
      <w:pict>
        <v:shape style="position:absolute;margin-left:524.309998pt;margin-top:781.957336pt;width:15.7pt;height:11.15pt;mso-position-horizontal-relative:page;mso-position-vertical-relative:page;z-index:-957232"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199585pt;margin-top:570.315369pt;width:42.059457pt;height:18.942809pt;mso-position-horizontal-relative:page;mso-position-vertical-relative:page;z-index:-957160" type="#_x0000_t75" stroked="false">
          <v:imagedata r:id="rId1" o:title=""/>
        </v:shape>
      </w:pict>
    </w:r>
    <w:r>
      <w:rPr/>
      <w:pict>
        <v:shape style="position:absolute;margin-left:754.700012pt;margin-top:535.477417pt;width:17.7pt;height:11.15pt;mso-position-horizontal-relative:page;mso-position-vertical-relative:page;z-index:-95713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57040" type="#_x0000_t75" stroked="false">
          <v:imagedata r:id="rId1" o:title=""/>
        </v:shape>
      </w:pict>
    </w:r>
    <w:r>
      <w:rPr/>
      <w:pict>
        <v:shape style="position:absolute;margin-left:523.309998pt;margin-top:781.957336pt;width:17.7pt;height:11.15pt;mso-position-horizontal-relative:page;mso-position-vertical-relative:page;z-index:-95701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00001pt;margin-top:22.999983pt;width:115.5pt;height:30.75pt;mso-position-horizontal-relative:page;mso-position-vertical-relative:page;z-index:-957640" type="#_x0000_t75" stroked="false">
          <v:imagedata r:id="rId1" o:title=""/>
        </v:shape>
      </w:pict>
    </w:r>
    <w:r>
      <w:rPr/>
      <w:pict>
        <v:group style="position:absolute;margin-left:55.223999pt;margin-top:55.579983pt;width:485pt;height:.1pt;mso-position-horizontal-relative:page;mso-position-vertical-relative:page;z-index:-95761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44.23999pt;margin-top:42.542484pt;width:195.8pt;height:11.65pt;mso-position-horizontal-relative:page;mso-position-vertical-relative:page;z-index:-957592"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西安环球印务股份有限公司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00001pt;margin-top:22.999983pt;width:115.5pt;height:30.75pt;mso-position-horizontal-relative:page;mso-position-vertical-relative:page;z-index:-956800" type="#_x0000_t75" stroked="false">
          <v:imagedata r:id="rId1" o:title=""/>
        </v:shape>
      </w:pict>
    </w:r>
    <w:r>
      <w:rPr/>
      <w:pict>
        <v:group style="position:absolute;margin-left:55.223999pt;margin-top:55.579983pt;width:485pt;height:.1pt;mso-position-horizontal-relative:page;mso-position-vertical-relative:page;z-index:-95677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3999pt;margin-top:42.542484pt;width:195.8pt;height:11.65pt;mso-position-horizontal-relative:page;mso-position-vertical-relative:page;z-index:-956752"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西安环球印务股份有限公司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23.000011pt;width:115.5pt;height:30.75pt;mso-position-horizontal-relative:page;mso-position-vertical-relative:page;z-index:-957472" type="#_x0000_t75" stroked="false">
          <v:imagedata r:id="rId1" o:title=""/>
        </v:shape>
      </w:pict>
    </w:r>
    <w:r>
      <w:rPr/>
      <w:pict>
        <v:shape style="position:absolute;margin-left:575.650024pt;margin-top:42.542511pt;width:195.75pt;height:11.65pt;mso-position-horizontal-relative:page;mso-position-vertical-relative:page;z-index:-957448"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西安环球印务股份有限公司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00001pt;margin-top:22.999983pt;width:115.5pt;height:30.75pt;mso-position-horizontal-relative:page;mso-position-vertical-relative:page;z-index:-957376" type="#_x0000_t75" stroked="false">
          <v:imagedata r:id="rId1" o:title=""/>
        </v:shape>
      </w:pict>
    </w:r>
    <w:r>
      <w:rPr/>
      <w:pict>
        <v:group style="position:absolute;margin-left:55.223999pt;margin-top:55.579983pt;width:485pt;height:.1pt;mso-position-horizontal-relative:page;mso-position-vertical-relative:page;z-index:-95735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3999pt;margin-top:42.542484pt;width:195.8pt;height:11.65pt;mso-position-horizontal-relative:page;mso-position-vertical-relative:page;z-index:-957328"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西安环球印务股份有限公司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23.000011pt;width:115.5pt;height:30.75pt;mso-position-horizontal-relative:page;mso-position-vertical-relative:page;z-index:-957208" type="#_x0000_t75" stroked="false">
          <v:imagedata r:id="rId1" o:title=""/>
        </v:shape>
      </w:pict>
    </w:r>
    <w:r>
      <w:rPr/>
      <w:pict>
        <v:shape style="position:absolute;margin-left:575.650024pt;margin-top:42.542511pt;width:195.75pt;height:11.65pt;mso-position-horizontal-relative:page;mso-position-vertical-relative:page;z-index:-957184"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西安环球印务股份有限公司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00001pt;margin-top:22.999983pt;width:115.5pt;height:30.75pt;mso-position-horizontal-relative:page;mso-position-vertical-relative:page;z-index:-957112" type="#_x0000_t75" stroked="false">
          <v:imagedata r:id="rId1" o:title=""/>
        </v:shape>
      </w:pict>
    </w:r>
    <w:r>
      <w:rPr/>
      <w:pict>
        <v:group style="position:absolute;margin-left:55.223999pt;margin-top:55.579983pt;width:485pt;height:.1pt;mso-position-horizontal-relative:page;mso-position-vertical-relative:page;z-index:-95708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3999pt;margin-top:42.542484pt;width:195.8pt;height:11.65pt;mso-position-horizontal-relative:page;mso-position-vertical-relative:page;z-index:-957064"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西安环球印务股份有限公司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23.000011pt;width:115.5pt;height:30.75pt;mso-position-horizontal-relative:page;mso-position-vertical-relative:page;z-index:-956896" type="#_x0000_t75" stroked="false">
          <v:imagedata r:id="rId1" o:title=""/>
        </v:shape>
      </w:pict>
    </w:r>
    <w:r>
      <w:rPr/>
      <w:pict>
        <v:shape style="position:absolute;margin-left:575.650024pt;margin-top:42.542511pt;width:195.75pt;height:11.65pt;mso-position-horizontal-relative:page;mso-position-vertical-relative:page;z-index:-956872"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西安环球印务股份有限公司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94"/>
      <w:ind w:left="153"/>
    </w:pPr>
    <w:rPr>
      <w:rFonts w:ascii="宋体" w:hAnsi="宋体" w:eastAsia="宋体"/>
      <w:b/>
      <w:bCs/>
      <w:sz w:val="24"/>
      <w:szCs w:val="24"/>
    </w:rPr>
  </w:style>
  <w:style w:styleId="BodyText" w:type="paragraph">
    <w:name w:val="Body Text"/>
    <w:basedOn w:val="Normal"/>
    <w:uiPriority w:val="1"/>
    <w:qFormat/>
    <w:pPr>
      <w:spacing w:before="20"/>
      <w:ind w:left="153"/>
    </w:pPr>
    <w:rPr>
      <w:rFonts w:ascii="宋体" w:hAnsi="宋体" w:eastAsia="宋体"/>
      <w:sz w:val="21"/>
      <w:szCs w:val="21"/>
    </w:rPr>
  </w:style>
  <w:style w:styleId="Heading1" w:type="paragraph">
    <w:name w:val="Heading 1"/>
    <w:basedOn w:val="Normal"/>
    <w:uiPriority w:val="1"/>
    <w:qFormat/>
    <w:pPr>
      <w:spacing w:before="2"/>
      <w:ind w:left="2967"/>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globalprinting.cn/" TargetMode="External"/><Relationship Id="rId10" Type="http://schemas.openxmlformats.org/officeDocument/2006/relationships/hyperlink" Target="mailto:security@globalprinting.cn"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image" Target="media/image1.jpeg"/><Relationship Id="rId16" Type="http://schemas.openxmlformats.org/officeDocument/2006/relationships/footer" Target="footer4.xml"/><Relationship Id="rId17" Type="http://schemas.openxmlformats.org/officeDocument/2006/relationships/header" Target="header3.xml"/><Relationship Id="rId18" Type="http://schemas.openxmlformats.org/officeDocument/2006/relationships/footer" Target="footer5.xml"/><Relationship Id="rId19" Type="http://schemas.openxmlformats.org/officeDocument/2006/relationships/header" Target="header4.xml"/><Relationship Id="rId20" Type="http://schemas.openxmlformats.org/officeDocument/2006/relationships/footer" Target="footer6.xml"/><Relationship Id="rId21" Type="http://schemas.openxmlformats.org/officeDocument/2006/relationships/image" Target="media/image4.jpeg"/><Relationship Id="rId22" Type="http://schemas.openxmlformats.org/officeDocument/2006/relationships/hyperlink" Target="http://www.cninfo.co/" TargetMode="External"/><Relationship Id="rId23" Type="http://schemas.openxmlformats.org/officeDocument/2006/relationships/hyperlink" Target="http://www.cninfo.com.cn/%C3%AF%C2%BC%C2%89" TargetMode="External"/><Relationship Id="rId24" Type="http://schemas.openxmlformats.org/officeDocument/2006/relationships/footer" Target="footer7.xml"/><Relationship Id="rId25" Type="http://schemas.openxmlformats.org/officeDocument/2006/relationships/header" Target="header5.xml"/><Relationship Id="rId26" Type="http://schemas.openxmlformats.org/officeDocument/2006/relationships/footer" Target="footer8.xml"/><Relationship Id="rId27" Type="http://schemas.openxmlformats.org/officeDocument/2006/relationships/header" Target="header6.xml"/><Relationship Id="rId28" Type="http://schemas.openxmlformats.org/officeDocument/2006/relationships/footer" Target="footer9.xml"/><Relationship Id="rId29" Type="http://schemas.openxmlformats.org/officeDocument/2006/relationships/header" Target="header7.xml"/><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header" Target="header8.xml"/><Relationship Id="rId33" Type="http://schemas.openxmlformats.org/officeDocument/2006/relationships/footer" Target="footer12.xml"/><Relationship Id="rId34" Type="http://schemas.openxmlformats.org/officeDocument/2006/relationships/footer" Target="footer13.xml"/><Relationship Id="rId35" Type="http://schemas.openxmlformats.org/officeDocument/2006/relationships/header" Target="header9.xml"/><Relationship Id="rId36" Type="http://schemas.openxmlformats.org/officeDocument/2006/relationships/footer" Target="footer14.xml"/><Relationship Id="rId37" Type="http://schemas.openxmlformats.org/officeDocument/2006/relationships/header" Target="header10.xml"/><Relationship Id="rId38" Type="http://schemas.openxmlformats.org/officeDocument/2006/relationships/footer" Target="footer15.xml"/><Relationship Id="rId39" Type="http://schemas.openxmlformats.org/officeDocument/2006/relationships/header" Target="header11.xml"/><Relationship Id="rId40" Type="http://schemas.openxmlformats.org/officeDocument/2006/relationships/footer" Target="footer16.xml"/><Relationship Id="rId41" Type="http://schemas.openxmlformats.org/officeDocument/2006/relationships/footer" Target="footer1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西安环球印务股份有限公司</dc:creator>
  <dc:title>西安环球印务股份有限公司2019年年度报告全文</dc:title>
  <dcterms:created xsi:type="dcterms:W3CDTF">2020-05-19T03:00:32Z</dcterms:created>
  <dcterms:modified xsi:type="dcterms:W3CDTF">2020-05-19T03:00:32Z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2020-04-09T00:00:00Z</vt:filetime>
  </property>
  <property fmtid="{D5CDD505-2E9C-101B-9397-08002B2CF9AE}" pid="3" name="Creator">
    <vt:lpwstr>Microsoft® Office Word 2007</vt:lpwstr>
  </property>
  <property fmtid="{D5CDD505-2E9C-101B-9397-08002B2CF9AE}" pid="4" name="LastSaved">
    <vt:filetime>2020-05-18T00:00:00Z</vt:filetime>
  </property>
</Properties>
</file>