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769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52" w:lineRule="exact"/>
        <w:ind w:left="269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2892265" cy="111299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892265" cy="1112996"/>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line="460" w:lineRule="exact" w:before="0"/>
        <w:ind w:left="2784" w:right="3763" w:firstLine="0"/>
        <w:jc w:val="center"/>
        <w:rPr>
          <w:rFonts w:ascii="宋体" w:hAnsi="宋体" w:cs="宋体" w:eastAsia="宋体" w:hint="default"/>
          <w:sz w:val="36"/>
          <w:szCs w:val="36"/>
        </w:rPr>
      </w:pPr>
      <w:r>
        <w:rPr>
          <w:rFonts w:ascii="宋体" w:hAnsi="宋体" w:cs="宋体" w:eastAsia="宋体" w:hint="default"/>
          <w:b/>
          <w:bCs/>
          <w:sz w:val="36"/>
          <w:szCs w:val="36"/>
        </w:rPr>
        <w:t>厦门吉宏科技股份有限公司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1"/>
          <w:szCs w:val="41"/>
        </w:rPr>
      </w:pPr>
    </w:p>
    <w:p>
      <w:pPr>
        <w:spacing w:before="0"/>
        <w:ind w:left="2782"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1" w:top="1060" w:bottom="118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4" w:right="1128"/>
        <w:jc w:val="left"/>
        <w:rPr>
          <w:b w:val="0"/>
          <w:bCs w:val="0"/>
        </w:rPr>
      </w:pPr>
      <w:bookmarkStart w:name="_TOC_250012"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4"/>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2"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公司负责人庄浩、主管会计工作负责人吴明贵及会计机构负责人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詹文明声明：保证年度报告中财务报告的真实、准确、完整。</w:t>
      </w:r>
      <w:r>
        <w:rPr>
          <w:rFonts w:ascii="宋体" w:hAnsi="宋体" w:cs="宋体" w:eastAsia="宋体" w:hint="default"/>
          <w:sz w:val="28"/>
          <w:szCs w:val="28"/>
        </w:rPr>
      </w:r>
    </w:p>
    <w:p>
      <w:pPr>
        <w:spacing w:line="472" w:lineRule="auto" w:before="148"/>
        <w:ind w:left="714" w:right="1128"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本年度报告涉及未来计划及经营目标等前瞻性陈述，不构成公司对投资者</w:t>
      </w:r>
      <w:r>
        <w:rPr>
          <w:rFonts w:ascii="宋体" w:hAnsi="宋体" w:cs="宋体" w:eastAsia="宋体" w:hint="default"/>
          <w:spacing w:val="2"/>
          <w:sz w:val="28"/>
          <w:szCs w:val="28"/>
        </w:rPr>
      </w:r>
    </w:p>
    <w:p>
      <w:pPr>
        <w:spacing w:line="408" w:lineRule="auto" w:before="0"/>
        <w:ind w:left="152" w:right="1128" w:firstLine="0"/>
        <w:jc w:val="left"/>
        <w:rPr>
          <w:rFonts w:ascii="宋体" w:hAnsi="宋体" w:cs="宋体" w:eastAsia="宋体" w:hint="default"/>
          <w:sz w:val="28"/>
          <w:szCs w:val="28"/>
        </w:rPr>
      </w:pPr>
      <w:r>
        <w:rPr>
          <w:rFonts w:ascii="宋体" w:hAnsi="宋体" w:cs="宋体" w:eastAsia="宋体" w:hint="default"/>
          <w:b/>
          <w:bCs/>
          <w:spacing w:val="2"/>
          <w:sz w:val="28"/>
          <w:szCs w:val="28"/>
        </w:rPr>
        <w:t>的实质承诺，投资者及相关人士均应当对此保持足够的风险认识，并且应当理</w:t>
      </w:r>
      <w:r>
        <w:rPr>
          <w:rFonts w:ascii="宋体" w:hAnsi="宋体" w:cs="宋体" w:eastAsia="宋体" w:hint="default"/>
          <w:b/>
          <w:bCs/>
          <w:w w:val="99"/>
          <w:sz w:val="28"/>
          <w:szCs w:val="28"/>
        </w:rPr>
        <w:t> </w:t>
      </w:r>
      <w:r>
        <w:rPr>
          <w:rFonts w:ascii="宋体" w:hAnsi="宋体" w:cs="宋体" w:eastAsia="宋体" w:hint="default"/>
          <w:b/>
          <w:bCs/>
          <w:sz w:val="28"/>
          <w:szCs w:val="28"/>
        </w:rPr>
        <w:t>解计划、预测与承诺之间的差异。</w:t>
      </w:r>
      <w:r>
        <w:rPr>
          <w:rFonts w:ascii="宋体" w:hAnsi="宋体" w:cs="宋体" w:eastAsia="宋体" w:hint="default"/>
          <w:sz w:val="28"/>
          <w:szCs w:val="28"/>
        </w:rPr>
      </w:r>
    </w:p>
    <w:p>
      <w:pPr>
        <w:spacing w:line="386" w:lineRule="auto" w:before="162"/>
        <w:ind w:left="152" w:right="1130" w:firstLine="561"/>
        <w:jc w:val="both"/>
        <w:rPr>
          <w:rFonts w:ascii="宋体" w:hAnsi="宋体" w:cs="宋体" w:eastAsia="宋体" w:hint="default"/>
          <w:sz w:val="28"/>
          <w:szCs w:val="28"/>
        </w:rPr>
      </w:pPr>
      <w:r>
        <w:rPr>
          <w:rFonts w:ascii="宋体" w:hAnsi="宋体" w:cs="宋体" w:eastAsia="宋体" w:hint="default"/>
          <w:b/>
          <w:bCs/>
          <w:spacing w:val="6"/>
          <w:sz w:val="28"/>
          <w:szCs w:val="28"/>
        </w:rPr>
        <w:t>公司在本报告第四节</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经营情况讨论与分析</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中</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九</w:t>
      </w:r>
      <w:r>
        <w:rPr>
          <w:rFonts w:ascii="宋体" w:hAnsi="宋体" w:cs="宋体" w:eastAsia="宋体" w:hint="default"/>
          <w:b/>
          <w:bCs/>
          <w:spacing w:val="18"/>
          <w:sz w:val="28"/>
          <w:szCs w:val="28"/>
        </w:rPr>
        <w:t> </w:t>
      </w:r>
      <w:r>
        <w:rPr>
          <w:rFonts w:ascii="宋体" w:hAnsi="宋体" w:cs="宋体" w:eastAsia="宋体" w:hint="default"/>
          <w:b/>
          <w:bCs/>
          <w:spacing w:val="6"/>
          <w:sz w:val="28"/>
          <w:szCs w:val="28"/>
        </w:rPr>
        <w:t>公司未来发展的展望</w:t>
      </w:r>
      <w:r>
        <w:rPr>
          <w:rFonts w:ascii="Times New Roman" w:hAnsi="Times New Roman" w:cs="Times New Roman" w:eastAsia="Times New Roman" w:hint="default"/>
          <w:b/>
          <w:bCs/>
          <w:spacing w:val="6"/>
          <w:sz w:val="28"/>
          <w:szCs w:val="28"/>
        </w:rPr>
        <w:t>”</w:t>
      </w:r>
      <w:r>
        <w:rPr>
          <w:rFonts w:ascii="Times New Roman" w:hAnsi="Times New Roman" w:cs="Times New Roman" w:eastAsia="Times New Roman" w:hint="default"/>
          <w:b/>
          <w:bCs/>
          <w:w w:val="100"/>
          <w:sz w:val="28"/>
          <w:szCs w:val="28"/>
        </w:rPr>
        <w:t> </w:t>
      </w:r>
      <w:r>
        <w:rPr>
          <w:rFonts w:ascii="宋体" w:hAnsi="宋体" w:cs="宋体" w:eastAsia="宋体" w:hint="default"/>
          <w:b/>
          <w:bCs/>
          <w:sz w:val="28"/>
          <w:szCs w:val="28"/>
        </w:rPr>
        <w:t>部分，描述了公司经营中可能面对的主要风险，敬请广大投资者注意查阅。</w:t>
      </w:r>
      <w:r>
        <w:rPr>
          <w:rFonts w:ascii="宋体" w:hAnsi="宋体" w:cs="宋体" w:eastAsia="宋体" w:hint="default"/>
          <w:sz w:val="28"/>
          <w:szCs w:val="28"/>
        </w:rPr>
      </w:r>
    </w:p>
    <w:p>
      <w:pPr>
        <w:spacing w:line="398" w:lineRule="auto" w:before="187"/>
        <w:ind w:left="152" w:right="1129"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公司经本次董事会审议通过的利润分配预案为：以董事会审议通过分配预</w:t>
      </w:r>
      <w:r>
        <w:rPr>
          <w:rFonts w:ascii="宋体" w:hAnsi="宋体" w:cs="宋体" w:eastAsia="宋体" w:hint="default"/>
          <w:b/>
          <w:bCs/>
          <w:w w:val="99"/>
          <w:sz w:val="28"/>
          <w:szCs w:val="28"/>
        </w:rPr>
        <w:t> </w:t>
      </w:r>
      <w:r>
        <w:rPr>
          <w:rFonts w:ascii="宋体" w:hAnsi="宋体" w:cs="宋体" w:eastAsia="宋体" w:hint="default"/>
          <w:b/>
          <w:bCs/>
          <w:w w:val="99"/>
          <w:sz w:val="28"/>
          <w:szCs w:val="28"/>
        </w:rPr>
        <w:t>案之日的总股本为基数，向全体股东每</w:t>
      </w:r>
      <w:r>
        <w:rPr>
          <w:rFonts w:ascii="宋体" w:hAnsi="宋体" w:cs="宋体" w:eastAsia="宋体" w:hint="default"/>
          <w:b/>
          <w:bCs/>
          <w:spacing w:val="-48"/>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2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48"/>
          <w:w w:val="99"/>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2"/>
          <w:w w:val="100"/>
          <w:sz w:val="28"/>
          <w:szCs w:val="28"/>
        </w:rPr>
        <w:t> </w:t>
      </w:r>
      <w:r>
        <w:rPr>
          <w:rFonts w:ascii="宋体" w:hAnsi="宋体" w:cs="宋体" w:eastAsia="宋体" w:hint="default"/>
          <w:b/>
          <w:bCs/>
          <w:spacing w:val="-18"/>
          <w:w w:val="99"/>
          <w:sz w:val="28"/>
          <w:szCs w:val="28"/>
        </w:rPr>
        <w:t>元（含税），送红</w:t>
      </w:r>
      <w:r>
        <w:rPr>
          <w:rFonts w:ascii="宋体" w:hAnsi="宋体" w:cs="宋体" w:eastAsia="宋体" w:hint="default"/>
          <w:b/>
          <w:bCs/>
          <w:w w:val="99"/>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71"/>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1" w:header="745" w:top="1060" w:bottom="118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782" w:right="37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9"/>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19"/>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9"/>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9"/>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9"/>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9"/>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9"/>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19"/>
              </w:rPr>
              <w:t> </w:t>
            </w:r>
            <w:r>
              <w:rPr/>
              <w:t>可转换公司债券相关情况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19"/>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9"/>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9"/>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8"/>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9"/>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208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1" w:top="1060" w:bottom="1180" w:left="980" w:right="0"/>
        </w:sectPr>
      </w:pPr>
    </w:p>
    <w:p>
      <w:pPr>
        <w:spacing w:before="944"/>
        <w:ind w:left="2782" w:right="37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厦门吉宏、本公司、公司、吉宏股份</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庄浩</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永悦投资</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西藏永悦诗超企业管理有限公司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厦门正奇</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厦门市正奇信息技术有限公司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呼市吉宏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呼和浩特市吉宏印刷包装有限公司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香港吉宏科技有限公司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滦州吉宏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孝感吉宏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孝感市吉宏包装有限公司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厦门鑫泷悦</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厦门鑫泷悦环保纸袋有限公司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黄冈分公司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厦门吉宏科技股份有限公司黄冈分公司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廊坊分公司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厦门吉宏科技股份有限公司廊坊分公司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廊坊市吉宏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廊坊市吉宏包装有限公司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厦门市吉客印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厦门市吉客印电子商务有限公司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西安吉客印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西安吉客印电子商务有限公司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香港吉客印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香港吉客印电子商务有限公司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西安金印客</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西安金印客电子商务有限公司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香港金印客</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香港金印客电子商务有限公司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郑州吉客印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郑州吉客印电子商务有限公司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西安丹骏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西安丹骏电子商务有限公司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霍尔果斯金域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霍尔果斯金域网络科技有限公司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霍尔果斯维斯塔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霍尔果斯维斯塔科技有限公司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北京金域互动</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北京金域互动科技有限公司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北京龙域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北京龙域之星科技有限公司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重庆阿欧艾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重庆市阿欧艾网络科技有限公司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陕西永鑫</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陕西永鑫纸业包装有限公司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黄冈吉宏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黄冈市吉宏包装有限公司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安徽吉宏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安徽吉宏环保纸品有限公司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江西吉宏</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江西吉宏供应链管理有限公司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深圳吉链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深圳吉链区块链技术有限公司</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BodyText"/>
        <w:spacing w:line="240" w:lineRule="auto" w:before="44"/>
        <w:ind w:left="0" w:right="1139"/>
        <w:jc w:val="right"/>
      </w:pPr>
      <w:r>
        <w:rPr/>
        <w:pict>
          <v:shape style="position:absolute;margin-left:56.400002pt;margin-top:-154.565308pt;width:479.2pt;height:625.4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江西维致</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江西维致供应链管理有限公司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山西火致</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山西火致供应链管理有限公司</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彩色包装纸盒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hanging="32"/>
                          <w:jc w:val="center"/>
                          <w:rPr>
                            <w:rFonts w:ascii="宋体" w:hAnsi="宋体" w:cs="宋体" w:eastAsia="宋体" w:hint="default"/>
                            <w:sz w:val="18"/>
                            <w:szCs w:val="18"/>
                          </w:rPr>
                        </w:pPr>
                        <w:r>
                          <w:rPr>
                            <w:rFonts w:ascii="宋体" w:hAnsi="宋体" w:cs="宋体" w:eastAsia="宋体" w:hint="default"/>
                            <w:spacing w:val="-2"/>
                            <w:sz w:val="18"/>
                            <w:szCs w:val="18"/>
                          </w:rPr>
                          <w:t>公司的主要产品之一，用白板纸、白卡纸等制成的包装盒，方便产品</w:t>
                        </w:r>
                        <w:r>
                          <w:rPr>
                            <w:rFonts w:ascii="宋体" w:hAnsi="宋体" w:cs="宋体" w:eastAsia="宋体" w:hint="default"/>
                            <w:sz w:val="18"/>
                            <w:szCs w:val="18"/>
                          </w:rPr>
                          <w:t> 的配送、展示、销售，主要用于日常用品（如：纸巾、食品、牙膏、 节能灯、香皂、手机、药品等）的外包装</w:t>
                        </w:r>
                      </w:p>
                    </w:tc>
                  </w:tr>
                  <w:tr>
                    <w:trPr>
                      <w:trHeight w:val="19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彩色包装箱</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 w:hanging="3"/>
                          <w:jc w:val="center"/>
                          <w:rPr>
                            <w:rFonts w:ascii="宋体" w:hAnsi="宋体" w:cs="宋体" w:eastAsia="宋体" w:hint="default"/>
                            <w:sz w:val="18"/>
                            <w:szCs w:val="18"/>
                          </w:rPr>
                        </w:pPr>
                        <w:r>
                          <w:rPr>
                            <w:rFonts w:ascii="宋体" w:hAnsi="宋体" w:cs="宋体" w:eastAsia="宋体" w:hint="default"/>
                            <w:spacing w:val="-2"/>
                            <w:sz w:val="18"/>
                            <w:szCs w:val="18"/>
                          </w:rPr>
                          <w:t>彩色包装箱就是指为具有减缓内装物或产品受到冲击和振动，保护其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免受损坏所采取的一定防护措施的包装。分为：运输包装和销售包装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两种，运输包装是指货物运输中必须的包装，主要为黄板箱；销售包</w:t>
                        </w:r>
                        <w:r>
                          <w:rPr>
                            <w:rFonts w:ascii="宋体" w:hAnsi="宋体" w:cs="宋体" w:eastAsia="宋体" w:hint="default"/>
                            <w:sz w:val="18"/>
                            <w:szCs w:val="18"/>
                          </w:rPr>
                          <w:t> </w:t>
                        </w:r>
                        <w:r>
                          <w:rPr>
                            <w:rFonts w:ascii="宋体" w:hAnsi="宋体" w:cs="宋体" w:eastAsia="宋体" w:hint="default"/>
                            <w:spacing w:val="-2"/>
                            <w:sz w:val="18"/>
                            <w:szCs w:val="18"/>
                          </w:rPr>
                          <w:t>装是指货物在销售时能起到品牌展示及方便客户使用的一种包装。公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司主要产品彩色包装箱多指销售包装，主要用于日常用品（如：牛奶</w:t>
                        </w:r>
                        <w:r>
                          <w:rPr>
                            <w:rFonts w:ascii="宋体" w:hAnsi="宋体" w:cs="宋体" w:eastAsia="宋体" w:hint="default"/>
                            <w:sz w:val="18"/>
                            <w:szCs w:val="18"/>
                          </w:rPr>
                          <w:t> 饮料等）的外包装</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1"/>
                          <w:jc w:val="center"/>
                          <w:rPr>
                            <w:rFonts w:ascii="宋体" w:hAnsi="宋体" w:cs="宋体" w:eastAsia="宋体" w:hint="default"/>
                            <w:sz w:val="18"/>
                            <w:szCs w:val="18"/>
                          </w:rPr>
                        </w:pPr>
                        <w:r>
                          <w:rPr>
                            <w:rFonts w:ascii="宋体" w:hAnsi="宋体" w:cs="宋体" w:eastAsia="宋体" w:hint="default"/>
                            <w:sz w:val="18"/>
                            <w:szCs w:val="18"/>
                          </w:rPr>
                          <w:t>环保纸袋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hanging="32"/>
                          <w:jc w:val="center"/>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纯木浆做成的纸张，制成带有纸质手把的环保纸袋，耐破， 韧性好，高强度，方便运输。主要用于各类商品外包装袋，如服装、 鞋、食品、烟酒、化妆品、保健品等的包装手提袋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公司主要业务，通过大数据分析，精准投放有效人群实行精准销售</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B2B</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Business-to-Business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的缩写，是指企业与企业之间通过专用网络或 </w:t>
                        </w:r>
                        <w:r>
                          <w:rPr>
                            <w:rFonts w:ascii="Times New Roman" w:hAnsi="Times New Roman" w:cs="Times New Roman" w:eastAsia="Times New Roman" w:hint="default"/>
                            <w:spacing w:val="-2"/>
                            <w:sz w:val="18"/>
                            <w:szCs w:val="18"/>
                          </w:rPr>
                          <w:t>Internet</w:t>
                        </w:r>
                        <w:r>
                          <w:rPr>
                            <w:rFonts w:ascii="宋体" w:hAnsi="宋体" w:cs="宋体" w:eastAsia="宋体" w:hint="default"/>
                            <w:spacing w:val="-2"/>
                            <w:sz w:val="18"/>
                            <w:szCs w:val="18"/>
                          </w:rPr>
                          <w:t>，进行数据信息的交换、传递，开展交易活动的商业模式，文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中指公司精准营销广告业务</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B2C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Business-to-Customer</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的缩写，电子商务的一种模式，也就是通常说的</w:t>
                        </w:r>
                        <w:r>
                          <w:rPr>
                            <w:rFonts w:ascii="宋体" w:hAnsi="宋体" w:cs="宋体" w:eastAsia="宋体" w:hint="default"/>
                            <w:sz w:val="18"/>
                            <w:szCs w:val="18"/>
                          </w:rPr>
                          <w:t> </w:t>
                        </w:r>
                        <w:r>
                          <w:rPr>
                            <w:rFonts w:ascii="宋体" w:hAnsi="宋体" w:cs="宋体" w:eastAsia="宋体" w:hint="default"/>
                            <w:spacing w:val="-2"/>
                            <w:sz w:val="18"/>
                            <w:szCs w:val="18"/>
                          </w:rPr>
                          <w:t>直接面向消费者销售产品和服务商业零售模式，文中指公司精准营销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跨境电商业务</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DSP</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Demand-Side Platform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的英文缩写，即需求方平台</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SSP</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Sell-Side Platform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的英文缩写，即供给方平台</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COD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to cash on delivery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(C.O.D.)</w:t>
                        </w:r>
                        <w:r>
                          <w:rPr>
                            <w:rFonts w:ascii="宋体" w:hAnsi="宋体" w:cs="宋体" w:eastAsia="宋体" w:hint="default"/>
                            <w:sz w:val="18"/>
                            <w:szCs w:val="18"/>
                          </w:rPr>
                          <w:t>的英文缩写，即货到付款</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信永中和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bl>
                <w:p>
                  <w:pPr/>
                </w:p>
              </w:txbxContent>
            </v:textbox>
            <w10:wrap type="none"/>
          </v:shape>
        </w:pict>
      </w:r>
      <w:r>
        <w:rPr/>
        <w:t>、</w:t>
      </w:r>
    </w:p>
    <w:p>
      <w:pPr>
        <w:spacing w:after="0" w:line="240" w:lineRule="auto"/>
        <w:jc w:val="righ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723" w:right="1128"/>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8"/>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吉宏股份</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002803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厦门吉宏科技股份有限公司</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吉宏股份</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9" w:right="0"/>
              <w:jc w:val="left"/>
              <w:rPr>
                <w:rFonts w:ascii="Times New Roman" w:hAnsi="Times New Roman" w:cs="Times New Roman" w:eastAsia="Times New Roman" w:hint="default"/>
                <w:sz w:val="18"/>
                <w:szCs w:val="18"/>
              </w:rPr>
            </w:pPr>
            <w:r>
              <w:rPr>
                <w:rFonts w:ascii="Times New Roman"/>
                <w:sz w:val="18"/>
              </w:rPr>
              <w:t>Xiamen Jihong Technology</w:t>
            </w:r>
            <w:r>
              <w:rPr>
                <w:rFonts w:ascii="Times New Roman"/>
                <w:spacing w:val="-20"/>
                <w:sz w:val="18"/>
              </w:rPr>
              <w:t> </w:t>
            </w:r>
            <w:r>
              <w:rPr>
                <w:rFonts w:ascii="Times New Roman"/>
                <w:sz w:val="18"/>
              </w:rPr>
              <w:t>Co.,Ltd</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庄浩</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8" w:right="0"/>
              <w:jc w:val="left"/>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361027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18" w:right="0"/>
              <w:jc w:val="left"/>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361027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hyperlink r:id="rId9">
              <w:r>
                <w:rPr>
                  <w:rFonts w:ascii="Times New Roman"/>
                  <w:sz w:val="18"/>
                </w:rPr>
                <w:t>http://www.jihong.cn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hyperlink r:id="rId10">
              <w:r>
                <w:rPr>
                  <w:rFonts w:ascii="Times New Roman"/>
                  <w:sz w:val="18"/>
                </w:rPr>
                <w:t>ipo@jihong.cn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8"/>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4111"/>
        <w:gridCol w:w="375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龚红鹰</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许文秀</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厦门市海沧区东孚工业区二期浦头路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0592-6316330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0592-6316330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0592-6316330</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0592-6316330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hyperlink r:id="rId11">
              <w:r>
                <w:rPr>
                  <w:rFonts w:ascii="Times New Roman"/>
                  <w:sz w:val="18"/>
                </w:rPr>
                <w:t>ghy@jihong.cn</w:t>
              </w:r>
            </w:hyperlink>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hyperlink r:id="rId12">
              <w:r>
                <w:rPr>
                  <w:rFonts w:ascii="Times New Roman"/>
                  <w:sz w:val="18"/>
                </w:rPr>
                <w:t>xuwx@jihong.cn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8"/>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证券时报、证券日报、中国证券报、上海证券报</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2"/>
                <w:sz w:val="18"/>
                <w:szCs w:val="18"/>
              </w:rPr>
              <w:t> </w:t>
            </w:r>
            <w:hyperlink r:id="rId13">
              <w:r>
                <w:rPr>
                  <w:rFonts w:ascii="Times New Roman" w:hAnsi="Times New Roman" w:cs="Times New Roman" w:eastAsia="Times New Roman" w:hint="default"/>
                  <w:sz w:val="18"/>
                  <w:szCs w:val="18"/>
                </w:rPr>
                <w:t>www.cninfo.com.cn</w:t>
              </w:r>
            </w:hyperlink>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1"/>
        <w:rPr>
          <w:rFonts w:ascii="宋体" w:hAnsi="宋体" w:cs="宋体" w:eastAsia="宋体" w:hint="default"/>
          <w:b/>
          <w:bCs/>
          <w:sz w:val="18"/>
          <w:szCs w:val="18"/>
        </w:rPr>
      </w:pPr>
    </w:p>
    <w:p>
      <w:pPr>
        <w:pStyle w:val="Heading2"/>
        <w:spacing w:line="240" w:lineRule="auto" w:before="26"/>
        <w:ind w:right="1128"/>
        <w:jc w:val="left"/>
        <w:rPr>
          <w:b w:val="0"/>
          <w:bCs w:val="0"/>
        </w:rPr>
      </w:pPr>
      <w:r>
        <w:rPr/>
        <w:t>四、注册变更情况</w:t>
      </w:r>
      <w:r>
        <w:rPr>
          <w:b w:val="0"/>
          <w:bCs w:val="0"/>
        </w:rPr>
      </w:r>
    </w:p>
    <w:p>
      <w:pPr>
        <w:spacing w:line="240" w:lineRule="auto" w:before="6"/>
        <w:rPr>
          <w:rFonts w:ascii="宋体" w:hAnsi="宋体" w:cs="宋体" w:eastAsia="宋体" w:hint="default"/>
          <w:b/>
          <w:bCs/>
          <w:sz w:val="25"/>
          <w:szCs w:val="25"/>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3168;top:14;width:24;height:392" coordorigin="3168,14" coordsize="24,392">
              <v:shape style="position:absolute;left:3168;top:14;width:24;height:392" coordorigin="3168,14" coordsize="24,392" path="m3168,406l3192,406,3192,14,3168,14,3168,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3135;height:392" coordorigin="34,14" coordsize="3135,392">
              <v:shape style="position:absolute;left:34;top:14;width:3135;height:392" coordorigin="34,14" coordsize="3135,392" path="m34,14l3168,14,3168,406,34,406,34,14xe" filled="true" fillcolor="#d3d3d3"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0;height:2" coordorigin="3199,10" coordsize="6370,2">
              <v:shape style="position:absolute;left:3199;top:10;width:6370;height:2" coordorigin="3199,10" coordsize="6370,0" path="m3199,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3180;height:2" coordorigin="10,410" coordsize="3180,2">
              <v:shape style="position:absolute;left:10;top:410;width:3180;height:2" coordorigin="10,410" coordsize="3180,0" path="m10,410l3190,410e" filled="false" stroked="true" strokeweight=".48pt" strokecolor="#000000">
                <v:path arrowok="t"/>
              </v:shape>
            </v:group>
            <v:group style="position:absolute;left:3194;top:5;width:2;height:411" coordorigin="3194,5" coordsize="2,411">
              <v:shape style="position:absolute;left:3194;top:5;width:2;height:411" coordorigin="3194,5" coordsize="0,411" path="m3194,5l3194,415e" filled="false" stroked="true" strokeweight=".48pt" strokecolor="#000000">
                <v:path arrowok="t"/>
              </v:shape>
            </v:group>
            <v:group style="position:absolute;left:3199;top:410;width:6370;height:2" coordorigin="3199,410" coordsize="6370,2">
              <v:shape style="position:absolute;left:3199;top:410;width:6370;height:2" coordorigin="3199,410" coordsize="6370,0" path="m3199,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3189;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组织机构代码</w:t>
                      </w:r>
                    </w:p>
                  </w:txbxContent>
                </v:textbox>
                <w10:wrap type="none"/>
              </v:shape>
              <v:shape style="position:absolute;left:3194;top:10;width:6380;height:401" type="#_x0000_t202" filled="false" stroked="false">
                <v:textbox inset="0,0,0,0">
                  <w:txbxContent>
                    <w:p>
                      <w:pPr>
                        <w:spacing w:before="96"/>
                        <w:ind w:left="28" w:right="0" w:firstLine="0"/>
                        <w:jc w:val="left"/>
                        <w:rPr>
                          <w:rFonts w:ascii="Times New Roman" w:hAnsi="Times New Roman" w:cs="Times New Roman" w:eastAsia="Times New Roman" w:hint="default"/>
                          <w:sz w:val="18"/>
                          <w:szCs w:val="18"/>
                        </w:rPr>
                      </w:pPr>
                      <w:r>
                        <w:rPr>
                          <w:rFonts w:ascii="Times New Roman"/>
                          <w:sz w:val="18"/>
                        </w:rPr>
                        <w:t>913502007516215965</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1649"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93"/>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4"/>
                <w:sz w:val="18"/>
                <w:szCs w:val="18"/>
              </w:rPr>
              <w:t>公司原主营业务为包装业务，</w:t>
            </w:r>
            <w:r>
              <w:rPr>
                <w:rFonts w:ascii="Times New Roman" w:hAnsi="Times New Roman" w:cs="Times New Roman" w:eastAsia="Times New Roman" w:hint="default"/>
                <w:spacing w:val="-4"/>
                <w:sz w:val="18"/>
                <w:szCs w:val="18"/>
              </w:rPr>
              <w:t>2017-2019</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年通过新设厦门市吉客印电子商务有限公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司、收购北京龙域之星科技有限公司股权、新设深圳吉链区块链技术有限公司切 入互联网行业与区块链技术应用领域。公司始终坚持创意营销为驱动，不断探索 </w:t>
            </w:r>
            <w:r>
              <w:rPr>
                <w:rFonts w:ascii="宋体" w:hAnsi="宋体" w:cs="宋体" w:eastAsia="宋体" w:hint="default"/>
                <w:spacing w:val="-7"/>
                <w:sz w:val="18"/>
                <w:szCs w:val="18"/>
              </w:rPr>
              <w:t>创新盈利点，目前成为以创意设计及广告策划为基础，区块链底层技术为支撑，</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线</w:t>
            </w:r>
            <w:r>
              <w:rPr>
                <w:rFonts w:ascii="宋体" w:hAnsi="宋体" w:cs="宋体" w:eastAsia="宋体" w:hint="default"/>
                <w:spacing w:val="-73"/>
                <w:sz w:val="18"/>
                <w:szCs w:val="18"/>
              </w:rPr>
              <w:t> </w:t>
            </w:r>
            <w:r>
              <w:rPr>
                <w:rFonts w:ascii="宋体" w:hAnsi="宋体" w:cs="宋体" w:eastAsia="宋体" w:hint="default"/>
                <w:sz w:val="18"/>
                <w:szCs w:val="18"/>
              </w:rPr>
              <w:t>上</w:t>
            </w:r>
            <w:r>
              <w:rPr>
                <w:rFonts w:ascii="Times New Roman" w:hAnsi="Times New Roman" w:cs="Times New Roman" w:eastAsia="Times New Roman" w:hint="default"/>
                <w:sz w:val="18"/>
                <w:szCs w:val="18"/>
              </w:rPr>
              <w:t>+</w:t>
            </w:r>
            <w:r>
              <w:rPr>
                <w:rFonts w:ascii="宋体" w:hAnsi="宋体" w:cs="宋体" w:eastAsia="宋体" w:hint="default"/>
                <w:sz w:val="18"/>
                <w:szCs w:val="18"/>
              </w:rPr>
              <w:t>线下</w:t>
            </w:r>
            <w:r>
              <w:rPr>
                <w:rFonts w:ascii="Times New Roman" w:hAnsi="Times New Roman" w:cs="Times New Roman" w:eastAsia="Times New Roman" w:hint="default"/>
                <w:sz w:val="18"/>
                <w:szCs w:val="18"/>
              </w:rPr>
              <w:t>”</w:t>
            </w:r>
            <w:r>
              <w:rPr>
                <w:rFonts w:ascii="宋体" w:hAnsi="宋体" w:cs="宋体" w:eastAsia="宋体" w:hint="default"/>
                <w:sz w:val="18"/>
                <w:szCs w:val="18"/>
              </w:rPr>
              <w:t>全方位营销综合解决方案的提供商。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28"/>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常晓波、张东鹤</w:t>
            </w:r>
          </w:p>
        </w:tc>
      </w:tr>
    </w:tbl>
    <w:p>
      <w:pPr>
        <w:pStyle w:val="BodyText"/>
        <w:spacing w:line="240" w:lineRule="auto" w:before="49"/>
        <w:ind w:right="1128"/>
        <w:jc w:val="left"/>
      </w:pPr>
      <w:r>
        <w:rPr/>
        <w:t>公司聘请的报告期内履行持续督导职责的保荐机构</w:t>
      </w:r>
    </w:p>
    <w:p>
      <w:pPr>
        <w:pStyle w:val="BodyText"/>
        <w:spacing w:line="240" w:lineRule="auto" w:before="11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693"/>
        <w:gridCol w:w="1843"/>
        <w:gridCol w:w="3048"/>
      </w:tblGrid>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华创证券有限责任公司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广东省深圳市福田区香梅路中投 国际商务中心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张捷、黄俊毅</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28"/>
        <w:jc w:val="left"/>
      </w:pPr>
      <w:r>
        <w:rPr/>
        <w:t>公司聘请的报告期内履行持续督导职责的财务顾问</w:t>
      </w:r>
    </w:p>
    <w:p>
      <w:pPr>
        <w:pStyle w:val="BodyText"/>
        <w:spacing w:line="240" w:lineRule="auto" w:before="117"/>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t>公司是否需追溯调整或重述以前年度会计数据</w:t>
      </w:r>
    </w:p>
    <w:p>
      <w:pPr>
        <w:pStyle w:val="BodyText"/>
        <w:spacing w:line="240" w:lineRule="auto" w:before="117"/>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3,009,252,726.74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2,269,045,472.46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1,132,613,257.78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326,257,025.14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213,169,745.48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80,034,333.83</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314,348,015.51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201,623,384.73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76,885,839.21</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317,172,141.24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256,986,153.81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-62,984,295.02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28.63%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17.04%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2,439,256,660.01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1,588,404,658.64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1,148,331,712.31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1,406,881,611.19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687,774,728.25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8" w:right="0"/>
              <w:jc w:val="left"/>
              <w:rPr>
                <w:rFonts w:ascii="Times New Roman" w:hAnsi="Times New Roman" w:cs="Times New Roman" w:eastAsia="Times New Roman" w:hint="default"/>
                <w:sz w:val="18"/>
                <w:szCs w:val="18"/>
              </w:rPr>
            </w:pPr>
            <w:r>
              <w:rPr>
                <w:rFonts w:ascii="Times New Roman"/>
                <w:sz w:val="18"/>
              </w:rPr>
              <w:t>104.56%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502,457,786.63</w:t>
            </w:r>
          </w:p>
        </w:tc>
      </w:tr>
    </w:tbl>
    <w:p>
      <w:pPr>
        <w:spacing w:line="240" w:lineRule="auto" w:before="1"/>
        <w:rPr>
          <w:rFonts w:ascii="宋体" w:hAnsi="宋体" w:cs="宋体" w:eastAsia="宋体" w:hint="default"/>
          <w:sz w:val="18"/>
          <w:szCs w:val="18"/>
        </w:rPr>
      </w:pPr>
    </w:p>
    <w:p>
      <w:pPr>
        <w:pStyle w:val="Heading2"/>
        <w:spacing w:line="240" w:lineRule="auto" w:before="26"/>
        <w:ind w:right="1128"/>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28"/>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671,479,438.02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723,281,502.68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767,504,770.34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846,987,015.70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72,814,265.76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75,214,072.94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83,523,739.94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94,704,946.50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71,493,564.06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71,038,231.63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85,718,788.32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86,097,431.50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73,040,657.73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54,575,661.04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34,200,719.83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155,355,102.64</w:t>
            </w:r>
          </w:p>
        </w:tc>
      </w:tr>
    </w:tbl>
    <w:p>
      <w:pPr>
        <w:pStyle w:val="BodyText"/>
        <w:spacing w:line="240" w:lineRule="auto" w:before="49"/>
        <w:ind w:right="1128"/>
        <w:jc w:val="left"/>
      </w:pPr>
      <w:r>
        <w:rPr/>
        <w:t>上述财务指标或其加总数是否与公司已披露季度报告、半年度报告相关财务指标存在重大差异</w:t>
      </w:r>
    </w:p>
    <w:p>
      <w:pPr>
        <w:pStyle w:val="BodyText"/>
        <w:spacing w:line="240" w:lineRule="auto" w:before="117"/>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137,173.23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-141,701.97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-876,807.93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13,010,397.77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4,962,544.68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3,915,659.95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2,702,081.65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2,755,494.03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355" w:hRule="exact"/>
        </w:trPr>
        <w:tc>
          <w:tcPr>
            <w:tcW w:w="32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22" w:type="dxa"/>
            <w:vMerge w:val="restart"/>
            <w:tcBorders>
              <w:top w:val="single" w:sz="4" w:space="0" w:color="000000"/>
              <w:left w:val="single" w:sz="4" w:space="0" w:color="000000"/>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2"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值业务外，持有交易性金融资产、衍生金</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2"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融资产、交易性金融负债、衍生金融负债</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产生的公允价值变动损益，以及处置交易</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w w:val="95"/>
                <w:sz w:val="18"/>
              </w:rPr>
              <w:t>7,786,250.00</w:t>
            </w: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07"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性金融资产、衍生金融资产、交易性金融</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2"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负债、衍生金融负债和其他债权投资取得</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57" w:hRule="exact"/>
        </w:trPr>
        <w:tc>
          <w:tcPr>
            <w:tcW w:w="32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522" w:type="dxa"/>
            <w:vMerge/>
            <w:tcBorders>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-1,601,387.71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-1,774,838.24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485,994.38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2,137,520.03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2,025,463.95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601,943.62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201,735.28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15,923.80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-225,591.84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11,909,009.63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11,546,360.75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3,148,494.62</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8"/>
        <w:jc w:val="left"/>
      </w:pPr>
      <w:r>
        <w:rPr/>
        <w:t>公司报告期不存在将根据《公开发行证券的公司信息披露解释性公告第</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779" w:right="3763"/>
        <w:jc w:val="center"/>
        <w:rPr>
          <w:b w:val="0"/>
          <w:bCs w:val="0"/>
        </w:rPr>
      </w:pPr>
      <w:bookmarkStart w:name="_TOC_250010" w:id="3"/>
      <w:r>
        <w:rPr/>
        <w:t>第三节公司业务概要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3"/>
        <w:rPr>
          <w:rFonts w:ascii="宋体" w:hAnsi="宋体" w:cs="宋体" w:eastAsia="宋体" w:hint="default"/>
          <w:b/>
          <w:bCs/>
          <w:sz w:val="29"/>
          <w:szCs w:val="29"/>
        </w:rPr>
      </w:pPr>
    </w:p>
    <w:p>
      <w:pPr>
        <w:pStyle w:val="BodyText"/>
        <w:spacing w:line="307" w:lineRule="auto"/>
        <w:ind w:right="1132" w:firstLine="360"/>
        <w:jc w:val="both"/>
      </w:pPr>
      <w:r>
        <w:rPr>
          <w:spacing w:val="-3"/>
        </w:rPr>
        <w:t>公司是以创意设计及广告策划为基础、</w:t>
      </w:r>
      <w:r>
        <w:rPr>
          <w:rFonts w:ascii="Times New Roman" w:hAnsi="Times New Roman" w:cs="Times New Roman" w:eastAsia="Times New Roman" w:hint="default"/>
          <w:spacing w:val="-3"/>
        </w:rPr>
        <w:t>“</w:t>
      </w:r>
      <w:r>
        <w:rPr>
          <w:spacing w:val="-3"/>
        </w:rPr>
        <w:t>线上</w:t>
      </w:r>
      <w:r>
        <w:rPr>
          <w:rFonts w:ascii="Times New Roman" w:hAnsi="Times New Roman" w:cs="Times New Roman" w:eastAsia="Times New Roman" w:hint="default"/>
          <w:spacing w:val="-3"/>
        </w:rPr>
        <w:t>+</w:t>
      </w:r>
      <w:r>
        <w:rPr>
          <w:spacing w:val="-3"/>
        </w:rPr>
        <w:t>线下</w:t>
      </w:r>
      <w:r>
        <w:rPr>
          <w:rFonts w:ascii="Times New Roman" w:hAnsi="Times New Roman" w:cs="Times New Roman" w:eastAsia="Times New Roman" w:hint="default"/>
          <w:spacing w:val="-3"/>
        </w:rPr>
        <w:t>”</w:t>
      </w:r>
      <w:r>
        <w:rPr>
          <w:spacing w:val="-3"/>
        </w:rPr>
        <w:t>互联网营销综合解决方案的提供商，主要业务分为互联网</w:t>
      </w:r>
      <w:r>
        <w:rPr>
          <w:rFonts w:ascii="Times New Roman" w:hAnsi="Times New Roman" w:cs="Times New Roman" w:eastAsia="Times New Roman" w:hint="default"/>
          <w:spacing w:val="-3"/>
        </w:rPr>
        <w:t>To</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14"/>
        </w:rPr>
        <w:t>B</w:t>
      </w:r>
      <w:r>
        <w:rPr>
          <w:spacing w:val="-14"/>
        </w:rPr>
        <w:t>端（精</w:t>
      </w:r>
      <w:r>
        <w:rPr/>
        <w:t> 准营销广告）和</w:t>
      </w:r>
      <w:r>
        <w:rPr>
          <w:rFonts w:ascii="Times New Roman" w:hAnsi="Times New Roman" w:cs="Times New Roman" w:eastAsia="Times New Roman" w:hint="default"/>
        </w:rPr>
        <w:t>To</w:t>
      </w:r>
      <w:r>
        <w:rPr>
          <w:rFonts w:ascii="Times New Roman" w:hAnsi="Times New Roman" w:cs="Times New Roman" w:eastAsia="Times New Roman" w:hint="default"/>
          <w:spacing w:val="-1"/>
        </w:rPr>
        <w:t> </w:t>
      </w:r>
      <w:r>
        <w:rPr>
          <w:rFonts w:ascii="Times New Roman" w:hAnsi="Times New Roman" w:cs="Times New Roman" w:eastAsia="Times New Roman" w:hint="default"/>
        </w:rPr>
        <w:t>C</w:t>
      </w:r>
      <w:r>
        <w:rPr/>
        <w:t>端（精准营销跨境电商），以及线下为客户提供全案包装设计及营销服务。</w:t>
      </w:r>
    </w:p>
    <w:p>
      <w:pPr>
        <w:spacing w:line="307" w:lineRule="auto" w:before="16"/>
        <w:ind w:left="512" w:right="1128" w:firstLine="0"/>
        <w:jc w:val="left"/>
        <w:rPr>
          <w:rFonts w:ascii="宋体" w:hAnsi="宋体" w:cs="宋体" w:eastAsia="宋体" w:hint="default"/>
          <w:sz w:val="18"/>
          <w:szCs w:val="18"/>
        </w:rPr>
      </w:pP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To</w:t>
      </w:r>
      <w:r>
        <w:rPr>
          <w:rFonts w:ascii="Times New Roman" w:hAnsi="Times New Roman" w:cs="Times New Roman" w:eastAsia="Times New Roman" w:hint="default"/>
          <w:b/>
          <w:bCs/>
          <w:spacing w:val="-4"/>
          <w:sz w:val="18"/>
          <w:szCs w:val="18"/>
        </w:rPr>
        <w:t> </w:t>
      </w: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端业务：精准营销广告</w:t>
      </w:r>
      <w:r>
        <w:rPr>
          <w:rFonts w:ascii="宋体" w:hAnsi="宋体" w:cs="宋体" w:eastAsia="宋体" w:hint="default"/>
          <w:b/>
          <w:bCs/>
          <w:w w:val="99"/>
          <w:sz w:val="18"/>
          <w:szCs w:val="18"/>
        </w:rPr>
        <w:t> </w:t>
      </w:r>
      <w:r>
        <w:rPr>
          <w:rFonts w:ascii="宋体" w:hAnsi="宋体" w:cs="宋体" w:eastAsia="宋体" w:hint="default"/>
          <w:spacing w:val="-2"/>
          <w:sz w:val="18"/>
          <w:szCs w:val="18"/>
        </w:rPr>
        <w:t>作为目前互联网流量变现最重要的一种手段，公司精准营销广告业务主要通过自建流量池以及不断整合移动互联网领域</w:t>
      </w:r>
    </w:p>
    <w:p>
      <w:pPr>
        <w:pStyle w:val="BodyText"/>
        <w:spacing w:line="309" w:lineRule="auto" w:before="33"/>
        <w:ind w:right="1132"/>
        <w:jc w:val="both"/>
      </w:pPr>
      <w:r>
        <w:rPr/>
        <w:t>优质流量，搭建覆盖</w:t>
      </w:r>
      <w:r>
        <w:rPr>
          <w:rFonts w:ascii="Times New Roman" w:hAnsi="Times New Roman" w:cs="Times New Roman" w:eastAsia="Times New Roman" w:hint="default"/>
        </w:rPr>
        <w:t>ios</w:t>
      </w:r>
      <w:r>
        <w:rPr/>
        <w:t>和安卓的广告服务系统，为客户提供全方位、高效率的移动互联网广告流量交易和营销方案等移动</w:t>
      </w:r>
      <w:r>
        <w:rPr>
          <w:spacing w:val="-36"/>
        </w:rPr>
        <w:t> </w:t>
      </w:r>
      <w:r>
        <w:rPr>
          <w:spacing w:val="-36"/>
        </w:rPr>
      </w:r>
      <w:r>
        <w:rPr/>
        <w:t>信息服务。同时公司拥有一套完善的</w:t>
      </w:r>
      <w:r>
        <w:rPr>
          <w:rFonts w:ascii="Times New Roman" w:hAnsi="Times New Roman" w:cs="Times New Roman" w:eastAsia="Times New Roman" w:hint="default"/>
        </w:rPr>
        <w:t>ssp</w:t>
      </w:r>
      <w:r>
        <w:rPr/>
        <w:t>媒体方平台，支持国内外绝大多数的平台接入，在帮助广告主完成用户获取需求的</w:t>
      </w:r>
      <w:r>
        <w:rPr>
          <w:spacing w:val="-52"/>
        </w:rPr>
        <w:t> </w:t>
      </w:r>
      <w:r>
        <w:rPr>
          <w:spacing w:val="-52"/>
        </w:rPr>
      </w:r>
      <w:r>
        <w:rPr/>
        <w:t>同时，又能帮助中小开发者做用户流量变现提升收益，主要服务对象包括手游、应用、电商、视频、直播等行业。</w:t>
      </w:r>
    </w:p>
    <w:p>
      <w:pPr>
        <w:pStyle w:val="BodyText"/>
        <w:spacing w:line="319" w:lineRule="auto" w:before="31"/>
        <w:ind w:right="1128" w:firstLine="360"/>
        <w:jc w:val="both"/>
      </w:pPr>
      <w:r>
        <w:rPr>
          <w:spacing w:val="-2"/>
        </w:rPr>
        <w:t>目前我国移动互联网营销广告行业中从业企业众多，市场竞争充分，行业集中度较低，不存在明显的龙头企业，单一企</w:t>
      </w:r>
      <w:r>
        <w:rPr/>
        <w:t> </w:t>
      </w:r>
      <w:r>
        <w:rPr>
          <w:spacing w:val="-2"/>
        </w:rPr>
        <w:t>业所占市场份额较小。公司精准营销广告业务拥有专业的技术开发团队、敏锐的市场动态分析、成熟的营销整合能力、自有</w:t>
      </w:r>
      <w:r>
        <w:rPr>
          <w:spacing w:val="-65"/>
        </w:rPr>
        <w:t> </w:t>
      </w:r>
      <w:r>
        <w:rPr>
          <w:spacing w:val="-65"/>
        </w:rPr>
      </w:r>
      <w:r>
        <w:rPr>
          <w:spacing w:val="-1"/>
        </w:rPr>
        <w:t>开发产品能力，在国内移动互联网营销推广领域占据一定的市场地位。报告期内，公司精准营销广告业务实现营业收入</w:t>
      </w:r>
      <w:r>
        <w:rPr>
          <w:rFonts w:ascii="Times New Roman" w:hAnsi="Times New Roman" w:cs="Times New Roman" w:eastAsia="Times New Roman" w:hint="default"/>
          <w:spacing w:val="-1"/>
        </w:rPr>
        <w:t>4.65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亿元，同比增长</w:t>
      </w:r>
      <w:r>
        <w:rPr>
          <w:rFonts w:ascii="Times New Roman" w:hAnsi="Times New Roman" w:cs="Times New Roman" w:eastAsia="Times New Roman" w:hint="default"/>
        </w:rPr>
        <w:t>68.26%</w:t>
      </w:r>
      <w:r>
        <w:rPr/>
        <w:t>，实现净利润1.24亿元，同比增长74.69%。</w:t>
      </w:r>
    </w:p>
    <w:p>
      <w:pPr>
        <w:pStyle w:val="BodyText"/>
        <w:spacing w:line="316" w:lineRule="auto" w:before="6"/>
        <w:ind w:right="1127" w:firstLine="360"/>
        <w:jc w:val="both"/>
      </w:pPr>
      <w:r>
        <w:rPr/>
        <w:t>未来公司精准营销业务将持续深耕移动互联网市场，打磨扩大双端流量池，基于大数据挖掘技术及</w:t>
      </w:r>
      <w:r>
        <w:rPr>
          <w:rFonts w:ascii="Times New Roman" w:hAnsi="Times New Roman" w:cs="Times New Roman" w:eastAsia="Times New Roman" w:hint="default"/>
        </w:rPr>
        <w:t>AI</w:t>
      </w:r>
      <w:r>
        <w:rPr/>
        <w:t>算法，加强流量</w:t>
      </w:r>
      <w:r>
        <w:rPr>
          <w:w w:val="99"/>
        </w:rPr>
        <w:t> </w:t>
      </w:r>
      <w:r>
        <w:rPr/>
        <w:t>精细化运营能力，从而进一步提升广告投放的质量及效率。在此基础上布局即将到来的</w:t>
      </w:r>
      <w:r>
        <w:rPr>
          <w:rFonts w:ascii="Times New Roman" w:hAnsi="Times New Roman" w:cs="Times New Roman" w:eastAsia="Times New Roman" w:hint="default"/>
        </w:rPr>
        <w:t>5G</w:t>
      </w:r>
      <w:r>
        <w:rPr/>
        <w:t>，在数字营销形态多元化的情形</w:t>
      </w:r>
      <w:r>
        <w:rPr>
          <w:spacing w:val="-43"/>
        </w:rPr>
        <w:t> </w:t>
      </w:r>
      <w:r>
        <w:rPr>
          <w:spacing w:val="-43"/>
        </w:rPr>
      </w:r>
      <w:r>
        <w:rPr>
          <w:spacing w:val="-2"/>
        </w:rPr>
        <w:t>下，以客户需求为市场导向，逐步引领加载视频互动广告、试玩互动插入式广告等互联网视频营销新手段，并借助公司线下</w:t>
      </w:r>
      <w:r>
        <w:rPr>
          <w:spacing w:val="-64"/>
        </w:rPr>
        <w:t> </w:t>
      </w:r>
      <w:r>
        <w:rPr>
          <w:spacing w:val="-64"/>
        </w:rPr>
      </w:r>
      <w:r>
        <w:rPr>
          <w:spacing w:val="-2"/>
        </w:rPr>
        <w:t>包装业务创意设计策划基因、品牌客户资源及成熟的营销整合能力，为精准营销广告业务的全案营销赋能，为客户提供更高</w:t>
      </w:r>
      <w:r>
        <w:rPr>
          <w:spacing w:val="-63"/>
        </w:rPr>
        <w:t> </w:t>
      </w:r>
      <w:r>
        <w:rPr>
          <w:spacing w:val="-63"/>
        </w:rPr>
      </w:r>
      <w:r>
        <w:rPr/>
        <w:t>效和更高转化率的一站式营销服务。</w:t>
      </w:r>
    </w:p>
    <w:p>
      <w:pPr>
        <w:spacing w:line="309" w:lineRule="auto" w:before="26"/>
        <w:ind w:left="512" w:right="1128"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To</w:t>
      </w:r>
      <w:r>
        <w:rPr>
          <w:rFonts w:ascii="Times New Roman" w:hAnsi="Times New Roman" w:cs="Times New Roman" w:eastAsia="Times New Roman" w:hint="default"/>
          <w:b/>
          <w:bCs/>
          <w:spacing w:val="-2"/>
          <w:sz w:val="18"/>
          <w:szCs w:val="18"/>
        </w:rPr>
        <w:t> </w:t>
      </w:r>
      <w:r>
        <w:rPr>
          <w:rFonts w:ascii="Times New Roman" w:hAnsi="Times New Roman" w:cs="Times New Roman" w:eastAsia="Times New Roman" w:hint="default"/>
          <w:b/>
          <w:bCs/>
          <w:sz w:val="18"/>
          <w:szCs w:val="18"/>
        </w:rPr>
        <w:t>C</w:t>
      </w:r>
      <w:r>
        <w:rPr>
          <w:rFonts w:ascii="宋体" w:hAnsi="宋体" w:cs="宋体" w:eastAsia="宋体" w:hint="default"/>
          <w:b/>
          <w:bCs/>
          <w:sz w:val="18"/>
          <w:szCs w:val="18"/>
        </w:rPr>
        <w:t>端业务：精准营销跨境电商</w:t>
      </w:r>
      <w:r>
        <w:rPr>
          <w:rFonts w:ascii="宋体" w:hAnsi="宋体" w:cs="宋体" w:eastAsia="宋体" w:hint="default"/>
          <w:b/>
          <w:bCs/>
          <w:w w:val="99"/>
          <w:sz w:val="18"/>
          <w:szCs w:val="18"/>
        </w:rPr>
        <w:t> </w:t>
      </w:r>
      <w:r>
        <w:rPr>
          <w:rFonts w:ascii="宋体" w:hAnsi="宋体" w:cs="宋体" w:eastAsia="宋体" w:hint="default"/>
          <w:spacing w:val="-2"/>
          <w:sz w:val="18"/>
          <w:szCs w:val="18"/>
        </w:rPr>
        <w:t>跨境电商业务是通过互联网精准营销手段实现实物商品销售，是互联网流量变现的另一种形式。公司跨境电商业务主要</w:t>
      </w:r>
    </w:p>
    <w:p>
      <w:pPr>
        <w:pStyle w:val="BodyText"/>
        <w:spacing w:line="307" w:lineRule="auto" w:before="31"/>
        <w:ind w:right="1132"/>
        <w:jc w:val="both"/>
      </w:pPr>
      <w:r>
        <w:rPr>
          <w:spacing w:val="-2"/>
        </w:rPr>
        <w:t>通过运用</w:t>
      </w:r>
      <w:r>
        <w:rPr>
          <w:rFonts w:ascii="Times New Roman" w:hAnsi="Times New Roman" w:cs="Times New Roman" w:eastAsia="Times New Roman" w:hint="default"/>
          <w:spacing w:val="-2"/>
        </w:rPr>
        <w:t>AI</w:t>
      </w:r>
      <w:r>
        <w:rPr>
          <w:spacing w:val="-2"/>
        </w:rPr>
        <w:t>算法分析海外市场、精准定位客户群体，在社交网络平台（如</w:t>
      </w:r>
      <w:r>
        <w:rPr>
          <w:rFonts w:ascii="Times New Roman" w:hAnsi="Times New Roman" w:cs="Times New Roman" w:eastAsia="Times New Roman" w:hint="default"/>
          <w:spacing w:val="-2"/>
        </w:rPr>
        <w:t>Facebook</w:t>
      </w:r>
      <w:r>
        <w:rPr>
          <w:spacing w:val="-2"/>
        </w:rPr>
        <w:t>、</w:t>
      </w:r>
      <w:r>
        <w:rPr>
          <w:rFonts w:ascii="Times New Roman" w:hAnsi="Times New Roman" w:cs="Times New Roman" w:eastAsia="Times New Roman" w:hint="default"/>
          <w:spacing w:val="-2"/>
        </w:rPr>
        <w:t>Instagram</w:t>
      </w:r>
      <w:r>
        <w:rPr>
          <w:spacing w:val="-2"/>
        </w:rPr>
        <w:t>）投放自建的产品单页广告进</w:t>
      </w:r>
      <w:r>
        <w:rPr>
          <w:spacing w:val="-42"/>
        </w:rPr>
        <w:t> </w:t>
      </w:r>
      <w:r>
        <w:rPr>
          <w:spacing w:val="-42"/>
        </w:rPr>
      </w:r>
      <w:r>
        <w:rPr/>
        <w:t>行线上</w:t>
      </w:r>
      <w:r>
        <w:rPr>
          <w:rFonts w:ascii="Times New Roman" w:hAnsi="Times New Roman" w:cs="Times New Roman" w:eastAsia="Times New Roman" w:hint="default"/>
        </w:rPr>
        <w:t>B2C</w:t>
      </w:r>
      <w:r>
        <w:rPr/>
        <w:t>销售，将高性价比的中国制造产品跨境销售至台湾、香港、日本、东南亚等多个国家或地区。</w:t>
      </w:r>
    </w:p>
    <w:p>
      <w:pPr>
        <w:pStyle w:val="BodyText"/>
        <w:spacing w:line="307" w:lineRule="auto" w:before="16"/>
        <w:ind w:right="1129" w:firstLine="360"/>
        <w:jc w:val="both"/>
      </w:pPr>
      <w:r>
        <w:rPr/>
        <w:t>根据</w:t>
      </w:r>
      <w:r>
        <w:rPr>
          <w:rFonts w:ascii="Times New Roman" w:hAnsi="Times New Roman" w:cs="Times New Roman" w:eastAsia="Times New Roman" w:hint="default"/>
        </w:rPr>
        <w:t>eMarketer</w:t>
      </w:r>
      <w:r>
        <w:rPr/>
        <w:t>数据显示，截至</w:t>
      </w:r>
      <w:r>
        <w:rPr>
          <w:rFonts w:ascii="Times New Roman" w:hAnsi="Times New Roman" w:cs="Times New Roman" w:eastAsia="Times New Roman" w:hint="default"/>
        </w:rPr>
        <w:t>2018</w:t>
      </w:r>
      <w:r>
        <w:rPr/>
        <w:t>年末，全球网络零售市场规模</w:t>
      </w:r>
      <w:r>
        <w:rPr>
          <w:rFonts w:ascii="Times New Roman" w:hAnsi="Times New Roman" w:cs="Times New Roman" w:eastAsia="Times New Roman" w:hint="default"/>
        </w:rPr>
        <w:t>2.93</w:t>
      </w:r>
      <w:r>
        <w:rPr/>
        <w:t>万亿美元，占全球零售市场规模约为</w:t>
      </w:r>
      <w:r>
        <w:rPr>
          <w:rFonts w:ascii="Times New Roman" w:hAnsi="Times New Roman" w:cs="Times New Roman" w:eastAsia="Times New Roman" w:hint="default"/>
        </w:rPr>
        <w:t>12.2%</w:t>
      </w:r>
      <w:r>
        <w:rPr/>
        <w:t>，全球 </w:t>
      </w:r>
      <w:r>
        <w:rPr>
          <w:spacing w:val="-1"/>
        </w:rPr>
        <w:t>消费市场电商化加深，未来增速保持在</w:t>
      </w:r>
      <w:r>
        <w:rPr>
          <w:rFonts w:ascii="Times New Roman" w:hAnsi="Times New Roman" w:cs="Times New Roman" w:eastAsia="Times New Roman" w:hint="default"/>
          <w:spacing w:val="-1"/>
        </w:rPr>
        <w:t>15%</w:t>
      </w:r>
      <w:r>
        <w:rPr>
          <w:spacing w:val="-1"/>
        </w:rPr>
        <w:t>以上。拉美地区是近年来全球跨境电商增速最快的地区，紧随其后的是亚太、中</w:t>
      </w:r>
      <w:r>
        <w:rPr>
          <w:spacing w:val="-88"/>
        </w:rPr>
        <w:t> </w:t>
      </w:r>
      <w:r>
        <w:rPr>
          <w:spacing w:val="-88"/>
        </w:rPr>
      </w:r>
      <w:r>
        <w:rPr/>
        <w:t>东和非洲等地区，随着新兴市场网购普及率的逐渐提升，新兴市场有望成为我国跨境出口</w:t>
      </w:r>
      <w:r>
        <w:rPr>
          <w:rFonts w:ascii="Times New Roman" w:hAnsi="Times New Roman" w:cs="Times New Roman" w:eastAsia="Times New Roman" w:hint="default"/>
        </w:rPr>
        <w:t>B2C</w:t>
      </w:r>
      <w:r>
        <w:rPr/>
        <w:t>行业的潜在增长点。</w:t>
      </w:r>
    </w:p>
    <w:p>
      <w:pPr>
        <w:pStyle w:val="BodyText"/>
        <w:spacing w:line="326" w:lineRule="auto" w:before="16"/>
        <w:ind w:right="1026" w:firstLine="360"/>
        <w:jc w:val="left"/>
      </w:pPr>
      <w:r>
        <w:rPr>
          <w:spacing w:val="-2"/>
        </w:rPr>
        <w:t>凭借精准的客户定位和产品推广、专业稳定的运营管理团队、数据AI算法精准运营优势、优质多元的销售渠道及完善的</w:t>
      </w:r>
      <w:r>
        <w:rPr/>
        <w:t> 供应链物流管理体系，公司实现To</w:t>
      </w:r>
      <w:r>
        <w:rPr>
          <w:spacing w:val="-53"/>
        </w:rPr>
        <w:t> </w:t>
      </w:r>
      <w:r>
        <w:rPr>
          <w:spacing w:val="-3"/>
        </w:rPr>
        <w:t>C端业务规模及效益的快速增长。通过进行精益管理，不断提升产品签收率、降低退货率；</w:t>
      </w:r>
      <w:r>
        <w:rPr/>
        <w:t> </w:t>
      </w:r>
      <w:r>
        <w:rPr>
          <w:spacing w:val="-2"/>
        </w:rPr>
        <w:t>大数据精准定位客户群体，高效精准的投放在提升用户点击率和下单率的同时，有效控制广告投放成本。报告期内，公司跨</w:t>
      </w:r>
      <w:r>
        <w:rPr>
          <w:spacing w:val="-66"/>
        </w:rPr>
        <w:t> </w:t>
      </w:r>
      <w:r>
        <w:rPr>
          <w:spacing w:val="-66"/>
        </w:rPr>
      </w:r>
      <w:r>
        <w:rPr/>
        <w:t>境电商业务实现营业收入</w:t>
      </w:r>
      <w:r>
        <w:rPr>
          <w:rFonts w:ascii="Times New Roman" w:hAnsi="Times New Roman" w:cs="Times New Roman" w:eastAsia="Times New Roman" w:hint="default"/>
        </w:rPr>
        <w:t>11.90</w:t>
      </w:r>
      <w:r>
        <w:rPr/>
        <w:t>亿元，同比增长</w:t>
      </w:r>
      <w:r>
        <w:rPr>
          <w:rFonts w:ascii="Times New Roman" w:hAnsi="Times New Roman" w:cs="Times New Roman" w:eastAsia="Times New Roman" w:hint="default"/>
        </w:rPr>
        <w:t>27.55%</w:t>
      </w:r>
      <w:r>
        <w:rPr/>
        <w:t>，实现净利润1.56亿元，同比增长48.50%。</w:t>
      </w:r>
    </w:p>
    <w:p>
      <w:pPr>
        <w:pStyle w:val="BodyText"/>
        <w:spacing w:line="314" w:lineRule="auto"/>
        <w:ind w:right="1027" w:firstLine="360"/>
        <w:jc w:val="left"/>
      </w:pPr>
      <w:r>
        <w:rPr>
          <w:spacing w:val="-2"/>
        </w:rPr>
        <w:t>随着消费者消费观念、消费行为的不断升级，品牌敏感度在不断强化，公司将聚焦小众个性化市场构建自主品牌，逐步</w:t>
      </w:r>
      <w:r>
        <w:rPr/>
        <w:t> </w:t>
      </w:r>
      <w:r>
        <w:rPr>
          <w:spacing w:val="-2"/>
        </w:rPr>
        <w:t>探索培育自有品牌道路，充分利用中国物美价廉的制造优势，打造高品质社交电商及精准营销平台，从而建立稳定忠诚的客</w:t>
      </w:r>
      <w:r>
        <w:rPr>
          <w:spacing w:val="-63"/>
        </w:rPr>
        <w:t> </w:t>
      </w:r>
      <w:r>
        <w:rPr>
          <w:spacing w:val="-63"/>
        </w:rPr>
      </w:r>
      <w:r>
        <w:rPr/>
        <w:t>户群体，形成品牌效应，进一步为未来的</w:t>
      </w:r>
      <w:r>
        <w:rPr>
          <w:rFonts w:ascii="Times New Roman" w:hAnsi="Times New Roman" w:cs="Times New Roman" w:eastAsia="Times New Roman" w:hint="default"/>
        </w:rPr>
        <w:t>C2M</w:t>
      </w:r>
      <w:r>
        <w:rPr/>
        <w:t>、定制化营销做好扎实基础。同时，公司将时刻保持对跨境电商行业发展方</w:t>
      </w:r>
      <w:r>
        <w:rPr>
          <w:spacing w:val="-21"/>
        </w:rPr>
        <w:t> </w:t>
      </w:r>
      <w:r>
        <w:rPr>
          <w:spacing w:val="-21"/>
        </w:rPr>
      </w:r>
      <w:r>
        <w:rPr>
          <w:spacing w:val="-2"/>
        </w:rPr>
        <w:t>向和市场变化趋势的高度关注，一方面完善和丰富跨境电商购物平台，在东南亚地区推出独立社交属性的跨境</w:t>
      </w:r>
      <w:r>
        <w:rPr>
          <w:rFonts w:ascii="Times New Roman" w:hAnsi="Times New Roman" w:cs="Times New Roman" w:eastAsia="Times New Roman" w:hint="default"/>
          <w:spacing w:val="-2"/>
        </w:rPr>
        <w:t>B2C</w:t>
      </w:r>
      <w:r>
        <w:rPr>
          <w:spacing w:val="-2"/>
        </w:rPr>
        <w:t>购物</w:t>
      </w:r>
      <w:r>
        <w:rPr>
          <w:rFonts w:ascii="Times New Roman" w:hAnsi="Times New Roman" w:cs="Times New Roman" w:eastAsia="Times New Roman" w:hint="default"/>
          <w:spacing w:val="-2"/>
        </w:rPr>
        <w:t>APP</w:t>
      </w:r>
      <w:r>
        <w:rPr>
          <w:spacing w:val="-2"/>
        </w:rPr>
        <w:t>，</w:t>
      </w:r>
      <w:r>
        <w:rPr>
          <w:spacing w:val="-85"/>
        </w:rPr>
        <w:t> </w:t>
      </w:r>
      <w:r>
        <w:rPr/>
        <w:t>除在原有社交媒体上持续发力，也将加大力度在自有</w:t>
      </w:r>
      <w:r>
        <w:rPr>
          <w:rFonts w:ascii="Times New Roman" w:hAnsi="Times New Roman" w:cs="Times New Roman" w:eastAsia="Times New Roman" w:hint="default"/>
        </w:rPr>
        <w:t>APP</w:t>
      </w:r>
      <w:r>
        <w:rPr/>
        <w:t>运营上逐渐发力，另一方面持续精进，抓住公司海外营销区域流量 优势及直播电商红利风口，利用直播对商品销售的高效转化，不断实现用户群及销售额的稳步增长。</w:t>
      </w:r>
    </w:p>
    <w:p>
      <w:pPr>
        <w:pStyle w:val="BodyText"/>
        <w:spacing w:line="324" w:lineRule="auto" w:before="27"/>
        <w:ind w:left="512" w:right="1128"/>
        <w:jc w:val="left"/>
      </w:pPr>
      <w:r>
        <w:rPr>
          <w:rFonts w:ascii="宋体" w:hAnsi="宋体" w:cs="宋体" w:eastAsia="宋体" w:hint="default"/>
          <w:b/>
          <w:bCs/>
        </w:rPr>
        <w:t>三、线下：包装业务</w:t>
      </w:r>
      <w:r>
        <w:rPr>
          <w:rFonts w:ascii="宋体" w:hAnsi="宋体" w:cs="宋体" w:eastAsia="宋体" w:hint="default"/>
          <w:b/>
          <w:bCs/>
          <w:w w:val="99"/>
        </w:rPr>
        <w:t> </w:t>
      </w:r>
      <w:r>
        <w:rPr>
          <w:spacing w:val="-2"/>
        </w:rPr>
        <w:t>公司以平面设计、结构设计及营销方案切入消费者日常生活的快消品包装市场，为客户提供一站式采购服务，主要客户</w:t>
      </w:r>
    </w:p>
    <w:p>
      <w:pPr>
        <w:pStyle w:val="BodyText"/>
        <w:spacing w:line="324" w:lineRule="auto" w:before="23"/>
        <w:ind w:right="1129"/>
        <w:jc w:val="both"/>
      </w:pPr>
      <w:r>
        <w:rPr>
          <w:spacing w:val="-2"/>
        </w:rPr>
        <w:t>均为食品、饮料、日化等快消品行业细分领域龙头企业，通过并购及非公开发行股票拟实施募投项目，快速布局直接接触食</w:t>
      </w:r>
      <w:r>
        <w:rPr>
          <w:spacing w:val="-65"/>
        </w:rPr>
        <w:t> </w:t>
      </w:r>
      <w:r>
        <w:rPr>
          <w:spacing w:val="-65"/>
        </w:rPr>
      </w:r>
      <w:r>
        <w:rPr>
          <w:spacing w:val="-2"/>
        </w:rPr>
        <w:t>品的</w:t>
      </w:r>
      <w:r>
        <w:rPr>
          <w:rFonts w:ascii="Times New Roman" w:hAnsi="Times New Roman" w:cs="Times New Roman" w:eastAsia="Times New Roman" w:hint="default"/>
          <w:spacing w:val="-2"/>
        </w:rPr>
        <w:t>QSR</w:t>
      </w:r>
      <w:r>
        <w:rPr>
          <w:spacing w:val="-2"/>
        </w:rPr>
        <w:t>包装领域，主要产品为快消品及食品级环保包装。同时，公司以区块链底层技术为基础，充分发挥包装业务优质的</w:t>
      </w:r>
    </w:p>
    <w:p>
      <w:pPr>
        <w:spacing w:after="0" w:line="324" w:lineRule="auto"/>
        <w:jc w:val="both"/>
        <w:sectPr>
          <w:footerReference w:type="default" r:id="rId14"/>
          <w:pgSz w:w="11910" w:h="16840"/>
          <w:pgMar w:footer="981" w:header="745" w:top="1060" w:bottom="1180" w:left="980" w:right="0"/>
          <w:pgNumType w:start="10"/>
        </w:sectPr>
      </w:pPr>
    </w:p>
    <w:p>
      <w:pPr>
        <w:spacing w:line="240" w:lineRule="auto" w:before="8"/>
        <w:rPr>
          <w:rFonts w:ascii="宋体" w:hAnsi="宋体" w:cs="宋体" w:eastAsia="宋体" w:hint="default"/>
          <w:sz w:val="28"/>
          <w:szCs w:val="28"/>
        </w:rPr>
      </w:pPr>
    </w:p>
    <w:p>
      <w:pPr>
        <w:pStyle w:val="BodyText"/>
        <w:spacing w:line="326" w:lineRule="auto" w:before="44"/>
        <w:ind w:left="368" w:right="1128" w:hanging="216"/>
        <w:jc w:val="left"/>
      </w:pPr>
      <w:r>
        <w:rPr/>
        <w:t>客户资源和丰富的运营管理经验，为精准营销业务提供供应链及流量支持。 公司包装业务在服务模式、研发设计、制造平台、经营管理及产品品牌等方面已形成自身突出竞争优势，具有众多优质</w:t>
      </w:r>
    </w:p>
    <w:p>
      <w:pPr>
        <w:pStyle w:val="BodyText"/>
        <w:spacing w:line="326" w:lineRule="auto" w:before="21"/>
        <w:ind w:right="1129"/>
        <w:jc w:val="both"/>
      </w:pPr>
      <w:r>
        <w:rPr>
          <w:spacing w:val="-2"/>
        </w:rPr>
        <w:t>的世界级知名品牌企业或国内细分行业领先企业客户资源，随着食品级包装业务的开拓，有望在行业转型升级加速提升过程</w:t>
      </w:r>
      <w:r>
        <w:rPr>
          <w:spacing w:val="-64"/>
        </w:rPr>
        <w:t> </w:t>
      </w:r>
      <w:r>
        <w:rPr>
          <w:spacing w:val="-64"/>
        </w:rPr>
      </w:r>
      <w:r>
        <w:rPr>
          <w:spacing w:val="-2"/>
        </w:rPr>
        <w:t>中受益。由于主要客户自身业务稳定，因此公司包装业务受商业周期变化的影响较小。报告期内，公司包装业务实现营业收</w:t>
      </w:r>
      <w:r>
        <w:rPr>
          <w:spacing w:val="-67"/>
        </w:rPr>
        <w:t> </w:t>
      </w:r>
      <w:r>
        <w:rPr>
          <w:spacing w:val="-67"/>
        </w:rPr>
      </w:r>
      <w:r>
        <w:rPr/>
        <w:t>入</w:t>
      </w:r>
      <w:r>
        <w:rPr>
          <w:rFonts w:ascii="Times New Roman" w:hAnsi="Times New Roman" w:cs="Times New Roman" w:eastAsia="Times New Roman" w:hint="default"/>
        </w:rPr>
        <w:t>13.54</w:t>
      </w:r>
      <w:r>
        <w:rPr/>
        <w:t>亿元，同比增长</w:t>
      </w:r>
      <w:r>
        <w:rPr>
          <w:rFonts w:ascii="Times New Roman" w:hAnsi="Times New Roman" w:cs="Times New Roman" w:eastAsia="Times New Roman" w:hint="default"/>
        </w:rPr>
        <w:t>27.80%</w:t>
      </w:r>
      <w:r>
        <w:rPr/>
        <w:t>，实现净利润0.67亿元，同比增长26.80%。</w:t>
      </w:r>
    </w:p>
    <w:p>
      <w:pPr>
        <w:spacing w:line="240" w:lineRule="auto" w:before="7"/>
        <w:rPr>
          <w:rFonts w:ascii="宋体" w:hAnsi="宋体" w:cs="宋体" w:eastAsia="宋体" w:hint="default"/>
          <w:sz w:val="16"/>
          <w:szCs w:val="16"/>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43"/>
        <w:gridCol w:w="7726"/>
      </w:tblGrid>
      <w:tr>
        <w:trPr>
          <w:trHeight w:val="76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本期末长期股权投资较年初减少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63.07%</w:t>
            </w:r>
            <w:r>
              <w:rPr>
                <w:rFonts w:ascii="宋体" w:hAnsi="宋体" w:cs="宋体" w:eastAsia="宋体" w:hint="default"/>
                <w:sz w:val="18"/>
                <w:szCs w:val="18"/>
              </w:rPr>
              <w:t>，主要系本期收购安徽吉宏并表减少所致</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本期末固定资产较年初增长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21.40%</w:t>
            </w:r>
            <w:r>
              <w:rPr>
                <w:rFonts w:ascii="宋体" w:hAnsi="宋体" w:cs="宋体" w:eastAsia="宋体" w:hint="default"/>
                <w:sz w:val="18"/>
                <w:szCs w:val="18"/>
              </w:rPr>
              <w:t>，主要系本期收购安徽吉宏并表增加所致</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本期末无形资产较年初增长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16.53%</w:t>
            </w:r>
            <w:r>
              <w:rPr>
                <w:rFonts w:ascii="宋体" w:hAnsi="宋体" w:cs="宋体" w:eastAsia="宋体" w:hint="default"/>
                <w:sz w:val="18"/>
                <w:szCs w:val="18"/>
              </w:rPr>
              <w:t>，主要系本期收购安徽吉宏并表增加土地使用权所致</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7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本期末在建工程较年初增长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2342.02%</w:t>
            </w:r>
            <w:r>
              <w:rPr>
                <w:rFonts w:ascii="宋体" w:hAnsi="宋体" w:cs="宋体" w:eastAsia="宋体" w:hint="default"/>
                <w:sz w:val="18"/>
                <w:szCs w:val="18"/>
              </w:rPr>
              <w:t>，主要系本期廊坊吉宏、宁夏吉宏的在建厂房工程增加所致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三、核心竞争力分析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spacing w:line="2806" w:lineRule="exact"/>
        <w:ind w:left="152"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5026743" cy="178222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5026743" cy="1782222"/>
                    </a:xfrm>
                    <a:prstGeom prst="rect">
                      <a:avLst/>
                    </a:prstGeom>
                  </pic:spPr>
                </pic:pic>
              </a:graphicData>
            </a:graphic>
          </wp:inline>
        </w:drawing>
      </w:r>
      <w:r>
        <w:rPr>
          <w:rFonts w:ascii="宋体" w:hAnsi="宋体" w:cs="宋体" w:eastAsia="宋体" w:hint="default"/>
          <w:position w:val="-55"/>
          <w:sz w:val="20"/>
          <w:szCs w:val="20"/>
        </w:rPr>
      </w:r>
    </w:p>
    <w:p>
      <w:pPr>
        <w:spacing w:after="0" w:line="2806" w:lineRule="exact"/>
        <w:rPr>
          <w:rFonts w:ascii="宋体" w:hAnsi="宋体" w:cs="宋体" w:eastAsia="宋体" w:hint="default"/>
          <w:sz w:val="20"/>
          <w:szCs w:val="20"/>
        </w:rPr>
        <w:sectPr>
          <w:pgSz w:w="11910" w:h="16840"/>
          <w:pgMar w:header="745" w:footer="981" w:top="1060" w:bottom="118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1"/>
        <w:spacing w:line="240" w:lineRule="auto"/>
        <w:ind w:left="3044" w:right="1128"/>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8"/>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t>报告期内，公司实现营业收入</w:t>
      </w:r>
      <w:r>
        <w:rPr>
          <w:rFonts w:ascii="Times New Roman" w:hAnsi="Times New Roman" w:cs="Times New Roman" w:eastAsia="Times New Roman" w:hint="default"/>
        </w:rPr>
        <w:t>30.09</w:t>
      </w:r>
      <w:r>
        <w:rPr/>
        <w:t>亿元，同比增长</w:t>
      </w:r>
      <w:r>
        <w:rPr>
          <w:rFonts w:ascii="Times New Roman" w:hAnsi="Times New Roman" w:cs="Times New Roman" w:eastAsia="Times New Roman" w:hint="default"/>
        </w:rPr>
        <w:t>32.62%</w:t>
      </w:r>
      <w:r>
        <w:rPr/>
        <w:t>；实现净利润</w:t>
      </w:r>
      <w:r>
        <w:rPr>
          <w:rFonts w:ascii="Times New Roman" w:hAnsi="Times New Roman" w:cs="Times New Roman" w:eastAsia="Times New Roman" w:hint="default"/>
        </w:rPr>
        <w:t>3.46</w:t>
      </w:r>
      <w:r>
        <w:rPr/>
        <w:t>亿元，较上年同期增长</w:t>
      </w:r>
      <w:r>
        <w:rPr>
          <w:rFonts w:ascii="Times New Roman" w:hAnsi="Times New Roman" w:cs="Times New Roman" w:eastAsia="Times New Roman" w:hint="default"/>
        </w:rPr>
        <w:t>51.65%</w:t>
      </w:r>
      <w:r>
        <w:rPr/>
        <w:t>，归属于上 市公司股东的净利润</w:t>
      </w:r>
      <w:r>
        <w:rPr>
          <w:rFonts w:ascii="Times New Roman" w:hAnsi="Times New Roman" w:cs="Times New Roman" w:eastAsia="Times New Roman" w:hint="default"/>
        </w:rPr>
        <w:t>3.26</w:t>
      </w:r>
      <w:r>
        <w:rPr/>
        <w:t>亿元，较上年同期增长</w:t>
      </w:r>
      <w:r>
        <w:rPr>
          <w:rFonts w:ascii="Times New Roman" w:hAnsi="Times New Roman" w:cs="Times New Roman" w:eastAsia="Times New Roman" w:hint="default"/>
        </w:rPr>
        <w:t>53.05%</w:t>
      </w:r>
      <w:r>
        <w:rPr/>
        <w:t>，基本每股收益为</w:t>
      </w:r>
      <w:r>
        <w:rPr>
          <w:rFonts w:ascii="Times New Roman" w:hAnsi="Times New Roman" w:cs="Times New Roman" w:eastAsia="Times New Roman" w:hint="default"/>
        </w:rPr>
        <w:t>1.52</w:t>
      </w:r>
      <w:r>
        <w:rPr/>
        <w:t>元，较上年同期增长</w:t>
      </w:r>
      <w:r>
        <w:rPr>
          <w:rFonts w:ascii="Times New Roman" w:hAnsi="Times New Roman" w:cs="Times New Roman" w:eastAsia="Times New Roman" w:hint="default"/>
        </w:rPr>
        <w:t>40.74%</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spacing w:val="-1"/>
        </w:rPr>
        <w:t>31</w:t>
      </w:r>
      <w:r>
        <w:rPr>
          <w:spacing w:val="-1"/>
        </w:rPr>
        <w:t>日，公司总资产为</w:t>
      </w:r>
      <w:r>
        <w:rPr>
          <w:rFonts w:ascii="Times New Roman" w:hAnsi="Times New Roman" w:cs="Times New Roman" w:eastAsia="Times New Roman" w:hint="default"/>
          <w:spacing w:val="-1"/>
        </w:rPr>
        <w:t>24.39</w:t>
      </w:r>
      <w:r>
        <w:rPr>
          <w:spacing w:val="-1"/>
        </w:rPr>
        <w:t>亿元，较上年增长</w:t>
      </w:r>
      <w:r>
        <w:rPr>
          <w:rFonts w:ascii="Times New Roman" w:hAnsi="Times New Roman" w:cs="Times New Roman" w:eastAsia="Times New Roman" w:hint="default"/>
          <w:spacing w:val="-1"/>
        </w:rPr>
        <w:t>53.57%</w:t>
      </w:r>
      <w:r>
        <w:rPr>
          <w:spacing w:val="-1"/>
        </w:rPr>
        <w:t>；归属于上市公司股东的所有者权益为</w:t>
      </w:r>
      <w:r>
        <w:rPr>
          <w:rFonts w:ascii="Times New Roman" w:hAnsi="Times New Roman" w:cs="Times New Roman" w:eastAsia="Times New Roman" w:hint="default"/>
          <w:spacing w:val="-1"/>
        </w:rPr>
        <w:t>14.07</w:t>
      </w:r>
      <w:r>
        <w:rPr>
          <w:spacing w:val="-1"/>
        </w:rPr>
        <w:t>亿元，较年初增长</w:t>
      </w:r>
      <w:r>
        <w:rPr>
          <w:rFonts w:ascii="Times New Roman" w:hAnsi="Times New Roman" w:cs="Times New Roman" w:eastAsia="Times New Roman" w:hint="default"/>
          <w:spacing w:val="-1"/>
        </w:rPr>
        <w:t>104.56%</w:t>
      </w:r>
      <w:r>
        <w:rPr>
          <w:spacing w:val="-1"/>
        </w:rPr>
        <w:t>。</w:t>
      </w:r>
    </w:p>
    <w:p>
      <w:pPr>
        <w:spacing w:line="340" w:lineRule="auto" w:before="13"/>
        <w:ind w:left="440" w:right="1128" w:firstLine="72"/>
        <w:jc w:val="left"/>
        <w:rPr>
          <w:rFonts w:ascii="宋体" w:hAnsi="宋体" w:cs="宋体" w:eastAsia="宋体" w:hint="default"/>
          <w:sz w:val="18"/>
          <w:szCs w:val="18"/>
        </w:rPr>
      </w:pP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To</w:t>
      </w:r>
      <w:r>
        <w:rPr>
          <w:rFonts w:ascii="Times New Roman" w:hAnsi="Times New Roman" w:cs="Times New Roman" w:eastAsia="Times New Roman" w:hint="default"/>
          <w:b/>
          <w:bCs/>
          <w:spacing w:val="-4"/>
          <w:sz w:val="18"/>
          <w:szCs w:val="18"/>
        </w:rPr>
        <w:t> </w:t>
      </w: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端业务：精准营销广告</w:t>
      </w:r>
      <w:r>
        <w:rPr>
          <w:rFonts w:ascii="宋体" w:hAnsi="宋体" w:cs="宋体" w:eastAsia="宋体" w:hint="default"/>
          <w:b/>
          <w:bCs/>
          <w:w w:val="99"/>
          <w:sz w:val="18"/>
          <w:szCs w:val="18"/>
        </w:rPr>
        <w:t> </w:t>
      </w:r>
      <w:r>
        <w:rPr>
          <w:rFonts w:ascii="宋体" w:hAnsi="宋体" w:cs="宋体" w:eastAsia="宋体" w:hint="default"/>
          <w:spacing w:val="-1"/>
          <w:sz w:val="18"/>
          <w:szCs w:val="18"/>
        </w:rPr>
        <w:t>作为目前互联网流量变现最重要的一种手段，公司精准营销广告业务主要通过自建流量池以及不断整合移动互联网领域</w:t>
      </w:r>
    </w:p>
    <w:p>
      <w:pPr>
        <w:pStyle w:val="BodyText"/>
        <w:spacing w:line="300" w:lineRule="auto"/>
        <w:ind w:right="1132"/>
        <w:jc w:val="both"/>
      </w:pPr>
      <w:r>
        <w:rPr/>
        <w:t>优质流量，搭建覆盖</w:t>
      </w:r>
      <w:r>
        <w:rPr>
          <w:rFonts w:ascii="Times New Roman" w:hAnsi="Times New Roman" w:cs="Times New Roman" w:eastAsia="Times New Roman" w:hint="default"/>
        </w:rPr>
        <w:t>ios</w:t>
      </w:r>
      <w:r>
        <w:rPr/>
        <w:t>和安卓的广告服务系统，为客户提供全方位、高效率的移动互联网广告流量交易和营销方案等移动</w:t>
      </w:r>
      <w:r>
        <w:rPr>
          <w:spacing w:val="-36"/>
        </w:rPr>
        <w:t> </w:t>
      </w:r>
      <w:r>
        <w:rPr>
          <w:spacing w:val="-36"/>
        </w:rPr>
      </w:r>
      <w:r>
        <w:rPr/>
        <w:t>信息服务。同时公司拥有一套完善的</w:t>
      </w:r>
      <w:r>
        <w:rPr>
          <w:rFonts w:ascii="Times New Roman" w:hAnsi="Times New Roman" w:cs="Times New Roman" w:eastAsia="Times New Roman" w:hint="default"/>
        </w:rPr>
        <w:t>ssp</w:t>
      </w:r>
      <w:r>
        <w:rPr/>
        <w:t>媒体方平台，支持国内外绝大多数的平台接入，在帮助广告主完成用户获取需求的</w:t>
      </w:r>
      <w:r>
        <w:rPr>
          <w:spacing w:val="-52"/>
        </w:rPr>
        <w:t> </w:t>
      </w:r>
      <w:r>
        <w:rPr>
          <w:spacing w:val="-52"/>
        </w:rPr>
      </w:r>
      <w:r>
        <w:rPr/>
        <w:t>同时，又能帮助中小开发者做用户流量变现提升收益，主要服务对象包括手游、应用、电商、视频、直播等行业。</w:t>
      </w:r>
    </w:p>
    <w:p>
      <w:pPr>
        <w:spacing w:line="340" w:lineRule="auto" w:before="72"/>
        <w:ind w:left="440" w:right="1128"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To</w:t>
      </w:r>
      <w:r>
        <w:rPr>
          <w:rFonts w:ascii="Times New Roman" w:hAnsi="Times New Roman" w:cs="Times New Roman" w:eastAsia="Times New Roman" w:hint="default"/>
          <w:b/>
          <w:bCs/>
          <w:spacing w:val="-2"/>
          <w:sz w:val="18"/>
          <w:szCs w:val="18"/>
        </w:rPr>
        <w:t> </w:t>
      </w:r>
      <w:r>
        <w:rPr>
          <w:rFonts w:ascii="Times New Roman" w:hAnsi="Times New Roman" w:cs="Times New Roman" w:eastAsia="Times New Roman" w:hint="default"/>
          <w:b/>
          <w:bCs/>
          <w:sz w:val="18"/>
          <w:szCs w:val="18"/>
        </w:rPr>
        <w:t>C</w:t>
      </w:r>
      <w:r>
        <w:rPr>
          <w:rFonts w:ascii="宋体" w:hAnsi="宋体" w:cs="宋体" w:eastAsia="宋体" w:hint="default"/>
          <w:b/>
          <w:bCs/>
          <w:sz w:val="18"/>
          <w:szCs w:val="18"/>
        </w:rPr>
        <w:t>端业务：精准营销跨境电商</w:t>
      </w:r>
      <w:r>
        <w:rPr>
          <w:rFonts w:ascii="宋体" w:hAnsi="宋体" w:cs="宋体" w:eastAsia="宋体" w:hint="default"/>
          <w:b/>
          <w:bCs/>
          <w:w w:val="99"/>
          <w:sz w:val="18"/>
          <w:szCs w:val="18"/>
        </w:rPr>
        <w:t> </w:t>
      </w:r>
      <w:r>
        <w:rPr>
          <w:rFonts w:ascii="宋体" w:hAnsi="宋体" w:cs="宋体" w:eastAsia="宋体" w:hint="default"/>
          <w:spacing w:val="-1"/>
          <w:sz w:val="18"/>
          <w:szCs w:val="18"/>
        </w:rPr>
        <w:t>跨境电商业务是通过互联网精准营销手段实现实物商品销售，是互联网流量变现的另一种形式。公司跨境电商业务主要</w:t>
      </w:r>
    </w:p>
    <w:p>
      <w:pPr>
        <w:pStyle w:val="BodyText"/>
        <w:spacing w:line="300" w:lineRule="auto" w:before="1"/>
        <w:ind w:right="1128"/>
        <w:jc w:val="left"/>
      </w:pPr>
      <w:r>
        <w:rPr>
          <w:spacing w:val="-2"/>
        </w:rPr>
        <w:t>通过运用</w:t>
      </w:r>
      <w:r>
        <w:rPr>
          <w:rFonts w:ascii="Times New Roman" w:hAnsi="Times New Roman" w:cs="Times New Roman" w:eastAsia="Times New Roman" w:hint="default"/>
          <w:spacing w:val="-2"/>
        </w:rPr>
        <w:t>AI</w:t>
      </w:r>
      <w:r>
        <w:rPr>
          <w:spacing w:val="-2"/>
        </w:rPr>
        <w:t>算法分析海外市场、精准定位客户群体，在社交网络平台（如</w:t>
      </w:r>
      <w:r>
        <w:rPr>
          <w:rFonts w:ascii="Times New Roman" w:hAnsi="Times New Roman" w:cs="Times New Roman" w:eastAsia="Times New Roman" w:hint="default"/>
          <w:spacing w:val="-2"/>
        </w:rPr>
        <w:t>Facebook</w:t>
      </w:r>
      <w:r>
        <w:rPr>
          <w:spacing w:val="-2"/>
        </w:rPr>
        <w:t>、</w:t>
      </w:r>
      <w:r>
        <w:rPr>
          <w:rFonts w:ascii="Times New Roman" w:hAnsi="Times New Roman" w:cs="Times New Roman" w:eastAsia="Times New Roman" w:hint="default"/>
          <w:spacing w:val="-2"/>
        </w:rPr>
        <w:t>Instagram</w:t>
      </w:r>
      <w:r>
        <w:rPr>
          <w:spacing w:val="-2"/>
        </w:rPr>
        <w:t>）投放自建的产品单页广告进</w:t>
      </w:r>
      <w:r>
        <w:rPr>
          <w:spacing w:val="-42"/>
        </w:rPr>
        <w:t> </w:t>
      </w:r>
      <w:r>
        <w:rPr>
          <w:spacing w:val="-42"/>
        </w:rPr>
      </w:r>
      <w:r>
        <w:rPr/>
        <w:t>行线上</w:t>
      </w:r>
      <w:r>
        <w:rPr>
          <w:rFonts w:ascii="Times New Roman" w:hAnsi="Times New Roman" w:cs="Times New Roman" w:eastAsia="Times New Roman" w:hint="default"/>
        </w:rPr>
        <w:t>B2C</w:t>
      </w:r>
      <w:r>
        <w:rPr/>
        <w:t>销售，将高性价比的中国制造产品跨境销售至台湾、香港、日本、东南亚等多个国家或地区。</w:t>
      </w:r>
    </w:p>
    <w:p>
      <w:pPr>
        <w:spacing w:line="240" w:lineRule="auto" w:before="3"/>
        <w:rPr>
          <w:rFonts w:ascii="宋体" w:hAnsi="宋体" w:cs="宋体" w:eastAsia="宋体" w:hint="default"/>
          <w:sz w:val="20"/>
          <w:szCs w:val="20"/>
        </w:rPr>
      </w:pPr>
    </w:p>
    <w:p>
      <w:pPr>
        <w:pStyle w:val="Heading2"/>
        <w:spacing w:line="240" w:lineRule="auto"/>
        <w:ind w:right="1128"/>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3"/>
        <w:ind w:right="1128"/>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3,009,252,726.74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2,269,045,472.46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32.62%</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1,654,964,307.50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1,209,351,565.58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36.85%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包装业务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1,354,288,419.24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1,059,693,906.88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27.80%</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7"/>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互联网营销 跨境电商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1,190,329,942.48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933,205,172.75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27.55%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87"/>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互联网营销 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464,634,365.02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276,146,392.83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彩色包装纸盒</w:t>
            </w:r>
            <w:r>
              <w:rPr>
                <w:rFonts w:ascii="宋体" w:hAnsi="宋体" w:cs="宋体" w:eastAsia="宋体" w:hint="default"/>
                <w:spacing w:val="-80"/>
                <w:sz w:val="18"/>
                <w:szCs w:val="18"/>
              </w:rPr>
              <w:t>、</w:t>
            </w:r>
            <w:r>
              <w:rPr>
                <w:rFonts w:ascii="宋体" w:hAnsi="宋体" w:cs="宋体" w:eastAsia="宋体" w:hint="default"/>
                <w:sz w:val="18"/>
                <w:szCs w:val="18"/>
              </w:rPr>
              <w:t>纸箱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1,101,256,490.07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969,166,337.30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13.63%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环保食品包装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253,031,929.17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90,527,569.58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179.51%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1,756,312,588.46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58.36%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1,304,726,126.36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34.61%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1,252,940,138.28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41.64%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964,319,346.10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29.93%</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702"/>
        <w:gridCol w:w="1416"/>
        <w:gridCol w:w="852"/>
        <w:gridCol w:w="1416"/>
        <w:gridCol w:w="1418"/>
        <w:gridCol w:w="1207"/>
      </w:tblGrid>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69"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5" w:right="72"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0" w:right="5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1,654,964,307.50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623,181,453.22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45.66%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包装业务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1,354,288,419.24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1,079,525,367.61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27.80%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24.92%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5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互联网营销 跨境电商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1,190,329,942.48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306,091,481.83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-0.33%</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互联网营销 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464,634,365.02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317,089,971.39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彩色包装纸盒、纸 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1,101,256,490.07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890,404,755.09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11.61%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环保食品包装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253,031,929.17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189,120,612.52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184.89%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1,756,312,588.46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1,350,682,630.75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34.61%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30.72%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1,252,940,138.28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352,024,190.08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29.93%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w:t>
            </w:r>
          </w:p>
        </w:tc>
      </w:tr>
    </w:tbl>
    <w:p>
      <w:pPr>
        <w:pStyle w:val="BodyText"/>
        <w:spacing w:line="240" w:lineRule="auto" w:before="49"/>
        <w:ind w:right="1128"/>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1"/>
        <w:gridCol w:w="1560"/>
        <w:gridCol w:w="1277"/>
        <w:gridCol w:w="1416"/>
        <w:gridCol w:w="1418"/>
        <w:gridCol w:w="1344"/>
      </w:tblGrid>
      <w:tr>
        <w:trPr>
          <w:trHeight w:val="396" w:hRule="exact"/>
        </w:trPr>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8" w:hRule="exact"/>
        </w:trPr>
        <w:tc>
          <w:tcPr>
            <w:tcW w:w="25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彩色包装纸盒纸箱、环保纸袋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41,445.31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34,253.05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z w:val="18"/>
              </w:rPr>
              <w:t>21.00%</w:t>
            </w:r>
          </w:p>
        </w:tc>
      </w:tr>
      <w:tr>
        <w:trPr>
          <w:trHeight w:val="401" w:hRule="exact"/>
        </w:trPr>
        <w:tc>
          <w:tcPr>
            <w:tcW w:w="2551"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41,989.16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34,454.6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21.23%</w:t>
            </w:r>
          </w:p>
        </w:tc>
      </w:tr>
      <w:tr>
        <w:trPr>
          <w:trHeight w:val="403" w:hRule="exact"/>
        </w:trPr>
        <w:tc>
          <w:tcPr>
            <w:tcW w:w="2551"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万平方米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1,333.19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789.34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68.90%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1559"/>
        <w:gridCol w:w="1277"/>
        <w:gridCol w:w="1416"/>
        <w:gridCol w:w="1418"/>
        <w:gridCol w:w="1344"/>
      </w:tblGrid>
      <w:tr>
        <w:trPr>
          <w:trHeight w:val="401"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直接接触食品包装</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136,906.07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552"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134,836.35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552"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8,001.55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行业和产品分类</w:t>
      </w:r>
    </w:p>
    <w:p>
      <w:pPr>
        <w:pStyle w:val="BodyText"/>
        <w:spacing w:line="240" w:lineRule="auto" w:before="117"/>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623,181,453.22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427,845,006.52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33.11%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包装业务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1,079,525,367.61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864,195,077.94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24.92%</w:t>
            </w:r>
          </w:p>
        </w:tc>
      </w:tr>
    </w:tbl>
    <w:p>
      <w:pPr>
        <w:pStyle w:val="BodyText"/>
        <w:spacing w:line="240" w:lineRule="auto" w:before="49"/>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互联网营 销跨境电商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306,091,481.83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236,909,777.54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29.20%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3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互联网营 销广告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317,089,971.39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190,935,228.98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66.07%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彩色包装纸盒、 纸箱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890,404,755.09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797,810,718.65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环保食品包装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189,120,612.52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w w:val="95"/>
                <w:sz w:val="18"/>
              </w:rPr>
              <w:t>11.11%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66,384,359.29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184.89%</w:t>
            </w:r>
          </w:p>
        </w:tc>
      </w:tr>
    </w:tbl>
    <w:p>
      <w:pPr>
        <w:pStyle w:val="BodyText"/>
        <w:spacing w:line="240" w:lineRule="auto" w:before="49"/>
        <w:ind w:right="1128"/>
        <w:jc w:val="left"/>
      </w:pPr>
      <w:r>
        <w:rPr/>
        <w:t>说明</w:t>
      </w:r>
    </w:p>
    <w:p>
      <w:pPr>
        <w:pStyle w:val="BodyText"/>
        <w:spacing w:line="240" w:lineRule="auto" w:before="114"/>
        <w:ind w:right="1128"/>
        <w:jc w:val="left"/>
      </w:pPr>
      <w:r>
        <w:rPr/>
        <w:t>1、2018-2019</w:t>
      </w:r>
      <w:r>
        <w:rPr>
          <w:spacing w:val="-48"/>
        </w:rPr>
        <w:t> </w:t>
      </w:r>
      <w:r>
        <w:rPr/>
        <w:t>年彩色包装纸盒、纸箱的材料成本占该产品生产成本比重在</w:t>
      </w:r>
      <w:r>
        <w:rPr>
          <w:spacing w:val="-48"/>
        </w:rPr>
        <w:t> </w:t>
      </w:r>
      <w:r>
        <w:rPr/>
        <w:t>77%以上，其余为人工、制造费用；</w:t>
      </w:r>
    </w:p>
    <w:p>
      <w:pPr>
        <w:pStyle w:val="BodyText"/>
        <w:spacing w:line="240" w:lineRule="auto" w:before="117"/>
        <w:ind w:right="1128"/>
        <w:jc w:val="left"/>
      </w:pPr>
      <w:r>
        <w:rPr/>
        <w:t>2、2018-2019</w:t>
      </w:r>
      <w:r>
        <w:rPr>
          <w:spacing w:val="-48"/>
        </w:rPr>
        <w:t> </w:t>
      </w:r>
      <w:r>
        <w:rPr/>
        <w:t>年环保食品包装的材料成本占该产品生产成本比重在</w:t>
      </w:r>
      <w:r>
        <w:rPr>
          <w:spacing w:val="-48"/>
        </w:rPr>
        <w:t> </w:t>
      </w:r>
      <w:r>
        <w:rPr/>
        <w:t>68%以上，其余为人工、制造费用。</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2" w:lineRule="exact" w:before="61"/>
        <w:ind w:right="1128" w:firstLine="288"/>
        <w:jc w:val="left"/>
        <w:rPr>
          <w:rFonts w:ascii="Times New Roman" w:hAnsi="Times New Roman" w:cs="Times New Roman" w:eastAsia="Times New Roman" w:hint="default"/>
        </w:rPr>
      </w:pPr>
      <w:r>
        <w:rPr>
          <w:spacing w:val="-1"/>
        </w:rPr>
        <w:t>本年合并范围增加：黄冈市吉宏包装有限公司、安徽吉宏环保纸品有限公司、成都渡佳电子商务有限公司、深圳吉链区</w:t>
      </w:r>
      <w:r>
        <w:rPr/>
        <w:t> </w:t>
      </w:r>
      <w:r>
        <w:rPr>
          <w:spacing w:val="-2"/>
        </w:rPr>
        <w:t>块链技术有限公司、孝感市吉联食品包装有限公司、江西吉宏供应链管理有限公司、江西维致供应链管理有限公司、山西火</w:t>
      </w:r>
      <w:r>
        <w:rPr>
          <w:spacing w:val="-67"/>
        </w:rPr>
        <w:t> </w:t>
      </w:r>
      <w:r>
        <w:rPr>
          <w:spacing w:val="-67"/>
        </w:rPr>
      </w:r>
      <w:r>
        <w:rPr/>
        <w:t>致供应链管理有限公司。本年合并范围减少：香港百泽惠科技有限公司、西安超斯塔科技有限公司、 </w:t>
      </w:r>
      <w:r>
        <w:rPr>
          <w:rFonts w:ascii="Times New Roman" w:hAnsi="Times New Roman" w:cs="Times New Roman" w:eastAsia="Times New Roman" w:hint="default"/>
        </w:rPr>
        <w:t>NOVABEYONDTECHNOLOGY(SD)PTE.LTD.</w:t>
      </w:r>
    </w:p>
    <w:p>
      <w:pPr>
        <w:spacing w:after="0" w:line="312" w:lineRule="exact"/>
        <w:jc w:val="left"/>
        <w:rPr>
          <w:rFonts w:ascii="Times New Roman" w:hAnsi="Times New Roman" w:cs="Times New Roman" w:eastAsia="Times New Roman" w:hint="default"/>
        </w:rPr>
        <w:sectPr>
          <w:pgSz w:w="11910" w:h="16840"/>
          <w:pgMar w:header="745" w:footer="981" w:top="1060" w:bottom="118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43"/>
        <w:gridCol w:w="4325"/>
      </w:tblGrid>
      <w:tr>
        <w:trPr>
          <w:trHeight w:val="401" w:hRule="exact"/>
        </w:trPr>
        <w:tc>
          <w:tcPr>
            <w:tcW w:w="5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1,111,989,525.84</w:t>
            </w:r>
          </w:p>
        </w:tc>
      </w:tr>
      <w:tr>
        <w:trPr>
          <w:trHeight w:val="403" w:hRule="exact"/>
        </w:trPr>
        <w:tc>
          <w:tcPr>
            <w:tcW w:w="5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36.95%</w:t>
            </w:r>
          </w:p>
        </w:tc>
      </w:tr>
      <w:tr>
        <w:trPr>
          <w:trHeight w:val="401" w:hRule="exact"/>
        </w:trPr>
        <w:tc>
          <w:tcPr>
            <w:tcW w:w="5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2460"/>
        <w:gridCol w:w="3163"/>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844,722,015.27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121,971,894.28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55,630,366.80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50,733,468.63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38,931,680.86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1,111,989,425.84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36.95%</w:t>
            </w:r>
          </w:p>
        </w:tc>
      </w:tr>
    </w:tbl>
    <w:p>
      <w:pPr>
        <w:pStyle w:val="BodyText"/>
        <w:spacing w:line="240" w:lineRule="auto" w:before="49"/>
        <w:ind w:right="1128"/>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243"/>
        <w:gridCol w:w="4325"/>
      </w:tblGrid>
      <w:tr>
        <w:trPr>
          <w:trHeight w:val="403" w:hRule="exact"/>
        </w:trPr>
        <w:tc>
          <w:tcPr>
            <w:tcW w:w="5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537,457,191.21</w:t>
            </w:r>
          </w:p>
        </w:tc>
      </w:tr>
      <w:tr>
        <w:trPr>
          <w:trHeight w:val="401" w:hRule="exact"/>
        </w:trPr>
        <w:tc>
          <w:tcPr>
            <w:tcW w:w="5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32.73%</w:t>
            </w:r>
          </w:p>
        </w:tc>
      </w:tr>
      <w:tr>
        <w:trPr>
          <w:trHeight w:val="403" w:hRule="exact"/>
        </w:trPr>
        <w:tc>
          <w:tcPr>
            <w:tcW w:w="5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1"/>
        <w:gridCol w:w="3144"/>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262,257,277.73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89,204,893.51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77,477,781.58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56,121,096.00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52,396,142.38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537,457,191.20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32.73%</w:t>
            </w:r>
          </w:p>
        </w:tc>
      </w:tr>
    </w:tbl>
    <w:p>
      <w:pPr>
        <w:pStyle w:val="BodyText"/>
        <w:spacing w:line="240" w:lineRule="auto" w:before="49"/>
        <w:ind w:right="1128"/>
        <w:jc w:val="left"/>
      </w:pPr>
      <w:r>
        <w:rPr/>
        <w:t>主要供应商其他情况说明</w:t>
      </w:r>
    </w:p>
    <w:p>
      <w:pPr>
        <w:pStyle w:val="BodyText"/>
        <w:spacing w:line="240" w:lineRule="auto" w:before="115"/>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39"/>
        <w:jc w:val="right"/>
      </w:pPr>
      <w:r>
        <w:rPr/>
        <w:pict>
          <v:shape style="position:absolute;margin-left:56.400002pt;margin-top:-36.485279pt;width:479.2pt;height:225.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416"/>
                    <w:gridCol w:w="1560"/>
                    <w:gridCol w:w="1133"/>
                    <w:gridCol w:w="4325"/>
                  </w:tblGrid>
                  <w:tr>
                    <w:trPr>
                      <w:trHeight w:val="403"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本期销售费用较上年同期增加</w:t>
                        </w:r>
                        <w:r>
                          <w:rPr>
                            <w:rFonts w:ascii="宋体" w:hAnsi="宋体" w:cs="宋体" w:eastAsia="宋体" w:hint="default"/>
                            <w:spacing w:val="-43"/>
                            <w:sz w:val="18"/>
                            <w:szCs w:val="18"/>
                          </w:rPr>
                          <w:t> </w:t>
                        </w:r>
                        <w:r>
                          <w:rPr>
                            <w:rFonts w:ascii="宋体" w:hAnsi="宋体" w:cs="宋体" w:eastAsia="宋体" w:hint="default"/>
                            <w:sz w:val="18"/>
                            <w:szCs w:val="18"/>
                          </w:rPr>
                          <w:t>22.28%，主要系本期营</w:t>
                        </w:r>
                      </w:p>
                    </w:tc>
                  </w:tr>
                  <w:tr>
                    <w:trPr>
                      <w:trHeight w:val="624" w:hRule="exact"/>
                    </w:trPr>
                    <w:tc>
                      <w:tcPr>
                        <w:tcW w:w="11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733,394,987.51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599,747,293.45</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22.28%</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32"/>
                          <w:jc w:val="left"/>
                          <w:rPr>
                            <w:rFonts w:ascii="宋体" w:hAnsi="宋体" w:cs="宋体" w:eastAsia="宋体" w:hint="default"/>
                            <w:sz w:val="18"/>
                            <w:szCs w:val="18"/>
                          </w:rPr>
                        </w:pPr>
                        <w:r>
                          <w:rPr>
                            <w:rFonts w:ascii="宋体" w:hAnsi="宋体" w:cs="宋体" w:eastAsia="宋体" w:hint="default"/>
                            <w:spacing w:val="-6"/>
                            <w:sz w:val="18"/>
                            <w:szCs w:val="18"/>
                          </w:rPr>
                          <w:t>业收入较上年同期增加，销售费用中的运杂费、广告费</w:t>
                        </w:r>
                        <w:r>
                          <w:rPr>
                            <w:rFonts w:ascii="宋体" w:hAnsi="宋体" w:cs="宋体" w:eastAsia="宋体" w:hint="default"/>
                            <w:sz w:val="18"/>
                            <w:szCs w:val="18"/>
                          </w:rPr>
                          <w:t> 包装费等也相应增加；同时电商业务的销售物流运费、</w:t>
                        </w:r>
                      </w:p>
                    </w:tc>
                  </w:tr>
                  <w:tr>
                    <w:trPr>
                      <w:trHeight w:val="357" w:hRule="exact"/>
                    </w:trPr>
                    <w:tc>
                      <w:tcPr>
                        <w:tcW w:w="11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广告费支出占电商业务营业收入的比例较高影响所致</w:t>
                        </w: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本期管理费用较上年同期增加</w:t>
                        </w:r>
                        <w:r>
                          <w:rPr>
                            <w:rFonts w:ascii="宋体" w:hAnsi="宋体" w:cs="宋体" w:eastAsia="宋体" w:hint="default"/>
                            <w:spacing w:val="-43"/>
                            <w:sz w:val="18"/>
                            <w:szCs w:val="18"/>
                          </w:rPr>
                          <w:t> </w:t>
                        </w:r>
                        <w:r>
                          <w:rPr>
                            <w:rFonts w:ascii="宋体" w:hAnsi="宋体" w:cs="宋体" w:eastAsia="宋体" w:hint="default"/>
                            <w:sz w:val="18"/>
                            <w:szCs w:val="18"/>
                          </w:rPr>
                          <w:t>66.19%，主要系本期营</w:t>
                        </w:r>
                      </w:p>
                    </w:tc>
                  </w:tr>
                  <w:tr>
                    <w:trPr>
                      <w:trHeight w:val="624" w:hRule="exact"/>
                    </w:trPr>
                    <w:tc>
                      <w:tcPr>
                        <w:tcW w:w="11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98,408,775.80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59,216,036.48</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66.19%</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9"/>
                          <w:jc w:val="left"/>
                          <w:rPr>
                            <w:rFonts w:ascii="宋体" w:hAnsi="宋体" w:cs="宋体" w:eastAsia="宋体" w:hint="default"/>
                            <w:sz w:val="18"/>
                            <w:szCs w:val="18"/>
                          </w:rPr>
                        </w:pPr>
                        <w:r>
                          <w:rPr>
                            <w:rFonts w:ascii="宋体" w:hAnsi="宋体" w:cs="宋体" w:eastAsia="宋体" w:hint="default"/>
                            <w:spacing w:val="-3"/>
                            <w:sz w:val="18"/>
                            <w:szCs w:val="18"/>
                          </w:rPr>
                          <w:t>业收入较上年同期增加，以及上期末收购济南吉联、本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期收购安徽吉宏后管理费用并表，管理费用中职工薪</w:t>
                        </w:r>
                      </w:p>
                    </w:tc>
                  </w:tr>
                  <w:tr>
                    <w:trPr>
                      <w:trHeight w:val="360" w:hRule="exact"/>
                    </w:trPr>
                    <w:tc>
                      <w:tcPr>
                        <w:tcW w:w="11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酬、无形资产摊销等相应增加所致</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23,851,266.87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22,671,229.90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5.20%</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1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43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本期研发费用较上年同期增加</w:t>
                        </w:r>
                        <w:r>
                          <w:rPr>
                            <w:rFonts w:ascii="宋体" w:hAnsi="宋体" w:cs="宋体" w:eastAsia="宋体" w:hint="default"/>
                            <w:spacing w:val="-43"/>
                            <w:sz w:val="18"/>
                            <w:szCs w:val="18"/>
                          </w:rPr>
                          <w:t> </w:t>
                        </w:r>
                        <w:r>
                          <w:rPr>
                            <w:rFonts w:ascii="宋体" w:hAnsi="宋体" w:cs="宋体" w:eastAsia="宋体" w:hint="default"/>
                            <w:sz w:val="18"/>
                            <w:szCs w:val="18"/>
                          </w:rPr>
                          <w:t>83.91%，主要系本期公</w:t>
                        </w:r>
                      </w:p>
                    </w:tc>
                  </w:tr>
                  <w:tr>
                    <w:trPr>
                      <w:trHeight w:val="317" w:hRule="exact"/>
                    </w:trPr>
                    <w:tc>
                      <w:tcPr>
                        <w:tcW w:w="11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3"/>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63,703,538.50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34,638,980.90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83.91%</w:t>
                        </w:r>
                      </w:p>
                    </w:tc>
                    <w:tc>
                      <w:tcPr>
                        <w:tcW w:w="4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3"/>
                            <w:sz w:val="18"/>
                            <w:szCs w:val="18"/>
                          </w:rPr>
                          <w:t>司研发投入增加，以及本期收购安徽吉宏后研发费用并</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43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表增加所致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424" w:right="1128" w:hanging="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本期公司加大研发投入，研发新项目，创新新产品，提升产品质量，提高公司竞争力。本期主要研发项目如下：</w:t>
      </w:r>
      <w:r>
        <w:rPr>
          <w:rFonts w:ascii="Times New Roman" w:hAnsi="Times New Roman" w:cs="Times New Roman" w:eastAsia="Times New Roman" w:hint="default"/>
          <w:spacing w:val="-2"/>
        </w:rPr>
        <w:t>1</w:t>
      </w:r>
      <w:r>
        <w:rPr>
          <w:spacing w:val="-2"/>
        </w:rPr>
        <w:t>、新型</w:t>
      </w:r>
    </w:p>
    <w:p>
      <w:pPr>
        <w:pStyle w:val="BodyText"/>
        <w:spacing w:line="228" w:lineRule="exact"/>
        <w:ind w:right="0"/>
        <w:jc w:val="both"/>
      </w:pPr>
      <w:r>
        <w:rPr/>
        <w:t>光电技术在印刷包装装潢上的应用；</w:t>
      </w: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个性化定制包装数码印刷品的开发；</w:t>
      </w:r>
      <w:r>
        <w:rPr>
          <w:rFonts w:ascii="Times New Roman" w:hAnsi="Times New Roman" w:cs="Times New Roman" w:eastAsia="Times New Roman" w:hint="default"/>
        </w:rPr>
        <w:t>3</w:t>
      </w:r>
      <w:r>
        <w:rPr/>
        <w:t>、平版直印珠光</w:t>
      </w:r>
      <w:r>
        <w:rPr>
          <w:rFonts w:ascii="Times New Roman" w:hAnsi="Times New Roman" w:cs="Times New Roman" w:eastAsia="Times New Roman" w:hint="default"/>
        </w:rPr>
        <w:t>3D</w:t>
      </w:r>
      <w:r>
        <w:rPr/>
        <w:t>潜影技术；</w:t>
      </w:r>
      <w:r>
        <w:rPr>
          <w:rFonts w:ascii="Times New Roman" w:hAnsi="Times New Roman" w:cs="Times New Roman" w:eastAsia="Times New Roman" w:hint="default"/>
        </w:rPr>
        <w:t>4</w:t>
      </w:r>
      <w:r>
        <w:rPr/>
        <w:t>、一</w:t>
      </w:r>
    </w:p>
    <w:p>
      <w:pPr>
        <w:pStyle w:val="BodyText"/>
        <w:spacing w:line="307" w:lineRule="auto" w:before="63"/>
        <w:ind w:right="1129"/>
        <w:jc w:val="both"/>
      </w:pPr>
      <w:r>
        <w:rPr>
          <w:spacing w:val="-1"/>
        </w:rPr>
        <w:t>种通过印刷呈现</w:t>
      </w:r>
      <w:r>
        <w:rPr>
          <w:rFonts w:ascii="Times New Roman" w:hAnsi="Times New Roman" w:cs="Times New Roman" w:eastAsia="Times New Roman" w:hint="default"/>
          <w:spacing w:val="-1"/>
        </w:rPr>
        <w:t>3D</w:t>
      </w:r>
      <w:r>
        <w:rPr>
          <w:spacing w:val="-1"/>
        </w:rPr>
        <w:t>猫眼技术；</w:t>
      </w:r>
      <w:r>
        <w:rPr>
          <w:rFonts w:ascii="Times New Roman" w:hAnsi="Times New Roman" w:cs="Times New Roman" w:eastAsia="Times New Roman" w:hint="default"/>
          <w:spacing w:val="-1"/>
        </w:rPr>
        <w:t>5</w:t>
      </w:r>
      <w:r>
        <w:rPr>
          <w:spacing w:val="-1"/>
        </w:rPr>
        <w:t>、一种软膜表面微结构压印转移技术；</w:t>
      </w:r>
      <w:r>
        <w:rPr>
          <w:rFonts w:ascii="Times New Roman" w:hAnsi="Times New Roman" w:cs="Times New Roman" w:eastAsia="Times New Roman" w:hint="default"/>
          <w:spacing w:val="-1"/>
        </w:rPr>
        <w:t>6</w:t>
      </w:r>
      <w:r>
        <w:rPr>
          <w:spacing w:val="-1"/>
        </w:rPr>
        <w:t>、轻量型瓦楞结构精装礼盒制作工艺技术；</w:t>
      </w:r>
      <w:r>
        <w:rPr>
          <w:rFonts w:ascii="Times New Roman" w:hAnsi="Times New Roman" w:cs="Times New Roman" w:eastAsia="Times New Roman" w:hint="default"/>
          <w:spacing w:val="-1"/>
        </w:rPr>
        <w:t>7</w:t>
      </w:r>
      <w:r>
        <w:rPr>
          <w:spacing w:val="-1"/>
        </w:rPr>
        <w:t>、基于</w:t>
      </w:r>
      <w:r>
        <w:rPr>
          <w:spacing w:val="-67"/>
        </w:rPr>
        <w:t> </w:t>
      </w:r>
      <w:r>
        <w:rPr>
          <w:spacing w:val="-67"/>
        </w:rPr>
      </w:r>
      <w:r>
        <w:rPr>
          <w:spacing w:val="-2"/>
        </w:rPr>
        <w:t>声光电一体化印刷智能包装的开发与应用；</w:t>
      </w:r>
      <w:r>
        <w:rPr>
          <w:rFonts w:ascii="Times New Roman" w:hAnsi="Times New Roman" w:cs="Times New Roman" w:eastAsia="Times New Roman" w:hint="default"/>
          <w:spacing w:val="-2"/>
        </w:rPr>
        <w:t>8</w:t>
      </w:r>
      <w:r>
        <w:rPr>
          <w:spacing w:val="-2"/>
        </w:rPr>
        <w:t>、一种光固化内聚收缩树脂的印刷技术研究与应用；</w:t>
      </w:r>
      <w:r>
        <w:rPr>
          <w:rFonts w:ascii="Times New Roman" w:hAnsi="Times New Roman" w:cs="Times New Roman" w:eastAsia="Times New Roman" w:hint="default"/>
          <w:spacing w:val="-2"/>
        </w:rPr>
        <w:t>9</w:t>
      </w:r>
      <w:r>
        <w:rPr>
          <w:spacing w:val="-2"/>
        </w:rPr>
        <w:t>、基于物联网的印刷包装</w:t>
      </w:r>
      <w:r>
        <w:rPr>
          <w:spacing w:val="-66"/>
        </w:rPr>
        <w:t> </w:t>
      </w:r>
      <w:r>
        <w:rPr>
          <w:spacing w:val="-66"/>
        </w:rPr>
      </w:r>
      <w:r>
        <w:rPr>
          <w:rFonts w:ascii="Times New Roman" w:hAnsi="Times New Roman" w:cs="Times New Roman" w:eastAsia="Times New Roman" w:hint="default"/>
        </w:rPr>
        <w:t>AR</w:t>
      </w:r>
      <w:r>
        <w:rPr/>
        <w:t>技术的研究与应用；</w:t>
      </w:r>
      <w:r>
        <w:rPr>
          <w:rFonts w:ascii="Times New Roman" w:hAnsi="Times New Roman" w:cs="Times New Roman" w:eastAsia="Times New Roman" w:hint="default"/>
        </w:rPr>
        <w:t>10</w:t>
      </w:r>
      <w:r>
        <w:rPr/>
        <w:t>、外卖环保组合包装；</w:t>
      </w:r>
      <w:r>
        <w:rPr>
          <w:rFonts w:ascii="Times New Roman" w:hAnsi="Times New Roman" w:cs="Times New Roman" w:eastAsia="Times New Roman" w:hint="default"/>
        </w:rPr>
        <w:t>11</w:t>
      </w:r>
      <w:r>
        <w:rPr/>
        <w:t>、便携式饮品包装；</w:t>
      </w:r>
      <w:r>
        <w:rPr>
          <w:rFonts w:ascii="Times New Roman" w:hAnsi="Times New Roman" w:cs="Times New Roman" w:eastAsia="Times New Roman" w:hint="default"/>
        </w:rPr>
        <w:t>12</w:t>
      </w:r>
      <w:r>
        <w:rPr/>
        <w:t>、包装袋生产模式的技改；</w:t>
      </w:r>
      <w:r>
        <w:rPr>
          <w:rFonts w:ascii="Times New Roman" w:hAnsi="Times New Roman" w:cs="Times New Roman" w:eastAsia="Times New Roman" w:hint="default"/>
        </w:rPr>
        <w:t>13</w:t>
      </w:r>
      <w:r>
        <w:rPr/>
        <w:t>、高网线柔版彩色</w:t>
      </w:r>
      <w:r>
        <w:rPr>
          <w:w w:val="100"/>
        </w:rPr>
        <w:t> </w:t>
      </w:r>
      <w:r>
        <w:rPr>
          <w:spacing w:val="-2"/>
        </w:rPr>
        <w:t>印刷的研发与应用；</w:t>
      </w:r>
      <w:r>
        <w:rPr>
          <w:rFonts w:ascii="Times New Roman" w:hAnsi="Times New Roman" w:cs="Times New Roman" w:eastAsia="Times New Roman" w:hint="default"/>
          <w:spacing w:val="-2"/>
        </w:rPr>
        <w:t>14</w:t>
      </w:r>
      <w:r>
        <w:rPr>
          <w:spacing w:val="-2"/>
        </w:rPr>
        <w:t>、加强瓦楞包装强度的解决方案；</w:t>
      </w:r>
      <w:r>
        <w:rPr>
          <w:rFonts w:ascii="Times New Roman" w:hAnsi="Times New Roman" w:cs="Times New Roman" w:eastAsia="Times New Roman" w:hint="default"/>
          <w:spacing w:val="-2"/>
        </w:rPr>
        <w:t>15</w:t>
      </w:r>
      <w:r>
        <w:rPr>
          <w:spacing w:val="-2"/>
        </w:rPr>
        <w:t>、四层瓦楞纸板的生产技术研究与应用；</w:t>
      </w:r>
      <w:r>
        <w:rPr>
          <w:rFonts w:ascii="Times New Roman" w:hAnsi="Times New Roman" w:cs="Times New Roman" w:eastAsia="Times New Roman" w:hint="default"/>
          <w:spacing w:val="-2"/>
        </w:rPr>
        <w:t>16</w:t>
      </w:r>
      <w:r>
        <w:rPr>
          <w:spacing w:val="-2"/>
        </w:rPr>
        <w:t>、一种模切机用清废</w:t>
      </w:r>
      <w:r>
        <w:rPr>
          <w:spacing w:val="-63"/>
        </w:rPr>
        <w:t> </w:t>
      </w:r>
      <w:r>
        <w:rPr>
          <w:spacing w:val="-63"/>
        </w:rPr>
      </w:r>
      <w:r>
        <w:rPr>
          <w:spacing w:val="-2"/>
        </w:rPr>
        <w:t>机构；</w:t>
      </w:r>
      <w:r>
        <w:rPr>
          <w:rFonts w:ascii="Times New Roman" w:hAnsi="Times New Roman" w:cs="Times New Roman" w:eastAsia="Times New Roman" w:hint="default"/>
          <w:spacing w:val="-2"/>
        </w:rPr>
        <w:t>17</w:t>
      </w:r>
      <w:r>
        <w:rPr>
          <w:spacing w:val="-2"/>
        </w:rPr>
        <w:t>、一种纸箱制造车间自动监控系统；</w:t>
      </w:r>
      <w:r>
        <w:rPr>
          <w:rFonts w:ascii="Times New Roman" w:hAnsi="Times New Roman" w:cs="Times New Roman" w:eastAsia="Times New Roman" w:hint="default"/>
          <w:spacing w:val="-2"/>
        </w:rPr>
        <w:t>18</w:t>
      </w:r>
      <w:r>
        <w:rPr>
          <w:spacing w:val="-2"/>
        </w:rPr>
        <w:t>、一种裱纸胶水自动控制系统；</w:t>
      </w:r>
      <w:r>
        <w:rPr>
          <w:rFonts w:ascii="Times New Roman" w:hAnsi="Times New Roman" w:cs="Times New Roman" w:eastAsia="Times New Roman" w:hint="default"/>
          <w:spacing w:val="-2"/>
        </w:rPr>
        <w:t>19</w:t>
      </w:r>
      <w:r>
        <w:rPr>
          <w:spacing w:val="-2"/>
        </w:rPr>
        <w:t>、一种防尘式红外感应光电开关；</w:t>
      </w:r>
      <w:r>
        <w:rPr>
          <w:rFonts w:ascii="Times New Roman" w:hAnsi="Times New Roman" w:cs="Times New Roman" w:eastAsia="Times New Roman" w:hint="default"/>
          <w:spacing w:val="-2"/>
        </w:rPr>
        <w:t>20</w:t>
      </w:r>
      <w:r>
        <w:rPr>
          <w:spacing w:val="-2"/>
        </w:rPr>
        <w:t>、一</w:t>
      </w:r>
      <w:r>
        <w:rPr>
          <w:spacing w:val="-61"/>
        </w:rPr>
        <w:t> </w:t>
      </w:r>
      <w:r>
        <w:rPr>
          <w:spacing w:val="-61"/>
        </w:rPr>
      </w:r>
      <w:r>
        <w:rPr>
          <w:spacing w:val="-2"/>
        </w:rPr>
        <w:t>种水印纸箱印刷跑位自动控制系统；</w:t>
      </w:r>
      <w:r>
        <w:rPr>
          <w:rFonts w:ascii="Times New Roman" w:hAnsi="Times New Roman" w:cs="Times New Roman" w:eastAsia="Times New Roman" w:hint="default"/>
          <w:spacing w:val="-2"/>
        </w:rPr>
        <w:t>21</w:t>
      </w:r>
      <w:r>
        <w:rPr>
          <w:spacing w:val="-2"/>
        </w:rPr>
        <w:t>、创意文化智能包装设计；</w:t>
      </w:r>
      <w:r>
        <w:rPr>
          <w:rFonts w:ascii="Times New Roman" w:hAnsi="Times New Roman" w:cs="Times New Roman" w:eastAsia="Times New Roman" w:hint="default"/>
          <w:spacing w:val="-2"/>
        </w:rPr>
        <w:t>22</w:t>
      </w:r>
      <w:r>
        <w:rPr>
          <w:spacing w:val="-2"/>
        </w:rPr>
        <w:t>、原材料的优化和处理技术的研究；23、吉客印智能客</w:t>
      </w:r>
      <w:r>
        <w:rPr>
          <w:spacing w:val="-60"/>
        </w:rPr>
        <w:t> </w:t>
      </w:r>
      <w:r>
        <w:rPr>
          <w:spacing w:val="-60"/>
        </w:rPr>
      </w:r>
      <w:r>
        <w:rPr>
          <w:spacing w:val="-2"/>
        </w:rPr>
        <w:t>服在线管理系统；24；广告投放分类统计管理系统；25；吉客印门户广告辅助投放查询管理系统；26、吉客印广告投放频次</w:t>
      </w:r>
      <w:r>
        <w:rPr>
          <w:spacing w:val="-60"/>
        </w:rPr>
        <w:t> </w:t>
      </w:r>
      <w:r>
        <w:rPr>
          <w:spacing w:val="-60"/>
        </w:rPr>
      </w:r>
      <w:r>
        <w:rPr>
          <w:spacing w:val="-2"/>
        </w:rPr>
        <w:t>排期系统；27、吉客印广告检测评估播出管理系统；28、吉客印客户问题反馈与工作分析系统；29、吉客印广告效果评价数</w:t>
      </w:r>
      <w:r>
        <w:rPr>
          <w:spacing w:val="-60"/>
        </w:rPr>
        <w:t> </w:t>
      </w:r>
      <w:r>
        <w:rPr>
          <w:spacing w:val="-60"/>
        </w:rPr>
      </w:r>
      <w:r>
        <w:rPr>
          <w:spacing w:val="-2"/>
        </w:rPr>
        <w:t>据管理系统；30、吉客印客户工单与客服管理系统；31、吉客印门户广告精准定位投放业务系统；32、供应链管理系统的研</w:t>
      </w:r>
      <w:r>
        <w:rPr>
          <w:spacing w:val="-60"/>
        </w:rPr>
        <w:t> </w:t>
      </w:r>
      <w:r>
        <w:rPr>
          <w:spacing w:val="-60"/>
        </w:rPr>
      </w:r>
      <w:r>
        <w:rPr/>
        <w:t>发；33、iSO跨界电商APP的研发；34、Andriod跨界商APP的研发；35、日志管理系统的研发等。</w:t>
      </w:r>
    </w:p>
    <w:p>
      <w:pPr>
        <w:spacing w:line="240" w:lineRule="auto" w:before="0"/>
        <w:rPr>
          <w:rFonts w:ascii="宋体" w:hAnsi="宋体" w:cs="宋体" w:eastAsia="宋体" w:hint="default"/>
          <w:sz w:val="18"/>
          <w:szCs w:val="18"/>
        </w:rPr>
      </w:pPr>
    </w:p>
    <w:p>
      <w:pPr>
        <w:pStyle w:val="BodyText"/>
        <w:spacing w:line="240" w:lineRule="auto" w:before="143"/>
        <w:ind w:right="0"/>
        <w:jc w:val="both"/>
      </w:pPr>
      <w:r>
        <w:rPr/>
        <w:t>公司研发投入情况</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2"/>
        <w:gridCol w:w="2268"/>
        <w:gridCol w:w="2126"/>
        <w:gridCol w:w="1913"/>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119.38%</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9.87%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4.55%</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63,703,538.50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34,638,980.90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83.91%</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0"/>
        <w:gridCol w:w="2268"/>
        <w:gridCol w:w="2126"/>
        <w:gridCol w:w="1913"/>
      </w:tblGrid>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8"/>
        <w:jc w:val="left"/>
      </w:pPr>
      <w:r>
        <w:rPr/>
        <w:t>研发投入总额占营业收入的比重较上年发生显著变化的原因</w:t>
      </w:r>
    </w:p>
    <w:p>
      <w:pPr>
        <w:pStyle w:val="BodyText"/>
        <w:spacing w:line="340" w:lineRule="auto" w:before="115"/>
        <w:ind w:right="1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本期研发费用较上年同期增加</w:t>
      </w:r>
      <w:r>
        <w:rPr>
          <w:rFonts w:ascii="Times New Roman" w:hAnsi="Times New Roman" w:cs="Times New Roman" w:eastAsia="Times New Roman" w:hint="default"/>
        </w:rPr>
        <w:t>83.91%</w:t>
      </w:r>
      <w:r>
        <w:rPr/>
        <w:t>，主要系本期公司研发投入增加，以及本期收购安徽吉宏后研发费用并表增加所致。 研发投入资本化率大幅变动的原因及其合理性说明</w:t>
      </w:r>
    </w:p>
    <w:p>
      <w:pPr>
        <w:pStyle w:val="BodyText"/>
        <w:spacing w:line="240" w:lineRule="auto" w:before="39"/>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6"/>
        <w:gridCol w:w="2412"/>
        <w:gridCol w:w="2551"/>
        <w:gridCol w:w="1630"/>
      </w:tblGrid>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3,166,961,604.96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2,187,217,282.00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44.79%</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2,849,789,463.72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1,930,231,128.19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47.64%</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317,172,141.24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256,986,153.81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23.42%</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3,215,112.33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150,743,419.87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-97.87%</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638,873,991.38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202,119,520.83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216.09%</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-635,658,879.05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-51,376,100.96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933,041,215.14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429,917,871.10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117.03%</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528,934,530.77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496,497,933.85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6.53%</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404,106,684.37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-66,580,062.75</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87,464,232.33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140,812,596.42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-37.89%</w:t>
            </w:r>
          </w:p>
        </w:tc>
      </w:tr>
    </w:tbl>
    <w:p>
      <w:pPr>
        <w:pStyle w:val="BodyText"/>
        <w:spacing w:line="240" w:lineRule="auto" w:before="49"/>
        <w:ind w:right="1128"/>
        <w:jc w:val="left"/>
      </w:pPr>
      <w:r>
        <w:rPr/>
        <w:t>相关数据同比发生重大变动的主要影响因素说明</w:t>
      </w:r>
    </w:p>
    <w:p>
      <w:pPr>
        <w:pStyle w:val="BodyText"/>
        <w:spacing w:line="240" w:lineRule="auto" w:before="11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1</w:t>
      </w:r>
      <w:r>
        <w:rPr/>
        <w:t>、本期销售商品、提供劳务收到的现金较上年同期增加</w:t>
      </w:r>
      <w:r>
        <w:rPr>
          <w:rFonts w:ascii="Times New Roman" w:hAnsi="Times New Roman" w:cs="Times New Roman" w:eastAsia="Times New Roman" w:hint="default"/>
        </w:rPr>
        <w:t>44.23%</w:t>
      </w:r>
      <w:r>
        <w:rPr/>
        <w:t>，主要系本期营业收入增加，同时应收账款回款及时所致；</w:t>
      </w:r>
    </w:p>
    <w:p>
      <w:pPr>
        <w:pStyle w:val="BodyText"/>
        <w:spacing w:line="240" w:lineRule="auto" w:before="103"/>
        <w:ind w:right="1128"/>
        <w:jc w:val="left"/>
      </w:pPr>
      <w:r>
        <w:rPr>
          <w:rFonts w:ascii="Times New Roman" w:hAnsi="Times New Roman" w:cs="Times New Roman" w:eastAsia="Times New Roman" w:hint="default"/>
        </w:rPr>
        <w:t>2</w:t>
      </w:r>
      <w:r>
        <w:rPr/>
        <w:t>、本期收到其他与经营活动有关的现金较上年同期增加</w:t>
      </w:r>
      <w:r>
        <w:rPr>
          <w:rFonts w:ascii="Times New Roman" w:hAnsi="Times New Roman" w:cs="Times New Roman" w:eastAsia="Times New Roman" w:hint="default"/>
        </w:rPr>
        <w:t>146.38%</w:t>
      </w:r>
      <w:r>
        <w:rPr/>
        <w:t>，主要系本期收到的政府补助、收回保证金等增加所致；</w:t>
      </w:r>
    </w:p>
    <w:p>
      <w:pPr>
        <w:pStyle w:val="BodyText"/>
        <w:spacing w:line="300" w:lineRule="auto" w:before="101"/>
        <w:ind w:right="1108"/>
        <w:jc w:val="left"/>
      </w:pPr>
      <w:r>
        <w:rPr>
          <w:rFonts w:ascii="Times New Roman" w:hAnsi="Times New Roman" w:cs="Times New Roman" w:eastAsia="Times New Roman" w:hint="default"/>
        </w:rPr>
        <w:t>3</w:t>
      </w:r>
      <w:r>
        <w:rPr/>
        <w:t>、本期购买商品、接受劳务支付的现金较上年同期增加</w:t>
      </w:r>
      <w:r>
        <w:rPr>
          <w:rFonts w:ascii="Times New Roman" w:hAnsi="Times New Roman" w:cs="Times New Roman" w:eastAsia="Times New Roman" w:hint="default"/>
        </w:rPr>
        <w:t>49.44%</w:t>
      </w:r>
      <w:r>
        <w:rPr/>
        <w:t>，主要系本期营业收入增加，原辅材料、商品、服务采购支 出也相应增加所致；</w:t>
      </w:r>
    </w:p>
    <w:p>
      <w:pPr>
        <w:pStyle w:val="BodyText"/>
        <w:spacing w:line="300" w:lineRule="auto" w:before="72"/>
        <w:ind w:right="1128"/>
        <w:jc w:val="left"/>
      </w:pPr>
      <w:r>
        <w:rPr>
          <w:rFonts w:ascii="Times New Roman" w:hAnsi="Times New Roman" w:cs="Times New Roman" w:eastAsia="Times New Roman" w:hint="default"/>
          <w:spacing w:val="-1"/>
        </w:rPr>
        <w:t>4</w:t>
      </w:r>
      <w:r>
        <w:rPr>
          <w:spacing w:val="-1"/>
        </w:rPr>
        <w:t>、本期支付给职工以及为职工支付的现金较上年同期增加</w:t>
      </w:r>
      <w:r>
        <w:rPr>
          <w:rFonts w:ascii="Times New Roman" w:hAnsi="Times New Roman" w:cs="Times New Roman" w:eastAsia="Times New Roman" w:hint="default"/>
          <w:spacing w:val="-1"/>
        </w:rPr>
        <w:t>74.82%</w:t>
      </w:r>
      <w:r>
        <w:rPr>
          <w:spacing w:val="-1"/>
        </w:rPr>
        <w:t>，主要系本期营业收入增加，业务规模扩大，相应支付的</w:t>
      </w:r>
      <w:r>
        <w:rPr>
          <w:spacing w:val="-42"/>
        </w:rPr>
        <w:t> </w:t>
      </w:r>
      <w:r>
        <w:rPr>
          <w:spacing w:val="-42"/>
        </w:rPr>
      </w:r>
      <w:r>
        <w:rPr/>
        <w:t>职工薪酬增加所致；</w:t>
      </w:r>
    </w:p>
    <w:p>
      <w:pPr>
        <w:pStyle w:val="BodyText"/>
        <w:spacing w:line="300" w:lineRule="auto" w:before="72"/>
        <w:ind w:right="1026"/>
        <w:jc w:val="left"/>
      </w:pPr>
      <w:r>
        <w:rPr>
          <w:rFonts w:ascii="Times New Roman" w:hAnsi="Times New Roman" w:cs="Times New Roman" w:eastAsia="Times New Roman" w:hint="default"/>
        </w:rPr>
        <w:t>5</w:t>
      </w:r>
      <w:r>
        <w:rPr/>
        <w:t>、本期支付的各项税费较上年同期增加</w:t>
      </w:r>
      <w:r>
        <w:rPr>
          <w:rFonts w:ascii="Times New Roman" w:hAnsi="Times New Roman" w:cs="Times New Roman" w:eastAsia="Times New Roman" w:hint="default"/>
        </w:rPr>
        <w:t>33.34%</w:t>
      </w:r>
      <w:r>
        <w:rPr/>
        <w:t>，主要系本期营业收入和净利润增加，缴纳的增值税及所得税等税费相应增 加所致；</w:t>
      </w:r>
    </w:p>
    <w:p>
      <w:pPr>
        <w:pStyle w:val="BodyText"/>
        <w:spacing w:line="309" w:lineRule="auto" w:before="70"/>
        <w:ind w:right="1026"/>
        <w:jc w:val="left"/>
      </w:pPr>
      <w:r>
        <w:rPr>
          <w:rFonts w:ascii="Times New Roman" w:hAnsi="Times New Roman" w:cs="Times New Roman" w:eastAsia="Times New Roman" w:hint="default"/>
          <w:spacing w:val="-2"/>
        </w:rPr>
        <w:t>6</w:t>
      </w:r>
      <w:r>
        <w:rPr>
          <w:spacing w:val="-2"/>
        </w:rPr>
        <w:t>、本期支付其他与经营活动有关的现金较上年同期增加</w:t>
      </w:r>
      <w:r>
        <w:rPr>
          <w:rFonts w:ascii="Times New Roman" w:hAnsi="Times New Roman" w:cs="Times New Roman" w:eastAsia="Times New Roman" w:hint="default"/>
          <w:spacing w:val="-2"/>
        </w:rPr>
        <w:t>37.16%</w:t>
      </w:r>
      <w:r>
        <w:rPr>
          <w:spacing w:val="-2"/>
        </w:rPr>
        <w:t>，主要系本期营业收入增加，互联网业务运营管理费用增加，</w:t>
      </w:r>
      <w:r>
        <w:rPr>
          <w:spacing w:val="-74"/>
        </w:rPr>
        <w:t> </w:t>
      </w:r>
      <w:r>
        <w:rPr>
          <w:spacing w:val="-74"/>
        </w:rPr>
      </w:r>
      <w:r>
        <w:rPr>
          <w:spacing w:val="-2"/>
        </w:rPr>
        <w:t>以及吉客印电商业务的销售物流运费、广告费支出占电商业务营业收入的比例较高，物流费、广告费、租金等销售费用支出</w:t>
      </w:r>
      <w:r>
        <w:rPr>
          <w:spacing w:val="-65"/>
        </w:rPr>
        <w:t> </w:t>
      </w:r>
      <w:r>
        <w:rPr>
          <w:spacing w:val="-65"/>
        </w:rPr>
      </w:r>
      <w:r>
        <w:rPr/>
        <w:t>增加所致；</w:t>
      </w:r>
    </w:p>
    <w:p>
      <w:pPr>
        <w:pStyle w:val="BodyText"/>
        <w:spacing w:line="240" w:lineRule="auto" w:before="65"/>
        <w:ind w:right="1128"/>
        <w:jc w:val="left"/>
      </w:pPr>
      <w:r>
        <w:rPr>
          <w:rFonts w:ascii="Times New Roman" w:hAnsi="Times New Roman" w:cs="Times New Roman" w:eastAsia="Times New Roman" w:hint="default"/>
        </w:rPr>
        <w:t>7</w:t>
      </w:r>
      <w:r>
        <w:rPr/>
        <w:t>、本期经营活动产生的现金流量净额较上年同期增加</w:t>
      </w:r>
      <w:r>
        <w:rPr>
          <w:rFonts w:ascii="Times New Roman" w:hAnsi="Times New Roman" w:cs="Times New Roman" w:eastAsia="Times New Roman" w:hint="default"/>
        </w:rPr>
        <w:t>23.42%</w:t>
      </w:r>
      <w:r>
        <w:rPr/>
        <w:t>，主要系本期营业收入增加，应收账款回款及时所致；</w:t>
      </w:r>
    </w:p>
    <w:p>
      <w:pPr>
        <w:pStyle w:val="BodyText"/>
        <w:spacing w:line="297" w:lineRule="auto" w:before="103"/>
        <w:ind w:right="1128"/>
        <w:jc w:val="left"/>
      </w:pPr>
      <w:r>
        <w:rPr>
          <w:rFonts w:ascii="Times New Roman" w:hAnsi="Times New Roman" w:cs="Times New Roman" w:eastAsia="Times New Roman" w:hint="default"/>
          <w:spacing w:val="-1"/>
        </w:rPr>
        <w:t>8</w:t>
      </w:r>
      <w:r>
        <w:rPr>
          <w:spacing w:val="-1"/>
        </w:rPr>
        <w:t>、本期收回投资收到的现金较上年同期减少</w:t>
      </w:r>
      <w:r>
        <w:rPr>
          <w:rFonts w:ascii="Times New Roman" w:hAnsi="Times New Roman" w:cs="Times New Roman" w:eastAsia="Times New Roman" w:hint="default"/>
          <w:spacing w:val="-1"/>
        </w:rPr>
        <w:t>96.09%</w:t>
      </w:r>
      <w:r>
        <w:rPr>
          <w:spacing w:val="-1"/>
        </w:rPr>
        <w:t>，主要系上年发生减资参股公司北京金印联国际供应链管理有限公司收</w:t>
      </w:r>
      <w:r>
        <w:rPr>
          <w:spacing w:val="-44"/>
        </w:rPr>
        <w:t> </w:t>
      </w:r>
      <w:r>
        <w:rPr>
          <w:spacing w:val="-44"/>
        </w:rPr>
      </w:r>
      <w:r>
        <w:rPr/>
        <w:t>回投资款；</w:t>
      </w:r>
    </w:p>
    <w:p>
      <w:pPr>
        <w:pStyle w:val="BodyText"/>
        <w:spacing w:line="300" w:lineRule="auto" w:before="74"/>
        <w:ind w:right="1198"/>
        <w:jc w:val="left"/>
      </w:pPr>
      <w:r>
        <w:rPr>
          <w:rFonts w:ascii="Times New Roman" w:hAnsi="Times New Roman" w:cs="Times New Roman" w:eastAsia="Times New Roman" w:hint="default"/>
        </w:rPr>
        <w:t>9</w:t>
      </w:r>
      <w:r>
        <w:rPr/>
        <w:t>、本期购建固定资产、无形资产和其他长期资产支付的现金较上年同期增加</w:t>
      </w:r>
      <w:r>
        <w:rPr>
          <w:rFonts w:ascii="Times New Roman" w:hAnsi="Times New Roman" w:cs="Times New Roman" w:eastAsia="Times New Roman" w:hint="default"/>
        </w:rPr>
        <w:t>442.64%</w:t>
      </w:r>
      <w:r>
        <w:rPr/>
        <w:t>，主要系本期购置设备支出，以及廊 坊吉宏项目、宁夏吉宏项目在建厂房工程款项支出增加所致；</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rFonts w:ascii="Times New Roman" w:hAnsi="Times New Roman" w:cs="Times New Roman" w:eastAsia="Times New Roman" w:hint="default"/>
        </w:rPr>
        <w:t>10</w:t>
      </w:r>
      <w:r>
        <w:rPr/>
        <w:t>、本期投资支付的现金较上年同期减少</w:t>
      </w:r>
      <w:r>
        <w:rPr>
          <w:rFonts w:ascii="Times New Roman" w:hAnsi="Times New Roman" w:cs="Times New Roman" w:eastAsia="Times New Roman" w:hint="default"/>
        </w:rPr>
        <w:t>78.57%</w:t>
      </w:r>
      <w:r>
        <w:rPr/>
        <w:t>，主要系上年发生对安徽吉宏的增资所致；</w:t>
      </w:r>
    </w:p>
    <w:p>
      <w:pPr>
        <w:pStyle w:val="BodyText"/>
        <w:spacing w:line="300" w:lineRule="auto" w:before="103"/>
        <w:ind w:right="1128"/>
        <w:jc w:val="left"/>
      </w:pPr>
      <w:r>
        <w:rPr>
          <w:rFonts w:ascii="Times New Roman" w:hAnsi="Times New Roman" w:cs="Times New Roman" w:eastAsia="Times New Roman" w:hint="default"/>
        </w:rPr>
        <w:t>11</w:t>
      </w:r>
      <w:r>
        <w:rPr/>
        <w:t>、本期取得子公司及其他营业单位支付的现金净额较上年同期减少</w:t>
      </w:r>
      <w:r>
        <w:rPr>
          <w:rFonts w:ascii="Times New Roman" w:hAnsi="Times New Roman" w:cs="Times New Roman" w:eastAsia="Times New Roman" w:hint="default"/>
        </w:rPr>
        <w:t>81.25%</w:t>
      </w:r>
      <w:r>
        <w:rPr/>
        <w:t>，主要系上年支付收购北京龙域及济南吉联股 权转让款所致；</w:t>
      </w:r>
    </w:p>
    <w:p>
      <w:pPr>
        <w:pStyle w:val="BodyText"/>
        <w:spacing w:line="300" w:lineRule="auto" w:before="70"/>
        <w:ind w:right="1128"/>
        <w:jc w:val="left"/>
      </w:pPr>
      <w:r>
        <w:rPr>
          <w:rFonts w:ascii="Times New Roman" w:hAnsi="Times New Roman" w:cs="Times New Roman" w:eastAsia="Times New Roman" w:hint="default"/>
          <w:spacing w:val="-1"/>
        </w:rPr>
        <w:t>12</w:t>
      </w:r>
      <w:r>
        <w:rPr>
          <w:spacing w:val="-1"/>
        </w:rPr>
        <w:t>、本期支付其他与投资活动有关的现金较上年同期净增加</w:t>
      </w:r>
      <w:r>
        <w:rPr>
          <w:rFonts w:ascii="Times New Roman" w:hAnsi="Times New Roman" w:cs="Times New Roman" w:eastAsia="Times New Roman" w:hint="default"/>
          <w:spacing w:val="-1"/>
        </w:rPr>
        <w:t>3.96</w:t>
      </w:r>
      <w:r>
        <w:rPr>
          <w:spacing w:val="-1"/>
        </w:rPr>
        <w:t>亿元，主要系本期使用暂时闲置募集资金购买银行结构性存</w:t>
      </w:r>
      <w:r>
        <w:rPr>
          <w:spacing w:val="-74"/>
        </w:rPr>
        <w:t> </w:t>
      </w:r>
      <w:r>
        <w:rPr>
          <w:spacing w:val="-74"/>
        </w:rPr>
      </w:r>
      <w:r>
        <w:rPr/>
        <w:t>款累计净增加所致；</w:t>
      </w:r>
    </w:p>
    <w:p>
      <w:pPr>
        <w:pStyle w:val="BodyText"/>
        <w:spacing w:line="300" w:lineRule="auto" w:before="72"/>
        <w:ind w:right="1128"/>
        <w:jc w:val="left"/>
      </w:pPr>
      <w:r>
        <w:rPr>
          <w:rFonts w:ascii="Times New Roman" w:hAnsi="Times New Roman" w:cs="Times New Roman" w:eastAsia="Times New Roman" w:hint="default"/>
          <w:spacing w:val="-1"/>
        </w:rPr>
        <w:t>13</w:t>
      </w:r>
      <w:r>
        <w:rPr>
          <w:spacing w:val="-1"/>
        </w:rPr>
        <w:t>、本期投资活动产生的现金流量净额减少</w:t>
      </w:r>
      <w:r>
        <w:rPr>
          <w:rFonts w:ascii="Times New Roman" w:hAnsi="Times New Roman" w:cs="Times New Roman" w:eastAsia="Times New Roman" w:hint="default"/>
          <w:spacing w:val="-1"/>
        </w:rPr>
        <w:t>5.84</w:t>
      </w:r>
      <w:r>
        <w:rPr>
          <w:spacing w:val="-1"/>
        </w:rPr>
        <w:t>亿元，主要系本期购置设备支出，以及廊坊吉宏项目、宁夏吉宏项目在建厂</w:t>
      </w:r>
      <w:r>
        <w:rPr>
          <w:spacing w:val="-76"/>
        </w:rPr>
        <w:t> </w:t>
      </w:r>
      <w:r>
        <w:rPr>
          <w:spacing w:val="-76"/>
        </w:rPr>
      </w:r>
      <w:r>
        <w:rPr/>
        <w:t>房工程款项支出增加；使用暂时闲置募集资金购买银行结构性存款累计净增加所致；</w:t>
      </w:r>
    </w:p>
    <w:p>
      <w:pPr>
        <w:pStyle w:val="BodyText"/>
        <w:spacing w:line="240" w:lineRule="auto" w:before="72"/>
        <w:ind w:right="1128"/>
        <w:jc w:val="left"/>
      </w:pPr>
      <w:r>
        <w:rPr>
          <w:rFonts w:ascii="Times New Roman" w:hAnsi="Times New Roman" w:cs="Times New Roman" w:eastAsia="Times New Roman" w:hint="default"/>
        </w:rPr>
        <w:t>14</w:t>
      </w:r>
      <w:r>
        <w:rPr/>
        <w:t>、本期吸收投资收到的现金较上年同期增加</w:t>
      </w:r>
      <w:r>
        <w:rPr>
          <w:rFonts w:ascii="Times New Roman" w:hAnsi="Times New Roman" w:cs="Times New Roman" w:eastAsia="Times New Roman" w:hint="default"/>
        </w:rPr>
        <w:t>5.01</w:t>
      </w:r>
      <w:r>
        <w:rPr/>
        <w:t>亿元，主要系本期收到非公开发行股份募集资金所致；</w:t>
      </w:r>
    </w:p>
    <w:p>
      <w:pPr>
        <w:pStyle w:val="BodyText"/>
        <w:spacing w:line="240" w:lineRule="auto" w:before="101"/>
        <w:ind w:right="1128"/>
        <w:jc w:val="left"/>
      </w:pPr>
      <w:r>
        <w:rPr>
          <w:rFonts w:ascii="Times New Roman" w:hAnsi="Times New Roman" w:cs="Times New Roman" w:eastAsia="Times New Roman" w:hint="default"/>
        </w:rPr>
        <w:t>15</w:t>
      </w:r>
      <w:r>
        <w:rPr/>
        <w:t>、本期取得借款所收到的现金较上年同期增加</w:t>
      </w:r>
      <w:r>
        <w:rPr>
          <w:rFonts w:ascii="Times New Roman" w:hAnsi="Times New Roman" w:cs="Times New Roman" w:eastAsia="Times New Roman" w:hint="default"/>
        </w:rPr>
        <w:t>42.34%</w:t>
      </w:r>
      <w:r>
        <w:rPr/>
        <w:t>，主要系本期银行借款发生额累计增加所致；</w:t>
      </w:r>
    </w:p>
    <w:p>
      <w:pPr>
        <w:pStyle w:val="BodyText"/>
        <w:spacing w:line="300" w:lineRule="auto" w:before="103"/>
        <w:ind w:right="1198"/>
        <w:jc w:val="left"/>
      </w:pPr>
      <w:r>
        <w:rPr>
          <w:rFonts w:ascii="Times New Roman" w:hAnsi="Times New Roman" w:cs="Times New Roman" w:eastAsia="Times New Roman" w:hint="default"/>
        </w:rPr>
        <w:t>16</w:t>
      </w:r>
      <w:r>
        <w:rPr/>
        <w:t>、本期收到其他与筹资活动有关的现金较上年同期减少</w:t>
      </w:r>
      <w:r>
        <w:rPr>
          <w:rFonts w:ascii="Times New Roman" w:hAnsi="Times New Roman" w:cs="Times New Roman" w:eastAsia="Times New Roman" w:hint="default"/>
        </w:rPr>
        <w:t>85.51%</w:t>
      </w:r>
      <w:r>
        <w:rPr/>
        <w:t>，主要系上期员工持股计划收到回购股票转让款及收到售 后租回融资款所致；</w:t>
      </w:r>
    </w:p>
    <w:p>
      <w:pPr>
        <w:pStyle w:val="BodyText"/>
        <w:spacing w:line="240" w:lineRule="auto" w:before="72"/>
        <w:ind w:right="1128"/>
        <w:jc w:val="left"/>
      </w:pPr>
      <w:r>
        <w:rPr>
          <w:rFonts w:ascii="Times New Roman" w:hAnsi="Times New Roman" w:cs="Times New Roman" w:eastAsia="Times New Roman" w:hint="default"/>
        </w:rPr>
        <w:t>17</w:t>
      </w:r>
      <w:r>
        <w:rPr/>
        <w:t>、本期分配股利、利润或偿付利息所支付的现金较上年同期增加</w:t>
      </w:r>
      <w:r>
        <w:rPr>
          <w:rFonts w:ascii="Times New Roman" w:hAnsi="Times New Roman" w:cs="Times New Roman" w:eastAsia="Times New Roman" w:hint="default"/>
        </w:rPr>
        <w:t>193.73%</w:t>
      </w:r>
      <w:r>
        <w:rPr/>
        <w:t>，主要系本期分配股利增加所致；</w:t>
      </w:r>
    </w:p>
    <w:p>
      <w:pPr>
        <w:pStyle w:val="BodyText"/>
        <w:spacing w:line="240" w:lineRule="auto" w:before="101"/>
        <w:ind w:right="1128"/>
        <w:jc w:val="left"/>
      </w:pPr>
      <w:r>
        <w:rPr>
          <w:rFonts w:ascii="Times New Roman" w:hAnsi="Times New Roman" w:cs="Times New Roman" w:eastAsia="Times New Roman" w:hint="default"/>
        </w:rPr>
        <w:t>18</w:t>
      </w:r>
      <w:r>
        <w:rPr/>
        <w:t>、本期支付其他与筹资活动有关的现金较上年同期减少</w:t>
      </w:r>
      <w:r>
        <w:rPr>
          <w:rFonts w:ascii="Times New Roman" w:hAnsi="Times New Roman" w:cs="Times New Roman" w:eastAsia="Times New Roman" w:hint="default"/>
        </w:rPr>
        <w:t>38.69%</w:t>
      </w:r>
      <w:r>
        <w:rPr/>
        <w:t>，主要系上年同期发生回购股票现金支出所致；</w:t>
      </w:r>
    </w:p>
    <w:p>
      <w:pPr>
        <w:pStyle w:val="BodyText"/>
        <w:spacing w:line="240" w:lineRule="auto" w:before="103"/>
        <w:ind w:right="1128"/>
        <w:jc w:val="left"/>
      </w:pPr>
      <w:r>
        <w:rPr>
          <w:rFonts w:ascii="Times New Roman" w:hAnsi="Times New Roman" w:cs="Times New Roman" w:eastAsia="Times New Roman" w:hint="default"/>
        </w:rPr>
        <w:t>19</w:t>
      </w:r>
      <w:r>
        <w:rPr/>
        <w:t>、本期筹资活动产生的现金流量净额较上年同期增加</w:t>
      </w:r>
      <w:r>
        <w:rPr>
          <w:rFonts w:ascii="Times New Roman" w:hAnsi="Times New Roman" w:cs="Times New Roman" w:eastAsia="Times New Roman" w:hint="default"/>
        </w:rPr>
        <w:t>706.95%</w:t>
      </w:r>
      <w:r>
        <w:rPr/>
        <w:t>，主要系本期收到非公开发行股份募集资金所致；</w:t>
      </w:r>
    </w:p>
    <w:p>
      <w:pPr>
        <w:pStyle w:val="BodyText"/>
        <w:spacing w:line="300" w:lineRule="auto" w:before="103"/>
        <w:ind w:right="1128"/>
        <w:jc w:val="left"/>
      </w:pPr>
      <w:r>
        <w:rPr>
          <w:rFonts w:ascii="Times New Roman" w:hAnsi="Times New Roman" w:cs="Times New Roman" w:eastAsia="Times New Roman" w:hint="default"/>
        </w:rPr>
        <w:t>20</w:t>
      </w:r>
      <w:r>
        <w:rPr/>
        <w:t>、本期现金及现金等价物净增加额较上年同期减少</w:t>
      </w:r>
      <w:r>
        <w:rPr>
          <w:rFonts w:ascii="Times New Roman" w:hAnsi="Times New Roman" w:cs="Times New Roman" w:eastAsia="Times New Roman" w:hint="default"/>
        </w:rPr>
        <w:t>37.89%</w:t>
      </w:r>
      <w:r>
        <w:rPr/>
        <w:t>，主要系本期经营活动、投资活动、筹资活动产生的现金流量 综合影响所致；</w:t>
      </w:r>
    </w:p>
    <w:p>
      <w:pPr>
        <w:pStyle w:val="BodyText"/>
        <w:spacing w:line="300" w:lineRule="auto" w:before="69"/>
        <w:ind w:right="1128"/>
        <w:jc w:val="left"/>
      </w:pPr>
      <w:r>
        <w:rPr>
          <w:rFonts w:ascii="Times New Roman" w:hAnsi="Times New Roman" w:cs="Times New Roman" w:eastAsia="Times New Roman" w:hint="default"/>
          <w:spacing w:val="-1"/>
        </w:rPr>
        <w:t>21</w:t>
      </w:r>
      <w:r>
        <w:rPr>
          <w:spacing w:val="-1"/>
        </w:rPr>
        <w:t>、本期期初现金及现金等价物余额较上年期初余额增加</w:t>
      </w:r>
      <w:r>
        <w:rPr>
          <w:rFonts w:ascii="Times New Roman" w:hAnsi="Times New Roman" w:cs="Times New Roman" w:eastAsia="Times New Roman" w:hint="default"/>
          <w:spacing w:val="-1"/>
        </w:rPr>
        <w:t>116.74%</w:t>
      </w:r>
      <w:r>
        <w:rPr>
          <w:spacing w:val="-1"/>
        </w:rPr>
        <w:t>，主要系本期期初较上年期初公司经营规模扩大需要营运</w:t>
      </w:r>
      <w:r>
        <w:rPr>
          <w:spacing w:val="-41"/>
        </w:rPr>
        <w:t> </w:t>
      </w:r>
      <w:r>
        <w:rPr>
          <w:spacing w:val="-41"/>
        </w:rPr>
      </w:r>
      <w:r>
        <w:rPr/>
        <w:t>资金增加所致；</w:t>
      </w:r>
    </w:p>
    <w:p>
      <w:pPr>
        <w:pStyle w:val="BodyText"/>
        <w:spacing w:line="300" w:lineRule="auto" w:before="72"/>
        <w:ind w:right="1198"/>
        <w:jc w:val="left"/>
      </w:pPr>
      <w:r>
        <w:rPr>
          <w:rFonts w:ascii="Times New Roman" w:hAnsi="Times New Roman" w:cs="Times New Roman" w:eastAsia="Times New Roman" w:hint="default"/>
        </w:rPr>
        <w:t>22</w:t>
      </w:r>
      <w:r>
        <w:rPr/>
        <w:t>、本期期末现金及现金等价物余额较上年同期余额增加</w:t>
      </w:r>
      <w:r>
        <w:rPr>
          <w:rFonts w:ascii="Times New Roman" w:hAnsi="Times New Roman" w:cs="Times New Roman" w:eastAsia="Times New Roman" w:hint="default"/>
        </w:rPr>
        <w:t>33.46%</w:t>
      </w:r>
      <w:r>
        <w:rPr/>
        <w:t>，主要系本期收到非公开发行股份募集资金，以及公司经 营规模、业务扩大所需营运资金增加，本期末银行存款较上年同期期末增加所致。</w:t>
      </w:r>
    </w:p>
    <w:p>
      <w:pPr>
        <w:pStyle w:val="BodyText"/>
        <w:spacing w:line="240" w:lineRule="auto" w:before="72"/>
        <w:ind w:right="1128"/>
        <w:jc w:val="left"/>
      </w:pPr>
      <w:r>
        <w:rPr/>
        <w:t>报告期内公司经营活动产生的现金净流量与本年度净利润存在重大差异的原因说明</w:t>
      </w:r>
    </w:p>
    <w:p>
      <w:pPr>
        <w:pStyle w:val="BodyText"/>
        <w:spacing w:line="240" w:lineRule="auto" w:before="115"/>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1"/>
        <w:gridCol w:w="1560"/>
        <w:gridCol w:w="1418"/>
        <w:gridCol w:w="2268"/>
        <w:gridCol w:w="1771"/>
      </w:tblGrid>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25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2,588,417.05</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0.68%</w:t>
            </w:r>
          </w:p>
        </w:tc>
        <w:tc>
          <w:tcPr>
            <w:tcW w:w="2268" w:type="dxa"/>
            <w:vMerge w:val="restart"/>
            <w:tcBorders>
              <w:top w:val="single" w:sz="4" w:space="0" w:color="000000"/>
              <w:left w:val="single" w:sz="4" w:space="0" w:color="000000"/>
              <w:right w:val="single" w:sz="4" w:space="0" w:color="000000"/>
            </w:tcBorders>
          </w:tcPr>
          <w:p>
            <w:pPr>
              <w:pStyle w:val="TableParagraph"/>
              <w:spacing w:line="316" w:lineRule="auto" w:before="49"/>
              <w:ind w:left="859" w:right="45" w:hanging="809"/>
              <w:jc w:val="left"/>
              <w:rPr>
                <w:rFonts w:ascii="宋体" w:hAnsi="宋体" w:cs="宋体" w:eastAsia="宋体" w:hint="default"/>
                <w:sz w:val="18"/>
                <w:szCs w:val="18"/>
              </w:rPr>
            </w:pPr>
            <w:r>
              <w:rPr>
                <w:rFonts w:ascii="宋体" w:hAnsi="宋体" w:cs="宋体" w:eastAsia="宋体" w:hint="default"/>
                <w:sz w:val="18"/>
                <w:szCs w:val="18"/>
              </w:rPr>
              <w:t>按权益法计算的参股公司投 资收益</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25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560"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25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5,650,757.90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1.48%</w:t>
            </w:r>
          </w:p>
        </w:tc>
        <w:tc>
          <w:tcPr>
            <w:tcW w:w="226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3,438,618.99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0.90%</w:t>
            </w:r>
          </w:p>
        </w:tc>
        <w:tc>
          <w:tcPr>
            <w:tcW w:w="226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11,898,952.80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收到政府补贴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信用减值损失及资产减值损失</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-11,060,213.19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679" w:right="45" w:hanging="629"/>
              <w:jc w:val="left"/>
              <w:rPr>
                <w:rFonts w:ascii="宋体" w:hAnsi="宋体" w:cs="宋体" w:eastAsia="宋体" w:hint="default"/>
                <w:sz w:val="18"/>
                <w:szCs w:val="18"/>
              </w:rPr>
            </w:pPr>
            <w:r>
              <w:rPr>
                <w:rFonts w:ascii="宋体" w:hAnsi="宋体" w:cs="宋体" w:eastAsia="宋体" w:hint="default"/>
                <w:sz w:val="18"/>
                <w:szCs w:val="18"/>
              </w:rPr>
              <w:t>按会计政策计提的信用减值 及资产减值</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28"/>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t>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148"/>
        <w:jc w:val="right"/>
      </w:pPr>
      <w:r>
        <w:rPr/>
        <w:pict>
          <v:shape style="position:absolute;margin-left:56.400002pt;margin-top:-56.531281pt;width:479.2pt;height:466.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27"/>
                    <w:gridCol w:w="991"/>
                    <w:gridCol w:w="1277"/>
                    <w:gridCol w:w="890"/>
                    <w:gridCol w:w="797"/>
                    <w:gridCol w:w="2918"/>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3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3" w:hRule="exact"/>
                    </w:trPr>
                    <w:tc>
                      <w:tcPr>
                        <w:tcW w:w="1368" w:type="dxa"/>
                        <w:vMerge/>
                        <w:tcBorders>
                          <w:left w:val="single" w:sz="4" w:space="0" w:color="000000"/>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00" w:right="3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261"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890"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487,752,265.19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280,669,307.72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本期末货币资金较年初增加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73.78% </w:t>
                        </w:r>
                        <w:r>
                          <w:rPr>
                            <w:rFonts w:ascii="宋体" w:hAnsi="宋体" w:cs="宋体" w:eastAsia="宋体" w:hint="default"/>
                            <w:sz w:val="18"/>
                            <w:szCs w:val="18"/>
                          </w:rPr>
                          <w:t>主要系本期非公开发行股份募集资 金增加所致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456,749,538.63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343,892,254.10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本期末应收账款较年初增加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32.82% </w:t>
                        </w:r>
                        <w:r>
                          <w:rPr>
                            <w:rFonts w:ascii="宋体" w:hAnsi="宋体" w:cs="宋体" w:eastAsia="宋体" w:hint="default"/>
                            <w:sz w:val="18"/>
                            <w:szCs w:val="18"/>
                          </w:rPr>
                          <w:t>主要系本期营业收入增长相应增加 应收账款所致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244,234,319.16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206,239,279.77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本期末存货较年初增长</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18.42%</w:t>
                        </w:r>
                        <w:r>
                          <w:rPr>
                            <w:rFonts w:ascii="宋体" w:hAnsi="宋体" w:cs="宋体" w:eastAsia="宋体" w:hint="default"/>
                            <w:spacing w:val="-9"/>
                            <w:sz w:val="18"/>
                            <w:szCs w:val="18"/>
                          </w:rPr>
                          <w:t>，主要</w:t>
                        </w:r>
                        <w:r>
                          <w:rPr>
                            <w:rFonts w:ascii="宋体" w:hAnsi="宋体" w:cs="宋体" w:eastAsia="宋体" w:hint="default"/>
                            <w:sz w:val="18"/>
                            <w:szCs w:val="18"/>
                          </w:rPr>
                          <w:t> 系本期收购安徽吉宏并表增加所致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13,795,058.73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37,349,681.63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本期末长期股权投资较年初减少 </w:t>
                        </w:r>
                        <w:r>
                          <w:rPr>
                            <w:rFonts w:ascii="Times New Roman" w:hAnsi="Times New Roman" w:cs="Times New Roman" w:eastAsia="Times New Roman" w:hint="default"/>
                            <w:spacing w:val="-2"/>
                            <w:sz w:val="18"/>
                            <w:szCs w:val="18"/>
                          </w:rPr>
                          <w:t>63.07%</w:t>
                        </w:r>
                        <w:r>
                          <w:rPr>
                            <w:rFonts w:ascii="宋体" w:hAnsi="宋体" w:cs="宋体" w:eastAsia="宋体" w:hint="default"/>
                            <w:spacing w:val="-2"/>
                            <w:sz w:val="18"/>
                            <w:szCs w:val="18"/>
                          </w:rPr>
                          <w:t>，主要系本期收购安徽吉宏并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表减少所致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448,336,953.86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369,296,773.07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本期末固定资产较年初增长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21.40% </w:t>
                        </w:r>
                        <w:r>
                          <w:rPr>
                            <w:rFonts w:ascii="宋体" w:hAnsi="宋体" w:cs="宋体" w:eastAsia="宋体" w:hint="default"/>
                            <w:sz w:val="18"/>
                            <w:szCs w:val="18"/>
                          </w:rPr>
                          <w:t>主要系本期收购安徽吉宏并表增加 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120,381,641.88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4,929,599.88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本期末在建工程较年初增长 </w:t>
                        </w:r>
                        <w:r>
                          <w:rPr>
                            <w:rFonts w:ascii="Times New Roman" w:hAnsi="Times New Roman" w:cs="Times New Roman" w:eastAsia="Times New Roman" w:hint="default"/>
                            <w:spacing w:val="-2"/>
                            <w:sz w:val="18"/>
                            <w:szCs w:val="18"/>
                          </w:rPr>
                          <w:t>2342.02%</w:t>
                        </w:r>
                        <w:r>
                          <w:rPr>
                            <w:rFonts w:ascii="宋体" w:hAnsi="宋体" w:cs="宋体" w:eastAsia="宋体" w:hint="default"/>
                            <w:spacing w:val="-2"/>
                            <w:sz w:val="18"/>
                            <w:szCs w:val="18"/>
                          </w:rPr>
                          <w:t>，主要系本期廊坊吉宏、宁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夏吉宏的在建厂房工程增加所致</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349,510,000.00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259,967,000.00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本期末短期借款较年初增长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34.44% </w:t>
                        </w:r>
                        <w:r>
                          <w:rPr>
                            <w:rFonts w:ascii="宋体" w:hAnsi="宋体" w:cs="宋体" w:eastAsia="宋体" w:hint="default"/>
                            <w:spacing w:val="-2"/>
                            <w:sz w:val="18"/>
                            <w:szCs w:val="18"/>
                          </w:rPr>
                          <w:t>主要系本期营业规模增长，以及本期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济南吉联、安徽吉宏收购后增加运营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资金需求相应增加银行借款所致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1"/>
                          <w:jc w:val="left"/>
                          <w:rPr>
                            <w:rFonts w:ascii="宋体" w:hAnsi="宋体" w:cs="宋体" w:eastAsia="宋体" w:hint="default"/>
                            <w:sz w:val="18"/>
                            <w:szCs w:val="18"/>
                          </w:rPr>
                        </w:pPr>
                        <w:r>
                          <w:rPr>
                            <w:rFonts w:ascii="宋体" w:hAnsi="宋体" w:cs="宋体" w:eastAsia="宋体" w:hint="default"/>
                            <w:sz w:val="18"/>
                            <w:szCs w:val="18"/>
                          </w:rPr>
                          <w:t>本期末长期借款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2560 </w:t>
                        </w:r>
                        <w:r>
                          <w:rPr>
                            <w:rFonts w:ascii="宋体" w:hAnsi="宋体" w:cs="宋体" w:eastAsia="宋体" w:hint="default"/>
                            <w:sz w:val="18"/>
                            <w:szCs w:val="18"/>
                          </w:rPr>
                          <w:t>万元为本期收 购安徽吉宏向银行借入一年以上到 期的并购借款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11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580"/>
        <w:gridCol w:w="3127"/>
        <w:gridCol w:w="2873"/>
      </w:tblGrid>
      <w:tr>
        <w:trPr>
          <w:trHeight w:val="346"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12"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8"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138,854,060.30</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银行定期存款、汇票保证金</w:t>
            </w:r>
          </w:p>
        </w:tc>
      </w:tr>
      <w:tr>
        <w:trPr>
          <w:trHeight w:val="346"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124,118,669.19</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348"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45,512,769.36</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作为借款的抵押、质押物</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8"/>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58,958,500.00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153.15%</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5"/>
        <w:gridCol w:w="650"/>
        <w:gridCol w:w="622"/>
        <w:gridCol w:w="624"/>
        <w:gridCol w:w="622"/>
        <w:gridCol w:w="622"/>
        <w:gridCol w:w="617"/>
        <w:gridCol w:w="617"/>
        <w:gridCol w:w="619"/>
        <w:gridCol w:w="590"/>
        <w:gridCol w:w="593"/>
        <w:gridCol w:w="694"/>
        <w:gridCol w:w="689"/>
        <w:gridCol w:w="691"/>
        <w:gridCol w:w="667"/>
      </w:tblGrid>
      <w:tr>
        <w:trPr>
          <w:trHeight w:val="2273" w:hRule="exact"/>
        </w:trPr>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6" w:right="3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6"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6" w:right="3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6" w:right="3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13" w:right="3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72" w:right="6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9" w:right="6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87"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9"/>
              <w:jc w:val="both"/>
              <w:rPr>
                <w:rFonts w:ascii="宋体" w:hAnsi="宋体" w:cs="宋体" w:eastAsia="宋体" w:hint="default"/>
                <w:sz w:val="18"/>
                <w:szCs w:val="18"/>
              </w:rPr>
            </w:pPr>
            <w:r>
              <w:rPr>
                <w:rFonts w:ascii="宋体" w:hAnsi="宋体" w:cs="宋体" w:eastAsia="宋体" w:hint="default"/>
                <w:sz w:val="18"/>
                <w:szCs w:val="18"/>
              </w:rPr>
              <w:t>安徽吉 宏环保 纸品有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包装</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53,968,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67.00%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纸制品 包装</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已完 成工 商登 记，现 为公 司全 资子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9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2585"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思塔克 纸业</w:t>
            </w:r>
          </w:p>
          <w:p>
            <w:pPr>
              <w:pStyle w:val="TableParagraph"/>
              <w:spacing w:line="316" w:lineRule="auto" w:before="19"/>
              <w:ind w:left="23" w:right="79"/>
              <w:jc w:val="left"/>
              <w:rPr>
                <w:rFonts w:ascii="宋体" w:hAnsi="宋体" w:cs="宋体" w:eastAsia="宋体" w:hint="default"/>
                <w:sz w:val="18"/>
                <w:szCs w:val="18"/>
              </w:rPr>
            </w:pPr>
            <w:r>
              <w:rPr>
                <w:rFonts w:ascii="宋体" w:hAnsi="宋体" w:cs="宋体" w:eastAsia="宋体" w:hint="default"/>
                <w:sz w:val="18"/>
                <w:szCs w:val="18"/>
              </w:rPr>
              <w:t>（上 海）有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包装</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4,990,0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49.00%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包装</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已完 成工 商登 记，现 为公 司全 资子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-756,98</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7.46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9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5" w:hRule="exact"/>
        </w:trPr>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58,958,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500.00</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000.00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6"/>
          <w:pgSz w:w="11910" w:h="16840"/>
          <w:pgMar w:footer="981" w:header="745" w:top="1060" w:bottom="1180" w:left="980" w:right="0"/>
          <w:pgNumType w:start="2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44"/>
        <w:ind w:left="0" w:right="1141"/>
        <w:jc w:val="right"/>
      </w:pPr>
      <w:r>
        <w:rPr/>
        <w:pict>
          <v:shape style="position:absolute;margin-left:56.400002pt;margin-top:-259.205292pt;width:478.95pt;height:310.3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6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13,575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13,106.11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49,930.46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11899.3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11,899.3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2,185.41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63,505.46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11912.7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25,005.41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2,675.42</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67"/>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、首次公开发行股票截至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日，本公司已使用首发募集资金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13,106.11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万元，本期募集资金共产生利息</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万元（利息收入扣除手</w:t>
                        </w:r>
                        <w:r>
                          <w:rPr>
                            <w:rFonts w:ascii="宋体" w:hAnsi="宋体" w:cs="宋体" w:eastAsia="宋体" w:hint="default"/>
                            <w:spacing w:val="-3"/>
                            <w:sz w:val="18"/>
                            <w:szCs w:val="18"/>
                          </w:rPr>
                          <w:t>续</w:t>
                        </w:r>
                        <w:r>
                          <w:rPr>
                            <w:rFonts w:ascii="宋体" w:hAnsi="宋体" w:cs="宋体" w:eastAsia="宋体" w:hint="default"/>
                            <w:sz w:val="18"/>
                            <w:szCs w:val="18"/>
                          </w:rPr>
                          <w:t>费后收入净额累计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首发募集资金专户节余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00" w:lineRule="auto" w:before="63"/>
                          <w:ind w:left="23" w:right="3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日公告决定将首次公开发行股票募集资金结余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4,900,064.77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元永久补充流动资金，并对公司募集资金专户办理了注销 手续。</w:t>
                        </w:r>
                      </w:p>
                      <w:p>
                        <w:pPr>
                          <w:pStyle w:val="TableParagraph"/>
                          <w:spacing w:line="300" w:lineRule="auto" w:before="72"/>
                          <w:ind w:left="23" w:right="1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、非公开发行股票截至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日，公司募集资金投资项目已累计使用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11,899.30 </w:t>
                        </w:r>
                        <w:r>
                          <w:rPr>
                            <w:rFonts w:ascii="宋体" w:hAnsi="宋体" w:cs="宋体" w:eastAsia="宋体" w:hint="default"/>
                            <w:sz w:val="18"/>
                            <w:szCs w:val="18"/>
                          </w:rPr>
                          <w:t>万元，为提高募集资金的使 </w:t>
                        </w:r>
                        <w:r>
                          <w:rPr>
                            <w:rFonts w:ascii="宋体" w:hAnsi="宋体" w:cs="宋体" w:eastAsia="宋体" w:hint="default"/>
                            <w:spacing w:val="-3"/>
                            <w:sz w:val="18"/>
                            <w:szCs w:val="18"/>
                          </w:rPr>
                          <w:t>用效率，降低公司财务费用，已购买银行定期存款及银行结构性存款余额为 </w:t>
                        </w:r>
                        <w:r>
                          <w:rPr>
                            <w:rFonts w:ascii="Times New Roman" w:hAnsi="Times New Roman" w:cs="Times New Roman" w:eastAsia="Times New Roman" w:hint="default"/>
                            <w:sz w:val="18"/>
                            <w:szCs w:val="18"/>
                          </w:rPr>
                          <w:t>31,600 </w:t>
                        </w:r>
                        <w:r>
                          <w:rPr>
                            <w:rFonts w:ascii="宋体" w:hAnsi="宋体" w:cs="宋体" w:eastAsia="宋体" w:hint="default"/>
                            <w:spacing w:val="-6"/>
                            <w:sz w:val="18"/>
                            <w:szCs w:val="18"/>
                          </w:rPr>
                          <w:t>万元（公告编号：</w:t>
                        </w:r>
                        <w:r>
                          <w:rPr>
                            <w:rFonts w:ascii="Times New Roman" w:hAnsi="Times New Roman" w:cs="Times New Roman" w:eastAsia="Times New Roman" w:hint="default"/>
                            <w:spacing w:val="-6"/>
                            <w:sz w:val="18"/>
                            <w:szCs w:val="18"/>
                          </w:rPr>
                          <w:t>2019-039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2019-049</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
                            <w:sz w:val="18"/>
                            <w:szCs w:val="18"/>
                          </w:rPr>
                          <w:t>2019-122</w:t>
                        </w:r>
                        <w:r>
                          <w:rPr>
                            <w:rFonts w:ascii="宋体" w:hAnsi="宋体" w:cs="宋体" w:eastAsia="宋体" w:hint="default"/>
                            <w:spacing w:val="-3"/>
                            <w:sz w:val="18"/>
                            <w:szCs w:val="18"/>
                          </w:rPr>
                          <w:t>），已使用部分暂时闲置募集资金暂时补充流动资金余额为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4,700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万元（公告编号：</w:t>
                        </w:r>
                        <w:r>
                          <w:rPr>
                            <w:rFonts w:ascii="Times New Roman" w:hAnsi="Times New Roman" w:cs="Times New Roman" w:eastAsia="Times New Roman" w:hint="default"/>
                            <w:spacing w:val="-1"/>
                            <w:sz w:val="18"/>
                            <w:szCs w:val="18"/>
                          </w:rPr>
                          <w:t>2019-055</w:t>
                        </w:r>
                        <w:r>
                          <w:rPr>
                            <w:rFonts w:ascii="Times New Roman" w:hAnsi="Times New Roman" w:cs="Times New Roman" w:eastAsia="Times New Roman" w:hint="default"/>
                            <w:spacing w:val="19"/>
                            <w:sz w:val="18"/>
                            <w:szCs w:val="18"/>
                          </w:rPr>
                          <w:t> </w:t>
                        </w:r>
                        <w:r>
                          <w:rPr>
                            <w:rFonts w:ascii="宋体" w:hAnsi="宋体" w:cs="宋体" w:eastAsia="宋体" w:hint="default"/>
                            <w:spacing w:val="-11"/>
                            <w:sz w:val="18"/>
                            <w:szCs w:val="18"/>
                          </w:rPr>
                          <w:t>），募集资金专户余</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,185.41 </w:t>
                        </w:r>
                        <w:r>
                          <w:rPr>
                            <w:rFonts w:ascii="宋体" w:hAnsi="宋体" w:cs="宋体" w:eastAsia="宋体" w:hint="default"/>
                            <w:sz w:val="18"/>
                            <w:szCs w:val="18"/>
                          </w:rPr>
                          <w:t>万元（已包含</w:t>
                        </w:r>
                        <w:r>
                          <w:rPr>
                            <w:rFonts w:ascii="宋体" w:hAnsi="宋体" w:cs="宋体" w:eastAsia="宋体" w:hint="default"/>
                            <w:spacing w:val="-3"/>
                            <w:sz w:val="18"/>
                            <w:szCs w:val="18"/>
                          </w:rPr>
                          <w:t>扣</w:t>
                        </w:r>
                        <w:r>
                          <w:rPr>
                            <w:rFonts w:ascii="宋体" w:hAnsi="宋体" w:cs="宋体" w:eastAsia="宋体" w:hint="default"/>
                            <w:sz w:val="18"/>
                            <w:szCs w:val="18"/>
                          </w:rPr>
                          <w:t>除银行手续费后的专户利息净收入</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0"/>
        <w:gridCol w:w="780"/>
        <w:gridCol w:w="780"/>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519"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24"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49"/>
              <w:ind w:left="26"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2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1"/>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6" w:right="21"/>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6" w:right="2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0" w:right="1141"/>
        <w:jc w:val="right"/>
      </w:pPr>
      <w:r>
        <w:rPr/>
        <w:pict>
          <v:shape style="position:absolute;margin-left:56.400002pt;margin-top:-432.368286pt;width:479.2pt;height:576.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胶印改扩建项目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8,397.16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塑料软包装扩建项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1,133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1,132.57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创意设计项目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576.38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54.79%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、偿还银行贷款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廊坊环保包装项目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21,310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21,310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厦门扩建环保包装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7,192.14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孝感环保包装项目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16,270.46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16,270.46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1,473.36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63,505.46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63,505.46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25,005.41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1,619.14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1"/>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63,505.46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63,505.46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25,005.41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1,619.14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1"/>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塑料软包装扩建项目产能利用率较低，未达到预计效益；</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创意设计项目不直接产生效益；</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廊坊</w:t>
                        </w:r>
                        <w:r>
                          <w:rPr>
                            <w:rFonts w:ascii="宋体" w:hAnsi="宋体" w:cs="宋体" w:eastAsia="宋体" w:hint="default"/>
                            <w:sz w:val="18"/>
                            <w:szCs w:val="18"/>
                          </w:rPr>
                          <w:t> 环保包装项目处于建设期；</w:t>
                        </w:r>
                        <w:r>
                          <w:rPr>
                            <w:rFonts w:ascii="Times New Roman" w:hAnsi="Times New Roman" w:cs="Times New Roman" w:eastAsia="Times New Roman" w:hint="default"/>
                            <w:sz w:val="18"/>
                            <w:szCs w:val="18"/>
                          </w:rPr>
                          <w:t>4.</w:t>
                        </w:r>
                        <w:r>
                          <w:rPr>
                            <w:rFonts w:ascii="宋体" w:hAnsi="宋体" w:cs="宋体" w:eastAsia="宋体" w:hint="default"/>
                            <w:sz w:val="18"/>
                            <w:szCs w:val="18"/>
                          </w:rPr>
                          <w:t>厦门扩建环保包装项目处于建设期；</w:t>
                        </w:r>
                        <w:r>
                          <w:rPr>
                            <w:rFonts w:ascii="Times New Roman" w:hAnsi="Times New Roman" w:cs="Times New Roman" w:eastAsia="Times New Roman" w:hint="default"/>
                            <w:sz w:val="18"/>
                            <w:szCs w:val="18"/>
                          </w:rPr>
                          <w:t>5.</w:t>
                        </w:r>
                        <w:r>
                          <w:rPr>
                            <w:rFonts w:ascii="宋体" w:hAnsi="宋体" w:cs="宋体" w:eastAsia="宋体" w:hint="default"/>
                            <w:sz w:val="18"/>
                            <w:szCs w:val="18"/>
                          </w:rPr>
                          <w:t>孝感环保包装项目处于建设期</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3"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3"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bl>
                <w:p>
                  <w:pPr/>
                </w:p>
              </w:txbxContent>
            </v:textbox>
            <w10:wrap type="none"/>
          </v:shape>
        </w:pict>
      </w:r>
      <w:r>
        <w:rPr/>
        <w:t>。</w:t>
      </w:r>
    </w:p>
    <w:p>
      <w:pPr>
        <w:spacing w:after="0" w:line="240" w:lineRule="auto"/>
        <w:jc w:val="right"/>
        <w:sectPr>
          <w:pgSz w:w="11910" w:h="16840"/>
          <w:pgMar w:header="745" w:footer="981" w:top="1060" w:bottom="1180" w:left="980" w:right="0"/>
        </w:sectPr>
      </w:pPr>
    </w:p>
    <w:p>
      <w:pPr>
        <w:spacing w:line="240" w:lineRule="auto" w:before="0"/>
        <w:rPr>
          <w:rFonts w:ascii="宋体" w:hAnsi="宋体" w:cs="宋体" w:eastAsia="宋体" w:hint="default"/>
          <w:sz w:val="20"/>
          <w:szCs w:val="20"/>
        </w:rPr>
      </w:pPr>
      <w:r>
        <w:rPr/>
        <w:pict>
          <v:shape style="position:absolute;margin-left:56.459999pt;margin-top:71.999771pt;width:479.1pt;height:657.4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0" w:hRule="exact"/>
                    </w:trPr>
                    <w:tc>
                      <w:tcPr>
                        <w:tcW w:w="1770" w:type="dxa"/>
                        <w:vMerge w:val="restart"/>
                        <w:tcBorders>
                          <w:top w:val="single" w:sz="4" w:space="0" w:color="000000"/>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日召开第三届董事会第三十八次会议，审议通过《关于部分募投项目变</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更实施主体和实施地点的议案</w:t>
                        </w:r>
                        <w:r>
                          <w:rPr>
                            <w:rFonts w:ascii="宋体" w:hAnsi="宋体" w:cs="宋体" w:eastAsia="宋体" w:hint="default"/>
                            <w:spacing w:val="-89"/>
                            <w:sz w:val="18"/>
                            <w:szCs w:val="18"/>
                          </w:rPr>
                          <w:t>》</w:t>
                        </w:r>
                        <w:r>
                          <w:rPr>
                            <w:rFonts w:ascii="宋体" w:hAnsi="宋体" w:cs="宋体" w:eastAsia="宋体" w:hint="default"/>
                            <w:sz w:val="18"/>
                            <w:szCs w:val="18"/>
                          </w:rPr>
                          <w:t>，变更</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厦门扩建环保包装项目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部分募集资金</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,000  </w:t>
                        </w:r>
                        <w:r>
                          <w:rPr>
                            <w:rFonts w:ascii="宋体" w:hAnsi="宋体" w:cs="宋体" w:eastAsia="宋体" w:hint="default"/>
                            <w:sz w:val="18"/>
                            <w:szCs w:val="18"/>
                          </w:rPr>
                          <w:t>万元</w:t>
                        </w:r>
                        <w:r>
                          <w:rPr>
                            <w:rFonts w:ascii="宋体" w:hAnsi="宋体" w:cs="宋体" w:eastAsia="宋体" w:hint="default"/>
                            <w:spacing w:val="-3"/>
                            <w:sz w:val="18"/>
                            <w:szCs w:val="18"/>
                          </w:rPr>
                          <w:t>投</w:t>
                        </w:r>
                        <w:r>
                          <w:rPr>
                            <w:rFonts w:ascii="宋体" w:hAnsi="宋体" w:cs="宋体" w:eastAsia="宋体" w:hint="default"/>
                            <w:sz w:val="18"/>
                            <w:szCs w:val="18"/>
                          </w:rPr>
                          <w:t>入至公</w:t>
                        </w:r>
                      </w:p>
                    </w:tc>
                  </w:tr>
                  <w:tr>
                    <w:trPr>
                      <w:trHeight w:val="307"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司位于宁夏青铜峡工业园区的全资子公司宁夏吉宏环保包装科技有限公司使用，即部分变更募投项</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目的实施主体为公司全资子公司宁夏吉宏环保包装科技有限公司</w:t>
                        </w:r>
                        <w:r>
                          <w:rPr>
                            <w:rFonts w:ascii="宋体" w:hAnsi="宋体" w:cs="宋体" w:eastAsia="宋体" w:hint="default"/>
                            <w:spacing w:val="-89"/>
                            <w:sz w:val="18"/>
                            <w:szCs w:val="18"/>
                          </w:rPr>
                          <w:t>，</w:t>
                        </w:r>
                        <w:r>
                          <w:rPr>
                            <w:rFonts w:ascii="宋体" w:hAnsi="宋体" w:cs="宋体" w:eastAsia="宋体" w:hint="default"/>
                            <w:sz w:val="18"/>
                            <w:szCs w:val="18"/>
                          </w:rPr>
                          <w:t>实施地点为宁夏青铜峡工业园区</w:t>
                        </w:r>
                      </w:p>
                    </w:tc>
                  </w:tr>
                  <w:tr>
                    <w:trPr>
                      <w:trHeight w:val="336"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上述议案已经公司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331"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日召开第三届董事会第四十二次会议，审议通过《关于部分募投项目</w:t>
                        </w:r>
                      </w:p>
                    </w:tc>
                  </w:tr>
                  <w:tr>
                    <w:trPr>
                      <w:trHeight w:val="312"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变更实施主体和实施地点的议案</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变更</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孝感环保包装项目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部分募集资金</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w:t>
                        </w:r>
                        <w:r>
                          <w:rPr>
                            <w:rFonts w:ascii="宋体" w:hAnsi="宋体" w:cs="宋体" w:eastAsia="宋体" w:hint="default"/>
                            <w:spacing w:val="-3"/>
                            <w:sz w:val="18"/>
                            <w:szCs w:val="18"/>
                          </w:rPr>
                          <w:t>入</w:t>
                        </w:r>
                        <w:r>
                          <w:rPr>
                            <w:rFonts w:ascii="宋体" w:hAnsi="宋体" w:cs="宋体" w:eastAsia="宋体" w:hint="default"/>
                            <w:sz w:val="18"/>
                            <w:szCs w:val="18"/>
                          </w:rPr>
                          <w:t>至孝感</w:t>
                        </w:r>
                      </w:p>
                    </w:tc>
                  </w:tr>
                  <w:tr>
                    <w:trPr>
                      <w:trHeight w:val="307"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吉宏全资子公司孝感市吉联食品包装有限公司使用，即变更募投项目的实施主体为孝感吉宏及其全</w:t>
                        </w:r>
                      </w:p>
                    </w:tc>
                  </w:tr>
                  <w:tr>
                    <w:trPr>
                      <w:trHeight w:val="317" w:hRule="exact"/>
                    </w:trPr>
                    <w:tc>
                      <w:tcPr>
                        <w:tcW w:w="1770"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资子公司孝感吉联，实施地点部分变更为孝感市开发区纵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号路湖北玖玖爱食品有限公司园区。上</w:t>
                        </w:r>
                      </w:p>
                    </w:tc>
                  </w:tr>
                  <w:tr>
                    <w:trPr>
                      <w:trHeight w:val="355"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述议案已经公司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年第六次临时股东大会审议通过。</w:t>
                        </w:r>
                      </w:p>
                    </w:tc>
                  </w:tr>
                  <w:tr>
                    <w:trPr>
                      <w:trHeight w:val="323"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198"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vMerge w:val="restart"/>
                        <w:tcBorders>
                          <w:top w:val="single" w:sz="4" w:space="0" w:color="000000"/>
                          <w:left w:val="single" w:sz="4" w:space="0" w:color="000000"/>
                          <w:right w:val="single" w:sz="4" w:space="0" w:color="000000"/>
                        </w:tcBorders>
                      </w:tcPr>
                      <w:p>
                        <w:pPr/>
                      </w:p>
                    </w:tc>
                  </w:tr>
                  <w:tr>
                    <w:trPr>
                      <w:trHeight w:val="203"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vMerge/>
                        <w:tcBorders>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43"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w:t>
                        </w:r>
                      </w:p>
                      <w:p>
                        <w:pPr>
                          <w:pStyle w:val="TableParagraph"/>
                          <w:spacing w:line="302" w:lineRule="auto" w:before="103"/>
                          <w:ind w:left="24" w:right="1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日，公司累计以自筹资金预先投入募投项目的金额为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7,695.60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万元。中喜会计 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对公司《关于以自筹资金预先投入募集资金投资项目情况的专项说明》进 行了审核，并出具中喜专审字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号《厦门吉宏包装科技股份有限公司以自筹资金预先投 </w:t>
                        </w:r>
                        <w:r>
                          <w:rPr>
                            <w:rFonts w:ascii="宋体" w:hAnsi="宋体" w:cs="宋体" w:eastAsia="宋体" w:hint="default"/>
                            <w:spacing w:val="-7"/>
                            <w:sz w:val="18"/>
                            <w:szCs w:val="18"/>
                          </w:rPr>
                          <w:t>入募投项目的鉴证报告》，并分别经公司董事会审议通过、独立董事发表同意意见、监事会会议同意</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保荐机构核查发表无异议意见。详细内容见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日披露于巨潮资讯网的《关于使用募集 </w:t>
                        </w:r>
                        <w:r>
                          <w:rPr>
                            <w:rFonts w:ascii="宋体" w:hAnsi="宋体" w:cs="宋体" w:eastAsia="宋体" w:hint="default"/>
                            <w:spacing w:val="-4"/>
                            <w:sz w:val="18"/>
                            <w:szCs w:val="18"/>
                          </w:rPr>
                          <w:t>资金置换已预先投入募投项目自筹资金的公告》（公告编号</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2016-007</w:t>
                        </w:r>
                        <w:r>
                          <w:rPr>
                            <w:rFonts w:ascii="宋体" w:hAnsi="宋体" w:cs="宋体" w:eastAsia="宋体" w:hint="default"/>
                            <w:spacing w:val="-7"/>
                            <w:sz w:val="18"/>
                            <w:szCs w:val="18"/>
                          </w:rPr>
                          <w:t>）。公司已于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前完成了使用募集资金置换已预先投入募投项目自筹资金。</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、非公开发行：</w:t>
                        </w:r>
                      </w:p>
                      <w:p>
                        <w:pPr>
                          <w:pStyle w:val="TableParagraph"/>
                          <w:spacing w:line="307" w:lineRule="auto" w:before="103"/>
                          <w:ind w:left="24" w:right="19"/>
                          <w:jc w:val="both"/>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日，公司以自筹资金预先投入募投项目的实际金额为 </w:t>
                        </w:r>
                        <w:r>
                          <w:rPr>
                            <w:rFonts w:ascii="Times New Roman" w:hAnsi="Times New Roman" w:cs="Times New Roman" w:eastAsia="Times New Roman" w:hint="default"/>
                            <w:sz w:val="18"/>
                            <w:szCs w:val="18"/>
                          </w:rPr>
                          <w:t>1,277.31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万元，经信 永中和会计师事务所（特殊普通合伙）出具了《厦门吉宏包装科技股份有限公司募集资金置换专项 </w:t>
                        </w:r>
                        <w:r>
                          <w:rPr>
                            <w:rFonts w:ascii="宋体" w:hAnsi="宋体" w:cs="宋体" w:eastAsia="宋体" w:hint="default"/>
                            <w:spacing w:val="-6"/>
                            <w:w w:val="99"/>
                            <w:sz w:val="18"/>
                            <w:szCs w:val="18"/>
                          </w:rPr>
                          <w:t>鉴证报告》（</w:t>
                        </w:r>
                        <w:r>
                          <w:rPr>
                            <w:rFonts w:ascii="Times New Roman" w:hAnsi="Times New Roman" w:cs="Times New Roman" w:eastAsia="Times New Roman" w:hint="default"/>
                            <w:spacing w:val="-6"/>
                            <w:w w:val="99"/>
                            <w:sz w:val="18"/>
                            <w:szCs w:val="18"/>
                          </w:rPr>
                          <w:t>XYZH/2019XAA20413</w:t>
                        </w:r>
                        <w:r>
                          <w:rPr>
                            <w:rFonts w:ascii="宋体" w:hAnsi="宋体" w:cs="宋体" w:eastAsia="宋体" w:hint="default"/>
                            <w:spacing w:val="-6"/>
                            <w:w w:val="99"/>
                            <w:sz w:val="18"/>
                            <w:szCs w:val="18"/>
                          </w:rPr>
                          <w:t>），厦门吉宏包装科技股份有限公司于</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 </w:t>
                        </w:r>
                        <w:r>
                          <w:rPr>
                            <w:rFonts w:ascii="宋体" w:hAnsi="宋体" w:cs="宋体" w:eastAsia="宋体" w:hint="default"/>
                            <w:spacing w:val="-5"/>
                            <w:sz w:val="18"/>
                            <w:szCs w:val="18"/>
                          </w:rPr>
                          <w:t>第三届董事会第三十七次会议，审议通过《关于使用募集资金置换先期投入的议案》，同意公司以人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民币</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1,277.31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万元置换预先已投入募集资金投资项目的自筹资金（公告编号：</w:t>
                        </w:r>
                        <w:r>
                          <w:rPr>
                            <w:rFonts w:ascii="Times New Roman" w:hAnsi="Times New Roman" w:cs="Times New Roman" w:eastAsia="Times New Roman" w:hint="default"/>
                            <w:spacing w:val="-3"/>
                            <w:sz w:val="18"/>
                            <w:szCs w:val="18"/>
                          </w:rPr>
                          <w:t>2019-038</w:t>
                        </w:r>
                        <w:r>
                          <w:rPr>
                            <w:rFonts w:ascii="宋体" w:hAnsi="宋体" w:cs="宋体" w:eastAsia="宋体" w:hint="default"/>
                            <w:spacing w:val="-3"/>
                            <w:sz w:val="18"/>
                            <w:szCs w:val="18"/>
                          </w:rPr>
                          <w:t>）。公司已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日前完成了使用募集资金置换已预先投入募投项目自筹资金。</w:t>
                        </w:r>
                      </w:p>
                    </w:tc>
                  </w:tr>
                  <w:tr>
                    <w:trPr>
                      <w:trHeight w:val="2648"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vMerge/>
                        <w:tcBorders>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9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为提高募集资金的使用效率，降低公司财务费用，在满足募集资金投资项目资金需求、保证募投项 </w:t>
                        </w:r>
                        <w:r>
                          <w:rPr>
                            <w:rFonts w:ascii="宋体" w:hAnsi="宋体" w:cs="宋体" w:eastAsia="宋体" w:hint="default"/>
                            <w:spacing w:val="-3"/>
                            <w:sz w:val="18"/>
                            <w:szCs w:val="18"/>
                          </w:rPr>
                          <w:t>目正常进行的前提下，公司于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日召开第三届董事会第三十八次会议，审议通过《关于</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使用部分暂时闲置募集资金补充流动资金的议案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w:t>
                        </w:r>
                        <w:r>
                          <w:rPr>
                            <w:rFonts w:ascii="宋体" w:hAnsi="宋体" w:cs="宋体" w:eastAsia="宋体" w:hint="default"/>
                            <w:spacing w:val="2"/>
                            <w:sz w:val="18"/>
                            <w:szCs w:val="18"/>
                          </w:rPr>
                          <w:t>司</w:t>
                        </w:r>
                        <w:r>
                          <w:rPr>
                            <w:rFonts w:ascii="宋体" w:hAnsi="宋体" w:cs="宋体" w:eastAsia="宋体" w:hint="default"/>
                            <w:sz w:val="18"/>
                            <w:szCs w:val="18"/>
                          </w:rPr>
                          <w:t>使用不超过人民币</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元的暂时</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闲置募集资金补充流动资金，使用期限自董事会审议通过之日起不超过十二个月（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020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，公司承诺到期及时归还至募集资金专用账户</w:t>
                        </w:r>
                        <w:r>
                          <w:rPr>
                            <w:rFonts w:ascii="Times New Roman" w:hAnsi="Times New Roman" w:cs="Times New Roman" w:eastAsia="Times New Roman" w:hint="default"/>
                            <w:sz w:val="18"/>
                            <w:szCs w:val="18"/>
                          </w:rPr>
                          <w:t>,</w:t>
                        </w:r>
                        <w:r>
                          <w:rPr>
                            <w:rFonts w:ascii="宋体" w:hAnsi="宋体" w:cs="宋体" w:eastAsia="宋体" w:hint="default"/>
                            <w:sz w:val="18"/>
                            <w:szCs w:val="18"/>
                          </w:rPr>
                          <w:t>详细内容见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日披露于巨潮资讯网的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3"/>
                            <w:sz w:val="18"/>
                            <w:szCs w:val="18"/>
                          </w:rPr>
                          <w:t>关</w:t>
                        </w:r>
                        <w:r>
                          <w:rPr>
                            <w:rFonts w:ascii="宋体" w:hAnsi="宋体" w:cs="宋体" w:eastAsia="宋体" w:hint="default"/>
                            <w:sz w:val="18"/>
                            <w:szCs w:val="18"/>
                          </w:rPr>
                          <w:t>于使用部分暂时闲置募集资金补充流动资金的公告</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55</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日，公司已使用部分暂时</w:t>
                        </w:r>
                        <w:r>
                          <w:rPr>
                            <w:rFonts w:ascii="宋体" w:hAnsi="宋体" w:cs="宋体" w:eastAsia="宋体" w:hint="default"/>
                            <w:spacing w:val="-3"/>
                            <w:sz w:val="18"/>
                            <w:szCs w:val="18"/>
                          </w:rPr>
                          <w:t>闲</w:t>
                        </w:r>
                        <w:r>
                          <w:rPr>
                            <w:rFonts w:ascii="宋体" w:hAnsi="宋体" w:cs="宋体" w:eastAsia="宋体" w:hint="default"/>
                            <w:sz w:val="18"/>
                            <w:szCs w:val="18"/>
                          </w:rPr>
                          <w:t>置募集资金暂时补充流动资金余额为</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1496"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vMerge/>
                        <w:tcBorders>
                          <w:left w:val="single" w:sz="4" w:space="0" w:color="000000"/>
                          <w:bottom w:val="single" w:sz="4" w:space="0" w:color="000000"/>
                          <w:right w:val="single" w:sz="4" w:space="0" w:color="000000"/>
                        </w:tcBorders>
                      </w:tcPr>
                      <w:p>
                        <w:pP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44"/>
        <w:ind w:left="0" w:right="1139"/>
        <w:jc w:val="right"/>
      </w:pPr>
      <w:r>
        <w:rPr/>
        <w:t>、</w:t>
      </w:r>
    </w:p>
    <w:p>
      <w:pPr>
        <w:spacing w:after="0" w:line="240" w:lineRule="auto"/>
        <w:jc w:val="righ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136"/>
        <w:jc w:val="right"/>
      </w:pPr>
      <w:r>
        <w:rPr/>
        <w:pict>
          <v:shape style="position:absolute;margin-left:56.459999pt;margin-top:-83.285278pt;width:479.1pt;height:281.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0"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日，公司首次公开发行募集资金投资项目均已结项，节余募集资金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4,900,064.77</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元（其中含利息净收入累计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，其中创意设计项</w:t>
                        </w:r>
                        <w:r>
                          <w:rPr>
                            <w:rFonts w:ascii="宋体" w:hAnsi="宋体" w:cs="宋体" w:eastAsia="宋体" w:hint="default"/>
                            <w:spacing w:val="-3"/>
                            <w:sz w:val="18"/>
                            <w:szCs w:val="18"/>
                          </w:rPr>
                          <w:t>目</w:t>
                        </w:r>
                        <w:r>
                          <w:rPr>
                            <w:rFonts w:ascii="宋体" w:hAnsi="宋体" w:cs="宋体" w:eastAsia="宋体" w:hint="default"/>
                            <w:sz w:val="18"/>
                            <w:szCs w:val="18"/>
                          </w:rPr>
                          <w:t>节余募集资金为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88.41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已</w:t>
                        </w:r>
                        <w:r>
                          <w:rPr>
                            <w:rFonts w:ascii="宋体" w:hAnsi="宋体" w:cs="宋体" w:eastAsia="宋体" w:hint="default"/>
                            <w:sz w:val="18"/>
                            <w:szCs w:val="18"/>
                          </w:rPr>
                          <w:t>包含账</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户利息净收入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，其原因是该项目在现有场地进行装修，公司从募投项目实际情况出发，</w:t>
                        </w:r>
                      </w:p>
                    </w:tc>
                  </w:tr>
                  <w:tr>
                    <w:trPr>
                      <w:trHeight w:val="307"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严控装修费用管理，合理配置现有资源，有效降低项目的施工成本，造成募集资金项目中的建设费</w:t>
                        </w:r>
                      </w:p>
                    </w:tc>
                  </w:tr>
                  <w:tr>
                    <w:trPr>
                      <w:trHeight w:val="358"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用出现节余。</w:t>
                        </w:r>
                      </w:p>
                    </w:tc>
                  </w:tr>
                  <w:tr>
                    <w:trPr>
                      <w:trHeight w:val="36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、首次公开发行：截至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日，公司首发募集资金投资项目已累计使用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13,106.11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31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募集资金专户节余金额为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元（其中含利息净收</w:t>
                        </w:r>
                        <w:r>
                          <w:rPr>
                            <w:rFonts w:ascii="宋体" w:hAnsi="宋体" w:cs="宋体" w:eastAsia="宋体" w:hint="default"/>
                            <w:spacing w:val="-3"/>
                            <w:sz w:val="18"/>
                            <w:szCs w:val="18"/>
                          </w:rPr>
                          <w:t>入</w:t>
                        </w:r>
                        <w:r>
                          <w:rPr>
                            <w:rFonts w:ascii="宋体" w:hAnsi="宋体" w:cs="宋体" w:eastAsia="宋体" w:hint="default"/>
                            <w:sz w:val="18"/>
                            <w:szCs w:val="18"/>
                          </w:rPr>
                          <w:t>累计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。首发募集资金专用</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账户注销后，节余募集资金及利息合计余额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,900,06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77 </w:t>
                        </w:r>
                        <w:r>
                          <w:rPr>
                            <w:rFonts w:ascii="宋体" w:hAnsi="宋体" w:cs="宋体" w:eastAsia="宋体" w:hint="default"/>
                            <w:spacing w:val="-3"/>
                            <w:sz w:val="18"/>
                            <w:szCs w:val="18"/>
                          </w:rPr>
                          <w:t>元</w:t>
                        </w:r>
                        <w:r>
                          <w:rPr>
                            <w:rFonts w:ascii="宋体" w:hAnsi="宋体" w:cs="宋体" w:eastAsia="宋体" w:hint="default"/>
                            <w:sz w:val="18"/>
                            <w:szCs w:val="18"/>
                          </w:rPr>
                          <w:t>永久补充流动资金</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公告编</w:t>
                        </w:r>
                        <w:r>
                          <w:rPr>
                            <w:rFonts w:ascii="宋体" w:hAnsi="宋体" w:cs="宋体" w:eastAsia="宋体" w:hint="default"/>
                            <w:spacing w:val="2"/>
                            <w:sz w:val="18"/>
                            <w:szCs w:val="18"/>
                          </w:rPr>
                          <w:t>号</w:t>
                        </w:r>
                        <w:r>
                          <w:rPr>
                            <w:rFonts w:ascii="宋体" w:hAnsi="宋体" w:cs="宋体" w:eastAsia="宋体" w:hint="default"/>
                            <w:sz w:val="18"/>
                            <w:szCs w:val="18"/>
                          </w:rPr>
                          <w:t>：</w:t>
                        </w:r>
                      </w:p>
                    </w:tc>
                  </w:tr>
                  <w:tr>
                    <w:trPr>
                      <w:trHeight w:val="977"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2019-048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、非公开发行：截至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日，公司募集资金投资项目已累计使用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11,899.30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万元，为提</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高募集资金的使用效率，降低公司财务费用，已购买银行定期存款及银行结构性存款余额为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31,600</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17"/>
                            <w:sz w:val="18"/>
                            <w:szCs w:val="18"/>
                          </w:rPr>
                          <w:t>元</w:t>
                        </w:r>
                        <w:r>
                          <w:rPr>
                            <w:rFonts w:ascii="宋体" w:hAnsi="宋体" w:cs="宋体" w:eastAsia="宋体" w:hint="default"/>
                            <w:sz w:val="18"/>
                            <w:szCs w:val="18"/>
                          </w:rPr>
                          <w:t>（公告编号</w:t>
                        </w:r>
                        <w:r>
                          <w:rPr>
                            <w:rFonts w:ascii="宋体" w:hAnsi="宋体" w:cs="宋体" w:eastAsia="宋体" w:hint="default"/>
                            <w:spacing w:val="-17"/>
                            <w:sz w:val="18"/>
                            <w:szCs w:val="18"/>
                          </w:rPr>
                          <w:t>：</w:t>
                        </w:r>
                        <w:r>
                          <w:rPr>
                            <w:rFonts w:ascii="Times New Roman" w:hAnsi="Times New Roman" w:cs="Times New Roman" w:eastAsia="Times New Roman" w:hint="default"/>
                            <w:sz w:val="18"/>
                            <w:szCs w:val="18"/>
                          </w:rPr>
                          <w:t>2019-039  </w:t>
                        </w:r>
                        <w:r>
                          <w:rPr>
                            <w:rFonts w:ascii="宋体" w:hAnsi="宋体" w:cs="宋体" w:eastAsia="宋体" w:hint="default"/>
                            <w:spacing w:val="-17"/>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9</w:t>
                        </w:r>
                        <w:r>
                          <w:rPr>
                            <w:rFonts w:ascii="宋体" w:hAnsi="宋体" w:cs="宋体" w:eastAsia="宋体" w:hint="default"/>
                            <w:spacing w:val="-20"/>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22</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已使用</w:t>
                        </w:r>
                        <w:r>
                          <w:rPr>
                            <w:rFonts w:ascii="宋体" w:hAnsi="宋体" w:cs="宋体" w:eastAsia="宋体" w:hint="default"/>
                            <w:spacing w:val="-3"/>
                            <w:sz w:val="18"/>
                            <w:szCs w:val="18"/>
                          </w:rPr>
                          <w:t>部</w:t>
                        </w:r>
                        <w:r>
                          <w:rPr>
                            <w:rFonts w:ascii="宋体" w:hAnsi="宋体" w:cs="宋体" w:eastAsia="宋体" w:hint="default"/>
                            <w:sz w:val="18"/>
                            <w:szCs w:val="18"/>
                          </w:rPr>
                          <w:t>分暂时闲置募集资金暂时补充流动资</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万元（公告</w:t>
                        </w:r>
                        <w:r>
                          <w:rPr>
                            <w:rFonts w:ascii="宋体" w:hAnsi="宋体" w:cs="宋体" w:eastAsia="宋体" w:hint="default"/>
                            <w:spacing w:val="-3"/>
                            <w:sz w:val="18"/>
                            <w:szCs w:val="18"/>
                          </w:rPr>
                          <w:t>编</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-055  </w:t>
                        </w:r>
                        <w:r>
                          <w:rPr>
                            <w:rFonts w:ascii="宋体" w:hAnsi="宋体" w:cs="宋体" w:eastAsia="宋体" w:hint="default"/>
                            <w:spacing w:val="-92"/>
                            <w:sz w:val="18"/>
                            <w:szCs w:val="18"/>
                          </w:rPr>
                          <w:t>）</w:t>
                        </w:r>
                        <w:r>
                          <w:rPr>
                            <w:rFonts w:ascii="宋体" w:hAnsi="宋体" w:cs="宋体" w:eastAsia="宋体" w:hint="default"/>
                            <w:sz w:val="18"/>
                            <w:szCs w:val="18"/>
                          </w:rPr>
                          <w:t>，募集资金专户余额为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,185.41 </w:t>
                        </w:r>
                        <w:r>
                          <w:rPr>
                            <w:rFonts w:ascii="宋体" w:hAnsi="宋体" w:cs="宋体" w:eastAsia="宋体" w:hint="default"/>
                            <w:sz w:val="18"/>
                            <w:szCs w:val="18"/>
                          </w:rPr>
                          <w:t>万元（已</w:t>
                        </w:r>
                        <w:r>
                          <w:rPr>
                            <w:rFonts w:ascii="宋体" w:hAnsi="宋体" w:cs="宋体" w:eastAsia="宋体" w:hint="default"/>
                            <w:spacing w:val="-3"/>
                            <w:sz w:val="18"/>
                            <w:szCs w:val="18"/>
                          </w:rPr>
                          <w:t>包</w:t>
                        </w:r>
                        <w:r>
                          <w:rPr>
                            <w:rFonts w:ascii="宋体" w:hAnsi="宋体" w:cs="宋体" w:eastAsia="宋体" w:hint="default"/>
                            <w:sz w:val="18"/>
                            <w:szCs w:val="18"/>
                          </w:rPr>
                          <w:t>含扣除银</w:t>
                        </w:r>
                      </w:p>
                    </w:tc>
                  </w:tr>
                  <w:tr>
                    <w:trPr>
                      <w:trHeight w:val="355"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行手续费后的专户利息净收入</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54"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9"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128"/>
        <w:jc w:val="left"/>
        <w:rPr>
          <w:b w:val="0"/>
          <w:bCs w:val="0"/>
        </w:rPr>
      </w:pPr>
      <w:r>
        <w:rPr/>
        <w:t>六、重大资产和股权出售</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1" w:top="1060" w:bottom="118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4850" w:space="4068"/>
            <w:col w:w="2012"/>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2"/>
        <w:gridCol w:w="1198"/>
        <w:gridCol w:w="1044"/>
        <w:gridCol w:w="1044"/>
        <w:gridCol w:w="1046"/>
        <w:gridCol w:w="1046"/>
        <w:gridCol w:w="1044"/>
        <w:gridCol w:w="1044"/>
        <w:gridCol w:w="1046"/>
      </w:tblGrid>
      <w:tr>
        <w:trPr>
          <w:trHeight w:val="402" w:hRule="exact"/>
        </w:trPr>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厦门市吉客 印电商商务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352,649,810.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236,280,437.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1,190,329,94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182,117,580.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155,554,323.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25</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8"/>
              <w:jc w:val="both"/>
              <w:rPr>
                <w:rFonts w:ascii="宋体" w:hAnsi="宋体" w:cs="宋体" w:eastAsia="宋体" w:hint="default"/>
                <w:sz w:val="18"/>
                <w:szCs w:val="18"/>
              </w:rPr>
            </w:pPr>
            <w:r>
              <w:rPr>
                <w:rFonts w:ascii="宋体" w:hAnsi="宋体" w:cs="宋体" w:eastAsia="宋体" w:hint="default"/>
                <w:sz w:val="18"/>
                <w:szCs w:val="18"/>
              </w:rPr>
              <w:t>北京龙域之 星科技有限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131,221,866.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79,708,297.5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234,592,041.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55,475,244.2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59,716,490.4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厦门市正奇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103,006,403.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91,589,560.1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229,180,279.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70,793,696.5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64,411,729.1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1128"/>
        <w:jc w:val="left"/>
      </w:pPr>
      <w:r>
        <w:rPr/>
        <w:t>报告期内取得和处置子公司的情况</w:t>
      </w:r>
    </w:p>
    <w:p>
      <w:pPr>
        <w:pStyle w:val="BodyText"/>
        <w:spacing w:line="240" w:lineRule="auto" w:before="11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55"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现今环保问题越发严重，市场对环保包</w:t>
            </w: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安徽吉宏环保纸品有限公司</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装需求增大，此次收购加快直接接触食</w:t>
            </w:r>
          </w:p>
        </w:tc>
      </w:tr>
      <w:tr>
        <w:trPr>
          <w:trHeight w:val="360"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品包装布局领域。</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思塔克纸业（上海）有限公司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由控股转为全资子公司，取得方式为现 金支付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有助于进一步提升思塔克的决策程序及 运营管理效率。</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成都渡佳电子商务有限公司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49"/>
        <w:ind w:right="1128"/>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1128"/>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309" w:lineRule="auto" w:before="0"/>
        <w:ind w:left="512" w:right="6093" w:firstLine="0"/>
        <w:jc w:val="left"/>
        <w:rPr>
          <w:rFonts w:ascii="宋体" w:hAnsi="宋体" w:cs="宋体" w:eastAsia="宋体" w:hint="default"/>
          <w:sz w:val="18"/>
          <w:szCs w:val="18"/>
        </w:rPr>
      </w:pPr>
      <w:r>
        <w:rPr>
          <w:rFonts w:ascii="宋体" w:hAnsi="宋体" w:cs="宋体" w:eastAsia="宋体" w:hint="default"/>
          <w:b/>
          <w:bCs/>
          <w:sz w:val="18"/>
          <w:szCs w:val="18"/>
        </w:rPr>
        <w:t>一、行业格局和趋势</w:t>
      </w:r>
      <w:r>
        <w:rPr>
          <w:rFonts w:ascii="宋体" w:hAnsi="宋体" w:cs="宋体" w:eastAsia="宋体" w:hint="default"/>
          <w:b/>
          <w:bCs/>
          <w:w w:val="99"/>
          <w:sz w:val="18"/>
          <w:szCs w:val="18"/>
        </w:rPr>
        <w:t> </w:t>
      </w:r>
      <w:r>
        <w:rPr>
          <w:rFonts w:ascii="宋体" w:hAnsi="宋体" w:cs="宋体" w:eastAsia="宋体" w:hint="default"/>
          <w:sz w:val="18"/>
          <w:szCs w:val="18"/>
        </w:rPr>
        <w:t>详见第三节</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报告期内公司从事的主要业务</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宋体" w:hAnsi="宋体" w:cs="宋体" w:eastAsia="宋体" w:hint="default"/>
          <w:b/>
          <w:bCs/>
          <w:sz w:val="18"/>
          <w:szCs w:val="18"/>
        </w:rPr>
        <w:t>二、公司发展战略</w:t>
      </w:r>
      <w:r>
        <w:rPr>
          <w:rFonts w:ascii="宋体" w:hAnsi="宋体" w:cs="宋体" w:eastAsia="宋体" w:hint="default"/>
          <w:sz w:val="18"/>
          <w:szCs w:val="18"/>
        </w:rPr>
      </w:r>
    </w:p>
    <w:p>
      <w:pPr>
        <w:pStyle w:val="BodyText"/>
        <w:spacing w:line="316" w:lineRule="auto" w:before="24"/>
        <w:ind w:right="0" w:firstLine="360"/>
        <w:jc w:val="left"/>
      </w:pPr>
      <w:r>
        <w:rPr>
          <w:spacing w:val="-4"/>
        </w:rPr>
        <w:t>公司将持续聚焦并深耕移动互联网市场，以大数据和区块链底层技术为支撑，坚持创新思维谋求未来发展，坚定专业化、</w:t>
      </w:r>
      <w:r>
        <w:rPr/>
        <w:t> </w:t>
      </w:r>
      <w:r>
        <w:rPr>
          <w:spacing w:val="-2"/>
        </w:rPr>
        <w:t>品牌化经营道路，为客户提供更为全面、深度的产品及服务。同时公司将借助资本市场力量，整合现有业务价值链上下游优</w:t>
      </w:r>
      <w:r>
        <w:rPr>
          <w:spacing w:val="-66"/>
        </w:rPr>
        <w:t> </w:t>
      </w:r>
      <w:r>
        <w:rPr>
          <w:spacing w:val="-66"/>
        </w:rPr>
      </w:r>
      <w:r>
        <w:rPr/>
        <w:t>势资源，加速线上线下业务协同性建设，深入完善公司的业务结构、发展模式及运营管控等，有效实现公司全面发展。</w:t>
      </w:r>
    </w:p>
    <w:p>
      <w:pPr>
        <w:spacing w:before="18"/>
        <w:ind w:left="512" w:right="1128" w:firstLine="0"/>
        <w:jc w:val="left"/>
        <w:rPr>
          <w:rFonts w:ascii="宋体" w:hAnsi="宋体" w:cs="宋体" w:eastAsia="宋体" w:hint="default"/>
          <w:sz w:val="18"/>
          <w:szCs w:val="18"/>
        </w:rPr>
      </w:pPr>
      <w:r>
        <w:rPr>
          <w:rFonts w:ascii="宋体" w:hAnsi="宋体" w:cs="宋体" w:eastAsia="宋体" w:hint="default"/>
          <w:b/>
          <w:bCs/>
          <w:sz w:val="18"/>
          <w:szCs w:val="18"/>
        </w:rPr>
        <w:t>三、可能面对的风险</w:t>
      </w:r>
      <w:r>
        <w:rPr>
          <w:rFonts w:ascii="宋体" w:hAnsi="宋体" w:cs="宋体" w:eastAsia="宋体" w:hint="default"/>
          <w:sz w:val="18"/>
          <w:szCs w:val="18"/>
        </w:rPr>
      </w:r>
    </w:p>
    <w:p>
      <w:pPr>
        <w:pStyle w:val="BodyText"/>
        <w:spacing w:line="300" w:lineRule="auto" w:before="76"/>
        <w:ind w:left="512" w:right="1128"/>
        <w:jc w:val="left"/>
      </w:pPr>
      <w:r>
        <w:rPr>
          <w:rFonts w:ascii="Times New Roman" w:hAnsi="Times New Roman" w:cs="Times New Roman" w:eastAsia="Times New Roman" w:hint="default"/>
        </w:rPr>
        <w:t>1</w:t>
      </w:r>
      <w:r>
        <w:rPr/>
        <w:t>、原材料价格波动风险 </w:t>
      </w:r>
      <w:r>
        <w:rPr>
          <w:spacing w:val="-2"/>
        </w:rPr>
        <w:t>报告期内，公司包装业务重要原材料即原纸价格持续波动，公司产品的提价稍滞后于原材料价格上升，对公司包装业务</w:t>
      </w:r>
    </w:p>
    <w:p>
      <w:pPr>
        <w:pStyle w:val="BodyText"/>
        <w:spacing w:line="316" w:lineRule="auto" w:before="31"/>
        <w:ind w:left="512" w:right="1128" w:hanging="361"/>
        <w:jc w:val="left"/>
      </w:pPr>
      <w:r>
        <w:rPr/>
        <w:t>毛利率构成一定影响。如果主要客户订单量下滑，原材料采购成本上涨，将对公司包装利润产生较大影响。 </w:t>
      </w:r>
      <w:r>
        <w:rPr>
          <w:spacing w:val="-2"/>
        </w:rPr>
        <w:t>应对措施：公司及时了解原材料供应行情，针对纸张价格波动情况，采取供应商报价锁价、提前预定、集团统一采购增</w:t>
      </w:r>
    </w:p>
    <w:p>
      <w:pPr>
        <w:pStyle w:val="BodyText"/>
        <w:spacing w:line="240" w:lineRule="auto" w:before="19"/>
        <w:ind w:right="1128"/>
        <w:jc w:val="left"/>
      </w:pPr>
      <w:r>
        <w:rPr/>
        <w:t>强议价能力等形式减少原材料价格波动带来的经营风险。</w:t>
      </w:r>
    </w:p>
    <w:p>
      <w:pPr>
        <w:pStyle w:val="BodyText"/>
        <w:spacing w:line="300" w:lineRule="auto" w:before="76"/>
        <w:ind w:left="512" w:right="1128"/>
        <w:jc w:val="left"/>
      </w:pPr>
      <w:r>
        <w:rPr>
          <w:rFonts w:ascii="Times New Roman" w:hAnsi="Times New Roman" w:cs="Times New Roman" w:eastAsia="Times New Roman" w:hint="default"/>
        </w:rPr>
        <w:t>2</w:t>
      </w:r>
      <w:r>
        <w:rPr/>
        <w:t>、汇率波动的风险 </w:t>
      </w:r>
      <w:r>
        <w:rPr>
          <w:spacing w:val="-2"/>
        </w:rPr>
        <w:t>公司于</w:t>
      </w:r>
      <w:r>
        <w:rPr>
          <w:rFonts w:ascii="Times New Roman" w:hAnsi="Times New Roman" w:cs="Times New Roman" w:eastAsia="Times New Roman" w:hint="default"/>
          <w:spacing w:val="-2"/>
        </w:rPr>
        <w:t>2017</w:t>
      </w:r>
      <w:r>
        <w:rPr>
          <w:spacing w:val="-2"/>
        </w:rPr>
        <w:t>年开始涉足跨境电商业务，业务范围涵盖台湾、香港、日本、中东、东南亚等多个国家和地区。公司在业务</w:t>
      </w:r>
    </w:p>
    <w:p>
      <w:pPr>
        <w:pStyle w:val="BodyText"/>
        <w:spacing w:line="316" w:lineRule="auto" w:before="13"/>
        <w:ind w:right="1128"/>
        <w:jc w:val="left"/>
      </w:pPr>
      <w:r>
        <w:rPr>
          <w:spacing w:val="-2"/>
        </w:rPr>
        <w:t>开展过程中涉及以美元、港币、新台币、日元等多种外币进行结算，而人民币与外币间的汇率变动可能会对公司盈利有所影</w:t>
      </w:r>
      <w:r>
        <w:rPr>
          <w:spacing w:val="-64"/>
        </w:rPr>
        <w:t> </w:t>
      </w:r>
      <w:r>
        <w:rPr>
          <w:spacing w:val="-64"/>
        </w:rPr>
      </w:r>
      <w:r>
        <w:rPr/>
        <w:t>响，因此公司面临着一定的汇率波动风险。</w:t>
      </w:r>
    </w:p>
    <w:p>
      <w:pPr>
        <w:spacing w:after="0" w:line="316"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9" w:lineRule="auto" w:before="44"/>
        <w:ind w:left="512" w:right="1128"/>
        <w:jc w:val="left"/>
      </w:pPr>
      <w:r>
        <w:rPr/>
        <w:t>应对措施：随时关注外汇情况，对货币的升值或贬值作出有效预测，并在资金管理方面适当控制收支时间。 </w:t>
      </w:r>
      <w:r>
        <w:rPr>
          <w:rFonts w:ascii="Times New Roman" w:hAnsi="Times New Roman" w:cs="Times New Roman" w:eastAsia="Times New Roman" w:hint="default"/>
        </w:rPr>
        <w:t>3</w:t>
      </w:r>
      <w:r>
        <w:rPr/>
        <w:t>、核心人才流失的风险 </w:t>
      </w:r>
      <w:r>
        <w:rPr>
          <w:spacing w:val="-2"/>
        </w:rPr>
        <w:t>随着互联网的高速发展，互联网广告代理和跨境电商行业也在迅速发展，互联网行业对专业人才的需求量急速上升。核</w:t>
      </w:r>
    </w:p>
    <w:p>
      <w:pPr>
        <w:pStyle w:val="BodyText"/>
        <w:spacing w:line="316" w:lineRule="auto" w:before="24"/>
        <w:ind w:right="1132"/>
        <w:jc w:val="both"/>
      </w:pPr>
      <w:r>
        <w:rPr>
          <w:spacing w:val="-2"/>
        </w:rPr>
        <w:t>心技术人员对公司互联网业务的开拓和运营管理至关重要，若不能继续在互联网行业保持强有力的竞争优势、以此保证团队</w:t>
      </w:r>
      <w:r>
        <w:rPr>
          <w:spacing w:val="-64"/>
        </w:rPr>
        <w:t> </w:t>
      </w:r>
      <w:r>
        <w:rPr>
          <w:spacing w:val="-64"/>
        </w:rPr>
      </w:r>
      <w:r>
        <w:rPr/>
        <w:t>的稳定，将会对公司的运营和长远发展带来不利影响。</w:t>
      </w:r>
    </w:p>
    <w:p>
      <w:pPr>
        <w:pStyle w:val="BodyText"/>
        <w:spacing w:line="316" w:lineRule="auto" w:before="19"/>
        <w:ind w:right="1134" w:firstLine="360"/>
        <w:jc w:val="both"/>
      </w:pPr>
      <w:r>
        <w:rPr>
          <w:spacing w:val="-2"/>
        </w:rPr>
        <w:t>应对措施：公司将储备战略发展人才，优化人才结构，同时加强员工激励机制的建设，有效地将股东利益、公司利益和</w:t>
      </w:r>
      <w:r>
        <w:rPr/>
        <w:t> 核心团队个人利益结合在一起，吸引人才、留住人才，确保公司发展战略和经营目标的实现。</w:t>
      </w:r>
    </w:p>
    <w:p>
      <w:pPr>
        <w:pStyle w:val="BodyText"/>
        <w:spacing w:line="240" w:lineRule="auto" w:before="18"/>
        <w:ind w:left="512" w:right="1128"/>
        <w:jc w:val="left"/>
      </w:pPr>
      <w:r>
        <w:rPr>
          <w:rFonts w:ascii="Times New Roman" w:hAnsi="Times New Roman" w:cs="Times New Roman" w:eastAsia="Times New Roman" w:hint="default"/>
        </w:rPr>
        <w:t>4</w:t>
      </w:r>
      <w:r>
        <w:rPr/>
        <w:t>、商誉减值风险</w:t>
      </w:r>
    </w:p>
    <w:p>
      <w:pPr>
        <w:pStyle w:val="BodyText"/>
        <w:spacing w:line="309" w:lineRule="auto" w:before="63"/>
        <w:ind w:right="1129" w:firstLine="36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日公司合并财务报表中商誉为</w:t>
      </w:r>
      <w:r>
        <w:rPr>
          <w:rFonts w:ascii="Times New Roman" w:hAnsi="Times New Roman" w:cs="Times New Roman" w:eastAsia="Times New Roman" w:hint="default"/>
          <w:spacing w:val="-1"/>
        </w:rPr>
        <w:t>144,884,677.88</w:t>
      </w:r>
      <w:r>
        <w:rPr>
          <w:spacing w:val="-1"/>
        </w:rPr>
        <w:t>元，占合并财务报表净资产的比例为</w:t>
      </w:r>
      <w:r>
        <w:rPr>
          <w:rFonts w:ascii="Times New Roman" w:hAnsi="Times New Roman" w:cs="Times New Roman" w:eastAsia="Times New Roman" w:hint="default"/>
          <w:spacing w:val="-1"/>
        </w:rPr>
        <w:t>9.98%</w:t>
      </w:r>
      <w:r>
        <w:rPr>
          <w:spacing w:val="-1"/>
        </w:rPr>
        <w:t>。上述商誉主要是</w:t>
      </w:r>
      <w:r>
        <w:rPr/>
        <w:t> </w:t>
      </w:r>
      <w:r>
        <w:rPr>
          <w:spacing w:val="-2"/>
        </w:rPr>
        <w:t>公司</w:t>
      </w:r>
      <w:r>
        <w:rPr>
          <w:rFonts w:ascii="Times New Roman" w:hAnsi="Times New Roman" w:cs="Times New Roman" w:eastAsia="Times New Roman" w:hint="default"/>
          <w:spacing w:val="-2"/>
        </w:rPr>
        <w:t>2018</w:t>
      </w:r>
      <w:r>
        <w:rPr>
          <w:spacing w:val="-2"/>
        </w:rPr>
        <w:t>年度收购北京龙域之星科技有限公司形成的，根据《企业会计准则》规定，上述收购事项合并形成的商誉不作摊销</w:t>
      </w:r>
      <w:r>
        <w:rPr>
          <w:spacing w:val="-64"/>
        </w:rPr>
        <w:t> </w:t>
      </w:r>
      <w:r>
        <w:rPr>
          <w:spacing w:val="-64"/>
        </w:rPr>
      </w:r>
      <w:r>
        <w:rPr>
          <w:spacing w:val="-2"/>
        </w:rPr>
        <w:t>处理，应在每期终了对商誉进行减值测试，并依据减值测试的结果调整商誉的账面价值。未来如因龙域之星未能准确把握市</w:t>
      </w:r>
      <w:r>
        <w:rPr>
          <w:spacing w:val="-63"/>
        </w:rPr>
        <w:t> </w:t>
      </w:r>
      <w:r>
        <w:rPr>
          <w:spacing w:val="-63"/>
        </w:rPr>
      </w:r>
      <w:r>
        <w:rPr>
          <w:spacing w:val="-2"/>
        </w:rPr>
        <w:t>场行情和行业技术的发展趋势、以及市场竞争加剧、产业政策变化等多种因素，可能导致龙域之星盈利能力出现波动，影响</w:t>
      </w:r>
      <w:r>
        <w:rPr>
          <w:spacing w:val="-66"/>
        </w:rPr>
        <w:t> </w:t>
      </w:r>
      <w:r>
        <w:rPr>
          <w:spacing w:val="-66"/>
        </w:rPr>
      </w:r>
      <w:r>
        <w:rPr/>
        <w:t>龙域之星的财务状况和经营业绩，进而导致公司存在商誉减值的风险。</w:t>
      </w:r>
    </w:p>
    <w:p>
      <w:pPr>
        <w:pStyle w:val="BodyText"/>
        <w:spacing w:line="319" w:lineRule="auto" w:before="24"/>
        <w:ind w:right="1050" w:firstLine="360"/>
        <w:jc w:val="both"/>
      </w:pPr>
      <w:r>
        <w:rPr/>
        <w:t>应对措施：公司将加大对龙域之星业务资源、销售渠道、技术开发、财务及管理等方面的投入和把控，整合优势资源， 积极发挥公司整体业务的协同效应，增强龙域之星的竞争力和持续盈利能力。</w:t>
      </w:r>
    </w:p>
    <w:p>
      <w:pPr>
        <w:pStyle w:val="BodyText"/>
        <w:spacing w:line="300" w:lineRule="auto" w:before="17"/>
        <w:ind w:left="512" w:right="1116"/>
        <w:jc w:val="left"/>
      </w:pPr>
      <w:r>
        <w:rPr>
          <w:rFonts w:ascii="Times New Roman" w:hAnsi="Times New Roman" w:cs="Times New Roman" w:eastAsia="Times New Roman" w:hint="default"/>
        </w:rPr>
        <w:t>5</w:t>
      </w:r>
      <w:r>
        <w:rPr/>
        <w:t>、税收优惠风险 </w:t>
      </w:r>
      <w:r>
        <w:rPr>
          <w:spacing w:val="-1"/>
        </w:rPr>
        <w:t>公司及部分下属子公司因获得《高新技术企业证书》，在证书有效期内依法享受</w:t>
      </w:r>
      <w:r>
        <w:rPr>
          <w:rFonts w:ascii="Times New Roman" w:hAnsi="Times New Roman" w:cs="Times New Roman" w:eastAsia="Times New Roman" w:hint="default"/>
          <w:spacing w:val="-1"/>
        </w:rPr>
        <w:t>15%</w:t>
      </w:r>
      <w:r>
        <w:rPr>
          <w:spacing w:val="-1"/>
        </w:rPr>
        <w:t>企业所得税的税收优惠，另外部分</w:t>
      </w:r>
    </w:p>
    <w:p>
      <w:pPr>
        <w:pStyle w:val="BodyText"/>
        <w:spacing w:line="316" w:lineRule="auto" w:before="13"/>
        <w:ind w:right="1129"/>
        <w:jc w:val="both"/>
      </w:pPr>
      <w:r>
        <w:rPr>
          <w:spacing w:val="-2"/>
        </w:rPr>
        <w:t>子公司根据当地政策（如呼市吉宏享有西部大开发企业所得税优惠）享受一定的税收优惠。如果未来国家高新技术企业税收</w:t>
      </w:r>
      <w:r>
        <w:rPr>
          <w:spacing w:val="-63"/>
        </w:rPr>
        <w:t> </w:t>
      </w:r>
      <w:r>
        <w:rPr>
          <w:spacing w:val="-63"/>
        </w:rPr>
      </w:r>
      <w:r>
        <w:rPr>
          <w:spacing w:val="-2"/>
        </w:rPr>
        <w:t>优惠政策发生变更，或公司以后年度不再符合高新技术企业资格的认定标准或无法获取税务部门的高新技术企业所得税优惠</w:t>
      </w:r>
      <w:r>
        <w:rPr>
          <w:spacing w:val="-64"/>
        </w:rPr>
        <w:t> </w:t>
      </w:r>
      <w:r>
        <w:rPr>
          <w:spacing w:val="-64"/>
        </w:rPr>
      </w:r>
      <w:r>
        <w:rPr/>
        <w:t>政策备案，或公司子公司所享受的有关税收优惠政策发生变化，将会对公司未来的经营业绩产生一定的影响。</w:t>
      </w:r>
    </w:p>
    <w:p>
      <w:pPr>
        <w:pStyle w:val="BodyText"/>
        <w:spacing w:line="316" w:lineRule="auto" w:before="19"/>
        <w:ind w:right="1129" w:firstLine="288"/>
        <w:jc w:val="both"/>
      </w:pPr>
      <w:r>
        <w:rPr>
          <w:spacing w:val="-1"/>
        </w:rPr>
        <w:t>应对措施：公司将随时关注税收优惠政策相关情况，在到期日之前及时收集相关资料向有关税务机关申报更新，以保证</w:t>
      </w:r>
      <w:r>
        <w:rPr/>
        <w:t> 持续享受相关税收优惠。</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6"/>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360" w:hRule="exact"/>
        </w:trPr>
        <w:tc>
          <w:tcPr>
            <w:tcW w:w="2179"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2177" w:type="dxa"/>
            <w:tcBorders>
              <w:top w:val="single" w:sz="4" w:space="0" w:color="000000"/>
              <w:left w:val="single" w:sz="4" w:space="0" w:color="000000"/>
              <w:bottom w:val="nil" w:sz="6" w:space="0" w:color="auto"/>
              <w:right w:val="single" w:sz="4" w:space="0" w:color="000000"/>
            </w:tcBorders>
          </w:tcPr>
          <w:p>
            <w:pPr/>
          </w:p>
        </w:tc>
        <w:tc>
          <w:tcPr>
            <w:tcW w:w="30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w:t>
            </w:r>
          </w:p>
        </w:tc>
      </w:tr>
      <w:tr>
        <w:trPr>
          <w:trHeight w:val="312" w:hRule="exact"/>
        </w:trPr>
        <w:tc>
          <w:tcPr>
            <w:tcW w:w="21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资讯网披露的《投资者关系活动记录</w:t>
            </w:r>
          </w:p>
        </w:tc>
      </w:tr>
      <w:tr>
        <w:trPr>
          <w:trHeight w:val="355" w:hRule="exact"/>
        </w:trPr>
        <w:tc>
          <w:tcPr>
            <w:tcW w:w="2179"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2177" w:type="dxa"/>
            <w:tcBorders>
              <w:top w:val="nil" w:sz="6" w:space="0" w:color="auto"/>
              <w:left w:val="single" w:sz="4" w:space="0" w:color="000000"/>
              <w:bottom w:val="single" w:sz="4" w:space="0" w:color="000000"/>
              <w:right w:val="single" w:sz="4" w:space="0" w:color="000000"/>
            </w:tcBorders>
          </w:tcPr>
          <w:p>
            <w:pPr/>
          </w:p>
        </w:tc>
        <w:tc>
          <w:tcPr>
            <w:tcW w:w="30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表》</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763"/>
        <w:jc w:val="center"/>
        <w:rPr>
          <w:b w:val="0"/>
          <w:bCs w:val="0"/>
        </w:rPr>
      </w:pPr>
      <w:bookmarkStart w:name="_TOC_250008" w:id="5"/>
      <w:r>
        <w:rPr/>
        <w:t>第五节重要事项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8"/>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报告期内普通股利润分配政策，特别是现金分红政策的制定、执行或调整情况</w:t>
      </w:r>
    </w:p>
    <w:p>
      <w:pPr>
        <w:pStyle w:val="BodyText"/>
        <w:spacing w:line="338" w:lineRule="auto" w:before="117"/>
        <w:ind w:left="272" w:right="6493" w:hanging="1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公司章程明确规定了利润分配政策，具体内容如下：</w:t>
      </w:r>
    </w:p>
    <w:p>
      <w:pPr>
        <w:pStyle w:val="BodyText"/>
        <w:spacing w:line="316" w:lineRule="auto" w:before="2"/>
        <w:ind w:left="560" w:right="1128" w:firstLine="72"/>
        <w:jc w:val="left"/>
      </w:pPr>
      <w:r>
        <w:rPr/>
        <w:t>一、利润分配原则 公司实行积极的利润分配政策，重视对股东的合理回报，并保持利润分配政策的连续性和稳定性，且符合法律、法规</w:t>
      </w:r>
    </w:p>
    <w:p>
      <w:pPr>
        <w:pStyle w:val="BodyText"/>
        <w:spacing w:line="316" w:lineRule="auto" w:before="19"/>
        <w:ind w:left="632" w:right="2353" w:hanging="360"/>
        <w:jc w:val="left"/>
      </w:pPr>
      <w:r>
        <w:rPr/>
        <w:t>的有关规定。公司制定的利润分配政策不得超过累计可供分配利润的范围，不得损害公司持续经营能力。 二、利润分配方式 公司优先采用现金分红的利润分配方式，也可以采用股票或现金与股票相结合方式。 三、现金分红的条件、比例、时间间隔及安排</w:t>
      </w:r>
    </w:p>
    <w:p>
      <w:pPr>
        <w:pStyle w:val="BodyText"/>
        <w:spacing w:line="300" w:lineRule="auto" w:before="18"/>
        <w:ind w:left="272" w:right="1129" w:firstLine="360"/>
        <w:jc w:val="both"/>
      </w:pPr>
      <w:r>
        <w:rPr/>
        <w:t>现金分红应同时满足以下条件：（</w:t>
      </w:r>
      <w:r>
        <w:rPr>
          <w:rFonts w:ascii="Times New Roman" w:hAnsi="Times New Roman" w:cs="Times New Roman" w:eastAsia="Times New Roman" w:hint="default"/>
        </w:rPr>
        <w:t>1</w:t>
      </w:r>
      <w:r>
        <w:rPr/>
        <w:t>）公司每年度或半年度实现的可供分配净利润（按照合并报表、母公司报表中可 供分配利润孰低）为正值，同时公司累计可供分配的利润为正值；（</w:t>
      </w:r>
      <w:r>
        <w:rPr>
          <w:rFonts w:ascii="Times New Roman" w:hAnsi="Times New Roman" w:cs="Times New Roman" w:eastAsia="Times New Roman" w:hint="default"/>
        </w:rPr>
        <w:t>2</w:t>
      </w:r>
      <w:r>
        <w:rPr/>
        <w:t>）现金流充裕，现金分红后不会影响公司后续持续</w:t>
      </w:r>
      <w:r>
        <w:rPr>
          <w:spacing w:val="-32"/>
        </w:rPr>
        <w:t> </w:t>
      </w:r>
      <w:r>
        <w:rPr>
          <w:spacing w:val="-32"/>
        </w:rPr>
      </w:r>
      <w:r>
        <w:rPr>
          <w:spacing w:val="-1"/>
        </w:rPr>
        <w:t>经营；（</w:t>
      </w:r>
      <w:r>
        <w:rPr>
          <w:rFonts w:ascii="Times New Roman" w:hAnsi="Times New Roman" w:cs="Times New Roman" w:eastAsia="Times New Roman" w:hint="default"/>
          <w:spacing w:val="-1"/>
        </w:rPr>
        <w:t>3</w:t>
      </w:r>
      <w:r>
        <w:rPr>
          <w:spacing w:val="-1"/>
        </w:rPr>
        <w:t>）审计机构对公司当期财务报告出具了标准无保留意见的审计报告；（</w:t>
      </w:r>
      <w:r>
        <w:rPr>
          <w:rFonts w:ascii="Times New Roman" w:hAnsi="Times New Roman" w:cs="Times New Roman" w:eastAsia="Times New Roman" w:hint="default"/>
          <w:spacing w:val="-1"/>
        </w:rPr>
        <w:t>4</w:t>
      </w:r>
      <w:r>
        <w:rPr>
          <w:spacing w:val="-1"/>
        </w:rPr>
        <w:t>）公司无重大投资计划或重大现金支出</w:t>
      </w:r>
      <w:r>
        <w:rPr>
          <w:spacing w:val="-61"/>
        </w:rPr>
        <w:t> </w:t>
      </w:r>
      <w:r>
        <w:rPr>
          <w:spacing w:val="-61"/>
        </w:rPr>
      </w:r>
      <w:r>
        <w:rPr/>
        <w:t>等事项发生。</w:t>
      </w:r>
    </w:p>
    <w:p>
      <w:pPr>
        <w:pStyle w:val="BodyText"/>
        <w:spacing w:line="319" w:lineRule="auto" w:before="31"/>
        <w:ind w:left="272" w:right="1134" w:firstLine="288"/>
        <w:jc w:val="both"/>
      </w:pPr>
      <w:r>
        <w:rPr/>
        <w:t>现金分红的比例：公司在同时满足现金分红条件的前提下，以现金分红方式分配的利润应不低于当年实现的可分配利 润的</w:t>
      </w:r>
      <w:r>
        <w:rPr>
          <w:rFonts w:ascii="Times New Roman" w:hAnsi="Times New Roman" w:cs="Times New Roman" w:eastAsia="Times New Roman" w:hint="default"/>
        </w:rPr>
        <w:t>20%</w:t>
      </w:r>
      <w:r>
        <w:rPr/>
        <w:t>。</w:t>
      </w:r>
    </w:p>
    <w:p>
      <w:pPr>
        <w:pStyle w:val="BodyText"/>
        <w:spacing w:line="316" w:lineRule="auto"/>
        <w:ind w:left="272" w:right="1134" w:firstLine="288"/>
        <w:jc w:val="both"/>
      </w:pPr>
      <w:r>
        <w:rPr/>
        <w:t>现金分红的时间间隔：在满足现金分红条件的情况下，公司应当采取现金方式分配利润，原则上每年度进行一次现金 分红，公司可以根据盈利情况及资金需求状况进行中期现金分红。</w:t>
      </w:r>
    </w:p>
    <w:p>
      <w:pPr>
        <w:pStyle w:val="BodyText"/>
        <w:spacing w:line="316" w:lineRule="auto" w:before="19"/>
        <w:ind w:left="272" w:right="1134" w:firstLine="288"/>
        <w:jc w:val="both"/>
      </w:pPr>
      <w:r>
        <w:rPr/>
        <w:t>公司董事会应当综合考虑所处行业特点、发展阶段、自身经营模式、盈利水平以及是否有重大资金支出安排等因素， 并按照公司章程规定的程序，提出差异化的现金分红政策：</w:t>
      </w:r>
    </w:p>
    <w:p>
      <w:pPr>
        <w:pStyle w:val="BodyText"/>
        <w:spacing w:line="300" w:lineRule="auto" w:before="18"/>
        <w:ind w:left="272" w:right="1134" w:firstLine="216"/>
        <w:jc w:val="both"/>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 达到</w:t>
      </w:r>
      <w:r>
        <w:rPr>
          <w:rFonts w:ascii="Times New Roman" w:hAnsi="Times New Roman" w:cs="Times New Roman" w:eastAsia="Times New Roman" w:hint="default"/>
        </w:rPr>
        <w:t>80%</w:t>
      </w:r>
      <w:r>
        <w:rPr/>
        <w:t>；</w:t>
      </w:r>
    </w:p>
    <w:p>
      <w:pPr>
        <w:pStyle w:val="BodyText"/>
        <w:spacing w:line="300" w:lineRule="auto" w:before="13"/>
        <w:ind w:left="272" w:right="1134" w:firstLine="216"/>
        <w:jc w:val="both"/>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 达到</w:t>
      </w:r>
      <w:r>
        <w:rPr>
          <w:rFonts w:ascii="Times New Roman" w:hAnsi="Times New Roman" w:cs="Times New Roman" w:eastAsia="Times New Roman" w:hint="default"/>
        </w:rPr>
        <w:t>40%</w:t>
      </w:r>
      <w:r>
        <w:rPr/>
        <w:t>；</w:t>
      </w:r>
    </w:p>
    <w:p>
      <w:pPr>
        <w:pStyle w:val="BodyText"/>
        <w:spacing w:line="300" w:lineRule="auto" w:before="13"/>
        <w:ind w:left="272" w:right="1134" w:firstLine="216"/>
        <w:jc w:val="both"/>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 达到</w:t>
      </w:r>
      <w:r>
        <w:rPr>
          <w:rFonts w:ascii="Times New Roman" w:hAnsi="Times New Roman" w:cs="Times New Roman" w:eastAsia="Times New Roman" w:hint="default"/>
        </w:rPr>
        <w:t>20%</w:t>
      </w:r>
      <w:r>
        <w:rPr/>
        <w:t>；</w:t>
      </w:r>
    </w:p>
    <w:p>
      <w:pPr>
        <w:pStyle w:val="BodyText"/>
        <w:spacing w:line="319" w:lineRule="auto" w:before="13"/>
        <w:ind w:left="560" w:right="4405"/>
        <w:jc w:val="left"/>
      </w:pPr>
      <w:r>
        <w:rPr/>
        <w:t>公司发展阶段不易区分但有重大资金支出安排的，可以按照前项规定处理。 四、股票股利分配的条件</w:t>
      </w:r>
    </w:p>
    <w:p>
      <w:pPr>
        <w:pStyle w:val="BodyText"/>
        <w:spacing w:line="309" w:lineRule="auto" w:before="17"/>
        <w:ind w:left="272" w:right="1129" w:firstLine="288"/>
        <w:jc w:val="both"/>
      </w:pPr>
      <w:r>
        <w:rPr/>
        <w:t>董事会认定公司股本规模及股权结构合理的前提下，董事会可以提出股票股利分配方案并经股东大会审议。分配股票 股利时，每</w:t>
      </w:r>
      <w:r>
        <w:rPr>
          <w:rFonts w:ascii="Times New Roman" w:hAnsi="Times New Roman" w:cs="Times New Roman" w:eastAsia="Times New Roman" w:hint="default"/>
        </w:rPr>
        <w:t>10</w:t>
      </w:r>
      <w:r>
        <w:rPr/>
        <w:t>股股票分得的股票股利不少于</w:t>
      </w:r>
      <w:r>
        <w:rPr>
          <w:rFonts w:ascii="Times New Roman" w:hAnsi="Times New Roman" w:cs="Times New Roman" w:eastAsia="Times New Roman" w:hint="default"/>
        </w:rPr>
        <w:t>1</w:t>
      </w:r>
      <w:r>
        <w:rPr/>
        <w:t>股。采用股票股利进行利润分配的，应当考虑公司成长性、每股净资产的摊</w:t>
      </w:r>
      <w:r>
        <w:rPr>
          <w:spacing w:val="-33"/>
        </w:rPr>
        <w:t> </w:t>
      </w:r>
      <w:r>
        <w:rPr>
          <w:spacing w:val="-33"/>
        </w:rPr>
      </w:r>
      <w:r>
        <w:rPr/>
        <w:t>薄等真实合理因素。</w:t>
      </w:r>
    </w:p>
    <w:p>
      <w:pPr>
        <w:pStyle w:val="BodyText"/>
        <w:spacing w:line="316" w:lineRule="auto" w:before="24"/>
        <w:ind w:left="560" w:right="1128" w:firstLine="72"/>
        <w:jc w:val="left"/>
      </w:pPr>
      <w:r>
        <w:rPr/>
        <w:t>五、调整利润分配政策的程序 发生以下情形时，公司可对既定的现金分红政策作出调整，调整后的利润分配政策不得违反法律及法规的有关规定：</w:t>
      </w:r>
    </w:p>
    <w:p>
      <w:pPr>
        <w:pStyle w:val="BodyText"/>
        <w:spacing w:line="300" w:lineRule="auto" w:before="19"/>
        <w:ind w:left="272" w:right="1128"/>
        <w:jc w:val="left"/>
      </w:pPr>
      <w:r>
        <w:rPr>
          <w:spacing w:val="-2"/>
        </w:rPr>
        <w:t>（</w:t>
      </w:r>
      <w:r>
        <w:rPr>
          <w:rFonts w:ascii="Times New Roman" w:hAnsi="Times New Roman" w:cs="Times New Roman" w:eastAsia="Times New Roman" w:hint="default"/>
          <w:spacing w:val="-2"/>
        </w:rPr>
        <w:t>1</w:t>
      </w:r>
      <w:r>
        <w:rPr>
          <w:spacing w:val="-2"/>
        </w:rPr>
        <w:t>）公司经营活动产生的现金流量净额连续两年为负数时；（</w:t>
      </w:r>
      <w:r>
        <w:rPr>
          <w:rFonts w:ascii="Times New Roman" w:hAnsi="Times New Roman" w:cs="Times New Roman" w:eastAsia="Times New Roman" w:hint="default"/>
          <w:spacing w:val="-2"/>
        </w:rPr>
        <w:t>2</w:t>
      </w:r>
      <w:r>
        <w:rPr>
          <w:spacing w:val="-2"/>
        </w:rPr>
        <w:t>）公司当期期末资产负债率超过</w:t>
      </w:r>
      <w:r>
        <w:rPr>
          <w:rFonts w:ascii="Times New Roman" w:hAnsi="Times New Roman" w:cs="Times New Roman" w:eastAsia="Times New Roman" w:hint="default"/>
          <w:spacing w:val="-2"/>
        </w:rPr>
        <w:t>70%</w:t>
      </w:r>
      <w:r>
        <w:rPr>
          <w:spacing w:val="-2"/>
        </w:rPr>
        <w:t>时；（</w:t>
      </w:r>
      <w:r>
        <w:rPr>
          <w:rFonts w:ascii="Times New Roman" w:hAnsi="Times New Roman" w:cs="Times New Roman" w:eastAsia="Times New Roman" w:hint="default"/>
          <w:spacing w:val="-2"/>
        </w:rPr>
        <w:t>3</w:t>
      </w:r>
      <w:r>
        <w:rPr>
          <w:spacing w:val="-2"/>
        </w:rPr>
        <w:t>）公司根据生</w:t>
      </w:r>
      <w:r>
        <w:rPr>
          <w:spacing w:val="-64"/>
        </w:rPr>
        <w:t> </w:t>
      </w:r>
      <w:r>
        <w:rPr>
          <w:spacing w:val="-64"/>
        </w:rPr>
      </w:r>
      <w:r>
        <w:rPr/>
        <w:t>产经营情况、投资规划、长期发展的需求，或因外部经营环境或自身经营状况发生较大变化导致的其他情况。</w:t>
      </w:r>
    </w:p>
    <w:p>
      <w:pPr>
        <w:pStyle w:val="BodyText"/>
        <w:spacing w:line="316" w:lineRule="auto" w:before="72"/>
        <w:ind w:right="1129" w:firstLine="360"/>
        <w:jc w:val="both"/>
      </w:pPr>
      <w:r>
        <w:rPr>
          <w:spacing w:val="-2"/>
        </w:rPr>
        <w:t>公司应当严格执行公司章程确定的利润分配政策特别是现金分红政策以及股东大会审议批准的现金分红具体方案。确有</w:t>
      </w:r>
      <w:r>
        <w:rPr/>
        <w:t> </w:t>
      </w:r>
      <w:r>
        <w:rPr>
          <w:spacing w:val="-2"/>
        </w:rPr>
        <w:t>必要对公司章程确定的利润分配政策进行调整或者变更的，调整利润分配政策需经董事会、监事会审议通过后提交公司股东</w:t>
      </w:r>
      <w:r>
        <w:rPr>
          <w:spacing w:val="-64"/>
        </w:rPr>
        <w:t> </w:t>
      </w:r>
      <w:r>
        <w:rPr>
          <w:spacing w:val="-64"/>
        </w:rPr>
      </w:r>
      <w:r>
        <w:rPr>
          <w:spacing w:val="-2"/>
        </w:rPr>
        <w:t>大会审议批准后执行，公司独立董事、监事会应当发表明确意见；股东大会审议调整利润分配政策的议案时，应经股东大会</w:t>
      </w:r>
      <w:r>
        <w:rPr>
          <w:spacing w:val="-67"/>
        </w:rPr>
        <w:t> </w:t>
      </w:r>
      <w:r>
        <w:rPr>
          <w:spacing w:val="-67"/>
        </w:rPr>
      </w:r>
      <w:r>
        <w:rPr/>
        <w:t>特别决议审议。</w:t>
      </w:r>
    </w:p>
    <w:p>
      <w:pPr>
        <w:spacing w:after="0" w:line="316" w:lineRule="auto"/>
        <w:jc w:val="both"/>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3" w:right="6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38" w:lineRule="auto" w:before="49"/>
        <w:ind w:right="2743"/>
        <w:jc w:val="left"/>
      </w:pPr>
      <w:r>
        <w:rPr/>
        <w:t>公司近</w:t>
      </w:r>
      <w:r>
        <w:rPr>
          <w:spacing w:val="-32"/>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3"/>
        </w:rPr>
        <w:t>年（包括本报告期）的普通股股利分配方案（预案）、资本公积金转增股本方案（预案）情况</w:t>
      </w:r>
      <w:r>
        <w:rPr>
          <w:spacing w:val="-87"/>
        </w:rPr>
        <w:t> </w:t>
      </w:r>
      <w:r>
        <w:rPr>
          <w:spacing w:val="-87"/>
        </w:rPr>
      </w:r>
      <w:r>
        <w:rPr/>
        <w:t>公司近</w:t>
      </w:r>
      <w:r>
        <w:rPr>
          <w:rFonts w:ascii="Times New Roman" w:hAnsi="Times New Roman" w:cs="Times New Roman" w:eastAsia="Times New Roman" w:hint="default"/>
        </w:rPr>
        <w:t>3</w:t>
      </w:r>
      <w:r>
        <w:rPr/>
        <w:t>年（包括本报告期）的普通股股利分配方案（预案）、资本公积金转增股本方案（预案）情况</w:t>
      </w:r>
    </w:p>
    <w:p>
      <w:pPr>
        <w:pStyle w:val="BodyText"/>
        <w:spacing w:line="300" w:lineRule="auto" w:before="22"/>
        <w:ind w:right="1043" w:firstLine="360"/>
        <w:jc w:val="both"/>
      </w:pPr>
      <w:r>
        <w:rPr>
          <w:rFonts w:ascii="Times New Roman" w:hAnsi="Times New Roman" w:cs="Times New Roman" w:eastAsia="Times New Roman" w:hint="default"/>
          <w:spacing w:val="-3"/>
        </w:rPr>
        <w:t>1</w:t>
      </w:r>
      <w:r>
        <w:rPr>
          <w:spacing w:val="-3"/>
        </w:rPr>
        <w:t>、公司</w:t>
      </w:r>
      <w:r>
        <w:rPr>
          <w:rFonts w:ascii="Times New Roman" w:hAnsi="Times New Roman" w:cs="Times New Roman" w:eastAsia="Times New Roman" w:hint="default"/>
          <w:spacing w:val="-3"/>
        </w:rPr>
        <w:t>2017</w:t>
      </w:r>
      <w:r>
        <w:rPr>
          <w:spacing w:val="-3"/>
        </w:rPr>
        <w:t>年年度利润分配方案：以股本</w:t>
      </w:r>
      <w:r>
        <w:rPr>
          <w:rFonts w:ascii="Times New Roman" w:hAnsi="Times New Roman" w:cs="Times New Roman" w:eastAsia="Times New Roman" w:hint="default"/>
          <w:spacing w:val="-3"/>
        </w:rPr>
        <w:t>114,028,077</w:t>
      </w:r>
      <w:r>
        <w:rPr>
          <w:spacing w:val="-3"/>
        </w:rPr>
        <w:t>股作为分配基数，向全体股东每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1.3</w:t>
      </w:r>
      <w:r>
        <w:rPr>
          <w:spacing w:val="-3"/>
        </w:rPr>
        <w:t>元（含税），</w:t>
      </w:r>
      <w:r>
        <w:rPr/>
        <w:t> 共计分配现金股利约</w:t>
      </w:r>
      <w:r>
        <w:rPr>
          <w:rFonts w:ascii="Times New Roman" w:hAnsi="Times New Roman" w:cs="Times New Roman" w:eastAsia="Times New Roman" w:hint="default"/>
        </w:rPr>
        <w:t>14,823,650</w:t>
      </w:r>
      <w:r>
        <w:rPr/>
        <w:t>元，不送红股，不以资本公积金转增股本。</w:t>
      </w:r>
    </w:p>
    <w:p>
      <w:pPr>
        <w:pStyle w:val="BodyText"/>
        <w:spacing w:line="300" w:lineRule="auto" w:before="13"/>
        <w:ind w:right="1127" w:firstLine="360"/>
        <w:jc w:val="both"/>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2018</w:t>
      </w:r>
      <w:r>
        <w:rPr>
          <w:spacing w:val="-2"/>
        </w:rPr>
        <w:t>年中期利润分配方案：以公司总股本</w:t>
      </w:r>
      <w:r>
        <w:rPr>
          <w:rFonts w:ascii="Times New Roman" w:hAnsi="Times New Roman" w:cs="Times New Roman" w:eastAsia="Times New Roman" w:hint="default"/>
          <w:spacing w:val="-2"/>
        </w:rPr>
        <w:t>116,000,000</w:t>
      </w:r>
      <w:r>
        <w:rPr>
          <w:spacing w:val="-2"/>
        </w:rPr>
        <w:t>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股，不送</w:t>
      </w:r>
      <w:r>
        <w:rPr/>
        <w:t> </w:t>
      </w:r>
      <w:r>
        <w:rPr>
          <w:spacing w:val="-4"/>
        </w:rPr>
        <w:t>红股，不进行现金分红。除权除息日为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18</w:t>
      </w:r>
      <w:r>
        <w:rPr>
          <w:spacing w:val="-4"/>
        </w:rPr>
        <w:t>日，除权前本公司总股本为</w:t>
      </w:r>
      <w:r>
        <w:rPr>
          <w:rFonts w:ascii="Times New Roman" w:hAnsi="Times New Roman" w:cs="Times New Roman" w:eastAsia="Times New Roman" w:hint="default"/>
          <w:spacing w:val="-4"/>
        </w:rPr>
        <w:t>116,000,000</w:t>
      </w:r>
      <w:r>
        <w:rPr>
          <w:spacing w:val="-4"/>
        </w:rPr>
        <w:t>股，除权后总股本增至</w:t>
      </w:r>
      <w:r>
        <w:rPr>
          <w:rFonts w:ascii="Times New Roman" w:hAnsi="Times New Roman" w:cs="Times New Roman" w:eastAsia="Times New Roman" w:hint="default"/>
          <w:spacing w:val="-4"/>
        </w:rPr>
        <w:t>197,200,000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股。</w:t>
      </w:r>
    </w:p>
    <w:p>
      <w:pPr>
        <w:pStyle w:val="BodyText"/>
        <w:spacing w:line="297" w:lineRule="auto" w:before="72"/>
        <w:ind w:right="1040" w:firstLine="360"/>
        <w:jc w:val="both"/>
      </w:pPr>
      <w:r>
        <w:rPr>
          <w:rFonts w:ascii="Times New Roman" w:hAnsi="Times New Roman" w:cs="Times New Roman" w:eastAsia="Times New Roman" w:hint="default"/>
          <w:spacing w:val="-1"/>
        </w:rPr>
        <w:t>3</w:t>
      </w:r>
      <w:r>
        <w:rPr>
          <w:spacing w:val="-1"/>
        </w:rPr>
        <w:t>、公司</w:t>
      </w:r>
      <w:r>
        <w:rPr>
          <w:rFonts w:ascii="Times New Roman" w:hAnsi="Times New Roman" w:cs="Times New Roman" w:eastAsia="Times New Roman" w:hint="default"/>
          <w:spacing w:val="-1"/>
        </w:rPr>
        <w:t>2018</w:t>
      </w:r>
      <w:r>
        <w:rPr>
          <w:spacing w:val="-1"/>
        </w:rPr>
        <w:t>年年度利润分配方案：以股本</w:t>
      </w:r>
      <w:r>
        <w:rPr>
          <w:rFonts w:ascii="Times New Roman" w:hAnsi="Times New Roman" w:cs="Times New Roman" w:eastAsia="Times New Roman" w:hint="default"/>
          <w:spacing w:val="-1"/>
        </w:rPr>
        <w:t>222,593,699</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4.429595</w:t>
      </w:r>
      <w:r>
        <w:rPr>
          <w:spacing w:val="-1"/>
        </w:rPr>
        <w:t>元（含税），</w:t>
      </w:r>
      <w:r>
        <w:rPr/>
        <w:t> 共计分配现金股利</w:t>
      </w:r>
      <w:r>
        <w:rPr>
          <w:rFonts w:ascii="Times New Roman" w:hAnsi="Times New Roman" w:cs="Times New Roman" w:eastAsia="Times New Roman" w:hint="default"/>
        </w:rPr>
        <w:t>9,860</w:t>
      </w:r>
      <w:r>
        <w:rPr/>
        <w:t>万元，不送红股，不以资本公积金转增股本。</w:t>
      </w:r>
    </w:p>
    <w:p>
      <w:pPr>
        <w:pStyle w:val="BodyText"/>
        <w:spacing w:line="300" w:lineRule="auto" w:before="55"/>
        <w:ind w:right="1050" w:firstLine="379"/>
        <w:jc w:val="both"/>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2019</w:t>
      </w:r>
      <w:r>
        <w:rPr/>
        <w:t>年年度利润分配方案：以董事会审议通过分配预案之日的总股本为基数，向全体股东每</w:t>
      </w:r>
      <w:r>
        <w:rPr>
          <w:rFonts w:ascii="Times New Roman" w:hAnsi="Times New Roman" w:cs="Times New Roman" w:eastAsia="Times New Roman" w:hint="default"/>
        </w:rPr>
        <w:t>10</w:t>
      </w:r>
      <w:r>
        <w:rPr/>
        <w:t>股派发现金股利 人民币</w:t>
      </w:r>
      <w:r>
        <w:rPr>
          <w:rFonts w:ascii="Times New Roman" w:hAnsi="Times New Roman" w:cs="Times New Roman" w:eastAsia="Times New Roman" w:hint="default"/>
        </w:rPr>
        <w:t>1.00</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股，公司回购专户已回购股份不享有利润分配及资本公</w:t>
      </w:r>
      <w:r>
        <w:rPr>
          <w:spacing w:val="-46"/>
        </w:rPr>
        <w:t> </w:t>
      </w:r>
      <w:r>
        <w:rPr>
          <w:spacing w:val="-46"/>
        </w:rPr>
      </w:r>
      <w:r>
        <w:rPr/>
        <w:t>积金转增股本的权利。若在分配方案实施前公司总股本发生变动的，将按照现有分配比例不变的原则对分配总额进行调整。</w:t>
      </w:r>
    </w:p>
    <w:p>
      <w:pPr>
        <w:pStyle w:val="BodyText"/>
        <w:spacing w:line="240" w:lineRule="auto" w:before="72"/>
        <w:ind w:right="1128"/>
        <w:jc w:val="left"/>
      </w:pPr>
      <w:r>
        <w:rPr/>
        <w:t>公司近三年（包括本报告期）普通股现金分红情况表</w:t>
      </w:r>
    </w:p>
    <w:p>
      <w:pPr>
        <w:pStyle w:val="BodyText"/>
        <w:spacing w:line="240" w:lineRule="auto" w:before="115"/>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5"/>
        <w:gridCol w:w="1198"/>
        <w:gridCol w:w="1195"/>
        <w:gridCol w:w="1195"/>
        <w:gridCol w:w="1198"/>
      </w:tblGrid>
      <w:tr>
        <w:trPr>
          <w:trHeight w:val="227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22,193,999.90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326,257,025.14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5,998,118.20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28,192,118.10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98,599,938.09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213,169,745.48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98,599,938.09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14,823,650.00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80,034,333.83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18.52%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14,823,650.00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18.52%</w:t>
            </w:r>
          </w:p>
        </w:tc>
      </w:tr>
    </w:tbl>
    <w:p>
      <w:pPr>
        <w:pStyle w:val="BodyText"/>
        <w:spacing w:line="240" w:lineRule="auto" w:before="49"/>
        <w:ind w:right="1128"/>
        <w:jc w:val="left"/>
      </w:pPr>
      <w:r>
        <w:rPr/>
        <w:t>公司报告期内盈利且母公司可供普通股股东分配利润为正但未提出普通股现金红利分配预案</w:t>
      </w:r>
    </w:p>
    <w:p>
      <w:pPr>
        <w:pStyle w:val="BodyText"/>
        <w:spacing w:line="240" w:lineRule="auto" w:before="115"/>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94"/>
        <w:gridCol w:w="5774"/>
      </w:tblGrid>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含税）</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221939999</w:t>
            </w:r>
          </w:p>
        </w:tc>
      </w:tr>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含税）</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22,193,999.90</w:t>
            </w:r>
          </w:p>
        </w:tc>
      </w:tr>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5,998,118.20</w:t>
            </w:r>
          </w:p>
        </w:tc>
      </w:tr>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28,192,118.1</w:t>
            </w:r>
          </w:p>
        </w:tc>
      </w:tr>
      <w:tr>
        <w:trPr>
          <w:trHeight w:val="402"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267,148,810.43</w:t>
            </w:r>
          </w:p>
        </w:tc>
      </w:tr>
      <w:tr>
        <w:trPr>
          <w:trHeight w:val="714"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1"/>
                <w:sz w:val="18"/>
                <w:szCs w:val="18"/>
              </w:rPr>
              <w:t>以董事会审议通过分配预案之日的总股本为基数，向全体股东每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股派发现金股利人民币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元（含税），同时以资本公</w:t>
            </w:r>
            <w:r>
              <w:rPr>
                <w:rFonts w:ascii="宋体" w:hAnsi="宋体" w:cs="宋体" w:eastAsia="宋体" w:hint="default"/>
                <w:sz w:val="18"/>
                <w:szCs w:val="18"/>
              </w:rPr>
              <w:t> 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股，公司回购专户已回购股份不享有利润分配及资本公积金转增股本的权利。若在分配方 案实施前公司总股本发生变动的，将按照现有分配比例不变的原则对分配总额进行调整。</w:t>
            </w:r>
          </w:p>
        </w:tc>
      </w:tr>
    </w:tbl>
    <w:p>
      <w:pPr>
        <w:spacing w:line="240" w:lineRule="auto" w:before="1"/>
        <w:rPr>
          <w:rFonts w:ascii="宋体" w:hAnsi="宋体" w:cs="宋体" w:eastAsia="宋体" w:hint="default"/>
          <w:sz w:val="18"/>
          <w:szCs w:val="18"/>
        </w:rPr>
      </w:pPr>
    </w:p>
    <w:p>
      <w:pPr>
        <w:pStyle w:val="Heading2"/>
        <w:spacing w:line="240" w:lineRule="auto" w:before="26"/>
        <w:ind w:right="1128"/>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128"/>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3"/>
        <w:gridCol w:w="1560"/>
        <w:gridCol w:w="991"/>
        <w:gridCol w:w="2126"/>
        <w:gridCol w:w="1135"/>
        <w:gridCol w:w="991"/>
        <w:gridCol w:w="919"/>
      </w:tblGrid>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8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8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84"/>
              <w:jc w:val="both"/>
              <w:rPr>
                <w:rFonts w:ascii="宋体" w:hAnsi="宋体" w:cs="宋体" w:eastAsia="宋体" w:hint="default"/>
                <w:sz w:val="18"/>
                <w:szCs w:val="18"/>
              </w:rPr>
            </w:pPr>
            <w:r>
              <w:rPr>
                <w:rFonts w:ascii="宋体" w:hAnsi="宋体" w:cs="宋体" w:eastAsia="宋体" w:hint="default"/>
                <w:sz w:val="18"/>
                <w:szCs w:val="18"/>
              </w:rPr>
              <w:t>庄浩、庄澍、西藏 永悦诗超企业管理 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自公司股票上市之日起三 </w:t>
            </w:r>
            <w:r>
              <w:rPr>
                <w:rFonts w:ascii="宋体" w:hAnsi="宋体" w:cs="宋体" w:eastAsia="宋体" w:hint="default"/>
                <w:spacing w:val="-8"/>
                <w:sz w:val="18"/>
                <w:szCs w:val="18"/>
              </w:rPr>
              <w:t>十六个月内，不转让或者委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托他人管理直接或间接持 </w:t>
            </w:r>
            <w:r>
              <w:rPr>
                <w:rFonts w:ascii="宋体" w:hAnsi="宋体" w:cs="宋体" w:eastAsia="宋体" w:hint="default"/>
                <w:spacing w:val="-8"/>
                <w:sz w:val="18"/>
                <w:szCs w:val="18"/>
              </w:rPr>
              <w:t>有的公司股份，也不由公司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收购该部分股份。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9"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3.040009pt;margin-top:279.839783pt;width:56.2pt;height:331.6pt;mso-position-horizontal-relative:page;mso-position-vertical-relative:page;z-index:-1282720" coordorigin="7661,5597" coordsize="1124,6632">
            <v:group style="position:absolute;left:7661;top:5597;width:1124;height:6632" coordorigin="7661,5597" coordsize="1124,6632">
              <v:shape style="position:absolute;left:7661;top:5597;width:1124;height:6632" coordorigin="7661,5597" coordsize="1124,6632" path="m7661,5597l8784,5597,8784,12228,7661,12228,7661,5597xe" filled="true" fillcolor="#ffffff" stroked="false">
                <v:path arrowok="t"/>
                <v:fill type="solid"/>
              </v:shape>
            </v:group>
            <v:group style="position:absolute;left:7682;top:8561;width:1078;height:351" coordorigin="7682,8561" coordsize="1078,351">
              <v:shape style="position:absolute;left:7682;top:8561;width:1078;height:351" coordorigin="7682,8561" coordsize="1078,351" path="m7682,8561l8760,8561,8760,8911,7682,8911,7682,8561xe" filled="true" fillcolor="#ffffff" stroked="false">
                <v:path arrowok="t"/>
                <v:fill type="solid"/>
              </v:shape>
            </v:group>
            <v:group style="position:absolute;left:7682;top:8911;width:1078;height:353" coordorigin="7682,8911" coordsize="1078,353">
              <v:shape style="position:absolute;left:7682;top:8911;width:1078;height:353" coordorigin="7682,8911" coordsize="1078,353" path="m7682,8911l8760,8911,8760,9264,7682,9264,7682,89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55" w:hRule="exact"/>
        </w:trPr>
        <w:tc>
          <w:tcPr>
            <w:tcW w:w="1842" w:type="dxa"/>
            <w:vMerge w:val="restart"/>
            <w:tcBorders>
              <w:top w:val="single" w:sz="4" w:space="0" w:color="000000"/>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公司股票自挂牌上市之日</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起三年内，一旦出现连续</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个交易日公司股票收盘</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价均低于公司上一个会计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年度末经审计的每股净资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4"/>
              <w:jc w:val="both"/>
              <w:rPr>
                <w:rFonts w:ascii="宋体" w:hAnsi="宋体" w:cs="宋体" w:eastAsia="宋体" w:hint="default"/>
                <w:sz w:val="18"/>
                <w:szCs w:val="18"/>
              </w:rPr>
            </w:pPr>
            <w:r>
              <w:rPr>
                <w:rFonts w:ascii="宋体" w:hAnsi="宋体" w:cs="宋体" w:eastAsia="宋体" w:hint="default"/>
                <w:sz w:val="18"/>
                <w:szCs w:val="18"/>
              </w:rPr>
              <w:t>厦门吉宏科技股份 有限公司、庄浩、 庄澍</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产（最近一期审计基准日 </w:t>
            </w:r>
            <w:r>
              <w:rPr>
                <w:rFonts w:ascii="宋体" w:hAnsi="宋体" w:cs="宋体" w:eastAsia="宋体" w:hint="default"/>
                <w:spacing w:val="-8"/>
                <w:sz w:val="18"/>
                <w:szCs w:val="18"/>
              </w:rPr>
              <w:t>后，因利润分配、资本公积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金转增股本、增发、配股等</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情况导致公司净资产或股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份总数出现变化的</w:t>
            </w:r>
            <w:r>
              <w:rPr>
                <w:rFonts w:ascii="宋体" w:hAnsi="宋体" w:cs="宋体" w:eastAsia="宋体" w:hint="default"/>
                <w:spacing w:val="-92"/>
                <w:sz w:val="18"/>
                <w:szCs w:val="18"/>
              </w:rPr>
              <w:t>，</w:t>
            </w:r>
            <w:r>
              <w:rPr>
                <w:rFonts w:ascii="宋体" w:hAnsi="宋体" w:cs="宋体" w:eastAsia="宋体" w:hint="default"/>
                <w:sz w:val="18"/>
                <w:szCs w:val="18"/>
              </w:rPr>
              <w:t>每股净</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资产相应进行调整）时，将</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采取包括回购股份</w:t>
            </w:r>
            <w:r>
              <w:rPr>
                <w:rFonts w:ascii="宋体" w:hAnsi="宋体" w:cs="宋体" w:eastAsia="宋体" w:hint="default"/>
                <w:spacing w:val="-92"/>
                <w:sz w:val="18"/>
                <w:szCs w:val="18"/>
              </w:rPr>
              <w:t>、</w:t>
            </w:r>
            <w:r>
              <w:rPr>
                <w:rFonts w:ascii="宋体" w:hAnsi="宋体" w:cs="宋体" w:eastAsia="宋体" w:hint="default"/>
                <w:sz w:val="18"/>
                <w:szCs w:val="18"/>
              </w:rPr>
              <w:t>增持等</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稳定股价具体措施。</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公司回购股份具体方案实</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施完毕后</w:t>
            </w:r>
            <w:r>
              <w:rPr>
                <w:rFonts w:ascii="宋体" w:hAnsi="宋体" w:cs="宋体" w:eastAsia="宋体" w:hint="default"/>
                <w:spacing w:val="-92"/>
                <w:sz w:val="18"/>
                <w:szCs w:val="18"/>
              </w:rPr>
              <w:t>，</w:t>
            </w:r>
            <w:r>
              <w:rPr>
                <w:rFonts w:ascii="宋体" w:hAnsi="宋体" w:cs="宋体" w:eastAsia="宋体" w:hint="default"/>
                <w:sz w:val="18"/>
                <w:szCs w:val="18"/>
              </w:rPr>
              <w:t>如未达到规定的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稳定股价终止条件</w:t>
            </w:r>
            <w:r>
              <w:rPr>
                <w:rFonts w:ascii="宋体" w:hAnsi="宋体" w:cs="宋体" w:eastAsia="宋体" w:hint="default"/>
                <w:spacing w:val="-92"/>
                <w:sz w:val="18"/>
                <w:szCs w:val="18"/>
              </w:rPr>
              <w:t>，</w:t>
            </w:r>
            <w:r>
              <w:rPr>
                <w:rFonts w:ascii="宋体" w:hAnsi="宋体" w:cs="宋体" w:eastAsia="宋体" w:hint="default"/>
                <w:sz w:val="18"/>
                <w:szCs w:val="18"/>
              </w:rPr>
              <w:t>将依据</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w:t>
            </w:r>
            <w:r>
              <w:rPr>
                <w:rFonts w:ascii="宋体" w:hAnsi="宋体" w:cs="宋体" w:eastAsia="宋体" w:hint="default"/>
                <w:spacing w:val="-92"/>
                <w:sz w:val="18"/>
                <w:szCs w:val="18"/>
              </w:rPr>
              <w:t>、</w:t>
            </w:r>
            <w:r>
              <w:rPr>
                <w:rFonts w:ascii="宋体" w:hAnsi="宋体" w:cs="宋体" w:eastAsia="宋体" w:hint="default"/>
                <w:sz w:val="18"/>
                <w:szCs w:val="18"/>
              </w:rPr>
              <w:t>法规及公司章程的规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92"/>
                <w:sz w:val="18"/>
                <w:szCs w:val="18"/>
              </w:rPr>
              <w:t>，</w:t>
            </w:r>
            <w:r>
              <w:rPr>
                <w:rFonts w:ascii="宋体" w:hAnsi="宋体" w:cs="宋体" w:eastAsia="宋体" w:hint="default"/>
                <w:sz w:val="18"/>
                <w:szCs w:val="18"/>
              </w:rPr>
              <w:t>在不影响公司上市条件</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的前提下</w:t>
            </w:r>
            <w:r>
              <w:rPr>
                <w:rFonts w:ascii="宋体" w:hAnsi="宋体" w:cs="宋体" w:eastAsia="宋体" w:hint="default"/>
                <w:spacing w:val="-92"/>
                <w:sz w:val="18"/>
                <w:szCs w:val="18"/>
              </w:rPr>
              <w:t>，</w:t>
            </w:r>
            <w:r>
              <w:rPr>
                <w:rFonts w:ascii="宋体" w:hAnsi="宋体" w:cs="宋体" w:eastAsia="宋体" w:hint="default"/>
                <w:sz w:val="18"/>
                <w:szCs w:val="18"/>
              </w:rPr>
              <w:t>于稳定股价措施</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启动条件成就后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日内提出增持公司股份的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w:t>
            </w:r>
            <w:r>
              <w:rPr>
                <w:rFonts w:ascii="宋体" w:hAnsi="宋体" w:cs="宋体" w:eastAsia="宋体" w:hint="default"/>
                <w:spacing w:val="-92"/>
                <w:sz w:val="18"/>
                <w:szCs w:val="18"/>
              </w:rPr>
              <w:t>，</w:t>
            </w:r>
            <w:r>
              <w:rPr>
                <w:rFonts w:ascii="宋体" w:hAnsi="宋体" w:cs="宋体" w:eastAsia="宋体" w:hint="default"/>
                <w:sz w:val="18"/>
                <w:szCs w:val="18"/>
              </w:rPr>
              <w:t>并依法履行所需的审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4" w:right="19"/>
              <w:jc w:val="left"/>
              <w:rPr>
                <w:rFonts w:ascii="宋体" w:hAnsi="宋体" w:cs="宋体" w:eastAsia="宋体" w:hint="default"/>
                <w:sz w:val="18"/>
                <w:szCs w:val="18"/>
              </w:rPr>
            </w:pPr>
            <w:r>
              <w:rPr>
                <w:rFonts w:ascii="宋体" w:hAnsi="宋体" w:cs="宋体" w:eastAsia="宋体" w:hint="default"/>
                <w:spacing w:val="-11"/>
                <w:w w:val="100"/>
                <w:sz w:val="18"/>
                <w:szCs w:val="18"/>
              </w:rPr>
              <w:t>批</w:t>
            </w:r>
            <w:r>
              <w:rPr>
                <w:rFonts w:ascii="Times New Roman" w:hAnsi="Times New Roman" w:cs="Times New Roman" w:eastAsia="Times New Roman" w:hint="default"/>
                <w:spacing w:val="-11"/>
                <w:w w:val="100"/>
                <w:sz w:val="18"/>
                <w:szCs w:val="18"/>
              </w:rPr>
              <w:t>/</w:t>
            </w:r>
            <w:r>
              <w:rPr>
                <w:rFonts w:ascii="宋体" w:hAnsi="宋体" w:cs="宋体" w:eastAsia="宋体" w:hint="default"/>
                <w:spacing w:val="-11"/>
                <w:w w:val="100"/>
                <w:sz w:val="18"/>
                <w:szCs w:val="18"/>
              </w:rPr>
              <w:t>备案手续（如需），在获</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得批准后的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w:t>
            </w:r>
            <w:r>
              <w:rPr>
                <w:rFonts w:ascii="宋体" w:hAnsi="宋体" w:cs="宋体" w:eastAsia="宋体" w:hint="default"/>
                <w:spacing w:val="-8"/>
                <w:sz w:val="18"/>
                <w:szCs w:val="18"/>
              </w:rPr>
              <w:t>通知公司，公司应按照相关</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规定披露增持股份的计划</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增持股份的价格不超过上</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一个会计年度经审计的每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股净资产</w:t>
            </w:r>
            <w:r>
              <w:rPr>
                <w:rFonts w:ascii="宋体" w:hAnsi="宋体" w:cs="宋体" w:eastAsia="宋体" w:hint="default"/>
                <w:spacing w:val="-92"/>
                <w:sz w:val="18"/>
                <w:szCs w:val="18"/>
              </w:rPr>
              <w:t>，</w:t>
            </w:r>
            <w:r>
              <w:rPr>
                <w:rFonts w:ascii="宋体" w:hAnsi="宋体" w:cs="宋体" w:eastAsia="宋体" w:hint="default"/>
                <w:sz w:val="18"/>
                <w:szCs w:val="18"/>
              </w:rPr>
              <w:t>同时遵循以下原</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6"/>
                <w:sz w:val="18"/>
                <w:szCs w:val="18"/>
              </w:rPr>
              <w:t>）</w:t>
            </w:r>
            <w:r>
              <w:rPr>
                <w:rFonts w:ascii="宋体" w:hAnsi="宋体" w:cs="宋体" w:eastAsia="宋体" w:hint="default"/>
                <w:sz w:val="18"/>
                <w:szCs w:val="18"/>
              </w:rPr>
              <w:t>单次增持股份数量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不低于本公司股份总数的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）单一会计年度增</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持股份数量不超过本公司</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1" w:header="745" w:top="1060" w:bottom="1180" w:left="980" w:right="0"/>
          <w:pgNumType w:start="30"/>
        </w:sectPr>
      </w:pPr>
    </w:p>
    <w:p>
      <w:pPr>
        <w:spacing w:line="240" w:lineRule="auto" w:before="0"/>
        <w:rPr>
          <w:rFonts w:ascii="Times New Roman" w:hAnsi="Times New Roman" w:cs="Times New Roman" w:eastAsia="Times New Roman" w:hint="default"/>
          <w:sz w:val="20"/>
          <w:szCs w:val="20"/>
        </w:rPr>
      </w:pPr>
      <w:r>
        <w:rPr/>
        <w:pict>
          <v:group style="position:absolute;margin-left:383.040009pt;margin-top:72.479767pt;width:56.2pt;height:697pt;mso-position-horizontal-relative:page;mso-position-vertical-relative:page;z-index:-1282696" coordorigin="7661,1450" coordsize="1124,13940">
            <v:group style="position:absolute;left:7661;top:1450;width:1124;height:13940" coordorigin="7661,1450" coordsize="1124,13940">
              <v:shape style="position:absolute;left:7661;top:1450;width:1124;height:13940" coordorigin="7661,1450" coordsize="1124,13940" path="m7661,1450l8784,1450,8784,15389,7661,15389,7661,1450xe" filled="true" fillcolor="#ffffff" stroked="false">
                <v:path arrowok="t"/>
                <v:fill type="solid"/>
              </v:shape>
            </v:group>
            <v:group style="position:absolute;left:7682;top:8066;width:1078;height:353" coordorigin="7682,8066" coordsize="1078,353">
              <v:shape style="position:absolute;left:7682;top:8066;width:1078;height:353" coordorigin="7682,8066" coordsize="1078,353" path="m7682,8066l8760,8066,8760,8419,7682,8419,7682,8066xe" filled="true" fillcolor="#ffffff" stroked="false">
                <v:path arrowok="t"/>
                <v:fill type="solid"/>
              </v:shape>
            </v:group>
            <v:group style="position:absolute;left:7682;top:8419;width:1078;height:353" coordorigin="7682,8419" coordsize="1078,353">
              <v:shape style="position:absolute;left:7682;top:8419;width:1078;height:353" coordorigin="7682,8419" coordsize="1078,353" path="m7682,8419l8760,8419,8760,8772,7682,8772,7682,841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228" w:hRule="exact"/>
        </w:trPr>
        <w:tc>
          <w:tcPr>
            <w:tcW w:w="1842" w:type="dxa"/>
            <w:vMerge w:val="restart"/>
            <w:tcBorders>
              <w:top w:val="single" w:sz="4" w:space="0" w:color="000000"/>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控股股东增持股份具体方</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案实施完毕后</w:t>
            </w:r>
            <w:r>
              <w:rPr>
                <w:rFonts w:ascii="宋体" w:hAnsi="宋体" w:cs="宋体" w:eastAsia="宋体" w:hint="default"/>
                <w:spacing w:val="-92"/>
                <w:sz w:val="18"/>
                <w:szCs w:val="18"/>
              </w:rPr>
              <w:t>，</w:t>
            </w:r>
            <w:r>
              <w:rPr>
                <w:rFonts w:ascii="宋体" w:hAnsi="宋体" w:cs="宋体" w:eastAsia="宋体" w:hint="default"/>
                <w:sz w:val="18"/>
                <w:szCs w:val="18"/>
              </w:rPr>
              <w:t>如未达到规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定的稳定股价终止条件</w:t>
            </w:r>
            <w:r>
              <w:rPr>
                <w:rFonts w:ascii="宋体" w:hAnsi="宋体" w:cs="宋体" w:eastAsia="宋体" w:hint="default"/>
                <w:spacing w:val="-92"/>
                <w:sz w:val="18"/>
                <w:szCs w:val="18"/>
              </w:rPr>
              <w:t>，</w:t>
            </w:r>
            <w:r>
              <w:rPr>
                <w:rFonts w:ascii="宋体" w:hAnsi="宋体" w:cs="宋体" w:eastAsia="宋体" w:hint="default"/>
                <w:sz w:val="18"/>
                <w:szCs w:val="18"/>
              </w:rPr>
              <w:t>将</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依据法律</w:t>
            </w:r>
            <w:r>
              <w:rPr>
                <w:rFonts w:ascii="宋体" w:hAnsi="宋体" w:cs="宋体" w:eastAsia="宋体" w:hint="default"/>
                <w:spacing w:val="-92"/>
                <w:sz w:val="18"/>
                <w:szCs w:val="18"/>
              </w:rPr>
              <w:t>、</w:t>
            </w:r>
            <w:r>
              <w:rPr>
                <w:rFonts w:ascii="宋体" w:hAnsi="宋体" w:cs="宋体" w:eastAsia="宋体" w:hint="default"/>
                <w:sz w:val="18"/>
                <w:szCs w:val="18"/>
              </w:rPr>
              <w:t>法规及公司章程</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的规定</w:t>
            </w:r>
            <w:r>
              <w:rPr>
                <w:rFonts w:ascii="宋体" w:hAnsi="宋体" w:cs="宋体" w:eastAsia="宋体" w:hint="default"/>
                <w:spacing w:val="-92"/>
                <w:sz w:val="18"/>
                <w:szCs w:val="18"/>
              </w:rPr>
              <w:t>，</w:t>
            </w:r>
            <w:r>
              <w:rPr>
                <w:rFonts w:ascii="宋体" w:hAnsi="宋体" w:cs="宋体" w:eastAsia="宋体" w:hint="default"/>
                <w:sz w:val="18"/>
                <w:szCs w:val="18"/>
              </w:rPr>
              <w:t>在不影响公司上市</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条件的前提下</w:t>
            </w:r>
            <w:r>
              <w:rPr>
                <w:rFonts w:ascii="宋体" w:hAnsi="宋体" w:cs="宋体" w:eastAsia="宋体" w:hint="default"/>
                <w:spacing w:val="-92"/>
                <w:sz w:val="18"/>
                <w:szCs w:val="18"/>
              </w:rPr>
              <w:t>，</w:t>
            </w:r>
            <w:r>
              <w:rPr>
                <w:rFonts w:ascii="宋体" w:hAnsi="宋体" w:cs="宋体" w:eastAsia="宋体" w:hint="default"/>
                <w:sz w:val="18"/>
                <w:szCs w:val="18"/>
              </w:rPr>
              <w:t>于稳定股价</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措施启动条件成就后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交易日内提出增持公司股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份的方案</w:t>
            </w:r>
            <w:r>
              <w:rPr>
                <w:rFonts w:ascii="宋体" w:hAnsi="宋体" w:cs="宋体" w:eastAsia="宋体" w:hint="default"/>
                <w:spacing w:val="-92"/>
                <w:sz w:val="18"/>
                <w:szCs w:val="18"/>
              </w:rPr>
              <w:t>，</w:t>
            </w:r>
            <w:r>
              <w:rPr>
                <w:rFonts w:ascii="宋体" w:hAnsi="宋体" w:cs="宋体" w:eastAsia="宋体" w:hint="default"/>
                <w:sz w:val="18"/>
                <w:szCs w:val="18"/>
              </w:rPr>
              <w:t>并依法履行所需</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的审批手续（如需</w:t>
            </w:r>
            <w:r>
              <w:rPr>
                <w:rFonts w:ascii="宋体" w:hAnsi="宋体" w:cs="宋体" w:eastAsia="宋体" w:hint="default"/>
                <w:spacing w:val="-92"/>
                <w:sz w:val="18"/>
                <w:szCs w:val="18"/>
              </w:rPr>
              <w:t>）</w:t>
            </w:r>
            <w:r>
              <w:rPr>
                <w:rFonts w:ascii="宋体" w:hAnsi="宋体" w:cs="宋体" w:eastAsia="宋体" w:hint="default"/>
                <w:sz w:val="18"/>
                <w:szCs w:val="18"/>
              </w:rPr>
              <w:t>，在获</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得批准后的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通知公司</w:t>
            </w:r>
            <w:r>
              <w:rPr>
                <w:rFonts w:ascii="宋体" w:hAnsi="宋体" w:cs="宋体" w:eastAsia="宋体" w:hint="default"/>
                <w:spacing w:val="-92"/>
                <w:sz w:val="18"/>
                <w:szCs w:val="18"/>
              </w:rPr>
              <w:t>，</w:t>
            </w:r>
            <w:r>
              <w:rPr>
                <w:rFonts w:ascii="宋体" w:hAnsi="宋体" w:cs="宋体" w:eastAsia="宋体" w:hint="default"/>
                <w:sz w:val="18"/>
                <w:szCs w:val="18"/>
              </w:rPr>
              <w:t>公司应按照相关</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55"/>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4"/>
              <w:jc w:val="left"/>
              <w:rPr>
                <w:rFonts w:ascii="宋体" w:hAnsi="宋体" w:cs="宋体" w:eastAsia="宋体" w:hint="default"/>
                <w:sz w:val="18"/>
                <w:szCs w:val="18"/>
              </w:rPr>
            </w:pPr>
            <w:r>
              <w:rPr>
                <w:rFonts w:ascii="宋体" w:hAnsi="宋体" w:cs="宋体" w:eastAsia="宋体" w:hint="default"/>
                <w:spacing w:val="-3"/>
                <w:sz w:val="18"/>
                <w:szCs w:val="18"/>
              </w:rPr>
              <w:t>规定披露增持股份的计划。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增持股份的价格不超过上</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一个会计年度经审计的每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股净资产</w:t>
            </w:r>
            <w:r>
              <w:rPr>
                <w:rFonts w:ascii="宋体" w:hAnsi="宋体" w:cs="宋体" w:eastAsia="宋体" w:hint="default"/>
                <w:spacing w:val="-92"/>
                <w:sz w:val="18"/>
                <w:szCs w:val="18"/>
              </w:rPr>
              <w:t>，</w:t>
            </w:r>
            <w:r>
              <w:rPr>
                <w:rFonts w:ascii="宋体" w:hAnsi="宋体" w:cs="宋体" w:eastAsia="宋体" w:hint="default"/>
                <w:sz w:val="18"/>
                <w:szCs w:val="18"/>
              </w:rPr>
              <w:t>同时遵循以下原</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6"/>
                <w:sz w:val="18"/>
                <w:szCs w:val="18"/>
              </w:rPr>
              <w:t>）</w:t>
            </w:r>
            <w:r>
              <w:rPr>
                <w:rFonts w:ascii="宋体" w:hAnsi="宋体" w:cs="宋体" w:eastAsia="宋体" w:hint="default"/>
                <w:sz w:val="18"/>
                <w:szCs w:val="18"/>
              </w:rPr>
              <w:t>单次用于购买股份</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的资金金额不低于担任董</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事职务期间上一会计年度</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从公司领取的税后薪酬累</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）单一年</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度用以稳定股价所动用的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资金应不超过担任董事职</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务期间上一会计年度从公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司领取的税后薪酬累计额</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233" w:hRule="exact"/>
        </w:trPr>
        <w:tc>
          <w:tcPr>
            <w:tcW w:w="1842"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3.040009pt;margin-top:311.039764pt;width:56.2pt;height:440.8pt;mso-position-horizontal-relative:page;mso-position-vertical-relative:page;z-index:-1282672" coordorigin="7661,6221" coordsize="1124,8816">
            <v:group style="position:absolute;left:7661;top:6221;width:1124;height:8816" coordorigin="7661,6221" coordsize="1124,8816">
              <v:shape style="position:absolute;left:7661;top:6221;width:1124;height:8816" coordorigin="7661,6221" coordsize="1124,8816" path="m7661,6221l8784,6221,8784,15036,7661,15036,7661,6221xe" filled="true" fillcolor="#ffffff" stroked="false">
                <v:path arrowok="t"/>
                <v:fill type="solid"/>
              </v:shape>
            </v:group>
            <v:group style="position:absolute;left:7682;top:10277;width:1078;height:351" coordorigin="7682,10277" coordsize="1078,351">
              <v:shape style="position:absolute;left:7682;top:10277;width:1078;height:351" coordorigin="7682,10277" coordsize="1078,351" path="m7682,10277l8760,10277,8760,10627,7682,10627,7682,10277xe" filled="true" fillcolor="#ffffff" stroked="false">
                <v:path arrowok="t"/>
                <v:fill type="solid"/>
              </v:shape>
            </v:group>
            <v:group style="position:absolute;left:7682;top:10627;width:1078;height:353" coordorigin="7682,10627" coordsize="1078,353">
              <v:shape style="position:absolute;left:7682;top:10627;width:1078;height:353" coordorigin="7682,10627" coordsize="1078,353" path="m7682,10627l8760,10627,8760,10980,7682,10980,7682,1062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55" w:hRule="exact"/>
        </w:trPr>
        <w:tc>
          <w:tcPr>
            <w:tcW w:w="1842" w:type="dxa"/>
            <w:vMerge w:val="restart"/>
            <w:tcBorders>
              <w:top w:val="single" w:sz="4" w:space="0" w:color="000000"/>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公司首次公开发行股票并</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92"/>
                <w:sz w:val="18"/>
                <w:szCs w:val="18"/>
              </w:rPr>
              <w:t>，</w:t>
            </w:r>
            <w:r>
              <w:rPr>
                <w:rFonts w:ascii="宋体" w:hAnsi="宋体" w:cs="宋体" w:eastAsia="宋体" w:hint="default"/>
                <w:sz w:val="18"/>
                <w:szCs w:val="18"/>
              </w:rPr>
              <w:t>本人在锁定期满后</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可根据需要减持所持公司</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32"/>
                <w:sz w:val="18"/>
                <w:szCs w:val="18"/>
              </w:rPr>
              <w:t>）</w:t>
            </w:r>
            <w:r>
              <w:rPr>
                <w:rFonts w:ascii="宋体" w:hAnsi="宋体" w:cs="宋体" w:eastAsia="宋体" w:hint="default"/>
                <w:sz w:val="18"/>
                <w:szCs w:val="18"/>
              </w:rPr>
              <w:t>减持价</w:t>
            </w:r>
            <w:r>
              <w:rPr>
                <w:rFonts w:ascii="宋体" w:hAnsi="宋体" w:cs="宋体" w:eastAsia="宋体" w:hint="default"/>
                <w:spacing w:val="2"/>
                <w:sz w:val="18"/>
                <w:szCs w:val="18"/>
              </w:rPr>
              <w:t>格</w:t>
            </w:r>
            <w:r>
              <w:rPr>
                <w:rFonts w:ascii="宋体" w:hAnsi="宋体" w:cs="宋体" w:eastAsia="宋体" w:hint="default"/>
                <w:spacing w:val="-32"/>
                <w:sz w:val="18"/>
                <w:szCs w:val="18"/>
              </w:rPr>
              <w:t>：</w:t>
            </w:r>
            <w:r>
              <w:rPr>
                <w:rFonts w:ascii="宋体" w:hAnsi="宋体" w:cs="宋体" w:eastAsia="宋体" w:hint="default"/>
                <w:sz w:val="18"/>
                <w:szCs w:val="18"/>
              </w:rPr>
              <w:t>所持</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股票在锁定期满后两年内</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减持的</w:t>
            </w:r>
            <w:r>
              <w:rPr>
                <w:rFonts w:ascii="宋体" w:hAnsi="宋体" w:cs="宋体" w:eastAsia="宋体" w:hint="default"/>
                <w:spacing w:val="-92"/>
                <w:sz w:val="18"/>
                <w:szCs w:val="18"/>
              </w:rPr>
              <w:t>，</w:t>
            </w:r>
            <w:r>
              <w:rPr>
                <w:rFonts w:ascii="宋体" w:hAnsi="宋体" w:cs="宋体" w:eastAsia="宋体" w:hint="default"/>
                <w:sz w:val="18"/>
                <w:szCs w:val="18"/>
              </w:rPr>
              <w:t>减持价格不低于发</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庄浩、庄澍</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8"/>
                <w:sz w:val="18"/>
                <w:szCs w:val="18"/>
              </w:rPr>
              <w:t>行价；锁定期满两年后，本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人若通过证券交易所集中 </w:t>
            </w:r>
            <w:r>
              <w:rPr>
                <w:rFonts w:ascii="宋体" w:hAnsi="宋体" w:cs="宋体" w:eastAsia="宋体" w:hint="default"/>
                <w:spacing w:val="-8"/>
                <w:sz w:val="18"/>
                <w:szCs w:val="18"/>
              </w:rPr>
              <w:t>竞价交易系统减持股份，则</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价格不低于减持公告日前</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一个交易日股票收盘价。</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）本人在实施减持计划</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时将提前三个交易日通知</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公司减持事宜并由公司予</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以公告。</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厦门吉宏首次公开发行股</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票并上市后</w:t>
            </w:r>
            <w:r>
              <w:rPr>
                <w:rFonts w:ascii="宋体" w:hAnsi="宋体" w:cs="宋体" w:eastAsia="宋体" w:hint="default"/>
                <w:spacing w:val="-92"/>
                <w:sz w:val="18"/>
                <w:szCs w:val="18"/>
              </w:rPr>
              <w:t>，</w:t>
            </w:r>
            <w:r>
              <w:rPr>
                <w:rFonts w:ascii="宋体" w:hAnsi="宋体" w:cs="宋体" w:eastAsia="宋体" w:hint="default"/>
                <w:sz w:val="18"/>
                <w:szCs w:val="18"/>
              </w:rPr>
              <w:t>本公司在锁定</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期满后可根据需要减持所</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持股份，具体减持计划为</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）减持数量及时间：自</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本公司所持厦门吉宏之股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份的锁定期届满之日起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个月内</w:t>
            </w:r>
            <w:r>
              <w:rPr>
                <w:rFonts w:ascii="宋体" w:hAnsi="宋体" w:cs="宋体" w:eastAsia="宋体" w:hint="default"/>
                <w:spacing w:val="-92"/>
                <w:sz w:val="18"/>
                <w:szCs w:val="18"/>
              </w:rPr>
              <w:t>，</w:t>
            </w:r>
            <w:r>
              <w:rPr>
                <w:rFonts w:ascii="宋体" w:hAnsi="宋体" w:cs="宋体" w:eastAsia="宋体" w:hint="default"/>
                <w:sz w:val="18"/>
                <w:szCs w:val="18"/>
              </w:rPr>
              <w:t>减持额度将不超过</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本公司届时所持厦门吉宏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股份总</w:t>
            </w:r>
            <w:r>
              <w:rPr>
                <w:rFonts w:ascii="宋体" w:hAnsi="宋体" w:cs="宋体" w:eastAsia="宋体" w:hint="default"/>
                <w:spacing w:val="-92"/>
                <w:sz w:val="18"/>
                <w:szCs w:val="18"/>
              </w:rPr>
              <w:t>数</w:t>
            </w:r>
            <w:r>
              <w:rPr>
                <w:rFonts w:ascii="宋体" w:hAnsi="宋体" w:cs="宋体" w:eastAsia="宋体" w:hint="default"/>
                <w:sz w:val="18"/>
                <w:szCs w:val="18"/>
              </w:rPr>
              <w:t>（需减去本公司股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东龚红鹰间接持有的厦门</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吉宏股份）的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公司所持厦门吉宏股份的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84"/>
              <w:jc w:val="left"/>
              <w:rPr>
                <w:rFonts w:ascii="宋体" w:hAnsi="宋体" w:cs="宋体" w:eastAsia="宋体" w:hint="default"/>
                <w:sz w:val="18"/>
                <w:szCs w:val="18"/>
              </w:rPr>
            </w:pPr>
            <w:r>
              <w:rPr>
                <w:rFonts w:ascii="宋体" w:hAnsi="宋体" w:cs="宋体" w:eastAsia="宋体" w:hint="default"/>
                <w:sz w:val="18"/>
                <w:szCs w:val="18"/>
              </w:rPr>
              <w:t>西藏永悦诗超企业 管理有限公司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锁定期届满之日起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个月期间，减持额度</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将不超过本公司届时所持</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厦门吉宏股份总</w:t>
            </w:r>
            <w:r>
              <w:rPr>
                <w:rFonts w:ascii="宋体" w:hAnsi="宋体" w:cs="宋体" w:eastAsia="宋体" w:hint="default"/>
                <w:spacing w:val="-92"/>
                <w:sz w:val="18"/>
                <w:szCs w:val="18"/>
              </w:rPr>
              <w:t>数</w:t>
            </w:r>
            <w:r>
              <w:rPr>
                <w:rFonts w:ascii="宋体" w:hAnsi="宋体" w:cs="宋体" w:eastAsia="宋体" w:hint="default"/>
                <w:sz w:val="18"/>
                <w:szCs w:val="18"/>
              </w:rPr>
              <w:t>（需减去</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本公司股东龚红鹰间接持</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有的厦门吉宏股份）的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）减持价格：不</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低于厦门吉宏首次公开发</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行股票时的发行价</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46"/>
                <w:sz w:val="18"/>
                <w:szCs w:val="18"/>
              </w:rPr>
              <w:t>）</w:t>
            </w:r>
            <w:r>
              <w:rPr>
                <w:rFonts w:ascii="宋体" w:hAnsi="宋体" w:cs="宋体" w:eastAsia="宋体" w:hint="default"/>
                <w:sz w:val="18"/>
                <w:szCs w:val="18"/>
              </w:rPr>
              <w:t>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持方式：实施减持计划时</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本公司提前三个交易日通</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知公司减持事宜并由公司</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予以公告</w:t>
            </w:r>
            <w:r>
              <w:rPr>
                <w:rFonts w:ascii="宋体" w:hAnsi="宋体" w:cs="宋体" w:eastAsia="宋体" w:hint="default"/>
                <w:spacing w:val="-92"/>
                <w:sz w:val="18"/>
                <w:szCs w:val="18"/>
              </w:rPr>
              <w:t>。</w:t>
            </w:r>
            <w:r>
              <w:rPr>
                <w:rFonts w:ascii="宋体" w:hAnsi="宋体" w:cs="宋体" w:eastAsia="宋体" w:hint="default"/>
                <w:sz w:val="18"/>
                <w:szCs w:val="18"/>
              </w:rPr>
              <w:t>减持将通过证券</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交易所以大宗交易</w:t>
            </w:r>
            <w:r>
              <w:rPr>
                <w:rFonts w:ascii="宋体" w:hAnsi="宋体" w:cs="宋体" w:eastAsia="宋体" w:hint="default"/>
                <w:spacing w:val="-92"/>
                <w:sz w:val="18"/>
                <w:szCs w:val="18"/>
              </w:rPr>
              <w:t>、</w:t>
            </w:r>
            <w:r>
              <w:rPr>
                <w:rFonts w:ascii="宋体" w:hAnsi="宋体" w:cs="宋体" w:eastAsia="宋体" w:hint="default"/>
                <w:sz w:val="18"/>
                <w:szCs w:val="18"/>
              </w:rPr>
              <w:t>竞价交</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易或其他方式依法进行。</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3.040009pt;margin-top:72.479767pt;width:56.2pt;height:456.4pt;mso-position-horizontal-relative:page;mso-position-vertical-relative:page;z-index:-1282648" coordorigin="7661,1450" coordsize="1124,9128">
            <v:group style="position:absolute;left:7661;top:1450;width:1124;height:9128" coordorigin="7661,1450" coordsize="1124,9128">
              <v:shape style="position:absolute;left:7661;top:1450;width:1124;height:9128" coordorigin="7661,1450" coordsize="1124,9128" path="m7661,1450l8784,1450,8784,10577,7661,10577,7661,1450xe" filled="true" fillcolor="#ffffff" stroked="false">
                <v:path arrowok="t"/>
                <v:fill type="solid"/>
              </v:shape>
            </v:group>
            <v:group style="position:absolute;left:7682;top:5662;width:1078;height:353" coordorigin="7682,5662" coordsize="1078,353">
              <v:shape style="position:absolute;left:7682;top:5662;width:1078;height:353" coordorigin="7682,5662" coordsize="1078,353" path="m7682,5662l8760,5662,8760,6014,7682,6014,7682,5662xe" filled="true" fillcolor="#ffffff" stroked="false">
                <v:path arrowok="t"/>
                <v:fill type="solid"/>
              </v:shape>
            </v:group>
            <v:group style="position:absolute;left:7682;top:6014;width:1078;height:351" coordorigin="7682,6014" coordsize="1078,351">
              <v:shape style="position:absolute;left:7682;top:6014;width:1078;height:351" coordorigin="7682,6014" coordsize="1078,351" path="m7682,6014l8760,6014,8760,6365,7682,6365,7682,601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55" w:hRule="exact"/>
        </w:trPr>
        <w:tc>
          <w:tcPr>
            <w:tcW w:w="1842" w:type="dxa"/>
            <w:vMerge w:val="restart"/>
            <w:tcBorders>
              <w:top w:val="single" w:sz="4" w:space="0" w:color="000000"/>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厦门吉宏首次公开发行股</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票并上市后</w:t>
            </w:r>
            <w:r>
              <w:rPr>
                <w:rFonts w:ascii="宋体" w:hAnsi="宋体" w:cs="宋体" w:eastAsia="宋体" w:hint="default"/>
                <w:spacing w:val="-92"/>
                <w:sz w:val="18"/>
                <w:szCs w:val="18"/>
              </w:rPr>
              <w:t>，</w:t>
            </w:r>
            <w:r>
              <w:rPr>
                <w:rFonts w:ascii="宋体" w:hAnsi="宋体" w:cs="宋体" w:eastAsia="宋体" w:hint="default"/>
                <w:sz w:val="18"/>
                <w:szCs w:val="18"/>
              </w:rPr>
              <w:t>本公司在锁定</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期满后可根据需要减持所</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持股份，具体减持计划为</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）减持数量及时间：自</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本公司所持厦门吉宏股份</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的锁定期届满之日起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月内</w:t>
            </w:r>
            <w:r>
              <w:rPr>
                <w:rFonts w:ascii="宋体" w:hAnsi="宋体" w:cs="宋体" w:eastAsia="宋体" w:hint="default"/>
                <w:spacing w:val="-92"/>
                <w:sz w:val="18"/>
                <w:szCs w:val="18"/>
              </w:rPr>
              <w:t>，</w:t>
            </w:r>
            <w:r>
              <w:rPr>
                <w:rFonts w:ascii="宋体" w:hAnsi="宋体" w:cs="宋体" w:eastAsia="宋体" w:hint="default"/>
                <w:sz w:val="18"/>
                <w:szCs w:val="18"/>
              </w:rPr>
              <w:t>减持额度将不超过本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公司届时所持厦门吉宏股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份总</w:t>
            </w:r>
            <w:r>
              <w:rPr>
                <w:rFonts w:ascii="宋体" w:hAnsi="宋体" w:cs="宋体" w:eastAsia="宋体" w:hint="default"/>
                <w:spacing w:val="-92"/>
                <w:sz w:val="18"/>
                <w:szCs w:val="18"/>
              </w:rPr>
              <w:t>数</w:t>
            </w:r>
            <w:r>
              <w:rPr>
                <w:rFonts w:ascii="宋体" w:hAnsi="宋体" w:cs="宋体" w:eastAsia="宋体" w:hint="default"/>
                <w:sz w:val="18"/>
                <w:szCs w:val="18"/>
              </w:rPr>
              <w:t>（需减去本公司股东</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邵跃明</w:t>
            </w:r>
            <w:r>
              <w:rPr>
                <w:rFonts w:ascii="宋体" w:hAnsi="宋体" w:cs="宋体" w:eastAsia="宋体" w:hint="default"/>
                <w:spacing w:val="-92"/>
                <w:sz w:val="18"/>
                <w:szCs w:val="18"/>
              </w:rPr>
              <w:t>、</w:t>
            </w:r>
            <w:r>
              <w:rPr>
                <w:rFonts w:ascii="宋体" w:hAnsi="宋体" w:cs="宋体" w:eastAsia="宋体" w:hint="default"/>
                <w:sz w:val="18"/>
                <w:szCs w:val="18"/>
              </w:rPr>
              <w:t>周承东间接持有的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厦门吉宏股份）的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自本公司所持厦门吉宏之</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霍尔果斯金润悦网 络科技合伙企业</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股份的锁定期届满之日起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8"/>
                <w:sz w:val="18"/>
                <w:szCs w:val="18"/>
              </w:rPr>
              <w:t>个月期间，减</w:t>
            </w:r>
            <w:r>
              <w:rPr>
                <w:rFonts w:ascii="宋体" w:hAnsi="宋体" w:cs="宋体" w:eastAsia="宋体" w:hint="default"/>
                <w:sz w:val="18"/>
                <w:szCs w:val="18"/>
              </w:rPr>
              <w:t> 持额度将不超过本公司届</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时所持厦门吉宏股份总数</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（需减去本公司股东邵跃</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w:t>
            </w:r>
            <w:r>
              <w:rPr>
                <w:rFonts w:ascii="宋体" w:hAnsi="宋体" w:cs="宋体" w:eastAsia="宋体" w:hint="default"/>
                <w:spacing w:val="-92"/>
                <w:sz w:val="18"/>
                <w:szCs w:val="18"/>
              </w:rPr>
              <w:t>、</w:t>
            </w:r>
            <w:r>
              <w:rPr>
                <w:rFonts w:ascii="宋体" w:hAnsi="宋体" w:cs="宋体" w:eastAsia="宋体" w:hint="default"/>
                <w:sz w:val="18"/>
                <w:szCs w:val="18"/>
              </w:rPr>
              <w:t>周承东间接持有的厦门</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吉宏股份）的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减持价格</w:t>
            </w:r>
            <w:r>
              <w:rPr>
                <w:rFonts w:ascii="宋体" w:hAnsi="宋体" w:cs="宋体" w:eastAsia="宋体" w:hint="default"/>
                <w:spacing w:val="-92"/>
                <w:sz w:val="18"/>
                <w:szCs w:val="18"/>
              </w:rPr>
              <w:t>：</w:t>
            </w:r>
            <w:r>
              <w:rPr>
                <w:rFonts w:ascii="宋体" w:hAnsi="宋体" w:cs="宋体" w:eastAsia="宋体" w:hint="default"/>
                <w:sz w:val="18"/>
                <w:szCs w:val="18"/>
              </w:rPr>
              <w:t>不低于厦门吉宏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首次公开发行股票时的发</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行价</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2"/>
                <w:sz w:val="18"/>
                <w:szCs w:val="18"/>
              </w:rPr>
              <w:t>）</w:t>
            </w:r>
            <w:r>
              <w:rPr>
                <w:rFonts w:ascii="宋体" w:hAnsi="宋体" w:cs="宋体" w:eastAsia="宋体" w:hint="default"/>
                <w:sz w:val="18"/>
                <w:szCs w:val="18"/>
              </w:rPr>
              <w:t>减持方</w:t>
            </w:r>
            <w:r>
              <w:rPr>
                <w:rFonts w:ascii="宋体" w:hAnsi="宋体" w:cs="宋体" w:eastAsia="宋体" w:hint="default"/>
                <w:spacing w:val="2"/>
                <w:sz w:val="18"/>
                <w:szCs w:val="18"/>
              </w:rPr>
              <w:t>式</w:t>
            </w:r>
            <w:r>
              <w:rPr>
                <w:rFonts w:ascii="宋体" w:hAnsi="宋体" w:cs="宋体" w:eastAsia="宋体" w:hint="default"/>
                <w:spacing w:val="-32"/>
                <w:sz w:val="18"/>
                <w:szCs w:val="18"/>
              </w:rPr>
              <w:t>：</w:t>
            </w:r>
            <w:r>
              <w:rPr>
                <w:rFonts w:ascii="宋体" w:hAnsi="宋体" w:cs="宋体" w:eastAsia="宋体" w:hint="default"/>
                <w:sz w:val="18"/>
                <w:szCs w:val="18"/>
              </w:rPr>
              <w:t>实施</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减持计划时</w:t>
            </w:r>
            <w:r>
              <w:rPr>
                <w:rFonts w:ascii="宋体" w:hAnsi="宋体" w:cs="宋体" w:eastAsia="宋体" w:hint="default"/>
                <w:spacing w:val="-92"/>
                <w:sz w:val="18"/>
                <w:szCs w:val="18"/>
              </w:rPr>
              <w:t>，</w:t>
            </w:r>
            <w:r>
              <w:rPr>
                <w:rFonts w:ascii="宋体" w:hAnsi="宋体" w:cs="宋体" w:eastAsia="宋体" w:hint="default"/>
                <w:sz w:val="18"/>
                <w:szCs w:val="18"/>
              </w:rPr>
              <w:t>本公司提前三</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个交易日通知公司减持事</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宜并由公司予以公告</w:t>
            </w:r>
            <w:r>
              <w:rPr>
                <w:rFonts w:ascii="宋体" w:hAnsi="宋体" w:cs="宋体" w:eastAsia="宋体" w:hint="default"/>
                <w:spacing w:val="-92"/>
                <w:sz w:val="18"/>
                <w:szCs w:val="18"/>
              </w:rPr>
              <w:t>。</w:t>
            </w:r>
            <w:r>
              <w:rPr>
                <w:rFonts w:ascii="宋体" w:hAnsi="宋体" w:cs="宋体" w:eastAsia="宋体" w:hint="default"/>
                <w:sz w:val="18"/>
                <w:szCs w:val="18"/>
              </w:rPr>
              <w:t>减持</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将通过证券交易所以大宗</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pacing w:val="-92"/>
                <w:sz w:val="18"/>
                <w:szCs w:val="18"/>
              </w:rPr>
              <w:t>、</w:t>
            </w:r>
            <w:r>
              <w:rPr>
                <w:rFonts w:ascii="宋体" w:hAnsi="宋体" w:cs="宋体" w:eastAsia="宋体" w:hint="default"/>
                <w:sz w:val="18"/>
                <w:szCs w:val="18"/>
              </w:rPr>
              <w:t>竞价交易或其他方式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依法进行。</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3.040009pt;margin-top:435.839783pt;width:56.2pt;height:191.2pt;mso-position-horizontal-relative:page;mso-position-vertical-relative:page;z-index:-1282624" coordorigin="7661,8717" coordsize="1124,3824">
            <v:group style="position:absolute;left:7661;top:8717;width:1124;height:3824" coordorigin="7661,8717" coordsize="1124,3824">
              <v:shape style="position:absolute;left:7661;top:8717;width:1124;height:3824" coordorigin="7661,8717" coordsize="1124,3824" path="m7661,8717l8784,8717,8784,12540,7661,12540,7661,8717xe" filled="true" fillcolor="#ffffff" stroked="false">
                <v:path arrowok="t"/>
                <v:fill type="solid"/>
              </v:shape>
            </v:group>
            <v:group style="position:absolute;left:7682;top:10277;width:1078;height:351" coordorigin="7682,10277" coordsize="1078,351">
              <v:shape style="position:absolute;left:7682;top:10277;width:1078;height:351" coordorigin="7682,10277" coordsize="1078,351" path="m7682,10277l8760,10277,8760,10627,7682,10627,7682,10277xe" filled="true" fillcolor="#ffffff" stroked="false">
                <v:path arrowok="t"/>
                <v:fill type="solid"/>
              </v:shape>
            </v:group>
            <v:group style="position:absolute;left:7682;top:10627;width:1078;height:353" coordorigin="7682,10627" coordsize="1078,353">
              <v:shape style="position:absolute;left:7682;top:10627;width:1078;height:353" coordorigin="7682,10627" coordsize="1078,353" path="m7682,10627l8760,10627,8760,10980,7682,10980,7682,1062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55" w:hRule="exact"/>
        </w:trPr>
        <w:tc>
          <w:tcPr>
            <w:tcW w:w="1842" w:type="dxa"/>
            <w:vMerge w:val="restart"/>
            <w:tcBorders>
              <w:top w:val="single" w:sz="4" w:space="0" w:color="000000"/>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所持股票在锁定期满后两</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年内减持的</w:t>
            </w:r>
            <w:r>
              <w:rPr>
                <w:rFonts w:ascii="宋体" w:hAnsi="宋体" w:cs="宋体" w:eastAsia="宋体" w:hint="default"/>
                <w:spacing w:val="-92"/>
                <w:sz w:val="18"/>
                <w:szCs w:val="18"/>
              </w:rPr>
              <w:t>，</w:t>
            </w:r>
            <w:r>
              <w:rPr>
                <w:rFonts w:ascii="宋体" w:hAnsi="宋体" w:cs="宋体" w:eastAsia="宋体" w:hint="default"/>
                <w:sz w:val="18"/>
                <w:szCs w:val="18"/>
              </w:rPr>
              <w:t>减持价格不低</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于发行</w:t>
            </w:r>
            <w:r>
              <w:rPr>
                <w:rFonts w:ascii="宋体" w:hAnsi="宋体" w:cs="宋体" w:eastAsia="宋体" w:hint="default"/>
                <w:spacing w:val="-92"/>
                <w:sz w:val="18"/>
                <w:szCs w:val="18"/>
              </w:rPr>
              <w:t>价</w:t>
            </w:r>
            <w:r>
              <w:rPr>
                <w:rFonts w:ascii="宋体" w:hAnsi="宋体" w:cs="宋体" w:eastAsia="宋体" w:hint="default"/>
                <w:sz w:val="18"/>
                <w:szCs w:val="18"/>
              </w:rPr>
              <w:t>（指公司首次公开</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发行股票的发行价格</w:t>
            </w:r>
            <w:r>
              <w:rPr>
                <w:rFonts w:ascii="宋体" w:hAnsi="宋体" w:cs="宋体" w:eastAsia="宋体" w:hint="default"/>
                <w:spacing w:val="-92"/>
                <w:sz w:val="18"/>
                <w:szCs w:val="18"/>
              </w:rPr>
              <w:t>，</w:t>
            </w:r>
            <w:r>
              <w:rPr>
                <w:rFonts w:ascii="宋体" w:hAnsi="宋体" w:cs="宋体" w:eastAsia="宋体" w:hint="default"/>
                <w:sz w:val="18"/>
                <w:szCs w:val="18"/>
              </w:rPr>
              <w:t>如果</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公司上市后因派发现金红</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利、送股、转增股本、增发</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新股等原因进行除权</w:t>
            </w:r>
            <w:r>
              <w:rPr>
                <w:rFonts w:ascii="宋体" w:hAnsi="宋体" w:cs="宋体" w:eastAsia="宋体" w:hint="default"/>
                <w:spacing w:val="-92"/>
                <w:sz w:val="18"/>
                <w:szCs w:val="18"/>
              </w:rPr>
              <w:t>、</w:t>
            </w:r>
            <w:r>
              <w:rPr>
                <w:rFonts w:ascii="宋体" w:hAnsi="宋体" w:cs="宋体" w:eastAsia="宋体" w:hint="default"/>
                <w:sz w:val="18"/>
                <w:szCs w:val="18"/>
              </w:rPr>
              <w:t>除息</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92"/>
                <w:sz w:val="18"/>
                <w:szCs w:val="18"/>
              </w:rPr>
              <w:t>，</w:t>
            </w:r>
            <w:r>
              <w:rPr>
                <w:rFonts w:ascii="宋体" w:hAnsi="宋体" w:cs="宋体" w:eastAsia="宋体" w:hint="default"/>
                <w:sz w:val="18"/>
                <w:szCs w:val="18"/>
              </w:rPr>
              <w:t>则按照证券交易所的有</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关规定作除权除息处理</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庄浩、庄澍</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4" w:right="17"/>
              <w:jc w:val="both"/>
              <w:rPr>
                <w:rFonts w:ascii="宋体" w:hAnsi="宋体" w:cs="宋体" w:eastAsia="宋体" w:hint="default"/>
                <w:sz w:val="18"/>
                <w:szCs w:val="18"/>
              </w:rPr>
            </w:pPr>
            <w:r>
              <w:rPr>
                <w:rFonts w:ascii="宋体" w:hAnsi="宋体" w:cs="宋体" w:eastAsia="宋体" w:hint="default"/>
                <w:sz w:val="18"/>
                <w:szCs w:val="18"/>
              </w:rPr>
              <w:t>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 </w:t>
            </w:r>
            <w:r>
              <w:rPr>
                <w:rFonts w:ascii="宋体" w:hAnsi="宋体" w:cs="宋体" w:eastAsia="宋体" w:hint="default"/>
                <w:spacing w:val="-8"/>
                <w:sz w:val="18"/>
                <w:szCs w:val="18"/>
              </w:rPr>
              <w:t>收盘价均低于发行价，或者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低于发行价</w:t>
            </w:r>
            <w:r>
              <w:rPr>
                <w:rFonts w:ascii="宋体" w:hAnsi="宋体" w:cs="宋体" w:eastAsia="宋体" w:hint="default"/>
                <w:spacing w:val="-92"/>
                <w:sz w:val="18"/>
                <w:szCs w:val="18"/>
              </w:rPr>
              <w:t>，</w:t>
            </w:r>
            <w:r>
              <w:rPr>
                <w:rFonts w:ascii="宋体" w:hAnsi="宋体" w:cs="宋体" w:eastAsia="宋体" w:hint="default"/>
                <w:sz w:val="18"/>
                <w:szCs w:val="18"/>
              </w:rPr>
              <w:t>持有公司股票</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的锁定期限自动延长至少</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个月，如遇除权除息事</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项，上述发行价作相应调</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92"/>
                <w:sz w:val="18"/>
                <w:szCs w:val="18"/>
              </w:rPr>
              <w:t>。</w:t>
            </w:r>
            <w:r>
              <w:rPr>
                <w:rFonts w:ascii="宋体" w:hAnsi="宋体" w:cs="宋体" w:eastAsia="宋体" w:hint="default"/>
                <w:sz w:val="18"/>
                <w:szCs w:val="18"/>
              </w:rPr>
              <w:t>本人对上述承诺事项依</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法承担相应法律责任</w:t>
            </w:r>
            <w:r>
              <w:rPr>
                <w:rFonts w:ascii="宋体" w:hAnsi="宋体" w:cs="宋体" w:eastAsia="宋体" w:hint="default"/>
                <w:spacing w:val="-92"/>
                <w:sz w:val="18"/>
                <w:szCs w:val="18"/>
              </w:rPr>
              <w:t>，</w:t>
            </w:r>
            <w:r>
              <w:rPr>
                <w:rFonts w:ascii="宋体" w:hAnsi="宋体" w:cs="宋体" w:eastAsia="宋体" w:hint="default"/>
                <w:sz w:val="18"/>
                <w:szCs w:val="18"/>
              </w:rPr>
              <w:t>有关</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股权锁定期的承诺在本人</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离职后仍然有效</w:t>
            </w:r>
            <w:r>
              <w:rPr>
                <w:rFonts w:ascii="宋体" w:hAnsi="宋体" w:cs="宋体" w:eastAsia="宋体" w:hint="default"/>
                <w:spacing w:val="-92"/>
                <w:sz w:val="18"/>
                <w:szCs w:val="18"/>
              </w:rPr>
              <w:t>，</w:t>
            </w:r>
            <w:r>
              <w:rPr>
                <w:rFonts w:ascii="宋体" w:hAnsi="宋体" w:cs="宋体" w:eastAsia="宋体" w:hint="default"/>
                <w:sz w:val="18"/>
                <w:szCs w:val="18"/>
              </w:rPr>
              <w:t>不因本人</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职务变更</w:t>
            </w:r>
            <w:r>
              <w:rPr>
                <w:rFonts w:ascii="宋体" w:hAnsi="宋体" w:cs="宋体" w:eastAsia="宋体" w:hint="default"/>
                <w:spacing w:val="-92"/>
                <w:sz w:val="18"/>
                <w:szCs w:val="18"/>
              </w:rPr>
              <w:t>、</w:t>
            </w:r>
            <w:r>
              <w:rPr>
                <w:rFonts w:ascii="宋体" w:hAnsi="宋体" w:cs="宋体" w:eastAsia="宋体" w:hint="default"/>
                <w:sz w:val="18"/>
                <w:szCs w:val="18"/>
              </w:rPr>
              <w:t>离职等原因而放</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弃履行有关义务。</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842" w:type="dxa"/>
            <w:vMerge/>
            <w:tcBorders>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在本人担任公司董事</w:t>
            </w:r>
            <w:r>
              <w:rPr>
                <w:rFonts w:ascii="宋体" w:hAnsi="宋体" w:cs="宋体" w:eastAsia="宋体" w:hint="default"/>
                <w:spacing w:val="-92"/>
                <w:sz w:val="18"/>
                <w:szCs w:val="18"/>
              </w:rPr>
              <w:t>、</w:t>
            </w:r>
            <w:r>
              <w:rPr>
                <w:rFonts w:ascii="宋体" w:hAnsi="宋体" w:cs="宋体" w:eastAsia="宋体" w:hint="default"/>
                <w:sz w:val="18"/>
                <w:szCs w:val="18"/>
              </w:rPr>
              <w:t>高级</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管理人员的期间内</w:t>
            </w:r>
            <w:r>
              <w:rPr>
                <w:rFonts w:ascii="宋体" w:hAnsi="宋体" w:cs="宋体" w:eastAsia="宋体" w:hint="default"/>
                <w:spacing w:val="-92"/>
                <w:sz w:val="18"/>
                <w:szCs w:val="18"/>
              </w:rPr>
              <w:t>，</w:t>
            </w:r>
            <w:r>
              <w:rPr>
                <w:rFonts w:ascii="宋体" w:hAnsi="宋体" w:cs="宋体" w:eastAsia="宋体" w:hint="default"/>
                <w:sz w:val="18"/>
                <w:szCs w:val="18"/>
              </w:rPr>
              <w:t>本人每</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年转让的股份不超过本人</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所持有公司股份数的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自本人离任上述职务后的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庄浩、庄澍</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55"/>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半年内</w:t>
            </w:r>
            <w:r>
              <w:rPr>
                <w:rFonts w:ascii="宋体" w:hAnsi="宋体" w:cs="宋体" w:eastAsia="宋体" w:hint="default"/>
                <w:spacing w:val="-92"/>
                <w:sz w:val="18"/>
                <w:szCs w:val="18"/>
              </w:rPr>
              <w:t>，</w:t>
            </w:r>
            <w:r>
              <w:rPr>
                <w:rFonts w:ascii="宋体" w:hAnsi="宋体" w:cs="宋体" w:eastAsia="宋体" w:hint="default"/>
                <w:sz w:val="18"/>
                <w:szCs w:val="18"/>
              </w:rPr>
              <w:t>不转让本人所持有</w:t>
            </w:r>
            <w:r>
              <w:rPr>
                <w:rFonts w:ascii="宋体" w:hAnsi="宋体" w:cs="宋体" w:eastAsia="宋体" w:hint="default"/>
                <w:sz w:val="18"/>
                <w:szCs w:val="18"/>
              </w:rPr>
              <w:t> 的公司股份</w:t>
            </w:r>
            <w:r>
              <w:rPr>
                <w:rFonts w:ascii="宋体" w:hAnsi="宋体" w:cs="宋体" w:eastAsia="宋体" w:hint="default"/>
                <w:spacing w:val="-92"/>
                <w:sz w:val="18"/>
                <w:szCs w:val="18"/>
              </w:rPr>
              <w:t>；</w:t>
            </w:r>
            <w:r>
              <w:rPr>
                <w:rFonts w:ascii="宋体" w:hAnsi="宋体" w:cs="宋体" w:eastAsia="宋体" w:hint="default"/>
                <w:sz w:val="18"/>
                <w:szCs w:val="18"/>
              </w:rPr>
              <w:t>在申报离任六</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4" w:lineRule="auto" w:before="13"/>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个月后的十二个月内通过</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证券交易所挂牌交易出售</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公司股票数量占本人所持</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公司股票总数的比例不超</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55" w:hRule="exact"/>
        </w:trPr>
        <w:tc>
          <w:tcPr>
            <w:tcW w:w="1842" w:type="dxa"/>
            <w:vMerge w:val="restart"/>
            <w:tcBorders>
              <w:top w:val="single" w:sz="4" w:space="0" w:color="000000"/>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在本人作为发行人的控股</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股东及实际控制人期间</w:t>
            </w:r>
            <w:r>
              <w:rPr>
                <w:rFonts w:ascii="宋体" w:hAnsi="宋体" w:cs="宋体" w:eastAsia="宋体" w:hint="default"/>
                <w:spacing w:val="-92"/>
                <w:sz w:val="18"/>
                <w:szCs w:val="18"/>
              </w:rPr>
              <w:t>，</w:t>
            </w:r>
            <w:r>
              <w:rPr>
                <w:rFonts w:ascii="宋体" w:hAnsi="宋体" w:cs="宋体" w:eastAsia="宋体" w:hint="default"/>
                <w:sz w:val="18"/>
                <w:szCs w:val="18"/>
              </w:rPr>
              <w:t>保</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证不与关联方发生非经营</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性的资金往来</w:t>
            </w:r>
            <w:r>
              <w:rPr>
                <w:rFonts w:ascii="宋体" w:hAnsi="宋体" w:cs="宋体" w:eastAsia="宋体" w:hint="default"/>
                <w:spacing w:val="-92"/>
                <w:sz w:val="18"/>
                <w:szCs w:val="18"/>
              </w:rPr>
              <w:t>。</w:t>
            </w:r>
            <w:r>
              <w:rPr>
                <w:rFonts w:ascii="宋体" w:hAnsi="宋体" w:cs="宋体" w:eastAsia="宋体" w:hint="default"/>
                <w:sz w:val="18"/>
                <w:szCs w:val="18"/>
              </w:rPr>
              <w:t>本人将尽可</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能减少和规范本人以及本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人控制的其他公司与发行</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人之间的关联交易</w:t>
            </w:r>
            <w:r>
              <w:rPr>
                <w:rFonts w:ascii="宋体" w:hAnsi="宋体" w:cs="宋体" w:eastAsia="宋体" w:hint="default"/>
                <w:spacing w:val="-92"/>
                <w:sz w:val="18"/>
                <w:szCs w:val="18"/>
              </w:rPr>
              <w:t>。</w:t>
            </w:r>
            <w:r>
              <w:rPr>
                <w:rFonts w:ascii="宋体" w:hAnsi="宋体" w:cs="宋体" w:eastAsia="宋体" w:hint="default"/>
                <w:sz w:val="18"/>
                <w:szCs w:val="18"/>
              </w:rPr>
              <w:t>对于无</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法避免或者有合理原因而</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发生的关联交易</w:t>
            </w:r>
            <w:r>
              <w:rPr>
                <w:rFonts w:ascii="宋体" w:hAnsi="宋体" w:cs="宋体" w:eastAsia="宋体" w:hint="default"/>
                <w:spacing w:val="-92"/>
                <w:sz w:val="18"/>
                <w:szCs w:val="18"/>
              </w:rPr>
              <w:t>，</w:t>
            </w:r>
            <w:r>
              <w:rPr>
                <w:rFonts w:ascii="宋体" w:hAnsi="宋体" w:cs="宋体" w:eastAsia="宋体" w:hint="default"/>
                <w:sz w:val="18"/>
                <w:szCs w:val="18"/>
              </w:rPr>
              <w:t>包括但不</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限于商品交易</w:t>
            </w:r>
            <w:r>
              <w:rPr>
                <w:rFonts w:ascii="宋体" w:hAnsi="宋体" w:cs="宋体" w:eastAsia="宋体" w:hint="default"/>
                <w:spacing w:val="-92"/>
                <w:sz w:val="18"/>
                <w:szCs w:val="18"/>
              </w:rPr>
              <w:t>、</w:t>
            </w:r>
            <w:r>
              <w:rPr>
                <w:rFonts w:ascii="宋体" w:hAnsi="宋体" w:cs="宋体" w:eastAsia="宋体" w:hint="default"/>
                <w:sz w:val="18"/>
                <w:szCs w:val="18"/>
              </w:rPr>
              <w:t>相互提供服</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关联交易、 资金占用方 面的承诺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both"/>
              <w:rPr>
                <w:rFonts w:ascii="宋体" w:hAnsi="宋体" w:cs="宋体" w:eastAsia="宋体" w:hint="default"/>
                <w:sz w:val="18"/>
                <w:szCs w:val="18"/>
              </w:rPr>
            </w:pPr>
            <w:r>
              <w:rPr>
                <w:rFonts w:ascii="宋体" w:hAnsi="宋体" w:cs="宋体" w:eastAsia="宋体" w:hint="default"/>
                <w:spacing w:val="-8"/>
                <w:sz w:val="18"/>
                <w:szCs w:val="18"/>
              </w:rPr>
              <w:t>务或作为代理，本人将一律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严格遵循等价、有偿、公平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交易的原则，在一项市场公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平交易中不要求发行人提</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供优于任何第三者给予或</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给予第三者的条件</w:t>
            </w:r>
            <w:r>
              <w:rPr>
                <w:rFonts w:ascii="宋体" w:hAnsi="宋体" w:cs="宋体" w:eastAsia="宋体" w:hint="default"/>
                <w:spacing w:val="-92"/>
                <w:sz w:val="18"/>
                <w:szCs w:val="18"/>
              </w:rPr>
              <w:t>，</w:t>
            </w:r>
            <w:r>
              <w:rPr>
                <w:rFonts w:ascii="宋体" w:hAnsi="宋体" w:cs="宋体" w:eastAsia="宋体" w:hint="default"/>
                <w:sz w:val="18"/>
                <w:szCs w:val="18"/>
              </w:rPr>
              <w:t>并依据</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宋体" w:hAnsi="宋体" w:cs="宋体" w:eastAsia="宋体" w:hint="default"/>
                <w:spacing w:val="-92"/>
                <w:sz w:val="18"/>
                <w:szCs w:val="18"/>
              </w:rPr>
              <w:t>》</w:t>
            </w:r>
            <w:r>
              <w:rPr>
                <w:rFonts w:ascii="宋体" w:hAnsi="宋体" w:cs="宋体" w:eastAsia="宋体" w:hint="default"/>
                <w:sz w:val="18"/>
                <w:szCs w:val="18"/>
              </w:rPr>
              <w:t>等有</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关规范性文件及发行人章</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程履行合法审批程序并订</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立相关协议</w:t>
            </w:r>
            <w:r>
              <w:rPr>
                <w:rFonts w:ascii="Times New Roman" w:hAnsi="Times New Roman" w:cs="Times New Roman" w:eastAsia="Times New Roman" w:hint="default"/>
                <w:sz w:val="18"/>
                <w:szCs w:val="18"/>
              </w:rPr>
              <w:t>/</w:t>
            </w:r>
            <w:r>
              <w:rPr>
                <w:rFonts w:ascii="宋体" w:hAnsi="宋体" w:cs="宋体" w:eastAsia="宋体" w:hint="default"/>
                <w:sz w:val="18"/>
                <w:szCs w:val="18"/>
              </w:rPr>
              <w:t>合同，及时进</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行信息披露</w:t>
            </w:r>
            <w:r>
              <w:rPr>
                <w:rFonts w:ascii="宋体" w:hAnsi="宋体" w:cs="宋体" w:eastAsia="宋体" w:hint="default"/>
                <w:spacing w:val="-92"/>
                <w:sz w:val="18"/>
                <w:szCs w:val="18"/>
              </w:rPr>
              <w:t>，</w:t>
            </w:r>
            <w:r>
              <w:rPr>
                <w:rFonts w:ascii="宋体" w:hAnsi="宋体" w:cs="宋体" w:eastAsia="宋体" w:hint="default"/>
                <w:sz w:val="18"/>
                <w:szCs w:val="18"/>
              </w:rPr>
              <w:t>规范相关交易</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行为</w:t>
            </w:r>
            <w:r>
              <w:rPr>
                <w:rFonts w:ascii="宋体" w:hAnsi="宋体" w:cs="宋体" w:eastAsia="宋体" w:hint="default"/>
                <w:spacing w:val="-92"/>
                <w:sz w:val="18"/>
                <w:szCs w:val="18"/>
              </w:rPr>
              <w:t>，</w:t>
            </w:r>
            <w:r>
              <w:rPr>
                <w:rFonts w:ascii="宋体" w:hAnsi="宋体" w:cs="宋体" w:eastAsia="宋体" w:hint="default"/>
                <w:sz w:val="18"/>
                <w:szCs w:val="18"/>
              </w:rPr>
              <w:t>保证不通过关联交易</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损害发行人和其他股东的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合法权益。</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7910"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7"/>
          <w:sz w:val="20"/>
          <w:szCs w:val="20"/>
        </w:rPr>
        <w:pict>
          <v:group style="width:478.8pt;height:395.55pt;mso-position-horizontal-relative:char;mso-position-vertical-relative:line" coordorigin="0,0" coordsize="9576,7911">
            <v:group style="position:absolute;left:12;top:14;width:1832;height:7880" coordorigin="12,14" coordsize="1832,7880">
              <v:shape style="position:absolute;left:12;top:14;width:1832;height:7880" coordorigin="12,14" coordsize="1832,7880" path="m12,14l1843,14,1843,7894,12,7894,12,14xe" filled="true" fillcolor="#d3d3d3" stroked="false">
                <v:path arrowok="t"/>
                <v:fill type="solid"/>
              </v:shape>
            </v:group>
            <v:group style="position:absolute;left:10;top:10;width:1834;height:2" coordorigin="10,10" coordsize="1834,2">
              <v:shape style="position:absolute;left:10;top:10;width:1834;height:2" coordorigin="10,10" coordsize="1834,0" path="m10,10l1843,10e" filled="false" stroked="true" strokeweight=".48pt" strokecolor="#000000">
                <v:path arrowok="t"/>
              </v:shape>
            </v:group>
            <v:group style="position:absolute;left:1853;top:10;width:1551;height:2" coordorigin="1853,10" coordsize="1551,2">
              <v:shape style="position:absolute;left:1853;top:10;width:1551;height:2" coordorigin="1853,10" coordsize="1551,0" path="m1853,10l3403,10e" filled="false" stroked="true" strokeweight=".48pt" strokecolor="#000000">
                <v:path arrowok="t"/>
              </v:shape>
            </v:group>
            <v:group style="position:absolute;left:3413;top:10;width:982;height:2" coordorigin="3413,10" coordsize="982,2">
              <v:shape style="position:absolute;left:3413;top:10;width:982;height:2" coordorigin="3413,10" coordsize="982,0" path="m3413,10l4394,10e" filled="false" stroked="true" strokeweight=".48pt" strokecolor="#000000">
                <v:path arrowok="t"/>
              </v:shape>
            </v:group>
            <v:group style="position:absolute;left:6533;top:14;width:1124;height:7880" coordorigin="6533,14" coordsize="1124,7880">
              <v:shape style="position:absolute;left:6533;top:14;width:1124;height:7880" coordorigin="6533,14" coordsize="1124,7880" path="m6533,14l7656,14,7656,7894,6533,7894,6533,14xe" filled="true" fillcolor="#ffffff" stroked="false">
                <v:path arrowok="t"/>
                <v:fill type="solid"/>
              </v:shape>
            </v:group>
            <v:group style="position:absolute;left:6554;top:3602;width:1078;height:353" coordorigin="6554,3602" coordsize="1078,353">
              <v:shape style="position:absolute;left:6554;top:3602;width:1078;height:353" coordorigin="6554,3602" coordsize="1078,353" path="m6554,3602l7632,3602,7632,3955,6554,3955,6554,3602xe" filled="true" fillcolor="#ffffff" stroked="false">
                <v:path arrowok="t"/>
                <v:fill type="solid"/>
              </v:shape>
            </v:group>
            <v:group style="position:absolute;left:6554;top:3955;width:1078;height:351" coordorigin="6554,3955" coordsize="1078,351">
              <v:shape style="position:absolute;left:6554;top:3955;width:1078;height:351" coordorigin="6554,3955" coordsize="1078,351" path="m6554,3955l7632,3955,7632,4306,6554,4306,6554,3955xe" filled="true" fillcolor="#ffffff" stroked="false">
                <v:path arrowok="t"/>
                <v:fill type="solid"/>
              </v:shape>
            </v:group>
            <v:group style="position:absolute;left:4404;top:10;width:2117;height:2" coordorigin="4404,10" coordsize="2117,2">
              <v:shape style="position:absolute;left:4404;top:10;width:2117;height:2" coordorigin="4404,10" coordsize="2117,0" path="m4404,10l6521,10e" filled="false" stroked="true" strokeweight=".48pt" strokecolor="#000000">
                <v:path arrowok="t"/>
              </v:shape>
            </v:group>
            <v:group style="position:absolute;left:6530;top:10;width:1126;height:2" coordorigin="6530,10" coordsize="1126,2">
              <v:shape style="position:absolute;left:6530;top:10;width:1126;height:2" coordorigin="6530,10" coordsize="1126,0" path="m6530,10l7656,10e" filled="false" stroked="true" strokeweight=".48pt" strokecolor="#000000">
                <v:path arrowok="t"/>
              </v:shape>
            </v:group>
            <v:group style="position:absolute;left:7666;top:10;width:982;height:2" coordorigin="7666,10" coordsize="982,2">
              <v:shape style="position:absolute;left:7666;top:10;width:982;height:2" coordorigin="7666,10" coordsize="982,0" path="m7666,10l8647,10e" filled="false" stroked="true" strokeweight=".48pt" strokecolor="#000000">
                <v:path arrowok="t"/>
              </v:shape>
            </v:group>
            <v:group style="position:absolute;left:8657;top:10;width:910;height:2" coordorigin="8657,10" coordsize="910,2">
              <v:shape style="position:absolute;left:8657;top:10;width:910;height:2" coordorigin="8657,10" coordsize="910,0" path="m8657,10l9566,10e" filled="false" stroked="true" strokeweight=".48pt" strokecolor="#000000">
                <v:path arrowok="t"/>
              </v:shape>
            </v:group>
            <v:group style="position:absolute;left:5;top:5;width:2;height:7901" coordorigin="5,5" coordsize="2,7901">
              <v:shape style="position:absolute;left:5;top:5;width:2;height:7901" coordorigin="5,5" coordsize="0,7901" path="m5,5l5,7906e" filled="false" stroked="true" strokeweight=".48pt" strokecolor="#000000">
                <v:path arrowok="t"/>
              </v:shape>
            </v:group>
            <v:group style="position:absolute;left:10;top:7901;width:1834;height:2" coordorigin="10,7901" coordsize="1834,2">
              <v:shape style="position:absolute;left:10;top:7901;width:1834;height:2" coordorigin="10,7901" coordsize="1834,0" path="m10,7901l1843,7901e" filled="false" stroked="true" strokeweight=".48pt" strokecolor="#000000">
                <v:path arrowok="t"/>
              </v:shape>
            </v:group>
            <v:group style="position:absolute;left:1848;top:5;width:2;height:7901" coordorigin="1848,5" coordsize="2,7901">
              <v:shape style="position:absolute;left:1848;top:5;width:2;height:7901" coordorigin="1848,5" coordsize="0,7901" path="m1848,5l1848,7906e" filled="false" stroked="true" strokeweight=".48pt" strokecolor="#000000">
                <v:path arrowok="t"/>
              </v:shape>
            </v:group>
            <v:group style="position:absolute;left:1853;top:7901;width:1551;height:2" coordorigin="1853,7901" coordsize="1551,2">
              <v:shape style="position:absolute;left:1853;top:7901;width:1551;height:2" coordorigin="1853,7901" coordsize="1551,0" path="m1853,7901l3403,7901e" filled="false" stroked="true" strokeweight=".48pt" strokecolor="#000000">
                <v:path arrowok="t"/>
              </v:shape>
            </v:group>
            <v:group style="position:absolute;left:3408;top:5;width:2;height:7901" coordorigin="3408,5" coordsize="2,7901">
              <v:shape style="position:absolute;left:3408;top:5;width:2;height:7901" coordorigin="3408,5" coordsize="0,7901" path="m3408,5l3408,7906e" filled="false" stroked="true" strokeweight=".48pt" strokecolor="#000000">
                <v:path arrowok="t"/>
              </v:shape>
            </v:group>
            <v:group style="position:absolute;left:3413;top:7901;width:982;height:2" coordorigin="3413,7901" coordsize="982,2">
              <v:shape style="position:absolute;left:3413;top:7901;width:982;height:2" coordorigin="3413,7901" coordsize="982,0" path="m3413,7901l4394,7901e" filled="false" stroked="true" strokeweight=".48pt" strokecolor="#000000">
                <v:path arrowok="t"/>
              </v:shape>
            </v:group>
            <v:group style="position:absolute;left:4399;top:5;width:2;height:7901" coordorigin="4399,5" coordsize="2,7901">
              <v:shape style="position:absolute;left:4399;top:5;width:2;height:7901" coordorigin="4399,5" coordsize="0,7901" path="m4399,5l4399,7906e" filled="false" stroked="true" strokeweight=".48pt" strokecolor="#000000">
                <v:path arrowok="t"/>
              </v:shape>
            </v:group>
            <v:group style="position:absolute;left:4404;top:7901;width:2117;height:2" coordorigin="4404,7901" coordsize="2117,2">
              <v:shape style="position:absolute;left:4404;top:7901;width:2117;height:2" coordorigin="4404,7901" coordsize="2117,0" path="m4404,7901l6521,7901e" filled="false" stroked="true" strokeweight=".48pt" strokecolor="#000000">
                <v:path arrowok="t"/>
              </v:shape>
            </v:group>
            <v:group style="position:absolute;left:6526;top:5;width:2;height:7901" coordorigin="6526,5" coordsize="2,7901">
              <v:shape style="position:absolute;left:6526;top:5;width:2;height:7901" coordorigin="6526,5" coordsize="0,7901" path="m6526,5l6526,7906e" filled="false" stroked="true" strokeweight=".48pt" strokecolor="#000000">
                <v:path arrowok="t"/>
              </v:shape>
            </v:group>
            <v:group style="position:absolute;left:6530;top:7901;width:1126;height:2" coordorigin="6530,7901" coordsize="1126,2">
              <v:shape style="position:absolute;left:6530;top:7901;width:1126;height:2" coordorigin="6530,7901" coordsize="1126,0" path="m6530,7901l7656,7901e" filled="false" stroked="true" strokeweight=".48pt" strokecolor="#000000">
                <v:path arrowok="t"/>
              </v:shape>
            </v:group>
            <v:group style="position:absolute;left:7661;top:5;width:2;height:7901" coordorigin="7661,5" coordsize="2,7901">
              <v:shape style="position:absolute;left:7661;top:5;width:2;height:7901" coordorigin="7661,5" coordsize="0,7901" path="m7661,5l7661,7906e" filled="false" stroked="true" strokeweight=".48pt" strokecolor="#000000">
                <v:path arrowok="t"/>
              </v:shape>
            </v:group>
            <v:group style="position:absolute;left:7666;top:7901;width:982;height:2" coordorigin="7666,7901" coordsize="982,2">
              <v:shape style="position:absolute;left:7666;top:7901;width:982;height:2" coordorigin="7666,7901" coordsize="982,0" path="m7666,7901l8647,7901e" filled="false" stroked="true" strokeweight=".48pt" strokecolor="#000000">
                <v:path arrowok="t"/>
              </v:shape>
            </v:group>
            <v:group style="position:absolute;left:8652;top:5;width:2;height:7901" coordorigin="8652,5" coordsize="2,7901">
              <v:shape style="position:absolute;left:8652;top:5;width:2;height:7901" coordorigin="8652,5" coordsize="0,7901" path="m8652,5l8652,7906e" filled="false" stroked="true" strokeweight=".48pt" strokecolor="#000000">
                <v:path arrowok="t"/>
              </v:shape>
            </v:group>
            <v:group style="position:absolute;left:8657;top:7901;width:910;height:2" coordorigin="8657,7901" coordsize="910,2">
              <v:shape style="position:absolute;left:8657;top:7901;width:910;height:2" coordorigin="8657,7901" coordsize="910,0" path="m8657,7901l9566,7901e" filled="false" stroked="true" strokeweight=".48pt" strokecolor="#000000">
                <v:path arrowok="t"/>
              </v:shape>
            </v:group>
            <v:group style="position:absolute;left:9571;top:5;width:2;height:7901" coordorigin="9571,5" coordsize="2,7901">
              <v:shape style="position:absolute;left:9571;top:5;width:2;height:7901" coordorigin="9571,5" coordsize="0,7901" path="m9571,5l9571,7906e" filled="false" stroked="true" strokeweight=".48pt" strokecolor="#000000">
                <v:path arrowok="t"/>
              </v:shape>
              <v:shape style="position:absolute;left:1877;top:386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庄浩</w:t>
                      </w:r>
                    </w:p>
                  </w:txbxContent>
                </v:textbox>
                <w10:wrap type="none"/>
              </v:shape>
              <v:shape style="position:absolute;left:3408;top:10;width:992;height:78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19" w:lineRule="auto" w:before="123"/>
                        <w:ind w:left="28" w:right="60" w:firstLine="0"/>
                        <w:jc w:val="left"/>
                        <w:rPr>
                          <w:rFonts w:ascii="宋体" w:hAnsi="宋体" w:cs="宋体" w:eastAsia="宋体" w:hint="default"/>
                          <w:sz w:val="18"/>
                          <w:szCs w:val="18"/>
                        </w:rPr>
                      </w:pPr>
                      <w:r>
                        <w:rPr>
                          <w:rFonts w:ascii="宋体" w:hAnsi="宋体" w:cs="宋体" w:eastAsia="宋体" w:hint="default"/>
                          <w:sz w:val="18"/>
                          <w:szCs w:val="18"/>
                        </w:rPr>
                        <w:t>同业竞争方 面的承诺</w:t>
                      </w:r>
                    </w:p>
                  </w:txbxContent>
                </v:textbox>
                <w10:wrap type="none"/>
              </v:shape>
              <v:shape style="position:absolute;left:7690;top:386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长期有效</w:t>
                      </w:r>
                    </w:p>
                  </w:txbxContent>
                </v:textbox>
                <w10:wrap type="none"/>
              </v:shape>
              <v:shape style="position:absolute;left:8681;top:3707;width:720;height:4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正常履行</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中</w:t>
                      </w:r>
                    </w:p>
                  </w:txbxContent>
                </v:textbox>
                <w10:wrap type="none"/>
              </v:shape>
              <v:shape style="position:absolute;left:0;top:0;width:9576;height:7911" type="#_x0000_t202" filled="false" stroked="false">
                <v:textbox inset="0,0,0,0">
                  <w:txbxContent>
                    <w:p>
                      <w:pPr>
                        <w:spacing w:line="312" w:lineRule="exact" w:before="24"/>
                        <w:ind w:left="4428" w:right="2985" w:firstLine="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、截至本承诺函出具之日，</w:t>
                      </w:r>
                      <w:r>
                        <w:rPr>
                          <w:rFonts w:ascii="宋体" w:hAnsi="宋体" w:cs="宋体" w:eastAsia="宋体" w:hint="default"/>
                          <w:sz w:val="18"/>
                          <w:szCs w:val="18"/>
                        </w:rPr>
                        <w:t> 本人未直接或间接从事与 吉宏股份及其控股子公司 </w:t>
                      </w:r>
                      <w:r>
                        <w:rPr>
                          <w:rFonts w:ascii="宋体" w:hAnsi="宋体" w:cs="宋体" w:eastAsia="宋体" w:hint="default"/>
                          <w:spacing w:val="-8"/>
                          <w:sz w:val="18"/>
                          <w:szCs w:val="18"/>
                        </w:rPr>
                        <w:t>相同或相似的业务；本人也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没有为他人经营与吉宏股 份及其控股子公司相同或 </w:t>
                      </w:r>
                      <w:r>
                        <w:rPr>
                          <w:rFonts w:ascii="宋体" w:hAnsi="宋体" w:cs="宋体" w:eastAsia="宋体" w:hint="default"/>
                          <w:spacing w:val="-8"/>
                          <w:sz w:val="18"/>
                          <w:szCs w:val="18"/>
                        </w:rPr>
                        <w:t>类似的业务；在本人作为吉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宏股份的控股股东及实际 </w:t>
                      </w:r>
                      <w:r>
                        <w:rPr>
                          <w:rFonts w:ascii="宋体" w:hAnsi="宋体" w:cs="宋体" w:eastAsia="宋体" w:hint="default"/>
                          <w:spacing w:val="-8"/>
                          <w:sz w:val="18"/>
                          <w:szCs w:val="18"/>
                        </w:rPr>
                        <w:t>控制人期间，本人不会直接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或间接从事与吉宏股份及 其控股子公司相同或相似 的经营活动。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、本人将不</w:t>
                      </w:r>
                    </w:p>
                    <w:p>
                      <w:pPr>
                        <w:spacing w:line="86" w:lineRule="exact" w:before="0"/>
                        <w:ind w:left="0" w:right="1982"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spacing w:line="149" w:lineRule="exact" w:before="0"/>
                        <w:ind w:left="4428" w:right="0" w:firstLine="0"/>
                        <w:jc w:val="left"/>
                        <w:rPr>
                          <w:rFonts w:ascii="宋体" w:hAnsi="宋体" w:cs="宋体" w:eastAsia="宋体" w:hint="default"/>
                          <w:sz w:val="18"/>
                          <w:szCs w:val="18"/>
                        </w:rPr>
                      </w:pPr>
                      <w:r>
                        <w:rPr>
                          <w:rFonts w:ascii="宋体" w:hAnsi="宋体" w:cs="宋体" w:eastAsia="宋体" w:hint="default"/>
                          <w:sz w:val="18"/>
                          <w:szCs w:val="18"/>
                        </w:rPr>
                        <w:t>利用对吉宏股份的控制关</w:t>
                      </w:r>
                    </w:p>
                    <w:p>
                      <w:pPr>
                        <w:spacing w:line="163" w:lineRule="exact" w:before="0"/>
                        <w:ind w:left="0" w:right="2611"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line="189" w:lineRule="exact" w:before="0"/>
                        <w:ind w:left="4428" w:right="0" w:firstLine="0"/>
                        <w:jc w:val="left"/>
                        <w:rPr>
                          <w:rFonts w:ascii="宋体" w:hAnsi="宋体" w:cs="宋体" w:eastAsia="宋体" w:hint="default"/>
                          <w:sz w:val="18"/>
                          <w:szCs w:val="18"/>
                        </w:rPr>
                      </w:pPr>
                      <w:r>
                        <w:rPr>
                          <w:rFonts w:ascii="宋体" w:hAnsi="宋体" w:cs="宋体" w:eastAsia="宋体" w:hint="default"/>
                          <w:sz w:val="18"/>
                          <w:szCs w:val="18"/>
                        </w:rPr>
                        <w:t>系进行损害公司及公司其</w:t>
                      </w:r>
                    </w:p>
                    <w:p>
                      <w:pPr>
                        <w:spacing w:line="316" w:lineRule="auto" w:before="76"/>
                        <w:ind w:left="4428" w:right="2985" w:firstLine="0"/>
                        <w:jc w:val="left"/>
                        <w:rPr>
                          <w:rFonts w:ascii="宋体" w:hAnsi="宋体" w:cs="宋体" w:eastAsia="宋体" w:hint="default"/>
                          <w:sz w:val="18"/>
                          <w:szCs w:val="18"/>
                        </w:rPr>
                      </w:pPr>
                      <w:r>
                        <w:rPr>
                          <w:rFonts w:ascii="宋体" w:hAnsi="宋体" w:cs="宋体" w:eastAsia="宋体" w:hint="default"/>
                          <w:spacing w:val="-7"/>
                          <w:sz w:val="18"/>
                          <w:szCs w:val="18"/>
                        </w:rPr>
                        <w:t>他股东利益的经营活动。</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宋体" w:hAnsi="宋体" w:cs="宋体" w:eastAsia="宋体" w:hint="default"/>
                          <w:sz w:val="18"/>
                          <w:szCs w:val="18"/>
                        </w:rPr>
                        <w:t> 本人确认本承诺函旨在保 障吉宏股份全体股东之权 </w:t>
                      </w:r>
                      <w:r>
                        <w:rPr>
                          <w:rFonts w:ascii="宋体" w:hAnsi="宋体" w:cs="宋体" w:eastAsia="宋体" w:hint="default"/>
                          <w:spacing w:val="-8"/>
                          <w:sz w:val="18"/>
                          <w:szCs w:val="18"/>
                        </w:rPr>
                        <w:t>益而作出；本人确认本承诺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函所载的每一项承诺均为 </w:t>
                      </w:r>
                      <w:r>
                        <w:rPr>
                          <w:rFonts w:ascii="宋体" w:hAnsi="宋体" w:cs="宋体" w:eastAsia="宋体" w:hint="default"/>
                          <w:spacing w:val="-8"/>
                          <w:sz w:val="18"/>
                          <w:szCs w:val="18"/>
                        </w:rPr>
                        <w:t>可独立执行之承诺。任何一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项承诺若被视为无效或终 止将不影响其他各项承诺 </w:t>
                      </w:r>
                      <w:r>
                        <w:rPr>
                          <w:rFonts w:ascii="宋体" w:hAnsi="宋体" w:cs="宋体" w:eastAsia="宋体" w:hint="default"/>
                          <w:spacing w:val="-8"/>
                          <w:sz w:val="18"/>
                          <w:szCs w:val="18"/>
                        </w:rPr>
                        <w:t>的有效性。本函自出具日始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生效，为不可撤销的法律文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xbxContent>
                </v:textbox>
                <w10:wrap type="none"/>
              </v:shape>
            </v:group>
          </v:group>
        </w:pict>
      </w:r>
      <w:r>
        <w:rPr>
          <w:rFonts w:ascii="Times New Roman" w:hAnsi="Times New Roman" w:cs="Times New Roman" w:eastAsia="Times New Roman" w:hint="default"/>
          <w:position w:val="-157"/>
          <w:sz w:val="20"/>
          <w:szCs w:val="20"/>
        </w:rPr>
      </w:r>
    </w:p>
    <w:p>
      <w:pPr>
        <w:spacing w:after="0" w:line="7910" w:lineRule="exact"/>
        <w:rPr>
          <w:rFonts w:ascii="Times New Roman" w:hAnsi="Times New Roman" w:cs="Times New Roman" w:eastAsia="Times New Roman" w:hint="default"/>
          <w:sz w:val="20"/>
          <w:szCs w:val="20"/>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3.040009pt;margin-top:72.479767pt;width:56.2pt;height:394pt;mso-position-horizontal-relative:page;mso-position-vertical-relative:page;z-index:-1282456" coordorigin="7661,1450" coordsize="1124,7880">
            <v:group style="position:absolute;left:7661;top:1450;width:1124;height:7880" coordorigin="7661,1450" coordsize="1124,7880">
              <v:shape style="position:absolute;left:7661;top:1450;width:1124;height:7880" coordorigin="7661,1450" coordsize="1124,7880" path="m7661,1450l8784,1450,8784,9329,7661,9329,7661,1450xe" filled="true" fillcolor="#ffffff" stroked="false">
                <v:path arrowok="t"/>
                <v:fill type="solid"/>
              </v:shape>
            </v:group>
            <v:group style="position:absolute;left:7682;top:5038;width:1078;height:353" coordorigin="7682,5038" coordsize="1078,353">
              <v:shape style="position:absolute;left:7682;top:5038;width:1078;height:353" coordorigin="7682,5038" coordsize="1078,353" path="m7682,5038l8760,5038,8760,5390,7682,5390,7682,5038xe" filled="true" fillcolor="#ffffff" stroked="false">
                <v:path arrowok="t"/>
                <v:fill type="solid"/>
              </v:shape>
            </v:group>
            <v:group style="position:absolute;left:7682;top:5390;width:1078;height:351" coordorigin="7682,5390" coordsize="1078,351">
              <v:shape style="position:absolute;left:7682;top:5390;width:1078;height:351" coordorigin="7682,5390" coordsize="1078,351" path="m7682,5390l8760,5390,8760,5741,7682,5741,7682,539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55" w:hRule="exact"/>
        </w:trPr>
        <w:tc>
          <w:tcPr>
            <w:tcW w:w="1842" w:type="dxa"/>
            <w:vMerge w:val="restart"/>
            <w:tcBorders>
              <w:top w:val="single" w:sz="4" w:space="0" w:color="000000"/>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公司非公开发行股票募集</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14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资金符合公司实际的资金</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需求安排</w:t>
            </w:r>
            <w:r>
              <w:rPr>
                <w:rFonts w:ascii="宋体" w:hAnsi="宋体" w:cs="宋体" w:eastAsia="宋体" w:hint="default"/>
                <w:spacing w:val="-92"/>
                <w:sz w:val="18"/>
                <w:szCs w:val="18"/>
              </w:rPr>
              <w:t>，</w:t>
            </w:r>
            <w:r>
              <w:rPr>
                <w:rFonts w:ascii="宋体" w:hAnsi="宋体" w:cs="宋体" w:eastAsia="宋体" w:hint="default"/>
                <w:sz w:val="18"/>
                <w:szCs w:val="18"/>
              </w:rPr>
              <w:t>公司将在募集资</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金到位后严格按深圳证券</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交易所相关规定与保荐机</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构及募集资金存管银行签</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订《募集资金三方监管协</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92"/>
                <w:sz w:val="18"/>
                <w:szCs w:val="18"/>
              </w:rPr>
              <w:t>》</w:t>
            </w:r>
            <w:r>
              <w:rPr>
                <w:rFonts w:ascii="宋体" w:hAnsi="宋体" w:cs="宋体" w:eastAsia="宋体" w:hint="default"/>
                <w:sz w:val="18"/>
                <w:szCs w:val="18"/>
              </w:rPr>
              <w:t>。公司将严格按照披露</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的内容进行使用</w:t>
            </w:r>
            <w:r>
              <w:rPr>
                <w:rFonts w:ascii="宋体" w:hAnsi="宋体" w:cs="宋体" w:eastAsia="宋体" w:hint="default"/>
                <w:spacing w:val="-92"/>
                <w:sz w:val="18"/>
                <w:szCs w:val="18"/>
              </w:rPr>
              <w:t>，</w:t>
            </w:r>
            <w:r>
              <w:rPr>
                <w:rFonts w:ascii="宋体" w:hAnsi="宋体" w:cs="宋体" w:eastAsia="宋体" w:hint="default"/>
                <w:sz w:val="18"/>
                <w:szCs w:val="18"/>
              </w:rPr>
              <w:t>按照法律</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法规</w:t>
            </w:r>
            <w:r>
              <w:rPr>
                <w:rFonts w:ascii="宋体" w:hAnsi="宋体" w:cs="宋体" w:eastAsia="宋体" w:hint="default"/>
                <w:spacing w:val="-92"/>
                <w:sz w:val="18"/>
                <w:szCs w:val="18"/>
              </w:rPr>
              <w:t>及</w:t>
            </w:r>
            <w:r>
              <w:rPr>
                <w:rFonts w:ascii="宋体" w:hAnsi="宋体" w:cs="宋体" w:eastAsia="宋体" w:hint="default"/>
                <w:sz w:val="18"/>
                <w:szCs w:val="18"/>
              </w:rPr>
              <w:t>《厦门吉宏科技股份</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有限公司募集资金管理制</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84"/>
              <w:jc w:val="left"/>
              <w:rPr>
                <w:rFonts w:ascii="宋体" w:hAnsi="宋体" w:cs="宋体" w:eastAsia="宋体" w:hint="default"/>
                <w:sz w:val="18"/>
                <w:szCs w:val="18"/>
              </w:rPr>
            </w:pPr>
            <w:r>
              <w:rPr>
                <w:rFonts w:ascii="宋体" w:hAnsi="宋体" w:cs="宋体" w:eastAsia="宋体" w:hint="default"/>
                <w:sz w:val="18"/>
                <w:szCs w:val="18"/>
              </w:rPr>
              <w:t>厦门吉宏科技股份 有限公司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55"/>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8"/>
                <w:sz w:val="18"/>
                <w:szCs w:val="18"/>
              </w:rPr>
              <w:t>度》的相关规定对募集资金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实行专户存储、专人审批 </w:t>
            </w:r>
            <w:r>
              <w:rPr>
                <w:rFonts w:ascii="宋体" w:hAnsi="宋体" w:cs="宋体" w:eastAsia="宋体" w:hint="default"/>
                <w:spacing w:val="-8"/>
                <w:sz w:val="18"/>
                <w:szCs w:val="18"/>
              </w:rPr>
              <w:t>专款专用；公司董事会将定</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期核查募集资金投资项目</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的进展情况</w:t>
            </w:r>
            <w:r>
              <w:rPr>
                <w:rFonts w:ascii="宋体" w:hAnsi="宋体" w:cs="宋体" w:eastAsia="宋体" w:hint="default"/>
                <w:spacing w:val="-92"/>
                <w:sz w:val="18"/>
                <w:szCs w:val="18"/>
              </w:rPr>
              <w:t>，</w:t>
            </w:r>
            <w:r>
              <w:rPr>
                <w:rFonts w:ascii="宋体" w:hAnsi="宋体" w:cs="宋体" w:eastAsia="宋体" w:hint="default"/>
                <w:sz w:val="18"/>
                <w:szCs w:val="18"/>
              </w:rPr>
              <w:t>对募集资金的</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存放与使用情况出具专项</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报告，并在年度审计时，聘</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请会计师事务所对募集资</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金存放和使用情况出具鉴</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证报告</w:t>
            </w:r>
            <w:r>
              <w:rPr>
                <w:rFonts w:ascii="宋体" w:hAnsi="宋体" w:cs="宋体" w:eastAsia="宋体" w:hint="default"/>
                <w:spacing w:val="-92"/>
                <w:sz w:val="18"/>
                <w:szCs w:val="18"/>
              </w:rPr>
              <w:t>；</w:t>
            </w:r>
            <w:r>
              <w:rPr>
                <w:rFonts w:ascii="宋体" w:hAnsi="宋体" w:cs="宋体" w:eastAsia="宋体" w:hint="default"/>
                <w:sz w:val="18"/>
                <w:szCs w:val="18"/>
              </w:rPr>
              <w:t>随时接受监管机构</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和保荐机构的监督</w:t>
            </w:r>
            <w:r>
              <w:rPr>
                <w:rFonts w:ascii="宋体" w:hAnsi="宋体" w:cs="宋体" w:eastAsia="宋体" w:hint="default"/>
                <w:spacing w:val="-92"/>
                <w:sz w:val="18"/>
                <w:szCs w:val="18"/>
              </w:rPr>
              <w:t>；</w:t>
            </w:r>
            <w:r>
              <w:rPr>
                <w:rFonts w:ascii="宋体" w:hAnsi="宋体" w:cs="宋体" w:eastAsia="宋体" w:hint="default"/>
                <w:sz w:val="18"/>
                <w:szCs w:val="18"/>
              </w:rPr>
              <w:t>不变相</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通过本次非公开发行股票</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募集资金以实施重大投资</w:t>
            </w:r>
          </w:p>
        </w:tc>
        <w:tc>
          <w:tcPr>
            <w:tcW w:w="1135"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或资产购买。</w:t>
            </w:r>
          </w:p>
        </w:tc>
        <w:tc>
          <w:tcPr>
            <w:tcW w:w="1135" w:type="dxa"/>
            <w:vMerge/>
            <w:tcBorders>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2" w:type="dxa"/>
            <w:vMerge/>
            <w:tcBorders>
              <w:left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本次获配股份自本次非公</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开发行股票新增股份上市</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完成之日起锁定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在此期间不进行转让</w:t>
            </w:r>
            <w:r>
              <w:rPr>
                <w:rFonts w:ascii="宋体" w:hAnsi="宋体" w:cs="宋体" w:eastAsia="宋体" w:hint="default"/>
                <w:spacing w:val="-92"/>
                <w:sz w:val="18"/>
                <w:szCs w:val="18"/>
              </w:rPr>
              <w:t>。</w:t>
            </w:r>
            <w:r>
              <w:rPr>
                <w:rFonts w:ascii="宋体" w:hAnsi="宋体" w:cs="宋体" w:eastAsia="宋体" w:hint="default"/>
                <w:sz w:val="18"/>
                <w:szCs w:val="18"/>
              </w:rPr>
              <w:t>本次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55"/>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both"/>
              <w:rPr>
                <w:rFonts w:ascii="宋体" w:hAnsi="宋体" w:cs="宋体" w:eastAsia="宋体" w:hint="default"/>
                <w:sz w:val="18"/>
                <w:szCs w:val="18"/>
              </w:rPr>
            </w:pPr>
            <w:r>
              <w:rPr>
                <w:rFonts w:ascii="宋体" w:hAnsi="宋体" w:cs="宋体" w:eastAsia="宋体" w:hint="default"/>
                <w:sz w:val="18"/>
                <w:szCs w:val="18"/>
              </w:rPr>
              <w:t>发行结束后</w:t>
            </w:r>
            <w:r>
              <w:rPr>
                <w:rFonts w:ascii="宋体" w:hAnsi="宋体" w:cs="宋体" w:eastAsia="宋体" w:hint="default"/>
                <w:spacing w:val="-92"/>
                <w:sz w:val="18"/>
                <w:szCs w:val="18"/>
              </w:rPr>
              <w:t>，</w:t>
            </w:r>
            <w:r>
              <w:rPr>
                <w:rFonts w:ascii="宋体" w:hAnsi="宋体" w:cs="宋体" w:eastAsia="宋体" w:hint="default"/>
                <w:sz w:val="18"/>
                <w:szCs w:val="18"/>
              </w:rPr>
              <w:t>由于上市公司</w:t>
            </w:r>
            <w:r>
              <w:rPr>
                <w:rFonts w:ascii="宋体" w:hAnsi="宋体" w:cs="宋体" w:eastAsia="宋体" w:hint="default"/>
                <w:sz w:val="18"/>
                <w:szCs w:val="18"/>
              </w:rPr>
              <w:t> 送红股</w:t>
            </w:r>
            <w:r>
              <w:rPr>
                <w:rFonts w:ascii="宋体" w:hAnsi="宋体" w:cs="宋体" w:eastAsia="宋体" w:hint="default"/>
                <w:spacing w:val="-92"/>
                <w:sz w:val="18"/>
                <w:szCs w:val="18"/>
              </w:rPr>
              <w:t>、</w:t>
            </w:r>
            <w:r>
              <w:rPr>
                <w:rFonts w:ascii="宋体" w:hAnsi="宋体" w:cs="宋体" w:eastAsia="宋体" w:hint="default"/>
                <w:sz w:val="18"/>
                <w:szCs w:val="18"/>
              </w:rPr>
              <w:t>转增股本等原因增</w:t>
            </w:r>
            <w:r>
              <w:rPr>
                <w:rFonts w:ascii="宋体" w:hAnsi="宋体" w:cs="宋体" w:eastAsia="宋体" w:hint="default"/>
                <w:sz w:val="18"/>
                <w:szCs w:val="18"/>
              </w:rPr>
              <w:t> 持的上市公司股份</w:t>
            </w:r>
            <w:r>
              <w:rPr>
                <w:rFonts w:ascii="宋体" w:hAnsi="宋体" w:cs="宋体" w:eastAsia="宋体" w:hint="default"/>
                <w:spacing w:val="-92"/>
                <w:sz w:val="18"/>
                <w:szCs w:val="18"/>
              </w:rPr>
              <w:t>，</w:t>
            </w:r>
            <w:r>
              <w:rPr>
                <w:rFonts w:ascii="宋体" w:hAnsi="宋体" w:cs="宋体" w:eastAsia="宋体" w:hint="default"/>
                <w:sz w:val="18"/>
                <w:szCs w:val="18"/>
              </w:rPr>
              <w:t>亦遵照</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前述锁定期进行锁定</w:t>
            </w:r>
            <w:r>
              <w:rPr>
                <w:rFonts w:ascii="宋体" w:hAnsi="宋体" w:cs="宋体" w:eastAsia="宋体" w:hint="default"/>
                <w:spacing w:val="-92"/>
                <w:sz w:val="18"/>
                <w:szCs w:val="18"/>
              </w:rPr>
              <w:t>。</w:t>
            </w:r>
            <w:r>
              <w:rPr>
                <w:rFonts w:ascii="宋体" w:hAnsi="宋体" w:cs="宋体" w:eastAsia="宋体" w:hint="default"/>
                <w:sz w:val="18"/>
                <w:szCs w:val="18"/>
              </w:rPr>
              <w:t>限售</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期结束后按照中国证券监</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vMerge/>
            <w:tcBorders>
              <w:left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督管理委员会及深交所的</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有关规定执行。</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3.040009pt;margin-top:451.439758pt;width:56.2pt;height:175.6pt;mso-position-horizontal-relative:page;mso-position-vertical-relative:page;z-index:-1282432" coordorigin="7661,9029" coordsize="1124,3512">
            <v:group style="position:absolute;left:7661;top:9029;width:1124;height:3512" coordorigin="7661,9029" coordsize="1124,3512">
              <v:shape style="position:absolute;left:7661;top:9029;width:1124;height:3512" coordorigin="7661,9029" coordsize="1124,3512" path="m7661,9029l8784,9029,8784,12540,7661,12540,7661,9029xe" filled="true" fillcolor="#ffffff" stroked="false">
                <v:path arrowok="t"/>
                <v:fill type="solid"/>
              </v:shape>
            </v:group>
            <v:group style="position:absolute;left:7682;top:10433;width:1078;height:351" coordorigin="7682,10433" coordsize="1078,351">
              <v:shape style="position:absolute;left:7682;top:10433;width:1078;height:351" coordorigin="7682,10433" coordsize="1078,351" path="m7682,10433l8760,10433,8760,10783,7682,10783,7682,10433xe" filled="true" fillcolor="#ffffff" stroked="false">
                <v:path arrowok="t"/>
                <v:fill type="solid"/>
              </v:shape>
            </v:group>
            <v:group style="position:absolute;left:7682;top:10783;width:1078;height:353" coordorigin="7682,10783" coordsize="1078,353">
              <v:shape style="position:absolute;left:7682;top:10783;width:1078;height:353" coordorigin="7682,10783" coordsize="1078,353" path="m7682,10783l8760,10783,8760,11136,7682,11136,7682,1078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1560"/>
        <w:gridCol w:w="991"/>
        <w:gridCol w:w="2126"/>
        <w:gridCol w:w="1135"/>
        <w:gridCol w:w="991"/>
        <w:gridCol w:w="919"/>
      </w:tblGrid>
      <w:tr>
        <w:trPr>
          <w:trHeight w:val="360" w:hRule="exact"/>
        </w:trPr>
        <w:tc>
          <w:tcPr>
            <w:tcW w:w="1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、招股说明书如有虚假记</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载</w:t>
            </w:r>
            <w:r>
              <w:rPr>
                <w:rFonts w:ascii="宋体" w:hAnsi="宋体" w:cs="宋体" w:eastAsia="宋体" w:hint="default"/>
                <w:spacing w:val="-92"/>
                <w:sz w:val="18"/>
                <w:szCs w:val="18"/>
              </w:rPr>
              <w:t>、</w:t>
            </w:r>
            <w:r>
              <w:rPr>
                <w:rFonts w:ascii="宋体" w:hAnsi="宋体" w:cs="宋体" w:eastAsia="宋体" w:hint="default"/>
                <w:sz w:val="18"/>
                <w:szCs w:val="18"/>
              </w:rPr>
              <w:t>误导性陈述或者重大遗</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漏</w:t>
            </w:r>
            <w:r>
              <w:rPr>
                <w:rFonts w:ascii="宋体" w:hAnsi="宋体" w:cs="宋体" w:eastAsia="宋体" w:hint="default"/>
                <w:spacing w:val="-92"/>
                <w:sz w:val="18"/>
                <w:szCs w:val="18"/>
              </w:rPr>
              <w:t>，</w:t>
            </w:r>
            <w:r>
              <w:rPr>
                <w:rFonts w:ascii="宋体" w:hAnsi="宋体" w:cs="宋体" w:eastAsia="宋体" w:hint="default"/>
                <w:sz w:val="18"/>
                <w:szCs w:val="18"/>
              </w:rPr>
              <w:t>对判断公司是否符合法</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律规定的发行条件构成重</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
                <w:sz w:val="18"/>
                <w:szCs w:val="18"/>
              </w:rPr>
              <w:t>大、实质影响的，本人将在</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证券监管部门依法对上述</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事实作出认定后五个工作</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日内制订股份购回方案并</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予以公告</w:t>
            </w:r>
            <w:r>
              <w:rPr>
                <w:rFonts w:ascii="宋体" w:hAnsi="宋体" w:cs="宋体" w:eastAsia="宋体" w:hint="default"/>
                <w:spacing w:val="-92"/>
                <w:sz w:val="18"/>
                <w:szCs w:val="18"/>
              </w:rPr>
              <w:t>，</w:t>
            </w:r>
            <w:r>
              <w:rPr>
                <w:rFonts w:ascii="宋体" w:hAnsi="宋体" w:cs="宋体" w:eastAsia="宋体" w:hint="default"/>
                <w:sz w:val="18"/>
                <w:szCs w:val="18"/>
              </w:rPr>
              <w:t>依法购回首次公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开发行股票时本公司股东</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发售的原限售股份</w:t>
            </w:r>
            <w:r>
              <w:rPr>
                <w:rFonts w:ascii="宋体" w:hAnsi="宋体" w:cs="宋体" w:eastAsia="宋体" w:hint="default"/>
                <w:spacing w:val="-92"/>
                <w:sz w:val="18"/>
                <w:szCs w:val="18"/>
              </w:rPr>
              <w:t>，</w:t>
            </w:r>
            <w:r>
              <w:rPr>
                <w:rFonts w:ascii="宋体" w:hAnsi="宋体" w:cs="宋体" w:eastAsia="宋体" w:hint="default"/>
                <w:sz w:val="18"/>
                <w:szCs w:val="18"/>
              </w:rPr>
              <w:t>购回价</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格为当时公司股票二级市 </w:t>
            </w:r>
            <w:r>
              <w:rPr>
                <w:rFonts w:ascii="宋体" w:hAnsi="宋体" w:cs="宋体" w:eastAsia="宋体" w:hint="default"/>
                <w:spacing w:val="-8"/>
                <w:sz w:val="18"/>
                <w:szCs w:val="18"/>
              </w:rPr>
              <w:t>场价格，且不低于公司股票</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首次公开发行价格加上同</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期银行存款利息</w:t>
            </w:r>
            <w:r>
              <w:rPr>
                <w:rFonts w:ascii="宋体" w:hAnsi="宋体" w:cs="宋体" w:eastAsia="宋体" w:hint="default"/>
                <w:spacing w:val="-92"/>
                <w:sz w:val="18"/>
                <w:szCs w:val="18"/>
              </w:rPr>
              <w:t>；</w:t>
            </w:r>
            <w:r>
              <w:rPr>
                <w:rFonts w:ascii="宋体" w:hAnsi="宋体" w:cs="宋体" w:eastAsia="宋体" w:hint="default"/>
                <w:sz w:val="18"/>
                <w:szCs w:val="18"/>
              </w:rPr>
              <w:t>若公司股</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票停牌</w:t>
            </w:r>
            <w:r>
              <w:rPr>
                <w:rFonts w:ascii="宋体" w:hAnsi="宋体" w:cs="宋体" w:eastAsia="宋体" w:hint="default"/>
                <w:spacing w:val="-92"/>
                <w:sz w:val="18"/>
                <w:szCs w:val="18"/>
              </w:rPr>
              <w:t>，</w:t>
            </w:r>
            <w:r>
              <w:rPr>
                <w:rFonts w:ascii="宋体" w:hAnsi="宋体" w:cs="宋体" w:eastAsia="宋体" w:hint="default"/>
                <w:sz w:val="18"/>
                <w:szCs w:val="18"/>
              </w:rPr>
              <w:t>则购回价格不低于</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25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公司股票停牌前一日的平</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w:t>
            </w: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均交易价格</w:t>
            </w:r>
            <w:r>
              <w:rPr>
                <w:rFonts w:ascii="宋体" w:hAnsi="宋体" w:cs="宋体" w:eastAsia="宋体" w:hint="default"/>
                <w:spacing w:val="-92"/>
                <w:sz w:val="18"/>
                <w:szCs w:val="18"/>
              </w:rPr>
              <w:t>，</w:t>
            </w:r>
            <w:r>
              <w:rPr>
                <w:rFonts w:ascii="宋体" w:hAnsi="宋体" w:cs="宋体" w:eastAsia="宋体" w:hint="default"/>
                <w:sz w:val="18"/>
                <w:szCs w:val="18"/>
              </w:rPr>
              <w:t>且不低于公司</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股票首次公开发行价格加</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上同期银行存款利息。同</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92"/>
                <w:sz w:val="18"/>
                <w:szCs w:val="18"/>
              </w:rPr>
              <w:t>，</w:t>
            </w:r>
            <w:r>
              <w:rPr>
                <w:rFonts w:ascii="宋体" w:hAnsi="宋体" w:cs="宋体" w:eastAsia="宋体" w:hint="default"/>
                <w:sz w:val="18"/>
                <w:szCs w:val="18"/>
              </w:rPr>
              <w:t>本人作为公司控股股东</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及实际控制人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将督促本公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司依法回购首次公开发行</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的全部新股。</w:t>
            </w: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、招股说明书所载之内容</w:t>
            </w: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不存在虚假记载</w:t>
            </w:r>
            <w:r>
              <w:rPr>
                <w:rFonts w:ascii="宋体" w:hAnsi="宋体" w:cs="宋体" w:eastAsia="宋体" w:hint="default"/>
                <w:spacing w:val="-92"/>
                <w:sz w:val="18"/>
                <w:szCs w:val="18"/>
              </w:rPr>
              <w:t>、</w:t>
            </w:r>
            <w:r>
              <w:rPr>
                <w:rFonts w:ascii="宋体" w:hAnsi="宋体" w:cs="宋体" w:eastAsia="宋体" w:hint="default"/>
                <w:sz w:val="18"/>
                <w:szCs w:val="18"/>
              </w:rPr>
              <w:t>误导性陈</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述或重大遗漏之情形</w:t>
            </w:r>
            <w:r>
              <w:rPr>
                <w:rFonts w:ascii="宋体" w:hAnsi="宋体" w:cs="宋体" w:eastAsia="宋体" w:hint="default"/>
                <w:spacing w:val="-92"/>
                <w:sz w:val="18"/>
                <w:szCs w:val="18"/>
              </w:rPr>
              <w:t>，</w:t>
            </w:r>
            <w:r>
              <w:rPr>
                <w:rFonts w:ascii="宋体" w:hAnsi="宋体" w:cs="宋体" w:eastAsia="宋体" w:hint="default"/>
                <w:sz w:val="18"/>
                <w:szCs w:val="18"/>
              </w:rPr>
              <w:t>且本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人对招股说明书所载之内</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庄浩、庄澍</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8"/>
                <w:sz w:val="18"/>
                <w:szCs w:val="18"/>
              </w:rPr>
              <w:t>容真实性、准确性、完整性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承担个别和连带的法律责 任。</w:t>
            </w:r>
            <w:r>
              <w:rPr>
                <w:rFonts w:ascii="Times New Roman" w:hAnsi="Times New Roman" w:cs="Times New Roman" w:eastAsia="Times New Roman" w:hint="default"/>
                <w:sz w:val="18"/>
                <w:szCs w:val="18"/>
              </w:rPr>
              <w:t>2</w:t>
            </w:r>
            <w:r>
              <w:rPr>
                <w:rFonts w:ascii="宋体" w:hAnsi="宋体" w:cs="宋体" w:eastAsia="宋体" w:hint="default"/>
                <w:sz w:val="18"/>
                <w:szCs w:val="18"/>
              </w:rPr>
              <w:t>、若公司招股说明书</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有虚假记载</w:t>
            </w:r>
            <w:r>
              <w:rPr>
                <w:rFonts w:ascii="宋体" w:hAnsi="宋体" w:cs="宋体" w:eastAsia="宋体" w:hint="default"/>
                <w:spacing w:val="-92"/>
                <w:sz w:val="18"/>
                <w:szCs w:val="18"/>
              </w:rPr>
              <w:t>、</w:t>
            </w:r>
            <w:r>
              <w:rPr>
                <w:rFonts w:ascii="宋体" w:hAnsi="宋体" w:cs="宋体" w:eastAsia="宋体" w:hint="default"/>
                <w:sz w:val="18"/>
                <w:szCs w:val="18"/>
              </w:rPr>
              <w:t>误导性陈述或</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者重大遗漏</w:t>
            </w:r>
            <w:r>
              <w:rPr>
                <w:rFonts w:ascii="宋体" w:hAnsi="宋体" w:cs="宋体" w:eastAsia="宋体" w:hint="default"/>
                <w:spacing w:val="-92"/>
                <w:sz w:val="18"/>
                <w:szCs w:val="18"/>
              </w:rPr>
              <w:t>，</w:t>
            </w:r>
            <w:r>
              <w:rPr>
                <w:rFonts w:ascii="宋体" w:hAnsi="宋体" w:cs="宋体" w:eastAsia="宋体" w:hint="default"/>
                <w:sz w:val="18"/>
                <w:szCs w:val="18"/>
              </w:rPr>
              <w:t>致使投资者在</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2"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证券交易中遭受损失的</w:t>
            </w:r>
            <w:r>
              <w:rPr>
                <w:rFonts w:ascii="宋体" w:hAnsi="宋体" w:cs="宋体" w:eastAsia="宋体" w:hint="default"/>
                <w:spacing w:val="-92"/>
                <w:sz w:val="18"/>
                <w:szCs w:val="18"/>
              </w:rPr>
              <w:t>，</w:t>
            </w:r>
            <w:r>
              <w:rPr>
                <w:rFonts w:ascii="宋体" w:hAnsi="宋体" w:cs="宋体" w:eastAsia="宋体" w:hint="default"/>
                <w:sz w:val="18"/>
                <w:szCs w:val="18"/>
              </w:rPr>
              <w:t>本</w:t>
            </w: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人将依法赔偿投资者损失</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18"/>
          <w:szCs w:val="18"/>
        </w:rPr>
      </w:pPr>
      <w:r>
        <w:rPr/>
        <w:pict>
          <v:group style="position:absolute;margin-left:56.400002pt;margin-top:71.759773pt;width:478.8pt;height:691.95pt;mso-position-horizontal-relative:page;mso-position-vertical-relative:page;z-index:-1282408" coordorigin="1128,1435" coordsize="9576,13839">
            <v:group style="position:absolute;left:1140;top:1450;width:1832;height:13808" coordorigin="1140,1450" coordsize="1832,13808">
              <v:shape style="position:absolute;left:1140;top:1450;width:1832;height:13808" coordorigin="1140,1450" coordsize="1832,13808" path="m1140,1450l2971,1450,2971,15257,1140,15257,1140,1450xe" filled="true" fillcolor="#d3d3d3" stroked="false">
                <v:path arrowok="t"/>
                <v:fill type="solid"/>
              </v:shape>
            </v:group>
            <v:group style="position:absolute;left:1138;top:1445;width:1834;height:2" coordorigin="1138,1445" coordsize="1834,2">
              <v:shape style="position:absolute;left:1138;top:1445;width:1834;height:2" coordorigin="1138,1445" coordsize="1834,0" path="m1138,1445l2971,1445e" filled="false" stroked="true" strokeweight=".48pt" strokecolor="#000000">
                <v:path arrowok="t"/>
              </v:shape>
            </v:group>
            <v:group style="position:absolute;left:2981;top:1445;width:1551;height:2" coordorigin="2981,1445" coordsize="1551,2">
              <v:shape style="position:absolute;left:2981;top:1445;width:1551;height:2" coordorigin="2981,1445" coordsize="1551,0" path="m2981,1445l4531,1445e" filled="false" stroked="true" strokeweight=".48pt" strokecolor="#000000">
                <v:path arrowok="t"/>
              </v:shape>
            </v:group>
            <v:group style="position:absolute;left:4541;top:1445;width:982;height:2" coordorigin="4541,1445" coordsize="982,2">
              <v:shape style="position:absolute;left:4541;top:1445;width:982;height:2" coordorigin="4541,1445" coordsize="982,0" path="m4541,1445l5522,1445e" filled="false" stroked="true" strokeweight=".48pt" strokecolor="#000000">
                <v:path arrowok="t"/>
              </v:shape>
            </v:group>
            <v:group style="position:absolute;left:7661;top:1450;width:1124;height:13808" coordorigin="7661,1450" coordsize="1124,13808">
              <v:shape style="position:absolute;left:7661;top:1450;width:1124;height:13808" coordorigin="7661,1450" coordsize="1124,13808" path="m7661,1450l8784,1450,8784,15257,7661,15257,7661,1450xe" filled="true" fillcolor="#ffffff" stroked="false">
                <v:path arrowok="t"/>
                <v:fill type="solid"/>
              </v:shape>
            </v:group>
            <v:group style="position:absolute;left:7682;top:8002;width:1078;height:353" coordorigin="7682,8002" coordsize="1078,353">
              <v:shape style="position:absolute;left:7682;top:8002;width:1078;height:353" coordorigin="7682,8002" coordsize="1078,353" path="m7682,8002l8760,8002,8760,8354,7682,8354,7682,8002xe" filled="true" fillcolor="#ffffff" stroked="false">
                <v:path arrowok="t"/>
                <v:fill type="solid"/>
              </v:shape>
            </v:group>
            <v:group style="position:absolute;left:7682;top:8354;width:1078;height:351" coordorigin="7682,8354" coordsize="1078,351">
              <v:shape style="position:absolute;left:7682;top:8354;width:1078;height:351" coordorigin="7682,8354" coordsize="1078,351" path="m7682,8354l8760,8354,8760,8705,7682,8705,7682,8354xe" filled="true" fillcolor="#ffffff" stroked="false">
                <v:path arrowok="t"/>
                <v:fill type="solid"/>
              </v:shape>
            </v:group>
            <v:group style="position:absolute;left:5532;top:1445;width:2117;height:2" coordorigin="5532,1445" coordsize="2117,2">
              <v:shape style="position:absolute;left:5532;top:1445;width:2117;height:2" coordorigin="5532,1445" coordsize="2117,0" path="m5532,1445l7649,1445e" filled="false" stroked="true" strokeweight=".48pt" strokecolor="#000000">
                <v:path arrowok="t"/>
              </v:shape>
            </v:group>
            <v:group style="position:absolute;left:7658;top:1445;width:1126;height:2" coordorigin="7658,1445" coordsize="1126,2">
              <v:shape style="position:absolute;left:7658;top:1445;width:1126;height:2" coordorigin="7658,1445" coordsize="1126,0" path="m7658,1445l8784,1445e" filled="false" stroked="true" strokeweight=".48pt" strokecolor="#000000">
                <v:path arrowok="t"/>
              </v:shape>
            </v:group>
            <v:group style="position:absolute;left:8794;top:1445;width:982;height:2" coordorigin="8794,1445" coordsize="982,2">
              <v:shape style="position:absolute;left:8794;top:1445;width:982;height:2" coordorigin="8794,1445" coordsize="982,0" path="m8794,1445l9775,1445e" filled="false" stroked="true" strokeweight=".48pt" strokecolor="#000000">
                <v:path arrowok="t"/>
              </v:shape>
            </v:group>
            <v:group style="position:absolute;left:9785;top:1445;width:910;height:2" coordorigin="9785,1445" coordsize="910,2">
              <v:shape style="position:absolute;left:9785;top:1445;width:910;height:2" coordorigin="9785,1445" coordsize="910,0" path="m9785,1445l10694,1445e" filled="false" stroked="true" strokeweight=".48pt" strokecolor="#000000">
                <v:path arrowok="t"/>
              </v:shape>
            </v:group>
            <v:group style="position:absolute;left:1133;top:1440;width:2;height:13829" coordorigin="1133,1440" coordsize="2,13829">
              <v:shape style="position:absolute;left:1133;top:1440;width:2;height:13829" coordorigin="1133,1440" coordsize="0,13829" path="m1133,1440l1133,15269e" filled="false" stroked="true" strokeweight=".48pt" strokecolor="#000000">
                <v:path arrowok="t"/>
              </v:shape>
            </v:group>
            <v:group style="position:absolute;left:1138;top:15264;width:1834;height:2" coordorigin="1138,15264" coordsize="1834,2">
              <v:shape style="position:absolute;left:1138;top:15264;width:1834;height:2" coordorigin="1138,15264" coordsize="1834,0" path="m1138,15264l2971,15264e" filled="false" stroked="true" strokeweight=".48pt" strokecolor="#000000">
                <v:path arrowok="t"/>
              </v:shape>
            </v:group>
            <v:group style="position:absolute;left:2976;top:1440;width:2;height:13829" coordorigin="2976,1440" coordsize="2,13829">
              <v:shape style="position:absolute;left:2976;top:1440;width:2;height:13829" coordorigin="2976,1440" coordsize="0,13829" path="m2976,1440l2976,15269e" filled="false" stroked="true" strokeweight=".48pt" strokecolor="#000000">
                <v:path arrowok="t"/>
              </v:shape>
            </v:group>
            <v:group style="position:absolute;left:2981;top:15264;width:1551;height:2" coordorigin="2981,15264" coordsize="1551,2">
              <v:shape style="position:absolute;left:2981;top:15264;width:1551;height:2" coordorigin="2981,15264" coordsize="1551,0" path="m2981,15264l4531,15264e" filled="false" stroked="true" strokeweight=".48pt" strokecolor="#000000">
                <v:path arrowok="t"/>
              </v:shape>
            </v:group>
            <v:group style="position:absolute;left:4536;top:1440;width:2;height:13829" coordorigin="4536,1440" coordsize="2,13829">
              <v:shape style="position:absolute;left:4536;top:1440;width:2;height:13829" coordorigin="4536,1440" coordsize="0,13829" path="m4536,1440l4536,15269e" filled="false" stroked="true" strokeweight=".48pt" strokecolor="#000000">
                <v:path arrowok="t"/>
              </v:shape>
            </v:group>
            <v:group style="position:absolute;left:4541;top:15264;width:982;height:2" coordorigin="4541,15264" coordsize="982,2">
              <v:shape style="position:absolute;left:4541;top:15264;width:982;height:2" coordorigin="4541,15264" coordsize="982,0" path="m4541,15264l5522,15264e" filled="false" stroked="true" strokeweight=".48pt" strokecolor="#000000">
                <v:path arrowok="t"/>
              </v:shape>
            </v:group>
            <v:group style="position:absolute;left:5527;top:1440;width:2;height:13829" coordorigin="5527,1440" coordsize="2,13829">
              <v:shape style="position:absolute;left:5527;top:1440;width:2;height:13829" coordorigin="5527,1440" coordsize="0,13829" path="m5527,1440l5527,15269e" filled="false" stroked="true" strokeweight=".48pt" strokecolor="#000000">
                <v:path arrowok="t"/>
              </v:shape>
            </v:group>
            <v:group style="position:absolute;left:5532;top:15264;width:2117;height:2" coordorigin="5532,15264" coordsize="2117,2">
              <v:shape style="position:absolute;left:5532;top:15264;width:2117;height:2" coordorigin="5532,15264" coordsize="2117,0" path="m5532,15264l7649,15264e" filled="false" stroked="true" strokeweight=".48pt" strokecolor="#000000">
                <v:path arrowok="t"/>
              </v:shape>
            </v:group>
            <v:group style="position:absolute;left:7654;top:1440;width:2;height:13829" coordorigin="7654,1440" coordsize="2,13829">
              <v:shape style="position:absolute;left:7654;top:1440;width:2;height:13829" coordorigin="7654,1440" coordsize="0,13829" path="m7654,1440l7654,15269e" filled="false" stroked="true" strokeweight=".48pt" strokecolor="#000000">
                <v:path arrowok="t"/>
              </v:shape>
            </v:group>
            <v:group style="position:absolute;left:7658;top:15264;width:1126;height:2" coordorigin="7658,15264" coordsize="1126,2">
              <v:shape style="position:absolute;left:7658;top:15264;width:1126;height:2" coordorigin="7658,15264" coordsize="1126,0" path="m7658,15264l8784,15264e" filled="false" stroked="true" strokeweight=".48pt" strokecolor="#000000">
                <v:path arrowok="t"/>
              </v:shape>
            </v:group>
            <v:group style="position:absolute;left:8789;top:1440;width:2;height:13829" coordorigin="8789,1440" coordsize="2,13829">
              <v:shape style="position:absolute;left:8789;top:1440;width:2;height:13829" coordorigin="8789,1440" coordsize="0,13829" path="m8789,1440l8789,15269e" filled="false" stroked="true" strokeweight=".48pt" strokecolor="#000000">
                <v:path arrowok="t"/>
              </v:shape>
            </v:group>
            <v:group style="position:absolute;left:8794;top:15264;width:982;height:2" coordorigin="8794,15264" coordsize="982,2">
              <v:shape style="position:absolute;left:8794;top:15264;width:982;height:2" coordorigin="8794,15264" coordsize="982,0" path="m8794,15264l9775,15264e" filled="false" stroked="true" strokeweight=".48pt" strokecolor="#000000">
                <v:path arrowok="t"/>
              </v:shape>
            </v:group>
            <v:group style="position:absolute;left:9780;top:1440;width:2;height:13829" coordorigin="9780,1440" coordsize="2,13829">
              <v:shape style="position:absolute;left:9780;top:1440;width:2;height:13829" coordorigin="9780,1440" coordsize="0,13829" path="m9780,1440l9780,15269e" filled="false" stroked="true" strokeweight=".48pt" strokecolor="#000000">
                <v:path arrowok="t"/>
              </v:shape>
            </v:group>
            <v:group style="position:absolute;left:9785;top:15264;width:910;height:2" coordorigin="9785,15264" coordsize="910,2">
              <v:shape style="position:absolute;left:9785;top:15264;width:910;height:2" coordorigin="9785,15264" coordsize="910,0" path="m9785,15264l10694,15264e" filled="false" stroked="true" strokeweight=".48pt" strokecolor="#000000">
                <v:path arrowok="t"/>
              </v:shape>
            </v:group>
            <v:group style="position:absolute;left:10699;top:1440;width:2;height:13829" coordorigin="10699,1440" coordsize="2,13829">
              <v:shape style="position:absolute;left:10699;top:1440;width:2;height:13829" coordorigin="10699,1440" coordsize="0,13829" path="m10699,1440l10699,15269e" filled="false" stroked="true" strokeweight=".48pt" strokecolor="#000000">
                <v:path arrowok="t"/>
              </v:shape>
            </v:group>
            <w10:wrap type="none"/>
          </v:group>
        </w:pic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316" w:lineRule="auto" w:before="130"/>
        <w:ind w:left="2024" w:right="-20"/>
        <w:jc w:val="left"/>
      </w:pPr>
      <w:r>
        <w:rPr/>
        <w:t>厦门吉宏科技股份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BodyText"/>
        <w:spacing w:line="240" w:lineRule="auto"/>
        <w:ind w:left="80" w:right="-20"/>
        <w:jc w:val="left"/>
      </w:pPr>
      <w:r>
        <w:rPr/>
        <w:t>其他承诺</w:t>
      </w:r>
    </w:p>
    <w:p>
      <w:pPr>
        <w:spacing w:line="240" w:lineRule="auto" w:before="5"/>
        <w:rPr>
          <w:rFonts w:ascii="宋体" w:hAnsi="宋体" w:cs="宋体" w:eastAsia="宋体" w:hint="default"/>
          <w:sz w:val="15"/>
          <w:szCs w:val="15"/>
        </w:rPr>
      </w:pPr>
      <w:r>
        <w:rPr/>
        <w:br w:type="column"/>
      </w:r>
      <w:r>
        <w:rPr>
          <w:rFonts w:ascii="宋体"/>
          <w:sz w:val="15"/>
        </w:rPr>
      </w:r>
    </w:p>
    <w:p>
      <w:pPr>
        <w:pStyle w:val="BodyText"/>
        <w:spacing w:line="316" w:lineRule="auto"/>
        <w:ind w:left="231" w:right="-15"/>
        <w:jc w:val="left"/>
      </w:pPr>
      <w:r>
        <w:rPr>
          <w:rFonts w:ascii="Times New Roman" w:hAnsi="Times New Roman" w:cs="Times New Roman" w:eastAsia="Times New Roman" w:hint="default"/>
        </w:rPr>
        <w:t>1</w:t>
      </w:r>
      <w:r>
        <w:rPr/>
        <w:t>、本公司招股说明书所载 </w:t>
      </w:r>
      <w:r>
        <w:rPr>
          <w:spacing w:val="-8"/>
        </w:rPr>
        <w:t>之内容不存在虚假记载、误</w:t>
      </w:r>
      <w:r>
        <w:rPr>
          <w:spacing w:val="-86"/>
        </w:rPr>
        <w:t> </w:t>
      </w:r>
      <w:r>
        <w:rPr>
          <w:spacing w:val="-86"/>
        </w:rPr>
      </w:r>
      <w:r>
        <w:rPr/>
        <w:t>导性陈述或重大遗漏之情 </w:t>
      </w:r>
      <w:r>
        <w:rPr>
          <w:spacing w:val="-8"/>
        </w:rPr>
        <w:t>形，且本公司对招股说明书</w:t>
      </w:r>
      <w:r>
        <w:rPr>
          <w:spacing w:val="-86"/>
        </w:rPr>
        <w:t> </w:t>
      </w:r>
      <w:r>
        <w:rPr>
          <w:spacing w:val="-86"/>
        </w:rPr>
      </w:r>
      <w:r>
        <w:rPr/>
        <w:t>所载之内容真实性、准确 </w:t>
      </w:r>
      <w:r>
        <w:rPr>
          <w:spacing w:val="-8"/>
        </w:rPr>
        <w:t>性、完整性承担相应的法律</w:t>
      </w:r>
      <w:r>
        <w:rPr>
          <w:spacing w:val="-86"/>
        </w:rPr>
        <w:t> </w:t>
      </w:r>
      <w:r>
        <w:rPr>
          <w:spacing w:val="-86"/>
        </w:rPr>
      </w:r>
      <w:r>
        <w:rPr/>
        <w:t>责任。</w:t>
      </w:r>
      <w:r>
        <w:rPr>
          <w:rFonts w:ascii="Times New Roman" w:hAnsi="Times New Roman" w:cs="Times New Roman" w:eastAsia="Times New Roman" w:hint="default"/>
        </w:rPr>
        <w:t>2</w:t>
      </w:r>
      <w:r>
        <w:rPr/>
        <w:t>、本公司招股说明 </w:t>
      </w:r>
      <w:r>
        <w:rPr>
          <w:spacing w:val="-8"/>
        </w:rPr>
        <w:t>书如有虚假记载、误导性陈</w:t>
      </w:r>
      <w:r>
        <w:rPr>
          <w:spacing w:val="-86"/>
        </w:rPr>
        <w:t> </w:t>
      </w:r>
      <w:r>
        <w:rPr>
          <w:spacing w:val="-86"/>
        </w:rPr>
      </w:r>
      <w:r>
        <w:rPr>
          <w:spacing w:val="-8"/>
        </w:rPr>
        <w:t>述或者重大遗漏，对判断公</w:t>
      </w:r>
      <w:r>
        <w:rPr>
          <w:spacing w:val="-86"/>
        </w:rPr>
        <w:t> </w:t>
      </w:r>
      <w:r>
        <w:rPr>
          <w:spacing w:val="-86"/>
        </w:rPr>
      </w:r>
      <w:r>
        <w:rPr/>
        <w:t>司是否符合法律规定的发 </w:t>
      </w:r>
      <w:r>
        <w:rPr>
          <w:spacing w:val="-8"/>
        </w:rPr>
        <w:t>行条件构成重大、实质影响</w:t>
      </w:r>
      <w:r>
        <w:rPr>
          <w:spacing w:val="-86"/>
        </w:rPr>
        <w:t> </w:t>
      </w:r>
      <w:r>
        <w:rPr>
          <w:spacing w:val="-86"/>
        </w:rPr>
      </w:r>
      <w:r>
        <w:rPr>
          <w:spacing w:val="-8"/>
        </w:rPr>
        <w:t>的，本公司董事会将在证券</w:t>
      </w:r>
      <w:r>
        <w:rPr>
          <w:spacing w:val="-86"/>
        </w:rPr>
        <w:t> </w:t>
      </w:r>
      <w:r>
        <w:rPr>
          <w:spacing w:val="-86"/>
        </w:rPr>
      </w:r>
      <w:r>
        <w:rPr/>
        <w:t>监管部门依法对上述事实 作出认定后五个工作日内， 制订股份回购方案并提交 </w:t>
      </w:r>
      <w:r>
        <w:rPr>
          <w:spacing w:val="-8"/>
        </w:rPr>
        <w:t>股东大会审议批准。股东大</w:t>
      </w:r>
      <w:r>
        <w:rPr>
          <w:spacing w:val="-86"/>
        </w:rPr>
        <w:t> </w:t>
      </w:r>
      <w:r>
        <w:rPr>
          <w:spacing w:val="-86"/>
        </w:rPr>
      </w:r>
      <w:r>
        <w:rPr/>
        <w:t>会审议批准后三十个交易 </w:t>
      </w:r>
      <w:r>
        <w:rPr>
          <w:spacing w:val="-8"/>
        </w:rPr>
        <w:t>日内，本公司将依法回购首</w:t>
      </w:r>
      <w:r>
        <w:rPr>
          <w:spacing w:val="-86"/>
        </w:rPr>
        <w:t> </w:t>
      </w:r>
      <w:r>
        <w:rPr>
          <w:spacing w:val="-86"/>
        </w:rPr>
      </w:r>
      <w:r>
        <w:rPr>
          <w:spacing w:val="-8"/>
        </w:rPr>
        <w:t>次公开发行的全部新股，回</w:t>
      </w:r>
      <w:r>
        <w:rPr>
          <w:spacing w:val="-86"/>
        </w:rPr>
        <w:t> </w:t>
      </w:r>
      <w:r>
        <w:rPr>
          <w:spacing w:val="-86"/>
        </w:rPr>
      </w:r>
      <w:r>
        <w:rPr/>
        <w:t>购价格为当时公司股票二 </w:t>
      </w:r>
      <w:r>
        <w:rPr>
          <w:spacing w:val="-8"/>
        </w:rPr>
        <w:t>级市场价格，且不低于公司</w:t>
      </w:r>
      <w:r>
        <w:rPr>
          <w:spacing w:val="-86"/>
        </w:rPr>
        <w:t> </w:t>
      </w:r>
      <w:r>
        <w:rPr>
          <w:spacing w:val="-86"/>
        </w:rPr>
      </w:r>
      <w:r>
        <w:rPr>
          <w:spacing w:val="-8"/>
        </w:rPr>
        <w:t>股票首次公开发行价格（若</w:t>
      </w:r>
      <w:r>
        <w:rPr>
          <w:spacing w:val="-3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月</w:t>
      </w:r>
    </w:p>
    <w:p>
      <w:pPr>
        <w:pStyle w:val="BodyText"/>
        <w:spacing w:line="314" w:lineRule="auto"/>
        <w:ind w:left="231" w:right="612"/>
        <w:jc w:val="left"/>
      </w:pPr>
      <w:r>
        <w:rPr>
          <w:spacing w:val="-8"/>
        </w:rPr>
        <w:t>公司股票有派息、送股、资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日 本公积金转增股本等除权、 </w:t>
      </w:r>
      <w:r>
        <w:rPr>
          <w:spacing w:val="-8"/>
        </w:rPr>
        <w:t>除息事项的，回购的股份包</w:t>
      </w:r>
      <w:r>
        <w:rPr>
          <w:spacing w:val="-86"/>
        </w:rPr>
        <w:t> </w:t>
      </w:r>
      <w:r>
        <w:rPr>
          <w:spacing w:val="-86"/>
        </w:rPr>
      </w:r>
      <w:r>
        <w:rPr/>
        <w:t>括首次公开发行的全部新 </w:t>
      </w:r>
      <w:r>
        <w:rPr>
          <w:spacing w:val="-8"/>
        </w:rPr>
        <w:t>股及其派生股份，发行价格</w:t>
      </w:r>
      <w:r>
        <w:rPr>
          <w:spacing w:val="-86"/>
        </w:rPr>
        <w:t> </w:t>
      </w:r>
      <w:r>
        <w:rPr>
          <w:spacing w:val="-86"/>
        </w:rPr>
      </w:r>
      <w:r>
        <w:rPr/>
        <w:t>将相应进行除权、除息调 整）加上同期银行存款利 息；若回购时公司股票停 </w:t>
      </w:r>
      <w:r>
        <w:rPr>
          <w:spacing w:val="-8"/>
        </w:rPr>
        <w:t>牌，则回购价格不低于公司</w:t>
      </w:r>
      <w:r>
        <w:rPr>
          <w:spacing w:val="-86"/>
        </w:rPr>
        <w:t> </w:t>
      </w:r>
      <w:r>
        <w:rPr>
          <w:spacing w:val="-86"/>
        </w:rPr>
      </w:r>
      <w:r>
        <w:rPr/>
        <w:t>股票停牌前一日的平均交 </w:t>
      </w:r>
      <w:r>
        <w:rPr>
          <w:spacing w:val="-8"/>
        </w:rPr>
        <w:t>易价格，且不低于公司股票</w:t>
      </w:r>
      <w:r>
        <w:rPr>
          <w:spacing w:val="-86"/>
        </w:rPr>
        <w:t> </w:t>
      </w:r>
      <w:r>
        <w:rPr>
          <w:spacing w:val="-86"/>
        </w:rPr>
      </w:r>
      <w:r>
        <w:rPr/>
        <w:t>首次公开发行价格加上同 期银行存款利息。</w:t>
      </w:r>
      <w:r>
        <w:rPr>
          <w:rFonts w:ascii="Times New Roman" w:hAnsi="Times New Roman" w:cs="Times New Roman" w:eastAsia="Times New Roman" w:hint="default"/>
        </w:rPr>
        <w:t>3</w:t>
      </w:r>
      <w:r>
        <w:rPr/>
        <w:t>、对于 首次公开发行股票时公司 </w:t>
      </w:r>
      <w:r>
        <w:rPr>
          <w:spacing w:val="-8"/>
        </w:rPr>
        <w:t>股东发售的原限售股份，本</w:t>
      </w:r>
      <w:r>
        <w:rPr>
          <w:spacing w:val="-86"/>
        </w:rPr>
        <w:t> </w:t>
      </w:r>
      <w:r>
        <w:rPr>
          <w:spacing w:val="-86"/>
        </w:rPr>
      </w:r>
      <w:r>
        <w:rPr/>
        <w:t>公司将在证券监管部门依 法对上述事实作出认定或 处罚决定后五个工作日内， 要求公司控股股东制订股 份回购方案</w:t>
      </w:r>
      <w:r>
        <w:rPr>
          <w:rFonts w:ascii="Times New Roman" w:hAnsi="Times New Roman" w:cs="Times New Roman" w:eastAsia="Times New Roman" w:hint="default"/>
        </w:rPr>
        <w:t>,</w:t>
      </w:r>
      <w:r>
        <w:rPr/>
        <w:t>依法购回首次 公开发行股票时已转让的 原限售股份并予以公告。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BodyText"/>
        <w:spacing w:line="240" w:lineRule="auto"/>
        <w:ind w:left="58"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58"/>
        <w:ind w:left="231" w:right="1356"/>
        <w:jc w:val="left"/>
      </w:pPr>
      <w:r>
        <w:rPr/>
        <w:t>正常履行 中</w:t>
      </w:r>
    </w:p>
    <w:p>
      <w:pPr>
        <w:spacing w:after="0" w:line="316" w:lineRule="auto"/>
        <w:jc w:val="left"/>
        <w:sectPr>
          <w:type w:val="continuous"/>
          <w:pgSz w:w="11910" w:h="16840"/>
          <w:pgMar w:top="1060" w:bottom="1180" w:left="980" w:right="0"/>
          <w:cols w:num="5" w:equalWidth="0">
            <w:col w:w="3465" w:space="40"/>
            <w:col w:w="801" w:space="40"/>
            <w:col w:w="3395" w:space="40"/>
            <w:col w:w="779" w:space="40"/>
            <w:col w:w="233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7723"/>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完成履行的具体原因 及下一步的工作计划</w:t>
            </w:r>
          </w:p>
        </w:tc>
        <w:tc>
          <w:tcPr>
            <w:tcW w:w="7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59" w:lineRule="auto" w:before="36"/>
        <w:ind w:right="1128"/>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7"/>
        </w:rPr>
        <w:t> </w:t>
      </w:r>
      <w:r>
        <w:rPr>
          <w:spacing w:val="-67"/>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2" w:right="89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重要会计政策变更</w:t>
      </w:r>
    </w:p>
    <w:p>
      <w:pPr>
        <w:pStyle w:val="BodyText"/>
        <w:spacing w:line="300" w:lineRule="auto" w:before="2"/>
        <w:ind w:right="1045" w:firstLine="360"/>
        <w:jc w:val="left"/>
      </w:pP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日起施行新金融工具准则。本公司将执行财政部于</w:t>
      </w:r>
      <w:r>
        <w:rPr>
          <w:rFonts w:ascii="Times New Roman" w:hAnsi="Times New Roman" w:cs="Times New Roman" w:eastAsia="Times New Roman" w:hint="default"/>
        </w:rPr>
        <w:t>2017</w:t>
      </w:r>
      <w:r>
        <w:rPr/>
        <w:t>年修订并发布的新金融工具相关准则， </w:t>
      </w:r>
      <w:r>
        <w:rPr>
          <w:spacing w:val="-3"/>
        </w:rPr>
        <w:t>其他未修改变更部分，仍按照财政部前期颁布的《企业会计准则</w:t>
      </w:r>
      <w:r>
        <w:rPr>
          <w:rFonts w:ascii="Times New Roman" w:hAnsi="Times New Roman" w:cs="Times New Roman" w:eastAsia="Times New Roman" w:hint="default"/>
          <w:spacing w:val="-3"/>
        </w:rPr>
        <w:t>--</w:t>
      </w:r>
      <w:r>
        <w:rPr>
          <w:spacing w:val="-3"/>
        </w:rPr>
        <w:t>基本准则》和各项具体会计准则、企业会计准则应用指南、</w:t>
      </w:r>
      <w:r>
        <w:rPr>
          <w:spacing w:val="-38"/>
        </w:rPr>
        <w:t> </w:t>
      </w:r>
      <w:r>
        <w:rPr>
          <w:spacing w:val="-38"/>
        </w:rPr>
      </w:r>
      <w:r>
        <w:rPr/>
        <w:t>企业会计准则解释公告以及其他相关规定执行。</w:t>
      </w:r>
    </w:p>
    <w:p>
      <w:pPr>
        <w:pStyle w:val="BodyText"/>
        <w:spacing w:line="316" w:lineRule="auto" w:before="31"/>
        <w:ind w:right="1128" w:firstLine="360"/>
        <w:jc w:val="left"/>
      </w:pPr>
      <w:r>
        <w:rPr>
          <w:spacing w:val="-2"/>
        </w:rPr>
        <w:t>本次会计政策变更不涉及以前年度的追溯调整，对公司资产总额、负债总额、净资产、净利润、所有者权益等均不产生</w:t>
      </w:r>
      <w:r>
        <w:rPr/>
        <w:t> 影响。</w:t>
      </w:r>
    </w:p>
    <w:p>
      <w:pPr>
        <w:pStyle w:val="BodyText"/>
        <w:spacing w:line="300" w:lineRule="auto" w:before="19"/>
        <w:ind w:right="1127" w:firstLine="360"/>
        <w:jc w:val="both"/>
      </w:pPr>
      <w:r>
        <w:rPr>
          <w:rFonts w:ascii="Times New Roman" w:hAnsi="Times New Roman" w:cs="Times New Roman" w:eastAsia="Times New Roman" w:hint="default"/>
          <w:spacing w:val="-1"/>
        </w:rPr>
        <w:t>2</w:t>
      </w:r>
      <w:r>
        <w:rPr>
          <w:spacing w:val="-1"/>
        </w:rPr>
        <w:t>）财政部于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月发布的《关于修订印发</w:t>
      </w:r>
      <w:r>
        <w:rPr>
          <w:rFonts w:ascii="Times New Roman" w:hAnsi="Times New Roman" w:cs="Times New Roman" w:eastAsia="Times New Roman" w:hint="default"/>
          <w:spacing w:val="-1"/>
        </w:rPr>
        <w:t>2019</w:t>
      </w:r>
      <w:r>
        <w:rPr>
          <w:spacing w:val="-1"/>
        </w:rPr>
        <w:t>年度一般企业财务报表格式的通知》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[2019]6</w:t>
      </w:r>
      <w:r>
        <w:rPr>
          <w:spacing w:val="-1"/>
        </w:rPr>
        <w:t>号</w:t>
      </w:r>
      <w:r>
        <w:rPr>
          <w:rFonts w:ascii="Times New Roman" w:hAnsi="Times New Roman" w:cs="Times New Roman" w:eastAsia="Times New Roman" w:hint="default"/>
          <w:spacing w:val="-1"/>
        </w:rPr>
        <w:t>)</w:t>
      </w:r>
      <w:r>
        <w:rPr>
          <w:spacing w:val="-1"/>
        </w:rPr>
        <w:t>，对一般企业财</w:t>
      </w:r>
      <w:r>
        <w:rPr/>
        <w:t> 务报表格式作出了修订以及整合了财政部发布的解读的相关规定，本公司已根据其要求按照一般企业财务报表格式</w:t>
      </w:r>
      <w:r>
        <w:rPr>
          <w:rFonts w:ascii="Times New Roman" w:hAnsi="Times New Roman" w:cs="Times New Roman" w:eastAsia="Times New Roman" w:hint="default"/>
        </w:rPr>
        <w:t>(</w:t>
      </w:r>
      <w:r>
        <w:rPr/>
        <w:t>适用于</w:t>
      </w:r>
      <w:r>
        <w:rPr>
          <w:spacing w:val="-59"/>
        </w:rPr>
        <w:t> </w:t>
      </w:r>
      <w:r>
        <w:rPr>
          <w:spacing w:val="-59"/>
        </w:rPr>
      </w:r>
      <w:r>
        <w:rPr/>
        <w:t>已执行新金融准则、新收入准则和新租货准则的企业</w:t>
      </w:r>
      <w:r>
        <w:rPr>
          <w:rFonts w:ascii="Times New Roman" w:hAnsi="Times New Roman" w:cs="Times New Roman" w:eastAsia="Times New Roman" w:hint="default"/>
        </w:rPr>
        <w:t>)</w:t>
      </w:r>
      <w:r>
        <w:rPr/>
        <w:t>编制财务报表。财务报表的列报项目名称和内容发生变更的，对可比</w:t>
      </w:r>
      <w:r>
        <w:rPr>
          <w:spacing w:val="-60"/>
        </w:rPr>
        <w:t> </w:t>
      </w:r>
      <w:r>
        <w:rPr>
          <w:spacing w:val="-60"/>
        </w:rPr>
      </w:r>
      <w:r>
        <w:rPr/>
        <w:t>期间的比较数据按照当期的列报要求进行调整，相关准则有特殊规定的除外。</w:t>
      </w:r>
    </w:p>
    <w:p>
      <w:pPr>
        <w:pStyle w:val="BodyText"/>
        <w:spacing w:line="300" w:lineRule="auto" w:before="31"/>
        <w:ind w:right="1128" w:firstLine="288"/>
        <w:jc w:val="left"/>
      </w:pPr>
      <w:r>
        <w:rPr>
          <w:spacing w:val="-1"/>
        </w:rPr>
        <w:t>本次会计政策变更，仅对财务报表项目列示产生影响，对本公司</w:t>
      </w:r>
      <w:r>
        <w:rPr>
          <w:rFonts w:ascii="Times New Roman" w:hAnsi="Times New Roman" w:cs="Times New Roman" w:eastAsia="Times New Roman" w:hint="default"/>
          <w:spacing w:val="-1"/>
        </w:rPr>
        <w:t>2018</w:t>
      </w:r>
      <w:r>
        <w:rPr>
          <w:spacing w:val="-1"/>
        </w:rPr>
        <w:t>年末资产总额、负债总额和净资产以及</w:t>
      </w:r>
      <w:r>
        <w:rPr>
          <w:rFonts w:ascii="Times New Roman" w:hAnsi="Times New Roman" w:cs="Times New Roman" w:eastAsia="Times New Roman" w:hint="default"/>
          <w:spacing w:val="-1"/>
        </w:rPr>
        <w:t>2018</w:t>
      </w:r>
      <w:r>
        <w:rPr>
          <w:spacing w:val="-1"/>
        </w:rPr>
        <w:t>年度净</w:t>
      </w:r>
      <w:r>
        <w:rPr/>
        <w:t> 利润未产生影响。</w:t>
      </w:r>
    </w:p>
    <w:p>
      <w:pPr>
        <w:spacing w:line="240" w:lineRule="auto" w:before="11"/>
        <w:rPr>
          <w:rFonts w:ascii="宋体" w:hAnsi="宋体" w:cs="宋体" w:eastAsia="宋体" w:hint="default"/>
          <w:sz w:val="21"/>
          <w:szCs w:val="21"/>
        </w:rPr>
      </w:pPr>
    </w:p>
    <w:p>
      <w:pPr>
        <w:pStyle w:val="Heading2"/>
        <w:spacing w:line="240" w:lineRule="auto"/>
        <w:ind w:right="1128"/>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128"/>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8"/>
          <w:pgSz w:w="11910" w:h="16840"/>
          <w:pgMar w:footer="981" w:header="745" w:top="1060" w:bottom="1180" w:left="980" w:right="0"/>
          <w:pgNumType w:start="40"/>
        </w:sectPr>
      </w:pPr>
    </w:p>
    <w:p>
      <w:pPr>
        <w:spacing w:line="240" w:lineRule="auto" w:before="9"/>
        <w:rPr>
          <w:rFonts w:ascii="宋体" w:hAnsi="宋体" w:cs="宋体" w:eastAsia="宋体" w:hint="default"/>
          <w:sz w:val="25"/>
          <w:szCs w:val="25"/>
        </w:rPr>
      </w:pPr>
    </w:p>
    <w:p>
      <w:pPr>
        <w:pStyle w:val="BodyText"/>
        <w:spacing w:line="312" w:lineRule="auto" w:before="44"/>
        <w:ind w:right="1128" w:firstLine="288"/>
        <w:jc w:val="left"/>
      </w:pPr>
      <w:r>
        <w:rPr>
          <w:spacing w:val="-1"/>
        </w:rPr>
        <w:t>本年新增子公司：黄冈市吉宏包装有限公司、安徽吉宏环保纸品有限公司、成都渡佳电子商务有限公司、深圳吉链区块</w:t>
      </w:r>
      <w:r>
        <w:rPr/>
        <w:t> </w:t>
      </w:r>
      <w:r>
        <w:rPr>
          <w:spacing w:val="-2"/>
        </w:rPr>
        <w:t>链技术有限公司、孝感市吉联食品包装有限公司、江西吉宏供应链管理有限公司、江西维致供应链管理有限公司、山西火致</w:t>
      </w:r>
      <w:r>
        <w:rPr>
          <w:spacing w:val="-67"/>
        </w:rPr>
        <w:t> </w:t>
      </w:r>
      <w:r>
        <w:rPr>
          <w:spacing w:val="-67"/>
        </w:rPr>
      </w:r>
      <w:r>
        <w:rPr/>
        <w:t>供应链管理有限公司。本年减少子公司：厦门吉联包装有限公司、西安超斯塔科技有限公司、</w:t>
      </w:r>
      <w:r>
        <w:rPr>
          <w:rFonts w:ascii="Times New Roman" w:hAnsi="Times New Roman" w:cs="Times New Roman" w:eastAsia="Times New Roman" w:hint="default"/>
        </w:rPr>
        <w:t>NOVABEYOND</w:t>
      </w:r>
      <w:r>
        <w:rPr>
          <w:rFonts w:ascii="Times New Roman" w:hAnsi="Times New Roman" w:cs="Times New Roman" w:eastAsia="Times New Roman" w:hint="default"/>
          <w:w w:val="99"/>
        </w:rPr>
        <w:t> </w:t>
      </w:r>
      <w:r>
        <w:rPr>
          <w:rFonts w:ascii="Times New Roman" w:hAnsi="Times New Roman" w:cs="Times New Roman" w:eastAsia="Times New Roman" w:hint="default"/>
        </w:rPr>
        <w:t>TECHNOLOGY(SD)</w:t>
      </w:r>
      <w:r>
        <w:rPr>
          <w:rFonts w:ascii="Times New Roman" w:hAnsi="Times New Roman" w:cs="Times New Roman" w:eastAsia="Times New Roman" w:hint="default"/>
          <w:spacing w:val="-3"/>
        </w:rPr>
        <w:t> </w:t>
      </w:r>
      <w:r>
        <w:rPr>
          <w:rFonts w:ascii="Times New Roman" w:hAnsi="Times New Roman" w:cs="Times New Roman" w:eastAsia="Times New Roman" w:hint="default"/>
        </w:rPr>
        <w:t>PTE.LTD.</w:t>
      </w:r>
      <w:r>
        <w:rPr/>
        <w:t>、香港百泽惠科技有限公司。</w:t>
      </w:r>
    </w:p>
    <w:p>
      <w:pPr>
        <w:spacing w:line="240" w:lineRule="auto" w:before="8"/>
        <w:rPr>
          <w:rFonts w:ascii="宋体" w:hAnsi="宋体" w:cs="宋体" w:eastAsia="宋体" w:hint="default"/>
          <w:sz w:val="19"/>
          <w:szCs w:val="19"/>
        </w:rPr>
      </w:pPr>
    </w:p>
    <w:p>
      <w:pPr>
        <w:pStyle w:val="Heading2"/>
        <w:spacing w:line="240" w:lineRule="auto"/>
        <w:ind w:right="1128"/>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张东鹤、常晓波</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49"/>
        <w:ind w:right="1128"/>
        <w:jc w:val="left"/>
      </w:pPr>
      <w:r>
        <w:rPr/>
        <w:t>当期是否改聘会计师事务所</w:t>
      </w:r>
    </w:p>
    <w:p>
      <w:pPr>
        <w:pStyle w:val="BodyText"/>
        <w:spacing w:line="340" w:lineRule="auto" w:before="115"/>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28"/>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28"/>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28"/>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8"/>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440" w:right="8125"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一、公司第一期员工持股计划</w:t>
      </w:r>
    </w:p>
    <w:p>
      <w:pPr>
        <w:pStyle w:val="BodyText"/>
        <w:spacing w:line="300" w:lineRule="auto" w:before="2"/>
        <w:ind w:right="1123" w:firstLine="288"/>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年第一次临时股东大会，审议通过《关于回购公司股份的议案》，同意公司在股东大会 审议通过回购方案之日起</w:t>
      </w:r>
      <w:r>
        <w:rPr>
          <w:rFonts w:ascii="Times New Roman" w:hAnsi="Times New Roman" w:cs="Times New Roman" w:eastAsia="Times New Roman" w:hint="default"/>
        </w:rPr>
        <w:t>6</w:t>
      </w:r>
      <w:r>
        <w:rPr/>
        <w:t>个月内，择机通过二级市场以集中竞价交易方式回购公司部分社会公众股，用于后期实施股权激 励计划或员工持股计划。截止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日，公司累计通过股票回购专用证券账户以集中竞价交易方式回购公司股份 </w:t>
      </w:r>
      <w:r>
        <w:rPr>
          <w:rFonts w:ascii="Times New Roman" w:hAnsi="Times New Roman" w:cs="Times New Roman" w:eastAsia="Times New Roman" w:hint="default"/>
        </w:rPr>
        <w:t>1,971,923</w:t>
      </w:r>
      <w:r>
        <w:rPr/>
        <w:t>股，占公司总股本的比例约为</w:t>
      </w:r>
      <w:r>
        <w:rPr>
          <w:rFonts w:ascii="Times New Roman" w:hAnsi="Times New Roman" w:cs="Times New Roman" w:eastAsia="Times New Roman" w:hint="default"/>
        </w:rPr>
        <w:t>1.70%</w:t>
      </w:r>
      <w:r>
        <w:rPr/>
        <w:t>，购买的最高价为</w:t>
      </w:r>
      <w:r>
        <w:rPr>
          <w:rFonts w:ascii="Times New Roman" w:hAnsi="Times New Roman" w:cs="Times New Roman" w:eastAsia="Times New Roman" w:hint="default"/>
        </w:rPr>
        <w:t>44.70</w:t>
      </w:r>
      <w:r>
        <w:rPr/>
        <w:t>元</w:t>
      </w:r>
      <w:r>
        <w:rPr>
          <w:rFonts w:ascii="Times New Roman" w:hAnsi="Times New Roman" w:cs="Times New Roman" w:eastAsia="Times New Roman" w:hint="default"/>
        </w:rPr>
        <w:t>/</w:t>
      </w:r>
      <w:r>
        <w:rPr/>
        <w:t>股，最低价为</w:t>
      </w:r>
      <w:r>
        <w:rPr>
          <w:rFonts w:ascii="Times New Roman" w:hAnsi="Times New Roman" w:cs="Times New Roman" w:eastAsia="Times New Roman" w:hint="default"/>
        </w:rPr>
        <w:t>39.14</w:t>
      </w:r>
      <w:r>
        <w:rPr/>
        <w:t>元</w:t>
      </w:r>
      <w:r>
        <w:rPr>
          <w:rFonts w:ascii="Times New Roman" w:hAnsi="Times New Roman" w:cs="Times New Roman" w:eastAsia="Times New Roman" w:hint="default"/>
        </w:rPr>
        <w:t>/</w:t>
      </w:r>
      <w:r>
        <w:rPr/>
        <w:t>股，支付的总金额为人民币</w:t>
      </w:r>
    </w:p>
    <w:p>
      <w:pPr>
        <w:pStyle w:val="BodyText"/>
        <w:spacing w:line="240" w:lineRule="auto" w:before="13"/>
        <w:ind w:right="1128"/>
        <w:jc w:val="left"/>
      </w:pPr>
      <w:r>
        <w:rPr>
          <w:rFonts w:ascii="Times New Roman" w:hAnsi="Times New Roman" w:cs="Times New Roman" w:eastAsia="Times New Roman" w:hint="default"/>
        </w:rPr>
        <w:t>83,207,871.1</w:t>
      </w:r>
      <w:r>
        <w:rPr/>
        <w:t>元（含交易费用）。</w:t>
      </w:r>
    </w:p>
    <w:p>
      <w:pPr>
        <w:pStyle w:val="BodyText"/>
        <w:spacing w:line="300" w:lineRule="auto" w:before="62"/>
        <w:ind w:right="1192" w:firstLine="576"/>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日，公司召开第三届董事会第二十九次会议，审议通过《关于公司第一期员工持股计划草案及其摘要 的议案》、《关于</w:t>
      </w:r>
      <w:r>
        <w:rPr>
          <w:rFonts w:ascii="Times New Roman" w:hAnsi="Times New Roman" w:cs="Times New Roman" w:eastAsia="Times New Roman" w:hint="default"/>
        </w:rPr>
        <w:t>&lt;</w:t>
      </w:r>
      <w:r>
        <w:rPr/>
        <w:t>员工持股计划管理办法</w:t>
      </w:r>
      <w:r>
        <w:rPr>
          <w:rFonts w:ascii="Times New Roman" w:hAnsi="Times New Roman" w:cs="Times New Roman" w:eastAsia="Times New Roman" w:hint="default"/>
        </w:rPr>
        <w:t>&gt;</w:t>
      </w:r>
      <w:r>
        <w:rPr/>
        <w:t>的议案》等议案，并经公司于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年第五次临时股东大 会审议通过。</w:t>
      </w:r>
    </w:p>
    <w:p>
      <w:pPr>
        <w:pStyle w:val="BodyText"/>
        <w:spacing w:line="300" w:lineRule="auto" w:before="31"/>
        <w:ind w:right="1129" w:firstLine="576"/>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w:t>
      </w:r>
      <w:r>
        <w:rPr>
          <w:spacing w:val="-2"/>
        </w:rPr>
        <w:t>厦门吉宏包装科技股份有限公司</w:t>
      </w:r>
      <w:r>
        <w:rPr>
          <w:rFonts w:ascii="Times New Roman" w:hAnsi="Times New Roman" w:cs="Times New Roman" w:eastAsia="Times New Roman" w:hint="default"/>
          <w:spacing w:val="-2"/>
        </w:rPr>
        <w:t>-</w:t>
      </w:r>
      <w:r>
        <w:rPr>
          <w:spacing w:val="-2"/>
        </w:rPr>
        <w:t>第一期员工持股计划</w:t>
      </w:r>
      <w:r>
        <w:rPr>
          <w:rFonts w:ascii="Times New Roman" w:hAnsi="Times New Roman" w:cs="Times New Roman" w:eastAsia="Times New Roman" w:hint="default"/>
          <w:spacing w:val="-2"/>
        </w:rPr>
        <w:t>”</w:t>
      </w:r>
      <w:r>
        <w:rPr>
          <w:spacing w:val="-2"/>
        </w:rPr>
        <w:t>专用证券账户按照</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日公司股票</w:t>
      </w:r>
      <w:r>
        <w:rPr/>
        <w:t> 收盘价</w:t>
      </w:r>
      <w:r>
        <w:rPr>
          <w:rFonts w:ascii="Times New Roman" w:hAnsi="Times New Roman" w:cs="Times New Roman" w:eastAsia="Times New Roman" w:hint="default"/>
        </w:rPr>
        <w:t>34.47</w:t>
      </w:r>
      <w:r>
        <w:rPr/>
        <w:t>元</w:t>
      </w:r>
      <w:r>
        <w:rPr>
          <w:rFonts w:ascii="Times New Roman" w:hAnsi="Times New Roman" w:cs="Times New Roman" w:eastAsia="Times New Roman" w:hint="default"/>
        </w:rPr>
        <w:t>/</w:t>
      </w:r>
      <w:r>
        <w:rPr/>
        <w:t>股的价格受让公司回购专户所持有</w:t>
      </w:r>
      <w:r>
        <w:rPr>
          <w:rFonts w:ascii="Times New Roman" w:hAnsi="Times New Roman" w:cs="Times New Roman" w:eastAsia="Times New Roman" w:hint="default"/>
        </w:rPr>
        <w:t>1,971,923</w:t>
      </w:r>
      <w:r>
        <w:rPr/>
        <w:t>股的股票，并通过中国证券登记结算有限责任公司深圳分公司办 </w:t>
      </w:r>
      <w:r>
        <w:rPr>
          <w:spacing w:val="-2"/>
        </w:rPr>
        <w:t>理完成相应的过户手续。</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日，公司实施</w:t>
      </w:r>
      <w:r>
        <w:rPr>
          <w:rFonts w:ascii="Times New Roman" w:hAnsi="Times New Roman" w:cs="Times New Roman" w:eastAsia="Times New Roman" w:hint="default"/>
          <w:spacing w:val="-2"/>
        </w:rPr>
        <w:t>2018</w:t>
      </w:r>
      <w:r>
        <w:rPr>
          <w:spacing w:val="-2"/>
        </w:rPr>
        <w:t>年半年度权益分派，以公司总股本</w:t>
      </w:r>
      <w:r>
        <w:rPr>
          <w:rFonts w:ascii="Times New Roman" w:hAnsi="Times New Roman" w:cs="Times New Roman" w:eastAsia="Times New Roman" w:hint="default"/>
          <w:spacing w:val="-2"/>
        </w:rPr>
        <w:t>116,000,000</w:t>
      </w:r>
      <w:r>
        <w:rPr>
          <w:spacing w:val="-2"/>
        </w:rPr>
        <w:t>股为基数，以资本公</w:t>
      </w:r>
      <w:r>
        <w:rPr>
          <w:spacing w:val="-45"/>
        </w:rPr>
        <w:t> </w:t>
      </w:r>
      <w:r>
        <w:rPr>
          <w:spacing w:val="-45"/>
        </w:rPr>
      </w: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股，转增后本次员工持股计划持股数量由</w:t>
      </w:r>
      <w:r>
        <w:rPr>
          <w:rFonts w:ascii="Times New Roman" w:hAnsi="Times New Roman" w:cs="Times New Roman" w:eastAsia="Times New Roman" w:hint="default"/>
        </w:rPr>
        <w:t>1,971,923</w:t>
      </w:r>
      <w:r>
        <w:rPr/>
        <w:t>股变更为</w:t>
      </w:r>
      <w:r>
        <w:rPr>
          <w:rFonts w:ascii="Times New Roman" w:hAnsi="Times New Roman" w:cs="Times New Roman" w:eastAsia="Times New Roman" w:hint="default"/>
        </w:rPr>
        <w:t>3,352,269</w:t>
      </w:r>
      <w:r>
        <w:rPr/>
        <w:t>股。</w:t>
      </w:r>
    </w:p>
    <w:p>
      <w:pPr>
        <w:pStyle w:val="BodyText"/>
        <w:spacing w:line="300" w:lineRule="auto" w:before="13"/>
        <w:ind w:right="1195" w:firstLine="288"/>
        <w:jc w:val="left"/>
      </w:pPr>
      <w:r>
        <w:rPr/>
        <w:t>本次员工持股计划于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日到期解锁，所持股票已于解锁后至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日通过二级市场全部出售，本次员工 持股计划已实施完毕并终止。上述员工持股计划详细内容见巨潮资讯网（</w:t>
      </w:r>
      <w:hyperlink r:id="rId13">
        <w:r>
          <w:rPr>
            <w:rFonts w:ascii="Times New Roman" w:hAnsi="Times New Roman" w:cs="Times New Roman" w:eastAsia="Times New Roman" w:hint="default"/>
          </w:rPr>
          <w:t>www.cninfo.com.cn</w:t>
        </w:r>
      </w:hyperlink>
      <w:r>
        <w:rPr/>
        <w:t>）相关公告。</w:t>
      </w:r>
    </w:p>
    <w:p>
      <w:pPr>
        <w:pStyle w:val="BodyText"/>
        <w:spacing w:line="316" w:lineRule="auto" w:before="13"/>
        <w:ind w:left="440" w:right="0"/>
        <w:jc w:val="left"/>
      </w:pPr>
      <w:r>
        <w:rPr/>
        <w:t>二、公司股份回购事项 </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w:t>
      </w:r>
      <w:r>
        <w:rPr>
          <w:spacing w:val="-4"/>
        </w:rPr>
        <w:t>日召开第四届董事会第三次会议、第四届监事会第二次会议，审议通过《关于回购公司股份的议案》，</w:t>
      </w:r>
    </w:p>
    <w:p>
      <w:pPr>
        <w:pStyle w:val="BodyText"/>
        <w:spacing w:line="300" w:lineRule="auto"/>
        <w:ind w:right="0"/>
        <w:jc w:val="left"/>
      </w:pPr>
      <w:r>
        <w:rPr>
          <w:spacing w:val="-2"/>
          <w:w w:val="99"/>
        </w:rPr>
        <w:t>同意公司使用自有资金不超过人民币</w:t>
      </w:r>
      <w:r>
        <w:rPr>
          <w:rFonts w:ascii="Times New Roman" w:hAnsi="Times New Roman" w:cs="Times New Roman" w:eastAsia="Times New Roman" w:hint="default"/>
          <w:spacing w:val="-2"/>
          <w:w w:val="99"/>
        </w:rPr>
        <w:t>14,500</w:t>
      </w:r>
      <w:r>
        <w:rPr>
          <w:spacing w:val="-2"/>
          <w:w w:val="99"/>
        </w:rPr>
        <w:t>万元通过二级市场以集中竞价交易方式回购部分公司发行的人民币普通股（</w:t>
      </w:r>
      <w:r>
        <w:rPr>
          <w:rFonts w:ascii="Times New Roman" w:hAnsi="Times New Roman" w:cs="Times New Roman" w:eastAsia="Times New Roman" w:hint="default"/>
          <w:spacing w:val="-2"/>
          <w:w w:val="99"/>
        </w:rPr>
        <w:t>A</w:t>
      </w:r>
      <w:r>
        <w:rPr>
          <w:spacing w:val="-2"/>
          <w:w w:val="99"/>
        </w:rPr>
        <w:t>股）</w:t>
      </w:r>
      <w:r>
        <w:rPr>
          <w:spacing w:val="-54"/>
          <w:w w:val="99"/>
        </w:rPr>
        <w:t> </w:t>
      </w:r>
      <w:r>
        <w:rPr/>
        <w:t>股票，用于后期实施员工持股计划或股权激励计划，回购价格不超过</w:t>
      </w:r>
      <w:r>
        <w:rPr>
          <w:rFonts w:ascii="Times New Roman" w:hAnsi="Times New Roman" w:cs="Times New Roman" w:eastAsia="Times New Roman" w:hint="default"/>
        </w:rPr>
        <w:t>29</w:t>
      </w:r>
      <w:r>
        <w:rPr/>
        <w:t>元</w:t>
      </w:r>
      <w:r>
        <w:rPr>
          <w:rFonts w:ascii="Times New Roman" w:hAnsi="Times New Roman" w:cs="Times New Roman" w:eastAsia="Times New Roman" w:hint="default"/>
        </w:rPr>
        <w:t>/</w:t>
      </w:r>
      <w:r>
        <w:rPr/>
        <w:t>股，回购数量不低于</w:t>
      </w:r>
      <w:r>
        <w:rPr>
          <w:rFonts w:ascii="Times New Roman" w:hAnsi="Times New Roman" w:cs="Times New Roman" w:eastAsia="Times New Roman" w:hint="default"/>
        </w:rPr>
        <w:t>300</w:t>
      </w:r>
      <w:r>
        <w:rPr/>
        <w:t>万股，不高于</w:t>
      </w:r>
      <w:r>
        <w:rPr>
          <w:rFonts w:ascii="Times New Roman" w:hAnsi="Times New Roman" w:cs="Times New Roman" w:eastAsia="Times New Roman" w:hint="default"/>
        </w:rPr>
        <w:t>500</w:t>
      </w:r>
      <w:r>
        <w:rPr/>
        <w:t>万股， 占公司总股本的比例不低于</w:t>
      </w:r>
      <w:r>
        <w:rPr>
          <w:rFonts w:ascii="Times New Roman" w:hAnsi="Times New Roman" w:cs="Times New Roman" w:eastAsia="Times New Roman" w:hint="default"/>
        </w:rPr>
        <w:t>1.35%</w:t>
      </w:r>
      <w:r>
        <w:rPr/>
        <w:t>，不高于</w:t>
      </w:r>
      <w:r>
        <w:rPr>
          <w:rFonts w:ascii="Times New Roman" w:hAnsi="Times New Roman" w:cs="Times New Roman" w:eastAsia="Times New Roman" w:hint="default"/>
        </w:rPr>
        <w:t>2.25%</w:t>
      </w:r>
      <w:r>
        <w:rPr/>
        <w:t>，回购期限自董事会审议通过回购方案之日起不超过</w:t>
      </w:r>
      <w:r>
        <w:rPr>
          <w:rFonts w:ascii="Times New Roman" w:hAnsi="Times New Roman" w:cs="Times New Roman" w:eastAsia="Times New Roman" w:hint="default"/>
        </w:rPr>
        <w:t>12</w:t>
      </w:r>
      <w:r>
        <w:rPr/>
        <w:t>个月。受资本市场 及公司股价变化等情况影响，公司于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日召开第四届董事会第六次会议，将股票回购价格上限调整至</w:t>
      </w:r>
      <w:r>
        <w:rPr>
          <w:rFonts w:ascii="Times New Roman" w:hAnsi="Times New Roman" w:cs="Times New Roman" w:eastAsia="Times New Roman" w:hint="default"/>
        </w:rPr>
        <w:t>34.58</w:t>
      </w:r>
      <w:r>
        <w:rPr/>
        <w:t>元</w:t>
      </w:r>
      <w:r>
        <w:rPr>
          <w:rFonts w:ascii="Times New Roman" w:hAnsi="Times New Roman" w:cs="Times New Roman" w:eastAsia="Times New Roman" w:hint="default"/>
        </w:rPr>
        <w:t>/</w:t>
      </w:r>
      <w:r>
        <w:rPr/>
        <w:t>股。</w:t>
      </w:r>
    </w:p>
    <w:p>
      <w:pPr>
        <w:pStyle w:val="BodyText"/>
        <w:spacing w:line="300" w:lineRule="auto" w:before="13"/>
        <w:ind w:right="1129" w:firstLine="288"/>
        <w:jc w:val="both"/>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日，公司通过股票回购专用证券账户以集中竞价交易方式累计回购公司股份数量</w:t>
      </w:r>
      <w:r>
        <w:rPr>
          <w:rFonts w:ascii="Times New Roman" w:hAnsi="Times New Roman" w:cs="Times New Roman" w:eastAsia="Times New Roman" w:hint="default"/>
        </w:rPr>
        <w:t>653,700</w:t>
      </w:r>
      <w:r>
        <w:rPr/>
        <w:t>股，占公司总 </w:t>
      </w:r>
      <w:r>
        <w:rPr>
          <w:spacing w:val="-1"/>
        </w:rPr>
        <w:t>股本的比例</w:t>
      </w:r>
      <w:r>
        <w:rPr>
          <w:rFonts w:ascii="Times New Roman" w:hAnsi="Times New Roman" w:cs="Times New Roman" w:eastAsia="Times New Roman" w:hint="default"/>
          <w:spacing w:val="-1"/>
        </w:rPr>
        <w:t>0.29%</w:t>
      </w:r>
      <w:r>
        <w:rPr>
          <w:spacing w:val="-1"/>
        </w:rPr>
        <w:t>，购买的最高价为</w:t>
      </w:r>
      <w:r>
        <w:rPr>
          <w:rFonts w:ascii="Times New Roman" w:hAnsi="Times New Roman" w:cs="Times New Roman" w:eastAsia="Times New Roman" w:hint="default"/>
          <w:spacing w:val="-1"/>
        </w:rPr>
        <w:t>34.58</w:t>
      </w:r>
      <w:r>
        <w:rPr>
          <w:spacing w:val="-1"/>
        </w:rPr>
        <w:t>元</w:t>
      </w:r>
      <w:r>
        <w:rPr>
          <w:rFonts w:ascii="Times New Roman" w:hAnsi="Times New Roman" w:cs="Times New Roman" w:eastAsia="Times New Roman" w:hint="default"/>
          <w:spacing w:val="-1"/>
        </w:rPr>
        <w:t>/</w:t>
      </w:r>
      <w:r>
        <w:rPr>
          <w:spacing w:val="-1"/>
        </w:rPr>
        <w:t>股，最低价为</w:t>
      </w:r>
      <w:r>
        <w:rPr>
          <w:rFonts w:ascii="Times New Roman" w:hAnsi="Times New Roman" w:cs="Times New Roman" w:eastAsia="Times New Roman" w:hint="default"/>
          <w:spacing w:val="-1"/>
        </w:rPr>
        <w:t>23.05</w:t>
      </w:r>
      <w:r>
        <w:rPr>
          <w:spacing w:val="-1"/>
        </w:rPr>
        <w:t>元</w:t>
      </w:r>
      <w:r>
        <w:rPr>
          <w:rFonts w:ascii="Times New Roman" w:hAnsi="Times New Roman" w:cs="Times New Roman" w:eastAsia="Times New Roman" w:hint="default"/>
          <w:spacing w:val="-1"/>
        </w:rPr>
        <w:t>/</w:t>
      </w:r>
      <w:r>
        <w:rPr>
          <w:spacing w:val="-1"/>
        </w:rPr>
        <w:t>股，成交均价为</w:t>
      </w:r>
      <w:r>
        <w:rPr>
          <w:rFonts w:ascii="Times New Roman" w:hAnsi="Times New Roman" w:cs="Times New Roman" w:eastAsia="Times New Roman" w:hint="default"/>
          <w:spacing w:val="-1"/>
        </w:rPr>
        <w:t>29.06</w:t>
      </w:r>
      <w:r>
        <w:rPr>
          <w:spacing w:val="-1"/>
        </w:rPr>
        <w:t>元</w:t>
      </w:r>
      <w:r>
        <w:rPr>
          <w:rFonts w:ascii="Times New Roman" w:hAnsi="Times New Roman" w:cs="Times New Roman" w:eastAsia="Times New Roman" w:hint="default"/>
          <w:spacing w:val="-1"/>
        </w:rPr>
        <w:t>/</w:t>
      </w:r>
      <w:r>
        <w:rPr>
          <w:spacing w:val="-1"/>
        </w:rPr>
        <w:t>股，支付的总金额为</w:t>
      </w:r>
      <w:r>
        <w:rPr>
          <w:rFonts w:ascii="Times New Roman" w:hAnsi="Times New Roman" w:cs="Times New Roman" w:eastAsia="Times New Roman" w:hint="default"/>
          <w:spacing w:val="-1"/>
        </w:rPr>
        <w:t>18,997,267.20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元（不含交易费用）。</w:t>
      </w:r>
    </w:p>
    <w:p>
      <w:pPr>
        <w:pStyle w:val="BodyText"/>
        <w:spacing w:line="300" w:lineRule="auto" w:before="31"/>
        <w:ind w:right="1105" w:firstLine="288"/>
        <w:jc w:val="left"/>
      </w:pPr>
      <w:r>
        <w:rPr/>
        <w:t>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日刊登于《证券时报》《证券日报》《中国证券报》、《上海证券报》 和巨潮资讯网（</w:t>
      </w:r>
      <w:hyperlink r:id="rId13">
        <w:r>
          <w:rPr>
            <w:rFonts w:ascii="Times New Roman" w:hAnsi="Times New Roman" w:cs="Times New Roman" w:eastAsia="Times New Roman" w:hint="default"/>
          </w:rPr>
          <w:t>www.cninfo.com.cn</w:t>
        </w:r>
      </w:hyperlink>
      <w:r>
        <w:rPr/>
        <w:t>）的《关于回购公司股份的方案》等相关公告。</w:t>
      </w:r>
    </w:p>
    <w:p>
      <w:pPr>
        <w:spacing w:line="240" w:lineRule="auto" w:before="5"/>
        <w:rPr>
          <w:rFonts w:ascii="宋体" w:hAnsi="宋体" w:cs="宋体" w:eastAsia="宋体" w:hint="default"/>
          <w:sz w:val="20"/>
          <w:szCs w:val="20"/>
        </w:rPr>
      </w:pPr>
    </w:p>
    <w:p>
      <w:pPr>
        <w:pStyle w:val="Heading2"/>
        <w:spacing w:line="240" w:lineRule="auto"/>
        <w:ind w:right="1128"/>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after="0" w:line="3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28"/>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单位：万元</w:t>
      </w:r>
    </w:p>
    <w:p>
      <w:pPr>
        <w:spacing w:line="240" w:lineRule="auto" w:before="9"/>
        <w:rPr>
          <w:rFonts w:ascii="宋体" w:hAnsi="宋体" w:cs="宋体" w:eastAsia="宋体" w:hint="default"/>
          <w:sz w:val="8"/>
          <w:szCs w:val="8"/>
        </w:rPr>
      </w:pPr>
    </w:p>
    <w:p>
      <w:pPr>
        <w:spacing w:line="403"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5pt;height:20.2pt;mso-position-horizontal-relative:char;mso-position-vertical-relative:line" type="#_x0000_t202" filled="true" fillcolor="#d3d3d3" stroked="true" strokeweight=".48pt" strokecolor="#000000">
            <w10:anchorlock/>
            <v:textbox inset="0,0,0,0">
              <w:txbxContent>
                <w:p>
                  <w:pPr>
                    <w:pStyle w:val="BodyText"/>
                    <w:spacing w:line="240" w:lineRule="auto" w:before="49"/>
                    <w:ind w:left="2530" w:right="0"/>
                    <w:jc w:val="left"/>
                  </w:pPr>
                  <w:r>
                    <w:rPr/>
                    <w:t>公司及其子公司对外担保情况（不包括对子公司的担保）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3" w:lineRule="exact"/>
        <w:rPr>
          <w:rFonts w:ascii="宋体" w:hAnsi="宋体" w:cs="宋体" w:eastAsia="宋体" w:hint="default"/>
          <w:sz w:val="20"/>
          <w:szCs w:val="20"/>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21"/>
        <w:gridCol w:w="924"/>
        <w:gridCol w:w="1302"/>
        <w:gridCol w:w="1057"/>
        <w:gridCol w:w="1041"/>
        <w:gridCol w:w="1048"/>
        <w:gridCol w:w="790"/>
        <w:gridCol w:w="783"/>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6"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2"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安徽吉宏环保纸品有 限公司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634.38</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济南吉联包装有限公 司</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707</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1,341.38</w:t>
            </w:r>
          </w:p>
        </w:tc>
      </w:tr>
      <w:tr>
        <w:trPr>
          <w:trHeight w:val="397"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27"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1,341.38</w:t>
            </w:r>
          </w:p>
        </w:tc>
      </w:tr>
      <w:tr>
        <w:trPr>
          <w:trHeight w:val="408"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0.95%</w:t>
            </w:r>
          </w:p>
        </w:tc>
      </w:tr>
      <w:tr>
        <w:trPr>
          <w:trHeight w:val="39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1,341.38</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3" w:right="1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9"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8"/>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0"/>
          <w:cols w:num="2" w:equalWidth="0">
            <w:col w:w="1953" w:space="6785"/>
            <w:col w:w="2192"/>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31,600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47,200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both"/>
      </w:pPr>
      <w:r>
        <w:rPr/>
        <w:t>单项金额重大或安全性较低、流动性较差、不保本的高风险委托理财具体情况</w:t>
      </w:r>
    </w:p>
    <w:p>
      <w:pPr>
        <w:pStyle w:val="BodyText"/>
        <w:spacing w:line="340" w:lineRule="auto" w:before="115"/>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440" w:right="1128"/>
        <w:jc w:val="left"/>
      </w:pPr>
      <w:r>
        <w:rPr>
          <w:rFonts w:ascii="Times New Roman" w:hAnsi="Times New Roman" w:cs="Times New Roman" w:eastAsia="Times New Roman" w:hint="default"/>
        </w:rPr>
        <w:t>1</w:t>
      </w:r>
      <w:r>
        <w:rPr/>
        <w:t>、股东权益保护 </w:t>
      </w:r>
      <w:r>
        <w:rPr>
          <w:spacing w:val="-1"/>
        </w:rPr>
        <w:t>公司严格按照《公司章程》、《股东大会议事规则》等规定和要求，规范股东大会的召集、召开、表决程序，并请律师</w:t>
      </w:r>
    </w:p>
    <w:p>
      <w:pPr>
        <w:pStyle w:val="BodyText"/>
        <w:spacing w:line="316" w:lineRule="auto" w:before="1"/>
        <w:ind w:right="1132"/>
        <w:jc w:val="both"/>
      </w:pPr>
      <w:r>
        <w:rPr>
          <w:spacing w:val="-2"/>
        </w:rPr>
        <w:t>出席见证；严格按照《公司法》、《证券法》、《规范运作指引》等法律法规的要求，建立符合上市公司要求并适应行业特</w:t>
      </w:r>
      <w:r>
        <w:rPr>
          <w:spacing w:val="-72"/>
        </w:rPr>
        <w:t> </w:t>
      </w:r>
      <w:r>
        <w:rPr>
          <w:spacing w:val="-72"/>
        </w:rPr>
      </w:r>
      <w:r>
        <w:rPr>
          <w:spacing w:val="-2"/>
        </w:rPr>
        <w:t>点的内部控制体系；根据信息披露相关要求，及时、准确、完整履行重大事项信息披露义务，保障股东对公司经营情况的知</w:t>
      </w:r>
      <w:r>
        <w:rPr>
          <w:spacing w:val="-65"/>
        </w:rPr>
        <w:t> </w:t>
      </w:r>
      <w:r>
        <w:rPr>
          <w:spacing w:val="-65"/>
        </w:rPr>
      </w:r>
      <w:r>
        <w:rPr/>
        <w:t>情权；不断提高公司经营效率和经营成果，实施现金分红等权益分派事项，努力维护和提升股东利益。</w:t>
      </w:r>
    </w:p>
    <w:p>
      <w:pPr>
        <w:pStyle w:val="BodyText"/>
        <w:spacing w:line="300" w:lineRule="auto" w:before="19"/>
        <w:ind w:left="440" w:right="1128"/>
        <w:jc w:val="left"/>
      </w:pPr>
      <w:r>
        <w:rPr>
          <w:rFonts w:ascii="Times New Roman" w:hAnsi="Times New Roman" w:cs="Times New Roman" w:eastAsia="Times New Roman" w:hint="default"/>
        </w:rPr>
        <w:t>2</w:t>
      </w:r>
      <w:r>
        <w:rPr/>
        <w:t>、职工保护 </w:t>
      </w:r>
      <w:r>
        <w:rPr>
          <w:spacing w:val="-1"/>
        </w:rPr>
        <w:t>公司严格遵守《劳动合同法》等规定，严格执行员工社会保障制度，建立一整套符合要求的人力资源管理体系和员工社</w:t>
      </w:r>
    </w:p>
    <w:p>
      <w:pPr>
        <w:pStyle w:val="BodyText"/>
        <w:spacing w:line="319" w:lineRule="auto" w:before="31"/>
        <w:ind w:right="1128"/>
        <w:jc w:val="left"/>
      </w:pPr>
      <w:r>
        <w:rPr>
          <w:spacing w:val="-2"/>
        </w:rPr>
        <w:t>会保险管理体系，与员工签订劳动合同，为员工缴纳五险一金，建立相应的员工培训制度和奖励机制，更好的实现公司及员</w:t>
      </w:r>
      <w:r>
        <w:rPr>
          <w:spacing w:val="-67"/>
        </w:rPr>
        <w:t> </w:t>
      </w:r>
      <w:r>
        <w:rPr>
          <w:spacing w:val="-67"/>
        </w:rPr>
      </w:r>
      <w:r>
        <w:rPr/>
        <w:t>工的共同成长。</w:t>
      </w:r>
    </w:p>
    <w:p>
      <w:pPr>
        <w:pStyle w:val="BodyText"/>
        <w:spacing w:line="340" w:lineRule="auto" w:before="17"/>
        <w:ind w:left="440" w:right="1128"/>
        <w:jc w:val="left"/>
      </w:pPr>
      <w:r>
        <w:rPr>
          <w:rFonts w:ascii="Times New Roman" w:hAnsi="Times New Roman" w:cs="Times New Roman" w:eastAsia="Times New Roman" w:hint="default"/>
        </w:rPr>
        <w:t>3</w:t>
      </w:r>
      <w:r>
        <w:rPr/>
        <w:t>、社会公益 报告期内公司组织员工献血、向基金会捐款捐物等方式，积极参加社会公益活动，履行社会责任。</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月，为抗击</w:t>
      </w:r>
    </w:p>
    <w:p>
      <w:pPr>
        <w:pStyle w:val="BodyText"/>
        <w:spacing w:line="228" w:lineRule="exact"/>
        <w:ind w:right="0"/>
        <w:jc w:val="both"/>
      </w:pPr>
      <w:r>
        <w:rPr/>
        <w:t>新型冠状病毒肺炎疫情，公司及管理层捐款及捐赠物资共计人民币</w:t>
      </w:r>
      <w:r>
        <w:rPr>
          <w:rFonts w:ascii="Times New Roman" w:hAnsi="Times New Roman" w:cs="Times New Roman" w:eastAsia="Times New Roman" w:hint="default"/>
        </w:rPr>
        <w:t>120</w:t>
      </w:r>
      <w:r>
        <w:rPr/>
        <w:t>余万元，其中</w:t>
      </w:r>
      <w:r>
        <w:rPr>
          <w:rFonts w:ascii="Times New Roman" w:hAnsi="Times New Roman" w:cs="Times New Roman" w:eastAsia="Times New Roman" w:hint="default"/>
        </w:rPr>
        <w:t>50</w:t>
      </w:r>
      <w:r>
        <w:rPr/>
        <w:t>万元定向捐款给黄冈市慈善总会用于</w:t>
      </w:r>
    </w:p>
    <w:p>
      <w:pPr>
        <w:pStyle w:val="BodyText"/>
        <w:spacing w:line="300" w:lineRule="auto" w:before="63"/>
        <w:ind w:right="1128"/>
        <w:jc w:val="left"/>
      </w:pPr>
      <w:r>
        <w:rPr>
          <w:spacing w:val="-2"/>
        </w:rPr>
        <w:t>防控疫情工作，</w:t>
      </w:r>
      <w:r>
        <w:rPr>
          <w:rFonts w:ascii="Times New Roman" w:hAnsi="Times New Roman" w:cs="Times New Roman" w:eastAsia="Times New Roman" w:hint="default"/>
          <w:spacing w:val="-2"/>
        </w:rPr>
        <w:t>50</w:t>
      </w:r>
      <w:r>
        <w:rPr>
          <w:spacing w:val="-2"/>
        </w:rPr>
        <w:t>余万元购买物资用于支援孝感处于防控一线的医护人员及民众，公司管理层捐赠价值</w:t>
      </w:r>
      <w:r>
        <w:rPr>
          <w:rFonts w:ascii="Times New Roman" w:hAnsi="Times New Roman" w:cs="Times New Roman" w:eastAsia="Times New Roman" w:hint="default"/>
          <w:spacing w:val="-2"/>
        </w:rPr>
        <w:t>26</w:t>
      </w:r>
      <w:r>
        <w:rPr>
          <w:spacing w:val="-2"/>
        </w:rPr>
        <w:t>万元的医疗防护物</w:t>
      </w:r>
      <w:r>
        <w:rPr>
          <w:spacing w:val="-62"/>
        </w:rPr>
        <w:t> </w:t>
      </w:r>
      <w:r>
        <w:rPr>
          <w:spacing w:val="-62"/>
        </w:rPr>
      </w:r>
      <w:r>
        <w:rPr/>
        <w:t>资用于孝感疫情防控。</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56"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月，子公司安徽吉宏环保纸品有限公司向中国扶贫基金会捐款人民币</w:t>
      </w:r>
      <w:r>
        <w:rPr>
          <w:rFonts w:ascii="Times New Roman" w:hAnsi="Times New Roman" w:cs="Times New Roman" w:eastAsia="Times New Roman" w:hint="default"/>
        </w:rPr>
        <w:t>6.8</w:t>
      </w:r>
      <w:r>
        <w:rPr/>
        <w:t>万元用于扶贫项目。公司暂无后续精</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准扶贫计划。</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0" w:right="112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月，子公司安徽吉宏环保纸品有限公司向中国扶贫基金会捐款人民币</w:t>
      </w:r>
      <w:r>
        <w:rPr>
          <w:rFonts w:ascii="Times New Roman" w:hAnsi="Times New Roman" w:cs="Times New Roman" w:eastAsia="Times New Roman" w:hint="default"/>
        </w:rPr>
        <w:t>6.8</w:t>
      </w:r>
      <w:r>
        <w:rPr/>
        <w:t>万元用于扶贫项目。</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59"/>
        <w:gridCol w:w="4514"/>
      </w:tblGrid>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713"/>
        <w:jc w:val="left"/>
      </w:pPr>
      <w:r>
        <w:rPr/>
        <w:t>上市公司及其子公司是否属于环境保护部门公布的重点排污单位 否</w:t>
      </w:r>
    </w:p>
    <w:p>
      <w:pPr>
        <w:pStyle w:val="BodyText"/>
        <w:spacing w:line="240" w:lineRule="auto" w:before="27"/>
        <w:ind w:right="1128"/>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28"/>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51"/>
        <w:gridCol w:w="1534"/>
        <w:gridCol w:w="991"/>
        <w:gridCol w:w="3545"/>
        <w:gridCol w:w="991"/>
        <w:gridCol w:w="1702"/>
      </w:tblGrid>
      <w:tr>
        <w:trPr>
          <w:trHeight w:val="346"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重大事项</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27"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24" w:right="0"/>
              <w:jc w:val="left"/>
              <w:rPr>
                <w:rFonts w:ascii="宋体" w:hAnsi="宋体" w:cs="宋体" w:eastAsia="宋体" w:hint="default"/>
                <w:sz w:val="18"/>
                <w:szCs w:val="18"/>
              </w:rPr>
            </w:pPr>
            <w:r>
              <w:rPr>
                <w:rFonts w:ascii="宋体" w:hAnsi="宋体" w:cs="宋体" w:eastAsia="宋体" w:hint="default"/>
                <w:sz w:val="18"/>
                <w:szCs w:val="18"/>
              </w:rPr>
              <w:t>指定信息披露媒体</w:t>
            </w:r>
          </w:p>
        </w:tc>
      </w:tr>
      <w:tr>
        <w:trPr>
          <w:trHeight w:val="660" w:hRule="exact"/>
        </w:trPr>
        <w:tc>
          <w:tcPr>
            <w:tcW w:w="451" w:type="dxa"/>
            <w:vMerge w:val="restart"/>
            <w:tcBorders>
              <w:top w:val="single" w:sz="6" w:space="0" w:color="000000"/>
              <w:left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w:t>
            </w:r>
          </w:p>
        </w:tc>
        <w:tc>
          <w:tcPr>
            <w:tcW w:w="1534" w:type="dxa"/>
            <w:vMerge w:val="restart"/>
            <w:tcBorders>
              <w:top w:val="single" w:sz="6" w:space="0" w:color="000000"/>
              <w:left w:val="single" w:sz="6" w:space="0" w:color="000000"/>
              <w:right w:val="single" w:sz="6"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2019.12.05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406" w:right="53" w:hanging="1352"/>
              <w:jc w:val="left"/>
              <w:rPr>
                <w:rFonts w:ascii="宋体" w:hAnsi="宋体" w:cs="宋体" w:eastAsia="宋体" w:hint="default"/>
                <w:sz w:val="18"/>
                <w:szCs w:val="18"/>
              </w:rPr>
            </w:pPr>
            <w:r>
              <w:rPr>
                <w:rFonts w:ascii="宋体" w:hAnsi="宋体" w:cs="宋体" w:eastAsia="宋体" w:hint="default"/>
                <w:sz w:val="18"/>
                <w:szCs w:val="18"/>
              </w:rPr>
              <w:t>《关于公司第一期员工持股计划锁定期届满 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4" w:right="0"/>
              <w:jc w:val="left"/>
              <w:rPr>
                <w:rFonts w:ascii="Times New Roman" w:hAnsi="Times New Roman" w:cs="Times New Roman" w:eastAsia="Times New Roman" w:hint="default"/>
                <w:sz w:val="18"/>
                <w:szCs w:val="18"/>
              </w:rPr>
            </w:pPr>
            <w:r>
              <w:rPr>
                <w:rFonts w:ascii="Times New Roman"/>
                <w:sz w:val="18"/>
              </w:rPr>
              <w:t>2019-119</w:t>
            </w:r>
          </w:p>
        </w:tc>
        <w:tc>
          <w:tcPr>
            <w:tcW w:w="1702" w:type="dxa"/>
            <w:vMerge w:val="restart"/>
            <w:tcBorders>
              <w:top w:val="single" w:sz="6" w:space="0" w:color="000000"/>
              <w:left w:val="single" w:sz="6" w:space="0" w:color="000000"/>
              <w:right w:val="single" w:sz="6" w:space="0" w:color="000000"/>
            </w:tcBorders>
          </w:tcPr>
          <w:p>
            <w:pPr/>
          </w:p>
        </w:tc>
      </w:tr>
      <w:tr>
        <w:trPr>
          <w:trHeight w:val="660"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2020.01.10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046" w:right="53" w:hanging="992"/>
              <w:jc w:val="left"/>
              <w:rPr>
                <w:rFonts w:ascii="宋体" w:hAnsi="宋体" w:cs="宋体" w:eastAsia="宋体" w:hint="default"/>
                <w:sz w:val="18"/>
                <w:szCs w:val="18"/>
              </w:rPr>
            </w:pPr>
            <w:r>
              <w:rPr>
                <w:rFonts w:ascii="宋体" w:hAnsi="宋体" w:cs="宋体" w:eastAsia="宋体" w:hint="default"/>
                <w:sz w:val="18"/>
                <w:szCs w:val="18"/>
              </w:rPr>
              <w:t>《关于第一期员工持股计划股票出售完毕暨 计划终止的公告》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4" w:right="0"/>
              <w:jc w:val="left"/>
              <w:rPr>
                <w:rFonts w:ascii="Times New Roman" w:hAnsi="Times New Roman" w:cs="Times New Roman" w:eastAsia="Times New Roman" w:hint="default"/>
                <w:sz w:val="18"/>
                <w:szCs w:val="18"/>
              </w:rPr>
            </w:pPr>
            <w:r>
              <w:rPr>
                <w:rFonts w:ascii="Times New Roman"/>
                <w:sz w:val="18"/>
              </w:rPr>
              <w:t>2020-004</w:t>
            </w:r>
          </w:p>
        </w:tc>
        <w:tc>
          <w:tcPr>
            <w:tcW w:w="1702" w:type="dxa"/>
            <w:vMerge/>
            <w:tcBorders>
              <w:left w:val="single" w:sz="6" w:space="0" w:color="000000"/>
              <w:right w:val="single" w:sz="6" w:space="0" w:color="000000"/>
            </w:tcBorders>
          </w:tcPr>
          <w:p>
            <w:pPr/>
          </w:p>
        </w:tc>
      </w:tr>
      <w:tr>
        <w:trPr>
          <w:trHeight w:val="346"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回购股份</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2019.12.03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《关于回购公司股份的方案》</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4" w:right="0"/>
              <w:jc w:val="left"/>
              <w:rPr>
                <w:rFonts w:ascii="Times New Roman" w:hAnsi="Times New Roman" w:cs="Times New Roman" w:eastAsia="Times New Roman" w:hint="default"/>
                <w:sz w:val="18"/>
                <w:szCs w:val="18"/>
              </w:rPr>
            </w:pPr>
            <w:r>
              <w:rPr>
                <w:rFonts w:ascii="Times New Roman"/>
                <w:sz w:val="18"/>
              </w:rPr>
              <w:t>2019-118</w:t>
            </w:r>
          </w:p>
        </w:tc>
        <w:tc>
          <w:tcPr>
            <w:tcW w:w="1702" w:type="dxa"/>
            <w:vMerge/>
            <w:tcBorders>
              <w:left w:val="single" w:sz="6" w:space="0" w:color="000000"/>
              <w:bottom w:val="single" w:sz="6" w:space="0" w:color="000000"/>
              <w:right w:val="single" w:sz="6"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51"/>
        <w:gridCol w:w="1534"/>
        <w:gridCol w:w="991"/>
        <w:gridCol w:w="3545"/>
        <w:gridCol w:w="991"/>
        <w:gridCol w:w="1702"/>
      </w:tblGrid>
      <w:tr>
        <w:trPr>
          <w:trHeight w:val="660" w:hRule="exact"/>
        </w:trPr>
        <w:tc>
          <w:tcPr>
            <w:tcW w:w="451" w:type="dxa"/>
            <w:vMerge w:val="restart"/>
            <w:tcBorders>
              <w:top w:val="single" w:sz="6" w:space="0" w:color="000000"/>
              <w:left w:val="single" w:sz="6" w:space="0" w:color="000000"/>
              <w:right w:val="single" w:sz="6" w:space="0" w:color="000000"/>
            </w:tcBorders>
          </w:tcPr>
          <w:p>
            <w:pPr/>
          </w:p>
        </w:tc>
        <w:tc>
          <w:tcPr>
            <w:tcW w:w="1534" w:type="dxa"/>
            <w:vMerge w:val="restart"/>
            <w:tcBorders>
              <w:top w:val="single" w:sz="6" w:space="0" w:color="000000"/>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2019.12.05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495" w:right="53" w:hanging="1440"/>
              <w:jc w:val="left"/>
              <w:rPr>
                <w:rFonts w:ascii="宋体" w:hAnsi="宋体" w:cs="宋体" w:eastAsia="宋体" w:hint="default"/>
                <w:sz w:val="18"/>
                <w:szCs w:val="18"/>
              </w:rPr>
            </w:pPr>
            <w:r>
              <w:rPr>
                <w:rFonts w:ascii="宋体" w:hAnsi="宋体" w:cs="宋体" w:eastAsia="宋体" w:hint="default"/>
                <w:sz w:val="18"/>
                <w:szCs w:val="18"/>
              </w:rPr>
              <w:t>《关于回购股份事项前十名股东持股信息的 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2019-120</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color w:val="6D6D6D"/>
                <w:w w:val="99"/>
                <w:sz w:val="18"/>
              </w:rPr>
            </w:r>
            <w:hyperlink r:id="rId13">
              <w:r>
                <w:rPr>
                  <w:rFonts w:ascii="Times New Roman"/>
                  <w:color w:val="6D6D6D"/>
                  <w:sz w:val="18"/>
                  <w:u w:val="single" w:color="6D6D6D"/>
                </w:rPr>
                <w:t>www.cninfo.com.cn</w:t>
              </w:r>
              <w:r>
                <w:rPr>
                  <w:rFonts w:ascii="Times New Roman"/>
                  <w:color w:val="6D6D6D"/>
                  <w:sz w:val="18"/>
                </w:rPr>
              </w:r>
              <w:r>
                <w:rPr>
                  <w:rFonts w:ascii="Times New Roman"/>
                  <w:sz w:val="18"/>
                </w:rPr>
              </w:r>
            </w:hyperlink>
          </w:p>
        </w:tc>
      </w:tr>
      <w:tr>
        <w:trPr>
          <w:trHeight w:val="346"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2019.12.06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《回购报告书》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2019-121</w:t>
            </w:r>
          </w:p>
        </w:tc>
        <w:tc>
          <w:tcPr>
            <w:tcW w:w="1702" w:type="dxa"/>
            <w:vMerge/>
            <w:tcBorders>
              <w:left w:val="single" w:sz="6" w:space="0" w:color="000000"/>
              <w:right w:val="single" w:sz="6" w:space="0" w:color="000000"/>
            </w:tcBorders>
          </w:tcPr>
          <w:p>
            <w:pPr/>
          </w:p>
        </w:tc>
      </w:tr>
      <w:tr>
        <w:trPr>
          <w:trHeight w:val="348"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2019.12.19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《关于首次回购公司股份的公告》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2019-123</w:t>
            </w:r>
          </w:p>
        </w:tc>
        <w:tc>
          <w:tcPr>
            <w:tcW w:w="1702" w:type="dxa"/>
            <w:vMerge/>
            <w:tcBorders>
              <w:left w:val="single" w:sz="6" w:space="0" w:color="000000"/>
              <w:right w:val="single" w:sz="6" w:space="0" w:color="000000"/>
            </w:tcBorders>
          </w:tcPr>
          <w:p>
            <w:pPr/>
          </w:p>
        </w:tc>
      </w:tr>
      <w:tr>
        <w:trPr>
          <w:trHeight w:val="346"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2020.01.03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《关于回购股份的进展公告》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2020-002</w:t>
            </w:r>
          </w:p>
        </w:tc>
        <w:tc>
          <w:tcPr>
            <w:tcW w:w="1702" w:type="dxa"/>
            <w:vMerge/>
            <w:tcBorders>
              <w:left w:val="single" w:sz="6" w:space="0" w:color="000000"/>
              <w:right w:val="single" w:sz="6" w:space="0" w:color="000000"/>
            </w:tcBorders>
          </w:tcPr>
          <w:p>
            <w:pPr/>
          </w:p>
        </w:tc>
      </w:tr>
      <w:tr>
        <w:trPr>
          <w:trHeight w:val="348" w:hRule="exact"/>
        </w:trPr>
        <w:tc>
          <w:tcPr>
            <w:tcW w:w="451" w:type="dxa"/>
            <w:vMerge w:val="restart"/>
            <w:tcBorders>
              <w:top w:val="single" w:sz="6" w:space="0" w:color="000000"/>
              <w:left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w:t>
            </w:r>
          </w:p>
        </w:tc>
        <w:tc>
          <w:tcPr>
            <w:tcW w:w="1534" w:type="dxa"/>
            <w:vMerge w:val="restart"/>
            <w:tcBorders>
              <w:top w:val="single" w:sz="6" w:space="0" w:color="000000"/>
              <w:left w:val="single" w:sz="6" w:space="0" w:color="000000"/>
              <w:right w:val="single" w:sz="6" w:space="0" w:color="000000"/>
            </w:tcBorders>
          </w:tcPr>
          <w:p>
            <w:pPr>
              <w:pStyle w:val="TableParagraph"/>
              <w:spacing w:line="316" w:lineRule="auto" w:before="20"/>
              <w:ind w:left="669" w:right="36" w:hanging="629"/>
              <w:jc w:val="left"/>
              <w:rPr>
                <w:rFonts w:ascii="宋体" w:hAnsi="宋体" w:cs="宋体" w:eastAsia="宋体" w:hint="default"/>
                <w:sz w:val="18"/>
                <w:szCs w:val="18"/>
              </w:rPr>
            </w:pPr>
            <w:r>
              <w:rPr>
                <w:rFonts w:ascii="宋体" w:hAnsi="宋体" w:cs="宋体" w:eastAsia="宋体" w:hint="default"/>
                <w:sz w:val="18"/>
                <w:szCs w:val="18"/>
              </w:rPr>
              <w:t>董事会、监事会换 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2019.10.28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《关于公司董事会换届选举的公告》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2019-102</w:t>
            </w:r>
          </w:p>
        </w:tc>
        <w:tc>
          <w:tcPr>
            <w:tcW w:w="1702" w:type="dxa"/>
            <w:vMerge/>
            <w:tcBorders>
              <w:left w:val="single" w:sz="6" w:space="0" w:color="000000"/>
              <w:right w:val="single" w:sz="6" w:space="0" w:color="000000"/>
            </w:tcBorders>
          </w:tcPr>
          <w:p>
            <w:pPr/>
          </w:p>
        </w:tc>
      </w:tr>
      <w:tr>
        <w:trPr>
          <w:trHeight w:val="348"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2019.10.28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《关于监事会换届选举的公告》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2019-103</w:t>
            </w:r>
          </w:p>
        </w:tc>
        <w:tc>
          <w:tcPr>
            <w:tcW w:w="1702" w:type="dxa"/>
            <w:vMerge/>
            <w:tcBorders>
              <w:left w:val="single" w:sz="6" w:space="0" w:color="000000"/>
              <w:right w:val="single" w:sz="6" w:space="0" w:color="000000"/>
            </w:tcBorders>
          </w:tcPr>
          <w:p>
            <w:pPr/>
          </w:p>
        </w:tc>
      </w:tr>
      <w:tr>
        <w:trPr>
          <w:trHeight w:val="658"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2019.05.15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1" w:right="53" w:hanging="27"/>
              <w:jc w:val="left"/>
              <w:rPr>
                <w:rFonts w:ascii="宋体" w:hAnsi="宋体" w:cs="宋体" w:eastAsia="宋体" w:hint="default"/>
                <w:sz w:val="18"/>
                <w:szCs w:val="18"/>
              </w:rPr>
            </w:pPr>
            <w:r>
              <w:rPr>
                <w:rFonts w:ascii="宋体" w:hAnsi="宋体" w:cs="宋体" w:eastAsia="宋体" w:hint="default"/>
                <w:sz w:val="18"/>
                <w:szCs w:val="18"/>
              </w:rPr>
              <w:t>《厦门吉宏包装科技股份有限公司非公开发 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股股票发行情况报告书暨上市公告书》</w:t>
            </w: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r>
      <w:tr>
        <w:trPr>
          <w:trHeight w:val="660" w:hRule="exact"/>
        </w:trPr>
        <w:tc>
          <w:tcPr>
            <w:tcW w:w="451" w:type="dxa"/>
            <w:vMerge w:val="restart"/>
            <w:tcBorders>
              <w:top w:val="single" w:sz="6" w:space="0" w:color="000000"/>
              <w:left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w:t>
            </w:r>
          </w:p>
        </w:tc>
        <w:tc>
          <w:tcPr>
            <w:tcW w:w="1534" w:type="dxa"/>
            <w:vMerge w:val="restart"/>
            <w:tcBorders>
              <w:top w:val="single" w:sz="6" w:space="0" w:color="000000"/>
              <w:left w:val="single" w:sz="6" w:space="0" w:color="000000"/>
              <w:right w:val="single" w:sz="6" w:space="0" w:color="000000"/>
            </w:tcBorders>
          </w:tcPr>
          <w:p>
            <w:pPr>
              <w:pStyle w:val="TableParagraph"/>
              <w:spacing w:line="300" w:lineRule="auto" w:before="17"/>
              <w:ind w:left="489" w:right="7" w:hanging="480"/>
              <w:jc w:val="left"/>
              <w:rPr>
                <w:rFonts w:ascii="宋体" w:hAnsi="宋体" w:cs="宋体" w:eastAsia="宋体" w:hint="default"/>
                <w:sz w:val="18"/>
                <w:szCs w:val="18"/>
              </w:rPr>
            </w:pPr>
            <w:r>
              <w:rPr>
                <w:rFonts w:ascii="宋体" w:hAnsi="宋体" w:cs="宋体" w:eastAsia="宋体" w:hint="default"/>
                <w:sz w:val="18"/>
                <w:szCs w:val="18"/>
              </w:rPr>
              <w:t>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以上股东股 份变动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2019.02.22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315" w:right="21" w:hanging="1289"/>
              <w:jc w:val="left"/>
              <w:rPr>
                <w:rFonts w:ascii="宋体" w:hAnsi="宋体" w:cs="宋体" w:eastAsia="宋体" w:hint="default"/>
                <w:sz w:val="18"/>
                <w:szCs w:val="18"/>
              </w:rPr>
            </w:pPr>
            <w:r>
              <w:rPr>
                <w:rFonts w:ascii="宋体" w:hAnsi="宋体" w:cs="宋体" w:eastAsia="宋体" w:hint="default"/>
                <w:sz w:val="18"/>
                <w:szCs w:val="18"/>
              </w:rPr>
              <w:t>《关于持股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以上股东减持计划实施完成情 况的公告》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2019-005</w:t>
            </w:r>
          </w:p>
        </w:tc>
        <w:tc>
          <w:tcPr>
            <w:tcW w:w="1702" w:type="dxa"/>
            <w:vMerge/>
            <w:tcBorders>
              <w:left w:val="single" w:sz="6" w:space="0" w:color="000000"/>
              <w:right w:val="single" w:sz="6" w:space="0" w:color="000000"/>
            </w:tcBorders>
          </w:tcPr>
          <w:p>
            <w:pPr/>
          </w:p>
        </w:tc>
      </w:tr>
      <w:tr>
        <w:trPr>
          <w:trHeight w:val="346"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2019.05.16</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r>
      <w:tr>
        <w:trPr>
          <w:trHeight w:val="660"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2019.07.09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1406" w:right="53" w:hanging="1352"/>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 性公告》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2019-058</w:t>
            </w:r>
          </w:p>
        </w:tc>
        <w:tc>
          <w:tcPr>
            <w:tcW w:w="1702" w:type="dxa"/>
            <w:vMerge/>
            <w:tcBorders>
              <w:left w:val="single" w:sz="6" w:space="0" w:color="000000"/>
              <w:right w:val="single" w:sz="6" w:space="0" w:color="000000"/>
            </w:tcBorders>
          </w:tcPr>
          <w:p>
            <w:pPr/>
          </w:p>
        </w:tc>
      </w:tr>
      <w:tr>
        <w:trPr>
          <w:trHeight w:val="970"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2019.07.15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55" w:right="53"/>
              <w:jc w:val="center"/>
              <w:rPr>
                <w:rFonts w:ascii="宋体" w:hAnsi="宋体" w:cs="宋体" w:eastAsia="宋体" w:hint="default"/>
                <w:sz w:val="18"/>
                <w:szCs w:val="18"/>
              </w:rPr>
            </w:pPr>
            <w:r>
              <w:rPr>
                <w:rFonts w:ascii="宋体" w:hAnsi="宋体" w:cs="宋体" w:eastAsia="宋体" w:hint="default"/>
                <w:sz w:val="18"/>
                <w:szCs w:val="18"/>
              </w:rPr>
              <w:t>《关于控股股东及一致行动人通过协议转让 公司部分股权引进战略投资者暨权益变动的 提示性公告》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2019-066</w:t>
            </w:r>
          </w:p>
        </w:tc>
        <w:tc>
          <w:tcPr>
            <w:tcW w:w="1702" w:type="dxa"/>
            <w:vMerge/>
            <w:tcBorders>
              <w:left w:val="single" w:sz="6" w:space="0" w:color="000000"/>
              <w:right w:val="single" w:sz="6" w:space="0" w:color="000000"/>
            </w:tcBorders>
          </w:tcPr>
          <w:p>
            <w:pPr/>
          </w:p>
        </w:tc>
      </w:tr>
      <w:tr>
        <w:trPr>
          <w:trHeight w:val="348"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2019.08.10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《简式权益变动报告书一》</w:t>
            </w: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r>
      <w:tr>
        <w:trPr>
          <w:trHeight w:val="348"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2019.08.10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《简式权益变动报告书二》</w:t>
            </w:r>
          </w:p>
        </w:tc>
        <w:tc>
          <w:tcPr>
            <w:tcW w:w="991" w:type="dxa"/>
            <w:tcBorders>
              <w:top w:val="single" w:sz="6" w:space="0" w:color="000000"/>
              <w:left w:val="single" w:sz="6" w:space="0" w:color="000000"/>
              <w:bottom w:val="single" w:sz="6" w:space="0" w:color="000000"/>
              <w:right w:val="single" w:sz="6" w:space="0" w:color="000000"/>
            </w:tcBorders>
          </w:tcPr>
          <w:p>
            <w:pPr/>
          </w:p>
        </w:tc>
        <w:tc>
          <w:tcPr>
            <w:tcW w:w="1702" w:type="dxa"/>
            <w:vMerge/>
            <w:tcBorders>
              <w:left w:val="single" w:sz="6" w:space="0" w:color="000000"/>
              <w:right w:val="single" w:sz="6" w:space="0" w:color="000000"/>
            </w:tcBorders>
          </w:tcPr>
          <w:p>
            <w:pPr/>
          </w:p>
        </w:tc>
      </w:tr>
      <w:tr>
        <w:trPr>
          <w:trHeight w:val="658"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2019.08.22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95" w:right="0" w:hanging="591"/>
              <w:jc w:val="left"/>
              <w:rPr>
                <w:rFonts w:ascii="宋体" w:hAnsi="宋体" w:cs="宋体" w:eastAsia="宋体" w:hint="default"/>
                <w:sz w:val="18"/>
                <w:szCs w:val="18"/>
              </w:rPr>
            </w:pPr>
            <w:r>
              <w:rPr>
                <w:rFonts w:ascii="宋体" w:hAnsi="宋体" w:cs="宋体" w:eastAsia="宋体" w:hint="default"/>
                <w:spacing w:val="-4"/>
                <w:sz w:val="18"/>
                <w:szCs w:val="18"/>
              </w:rPr>
              <w:t>《关于控股股东、一致行动人协议转让公司部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分股份完成过户登记的公告》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2019-077</w:t>
            </w:r>
          </w:p>
        </w:tc>
        <w:tc>
          <w:tcPr>
            <w:tcW w:w="1702" w:type="dxa"/>
            <w:vMerge/>
            <w:tcBorders>
              <w:left w:val="single" w:sz="6" w:space="0" w:color="000000"/>
              <w:right w:val="single" w:sz="6" w:space="0" w:color="000000"/>
            </w:tcBorders>
          </w:tcPr>
          <w:p>
            <w:pPr/>
          </w:p>
        </w:tc>
      </w:tr>
      <w:tr>
        <w:trPr>
          <w:trHeight w:val="660"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2019.09.12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15" w:right="0" w:hanging="411"/>
              <w:jc w:val="left"/>
              <w:rPr>
                <w:rFonts w:ascii="宋体" w:hAnsi="宋体" w:cs="宋体" w:eastAsia="宋体" w:hint="default"/>
                <w:sz w:val="18"/>
                <w:szCs w:val="18"/>
              </w:rPr>
            </w:pPr>
            <w:r>
              <w:rPr>
                <w:rFonts w:ascii="宋体" w:hAnsi="宋体" w:cs="宋体" w:eastAsia="宋体" w:hint="default"/>
                <w:spacing w:val="-4"/>
                <w:sz w:val="18"/>
                <w:szCs w:val="18"/>
              </w:rPr>
              <w:t>《关于西藏永悦诗超企业管理有限公司、张和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平、贺静颖减持股份预披露公告》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2019-091</w:t>
            </w:r>
          </w:p>
        </w:tc>
        <w:tc>
          <w:tcPr>
            <w:tcW w:w="1702" w:type="dxa"/>
            <w:vMerge/>
            <w:tcBorders>
              <w:left w:val="single" w:sz="6" w:space="0" w:color="000000"/>
              <w:right w:val="single" w:sz="6" w:space="0" w:color="000000"/>
            </w:tcBorders>
          </w:tcPr>
          <w:p>
            <w:pPr/>
          </w:p>
        </w:tc>
      </w:tr>
      <w:tr>
        <w:trPr>
          <w:trHeight w:val="970"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2019.09.23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0"/>
              <w:jc w:val="center"/>
              <w:rPr>
                <w:rFonts w:ascii="宋体" w:hAnsi="宋体" w:cs="宋体" w:eastAsia="宋体" w:hint="default"/>
                <w:sz w:val="18"/>
                <w:szCs w:val="18"/>
              </w:rPr>
            </w:pPr>
            <w:r>
              <w:rPr>
                <w:rFonts w:ascii="宋体" w:hAnsi="宋体" w:cs="宋体" w:eastAsia="宋体" w:hint="default"/>
                <w:spacing w:val="-4"/>
                <w:sz w:val="18"/>
                <w:szCs w:val="18"/>
              </w:rPr>
              <w:t>《关于西藏永悦诗超企业管理有限公司、张和</w:t>
            </w:r>
            <w:r>
              <w:rPr>
                <w:rFonts w:ascii="宋体" w:hAnsi="宋体" w:cs="宋体" w:eastAsia="宋体" w:hint="default"/>
                <w:sz w:val="18"/>
                <w:szCs w:val="18"/>
              </w:rPr>
              <w:t> 平、贺静颖减持比例达到</w:t>
            </w:r>
            <w:r>
              <w:rPr>
                <w:rFonts w:ascii="Times New Roman" w:hAnsi="Times New Roman" w:cs="Times New Roman" w:eastAsia="Times New Roman" w:hint="default"/>
                <w:sz w:val="18"/>
                <w:szCs w:val="18"/>
              </w:rPr>
              <w:t>1%</w:t>
            </w:r>
            <w:r>
              <w:rPr>
                <w:rFonts w:ascii="宋体" w:hAnsi="宋体" w:cs="宋体" w:eastAsia="宋体" w:hint="default"/>
                <w:sz w:val="18"/>
                <w:szCs w:val="18"/>
              </w:rPr>
              <w:t>暨减持计划实施 进展公告》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2019-095</w:t>
            </w:r>
          </w:p>
        </w:tc>
        <w:tc>
          <w:tcPr>
            <w:tcW w:w="1702" w:type="dxa"/>
            <w:vMerge/>
            <w:tcBorders>
              <w:left w:val="single" w:sz="6" w:space="0" w:color="000000"/>
              <w:right w:val="single" w:sz="6" w:space="0" w:color="000000"/>
            </w:tcBorders>
          </w:tcPr>
          <w:p>
            <w:pPr/>
          </w:p>
        </w:tc>
      </w:tr>
      <w:tr>
        <w:trPr>
          <w:trHeight w:val="660"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2019.09.30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6" w:right="0" w:hanging="322"/>
              <w:jc w:val="left"/>
              <w:rPr>
                <w:rFonts w:ascii="宋体" w:hAnsi="宋体" w:cs="宋体" w:eastAsia="宋体" w:hint="default"/>
                <w:sz w:val="18"/>
                <w:szCs w:val="18"/>
              </w:rPr>
            </w:pPr>
            <w:r>
              <w:rPr>
                <w:rFonts w:ascii="宋体" w:hAnsi="宋体" w:cs="宋体" w:eastAsia="宋体" w:hint="default"/>
                <w:spacing w:val="-4"/>
                <w:sz w:val="18"/>
                <w:szCs w:val="18"/>
              </w:rPr>
              <w:t>《关于西藏永悦诗超企业管理有限公司、张和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平、贺静颖减持计划实施进展公告》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2019-096</w:t>
            </w:r>
          </w:p>
        </w:tc>
        <w:tc>
          <w:tcPr>
            <w:tcW w:w="1702" w:type="dxa"/>
            <w:vMerge/>
            <w:tcBorders>
              <w:left w:val="single" w:sz="6" w:space="0" w:color="000000"/>
              <w:right w:val="single" w:sz="6" w:space="0" w:color="000000"/>
            </w:tcBorders>
          </w:tcPr>
          <w:p>
            <w:pPr/>
          </w:p>
        </w:tc>
      </w:tr>
      <w:tr>
        <w:trPr>
          <w:trHeight w:val="658"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2019.12.25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75" w:right="0" w:hanging="471"/>
              <w:jc w:val="left"/>
              <w:rPr>
                <w:rFonts w:ascii="宋体" w:hAnsi="宋体" w:cs="宋体" w:eastAsia="宋体" w:hint="default"/>
                <w:sz w:val="18"/>
                <w:szCs w:val="18"/>
              </w:rPr>
            </w:pPr>
            <w:r>
              <w:rPr>
                <w:rFonts w:ascii="宋体" w:hAnsi="宋体" w:cs="宋体" w:eastAsia="宋体" w:hint="default"/>
                <w:spacing w:val="-4"/>
                <w:sz w:val="18"/>
                <w:szCs w:val="18"/>
              </w:rPr>
              <w:t>《关于西藏永悦、张和平、贺静颖减持比例达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w:t>
            </w:r>
            <w:r>
              <w:rPr>
                <w:rFonts w:ascii="Times New Roman" w:hAnsi="Times New Roman" w:cs="Times New Roman" w:eastAsia="Times New Roman" w:hint="default"/>
                <w:sz w:val="18"/>
                <w:szCs w:val="18"/>
              </w:rPr>
              <w:t>1%</w:t>
            </w:r>
            <w:r>
              <w:rPr>
                <w:rFonts w:ascii="宋体" w:hAnsi="宋体" w:cs="宋体" w:eastAsia="宋体" w:hint="default"/>
                <w:sz w:val="18"/>
                <w:szCs w:val="18"/>
              </w:rPr>
              <w:t>暨减持计划实施完成公告》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2019-124</w:t>
            </w:r>
          </w:p>
        </w:tc>
        <w:tc>
          <w:tcPr>
            <w:tcW w:w="1702" w:type="dxa"/>
            <w:vMerge/>
            <w:tcBorders>
              <w:left w:val="single" w:sz="6" w:space="0" w:color="000000"/>
              <w:right w:val="single" w:sz="6" w:space="0" w:color="000000"/>
            </w:tcBorders>
          </w:tcPr>
          <w:p>
            <w:pPr/>
          </w:p>
        </w:tc>
      </w:tr>
      <w:tr>
        <w:trPr>
          <w:trHeight w:val="660"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0" w:right="36" w:hanging="180"/>
              <w:jc w:val="left"/>
              <w:rPr>
                <w:rFonts w:ascii="宋体" w:hAnsi="宋体" w:cs="宋体" w:eastAsia="宋体" w:hint="default"/>
                <w:sz w:val="18"/>
                <w:szCs w:val="18"/>
              </w:rPr>
            </w:pPr>
            <w:r>
              <w:rPr>
                <w:rFonts w:ascii="宋体" w:hAnsi="宋体" w:cs="宋体" w:eastAsia="宋体" w:hint="default"/>
                <w:sz w:val="18"/>
                <w:szCs w:val="18"/>
              </w:rPr>
              <w:t>收购安徽维致环保 纸品有限公司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2019.04.27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《关于收购安徽维致环保纸品有限公司剩余</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67%</w:t>
            </w:r>
            <w:r>
              <w:rPr>
                <w:rFonts w:ascii="宋体" w:hAnsi="宋体" w:cs="宋体" w:eastAsia="宋体" w:hint="default"/>
                <w:sz w:val="18"/>
                <w:szCs w:val="18"/>
              </w:rPr>
              <w:t>股权的公告》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2019-016</w:t>
            </w:r>
          </w:p>
        </w:tc>
        <w:tc>
          <w:tcPr>
            <w:tcW w:w="1702" w:type="dxa"/>
            <w:vMerge/>
            <w:tcBorders>
              <w:left w:val="single" w:sz="6" w:space="0" w:color="000000"/>
              <w:right w:val="single" w:sz="6" w:space="0" w:color="000000"/>
            </w:tcBorders>
          </w:tcPr>
          <w:p>
            <w:pPr/>
          </w:p>
        </w:tc>
      </w:tr>
      <w:tr>
        <w:trPr>
          <w:trHeight w:val="348"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会计政策变更</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2019.04.29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2019-022</w:t>
            </w:r>
          </w:p>
        </w:tc>
        <w:tc>
          <w:tcPr>
            <w:tcW w:w="1702" w:type="dxa"/>
            <w:vMerge/>
            <w:tcBorders>
              <w:left w:val="single" w:sz="6" w:space="0" w:color="000000"/>
              <w:right w:val="single" w:sz="6" w:space="0" w:color="000000"/>
            </w:tcBorders>
          </w:tcPr>
          <w:p>
            <w:pPr/>
          </w:p>
        </w:tc>
      </w:tr>
      <w:tr>
        <w:trPr>
          <w:trHeight w:val="346" w:hRule="exact"/>
        </w:trPr>
        <w:tc>
          <w:tcPr>
            <w:tcW w:w="451" w:type="dxa"/>
            <w:vMerge w:val="restart"/>
            <w:tcBorders>
              <w:top w:val="single" w:sz="6" w:space="0" w:color="000000"/>
              <w:left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w:t>
            </w:r>
          </w:p>
        </w:tc>
        <w:tc>
          <w:tcPr>
            <w:tcW w:w="1534" w:type="dxa"/>
            <w:vMerge w:val="restart"/>
            <w:tcBorders>
              <w:top w:val="single" w:sz="6" w:space="0" w:color="000000"/>
              <w:left w:val="single" w:sz="6" w:space="0" w:color="000000"/>
              <w:right w:val="single" w:sz="6" w:space="0" w:color="000000"/>
            </w:tcBorders>
          </w:tcPr>
          <w:p>
            <w:pPr>
              <w:pStyle w:val="TableParagraph"/>
              <w:spacing w:line="240" w:lineRule="auto" w:before="18"/>
              <w:ind w:left="400" w:right="0"/>
              <w:jc w:val="left"/>
              <w:rPr>
                <w:rFonts w:ascii="宋体" w:hAnsi="宋体" w:cs="宋体" w:eastAsia="宋体" w:hint="default"/>
                <w:sz w:val="18"/>
                <w:szCs w:val="18"/>
              </w:rPr>
            </w:pPr>
            <w:r>
              <w:rPr>
                <w:rFonts w:ascii="宋体" w:hAnsi="宋体" w:cs="宋体" w:eastAsia="宋体" w:hint="default"/>
                <w:sz w:val="18"/>
                <w:szCs w:val="18"/>
              </w:rPr>
              <w:t>权益分派</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2019.04.29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年度利润分配预案的公告》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2019-021</w:t>
            </w:r>
          </w:p>
        </w:tc>
        <w:tc>
          <w:tcPr>
            <w:tcW w:w="1702" w:type="dxa"/>
            <w:vMerge/>
            <w:tcBorders>
              <w:left w:val="single" w:sz="6" w:space="0" w:color="000000"/>
              <w:right w:val="single" w:sz="6" w:space="0" w:color="000000"/>
            </w:tcBorders>
          </w:tcPr>
          <w:p>
            <w:pPr/>
          </w:p>
        </w:tc>
      </w:tr>
      <w:tr>
        <w:trPr>
          <w:trHeight w:val="348"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2019.06.25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年年度权益分派实施公告》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2019-051</w:t>
            </w:r>
          </w:p>
        </w:tc>
        <w:tc>
          <w:tcPr>
            <w:tcW w:w="1702" w:type="dxa"/>
            <w:vMerge/>
            <w:tcBorders>
              <w:left w:val="single" w:sz="6" w:space="0" w:color="000000"/>
              <w:right w:val="single" w:sz="6" w:space="0" w:color="000000"/>
            </w:tcBorders>
          </w:tcPr>
          <w:p>
            <w:pPr/>
          </w:p>
        </w:tc>
      </w:tr>
      <w:tr>
        <w:trPr>
          <w:trHeight w:val="658" w:hRule="exact"/>
        </w:trPr>
        <w:tc>
          <w:tcPr>
            <w:tcW w:w="451" w:type="dxa"/>
            <w:vMerge w:val="restart"/>
            <w:tcBorders>
              <w:top w:val="single" w:sz="6" w:space="0" w:color="000000"/>
              <w:left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w:t>
            </w:r>
          </w:p>
        </w:tc>
        <w:tc>
          <w:tcPr>
            <w:tcW w:w="1534" w:type="dxa"/>
            <w:vMerge w:val="restart"/>
            <w:tcBorders>
              <w:top w:val="single" w:sz="6" w:space="0" w:color="000000"/>
              <w:left w:val="single" w:sz="6" w:space="0" w:color="000000"/>
              <w:right w:val="single" w:sz="6" w:space="0" w:color="000000"/>
            </w:tcBorders>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2019.05.21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226" w:right="53" w:hanging="1172"/>
              <w:jc w:val="left"/>
              <w:rPr>
                <w:rFonts w:ascii="宋体" w:hAnsi="宋体" w:cs="宋体" w:eastAsia="宋体" w:hint="default"/>
                <w:sz w:val="18"/>
                <w:szCs w:val="18"/>
              </w:rPr>
            </w:pPr>
            <w:r>
              <w:rPr>
                <w:rFonts w:ascii="宋体" w:hAnsi="宋体" w:cs="宋体" w:eastAsia="宋体" w:hint="default"/>
                <w:sz w:val="18"/>
                <w:szCs w:val="18"/>
              </w:rPr>
              <w:t>《关于使用部分暂时闲置募集资金进行现金 管理的公告》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2019-039</w:t>
            </w:r>
          </w:p>
        </w:tc>
        <w:tc>
          <w:tcPr>
            <w:tcW w:w="1702" w:type="dxa"/>
            <w:vMerge/>
            <w:tcBorders>
              <w:left w:val="single" w:sz="6" w:space="0" w:color="000000"/>
              <w:right w:val="single" w:sz="6" w:space="0" w:color="000000"/>
            </w:tcBorders>
          </w:tcPr>
          <w:p>
            <w:pPr/>
          </w:p>
        </w:tc>
      </w:tr>
      <w:tr>
        <w:trPr>
          <w:trHeight w:val="660" w:hRule="exact"/>
        </w:trPr>
        <w:tc>
          <w:tcPr>
            <w:tcW w:w="451" w:type="dxa"/>
            <w:vMerge/>
            <w:tcBorders>
              <w:left w:val="single" w:sz="6" w:space="0" w:color="000000"/>
              <w:right w:val="single" w:sz="6" w:space="0" w:color="000000"/>
            </w:tcBorders>
          </w:tcPr>
          <w:p>
            <w:pPr/>
          </w:p>
        </w:tc>
        <w:tc>
          <w:tcPr>
            <w:tcW w:w="1534" w:type="dxa"/>
            <w:vMerge/>
            <w:tcBorders>
              <w:left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2019.06.24</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406" w:right="53" w:hanging="1352"/>
              <w:jc w:val="left"/>
              <w:rPr>
                <w:rFonts w:ascii="宋体" w:hAnsi="宋体" w:cs="宋体" w:eastAsia="宋体" w:hint="default"/>
                <w:sz w:val="18"/>
                <w:szCs w:val="18"/>
              </w:rPr>
            </w:pPr>
            <w:r>
              <w:rPr>
                <w:rFonts w:ascii="宋体" w:hAnsi="宋体" w:cs="宋体" w:eastAsia="宋体" w:hint="default"/>
                <w:sz w:val="18"/>
                <w:szCs w:val="18"/>
              </w:rPr>
              <w:t>《关于使用闲置募集资金购买理财产品的进 展公告》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2019-049</w:t>
            </w:r>
          </w:p>
        </w:tc>
        <w:tc>
          <w:tcPr>
            <w:tcW w:w="1702" w:type="dxa"/>
            <w:vMerge/>
            <w:tcBorders>
              <w:left w:val="single" w:sz="6" w:space="0" w:color="000000"/>
              <w:right w:val="single" w:sz="6" w:space="0" w:color="000000"/>
            </w:tcBorders>
          </w:tcPr>
          <w:p>
            <w:pPr/>
          </w:p>
        </w:tc>
      </w:tr>
      <w:tr>
        <w:trPr>
          <w:trHeight w:val="660"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2019.09.12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226" w:right="53" w:hanging="1172"/>
              <w:jc w:val="left"/>
              <w:rPr>
                <w:rFonts w:ascii="宋体" w:hAnsi="宋体" w:cs="宋体" w:eastAsia="宋体" w:hint="default"/>
                <w:sz w:val="18"/>
                <w:szCs w:val="18"/>
              </w:rPr>
            </w:pPr>
            <w:r>
              <w:rPr>
                <w:rFonts w:ascii="宋体" w:hAnsi="宋体" w:cs="宋体" w:eastAsia="宋体" w:hint="default"/>
                <w:sz w:val="18"/>
                <w:szCs w:val="18"/>
              </w:rPr>
              <w:t>《关于控股孙公司使用自有资金购买结构性 存款的公告》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2019-092</w:t>
            </w:r>
          </w:p>
        </w:tc>
        <w:tc>
          <w:tcPr>
            <w:tcW w:w="1702" w:type="dxa"/>
            <w:vMerge/>
            <w:tcBorders>
              <w:left w:val="single" w:sz="6" w:space="0" w:color="000000"/>
              <w:bottom w:val="single" w:sz="6" w:space="0" w:color="000000"/>
              <w:right w:val="single" w:sz="6"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51"/>
        <w:gridCol w:w="1534"/>
        <w:gridCol w:w="991"/>
        <w:gridCol w:w="3545"/>
        <w:gridCol w:w="991"/>
        <w:gridCol w:w="1702"/>
      </w:tblGrid>
      <w:tr>
        <w:trPr>
          <w:trHeight w:val="660" w:hRule="exact"/>
        </w:trPr>
        <w:tc>
          <w:tcPr>
            <w:tcW w:w="45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2019.12.19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1406" w:right="53" w:hanging="1352"/>
              <w:jc w:val="left"/>
              <w:rPr>
                <w:rFonts w:ascii="宋体" w:hAnsi="宋体" w:cs="宋体" w:eastAsia="宋体" w:hint="default"/>
                <w:sz w:val="18"/>
                <w:szCs w:val="18"/>
              </w:rPr>
            </w:pPr>
            <w:r>
              <w:rPr>
                <w:rFonts w:ascii="宋体" w:hAnsi="宋体" w:cs="宋体" w:eastAsia="宋体" w:hint="default"/>
                <w:sz w:val="18"/>
                <w:szCs w:val="18"/>
              </w:rPr>
              <w:t>《关于使用闲置募集资金购买理财产品的进 展公告》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2019-122</w:t>
            </w:r>
          </w:p>
        </w:tc>
        <w:tc>
          <w:tcPr>
            <w:tcW w:w="1702" w:type="dxa"/>
            <w:vMerge w:val="restart"/>
            <w:tcBorders>
              <w:top w:val="single" w:sz="6" w:space="0" w:color="000000"/>
              <w:left w:val="single" w:sz="6" w:space="0" w:color="000000"/>
              <w:right w:val="single" w:sz="6" w:space="0" w:color="000000"/>
            </w:tcBorders>
          </w:tcPr>
          <w:p>
            <w:pPr/>
          </w:p>
        </w:tc>
      </w:tr>
      <w:tr>
        <w:trPr>
          <w:trHeight w:val="658"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9" w:right="0"/>
              <w:jc w:val="left"/>
              <w:rPr>
                <w:rFonts w:ascii="Times New Roman" w:hAnsi="Times New Roman" w:cs="Times New Roman" w:eastAsia="Times New Roman" w:hint="default"/>
                <w:sz w:val="18"/>
                <w:szCs w:val="18"/>
              </w:rPr>
            </w:pPr>
            <w:r>
              <w:rPr>
                <w:rFonts w:ascii="Times New Roman"/>
                <w:sz w:val="18"/>
              </w:rPr>
              <w:t>10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29" w:right="36" w:hanging="89"/>
              <w:jc w:val="left"/>
              <w:rPr>
                <w:rFonts w:ascii="宋体" w:hAnsi="宋体" w:cs="宋体" w:eastAsia="宋体" w:hint="default"/>
                <w:sz w:val="18"/>
                <w:szCs w:val="18"/>
              </w:rPr>
            </w:pPr>
            <w:r>
              <w:rPr>
                <w:rFonts w:ascii="宋体" w:hAnsi="宋体" w:cs="宋体" w:eastAsia="宋体" w:hint="default"/>
                <w:sz w:val="18"/>
                <w:szCs w:val="18"/>
              </w:rPr>
              <w:t>设立江西吉宏供应 链管理有限公司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2019.09.12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586" w:right="53" w:hanging="1532"/>
              <w:jc w:val="left"/>
              <w:rPr>
                <w:rFonts w:ascii="宋体" w:hAnsi="宋体" w:cs="宋体" w:eastAsia="宋体" w:hint="default"/>
                <w:sz w:val="18"/>
                <w:szCs w:val="18"/>
              </w:rPr>
            </w:pPr>
            <w:r>
              <w:rPr>
                <w:rFonts w:ascii="宋体" w:hAnsi="宋体" w:cs="宋体" w:eastAsia="宋体" w:hint="default"/>
                <w:sz w:val="18"/>
                <w:szCs w:val="18"/>
              </w:rPr>
              <w:t>《关于设立全资子公司并完成工商登记的公 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2019-093</w:t>
            </w:r>
          </w:p>
        </w:tc>
        <w:tc>
          <w:tcPr>
            <w:tcW w:w="1702" w:type="dxa"/>
            <w:vMerge/>
            <w:tcBorders>
              <w:left w:val="single" w:sz="6" w:space="0" w:color="000000"/>
              <w:right w:val="single" w:sz="6" w:space="0" w:color="000000"/>
            </w:tcBorders>
          </w:tcPr>
          <w:p>
            <w:pPr/>
          </w:p>
        </w:tc>
      </w:tr>
      <w:tr>
        <w:trPr>
          <w:trHeight w:val="660" w:hRule="exact"/>
        </w:trPr>
        <w:tc>
          <w:tcPr>
            <w:tcW w:w="451" w:type="dxa"/>
            <w:vMerge w:val="restart"/>
            <w:tcBorders>
              <w:top w:val="single" w:sz="6" w:space="0" w:color="000000"/>
              <w:left w:val="single" w:sz="6" w:space="0" w:color="000000"/>
              <w:right w:val="single" w:sz="6" w:space="0" w:color="000000"/>
            </w:tcBorders>
          </w:tcPr>
          <w:p>
            <w:pPr>
              <w:pStyle w:val="TableParagraph"/>
              <w:spacing w:line="240" w:lineRule="auto" w:before="62"/>
              <w:ind w:left="129" w:right="0"/>
              <w:jc w:val="left"/>
              <w:rPr>
                <w:rFonts w:ascii="Times New Roman" w:hAnsi="Times New Roman" w:cs="Times New Roman" w:eastAsia="Times New Roman" w:hint="default"/>
                <w:sz w:val="18"/>
                <w:szCs w:val="18"/>
              </w:rPr>
            </w:pPr>
            <w:r>
              <w:rPr>
                <w:rFonts w:ascii="Times New Roman"/>
                <w:sz w:val="18"/>
              </w:rPr>
              <w:t>11</w:t>
            </w:r>
          </w:p>
        </w:tc>
        <w:tc>
          <w:tcPr>
            <w:tcW w:w="1534" w:type="dxa"/>
            <w:vMerge w:val="restart"/>
            <w:tcBorders>
              <w:top w:val="single" w:sz="6" w:space="0" w:color="000000"/>
              <w:left w:val="single" w:sz="6" w:space="0" w:color="000000"/>
              <w:right w:val="single" w:sz="6" w:space="0" w:color="000000"/>
            </w:tcBorders>
          </w:tcPr>
          <w:p>
            <w:pPr>
              <w:pStyle w:val="TableParagraph"/>
              <w:spacing w:line="316" w:lineRule="auto" w:before="20"/>
              <w:ind w:left="40" w:right="36"/>
              <w:jc w:val="center"/>
              <w:rPr>
                <w:rFonts w:ascii="宋体" w:hAnsi="宋体" w:cs="宋体" w:eastAsia="宋体" w:hint="default"/>
                <w:sz w:val="18"/>
                <w:szCs w:val="18"/>
              </w:rPr>
            </w:pPr>
            <w:r>
              <w:rPr>
                <w:rFonts w:ascii="宋体" w:hAnsi="宋体" w:cs="宋体" w:eastAsia="宋体" w:hint="default"/>
                <w:sz w:val="18"/>
                <w:szCs w:val="18"/>
              </w:rPr>
              <w:t>设立深圳吉链区块 链技术有限公司并 增资</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2019.11.11</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586" w:right="53" w:hanging="1532"/>
              <w:jc w:val="left"/>
              <w:rPr>
                <w:rFonts w:ascii="宋体" w:hAnsi="宋体" w:cs="宋体" w:eastAsia="宋体" w:hint="default"/>
                <w:sz w:val="18"/>
                <w:szCs w:val="18"/>
              </w:rPr>
            </w:pPr>
            <w:r>
              <w:rPr>
                <w:rFonts w:ascii="宋体" w:hAnsi="宋体" w:cs="宋体" w:eastAsia="宋体" w:hint="default"/>
                <w:sz w:val="18"/>
                <w:szCs w:val="18"/>
              </w:rPr>
              <w:t>《关于设立全资子公司并完成工商登记的公 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2019-110</w:t>
            </w:r>
          </w:p>
        </w:tc>
        <w:tc>
          <w:tcPr>
            <w:tcW w:w="1702" w:type="dxa"/>
            <w:vMerge/>
            <w:tcBorders>
              <w:left w:val="single" w:sz="6" w:space="0" w:color="000000"/>
              <w:right w:val="single" w:sz="6" w:space="0" w:color="000000"/>
            </w:tcBorders>
          </w:tcPr>
          <w:p>
            <w:pPr/>
          </w:p>
        </w:tc>
      </w:tr>
      <w:tr>
        <w:trPr>
          <w:trHeight w:val="346"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2020.01.20</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《关于对全资子公司进行增资的公告》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2020-008</w:t>
            </w:r>
          </w:p>
        </w:tc>
        <w:tc>
          <w:tcPr>
            <w:tcW w:w="1702" w:type="dxa"/>
            <w:vMerge/>
            <w:tcBorders>
              <w:left w:val="single" w:sz="6" w:space="0" w:color="000000"/>
              <w:right w:val="single" w:sz="6" w:space="0" w:color="000000"/>
            </w:tcBorders>
          </w:tcPr>
          <w:p>
            <w:pPr/>
          </w:p>
        </w:tc>
      </w:tr>
      <w:tr>
        <w:trPr>
          <w:trHeight w:val="660" w:hRule="exact"/>
        </w:trPr>
        <w:tc>
          <w:tcPr>
            <w:tcW w:w="451" w:type="dxa"/>
            <w:vMerge w:val="restart"/>
            <w:tcBorders>
              <w:top w:val="single" w:sz="6" w:space="0" w:color="000000"/>
              <w:left w:val="single" w:sz="6" w:space="0" w:color="000000"/>
              <w:right w:val="single" w:sz="6" w:space="0" w:color="000000"/>
            </w:tcBorders>
          </w:tcPr>
          <w:p>
            <w:pPr>
              <w:pStyle w:val="TableParagraph"/>
              <w:spacing w:line="240" w:lineRule="auto" w:before="62"/>
              <w:ind w:left="129" w:right="0"/>
              <w:jc w:val="left"/>
              <w:rPr>
                <w:rFonts w:ascii="Times New Roman" w:hAnsi="Times New Roman" w:cs="Times New Roman" w:eastAsia="Times New Roman" w:hint="default"/>
                <w:sz w:val="18"/>
                <w:szCs w:val="18"/>
              </w:rPr>
            </w:pPr>
            <w:r>
              <w:rPr>
                <w:rFonts w:ascii="Times New Roman"/>
                <w:sz w:val="18"/>
              </w:rPr>
              <w:t>12</w:t>
            </w:r>
          </w:p>
        </w:tc>
        <w:tc>
          <w:tcPr>
            <w:tcW w:w="1534" w:type="dxa"/>
            <w:vMerge w:val="restart"/>
            <w:tcBorders>
              <w:top w:val="single" w:sz="6" w:space="0" w:color="000000"/>
              <w:left w:val="single" w:sz="6" w:space="0" w:color="000000"/>
              <w:right w:val="single" w:sz="6" w:space="0" w:color="000000"/>
            </w:tcBorders>
          </w:tcPr>
          <w:p>
            <w:pPr>
              <w:pStyle w:val="TableParagraph"/>
              <w:spacing w:line="319" w:lineRule="auto" w:before="20"/>
              <w:ind w:left="129" w:right="36" w:hanging="89"/>
              <w:jc w:val="left"/>
              <w:rPr>
                <w:rFonts w:ascii="宋体" w:hAnsi="宋体" w:cs="宋体" w:eastAsia="宋体" w:hint="default"/>
                <w:sz w:val="18"/>
                <w:szCs w:val="18"/>
              </w:rPr>
            </w:pPr>
            <w:r>
              <w:rPr>
                <w:rFonts w:ascii="宋体" w:hAnsi="宋体" w:cs="宋体" w:eastAsia="宋体" w:hint="default"/>
                <w:sz w:val="18"/>
                <w:szCs w:val="18"/>
              </w:rPr>
              <w:t>设立山西火致供应 链管理有限公司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2019.12.25</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1495" w:right="53" w:hanging="1440"/>
              <w:jc w:val="left"/>
              <w:rPr>
                <w:rFonts w:ascii="宋体" w:hAnsi="宋体" w:cs="宋体" w:eastAsia="宋体" w:hint="default"/>
                <w:sz w:val="18"/>
                <w:szCs w:val="18"/>
              </w:rPr>
            </w:pPr>
            <w:r>
              <w:rPr>
                <w:rFonts w:ascii="宋体" w:hAnsi="宋体" w:cs="宋体" w:eastAsia="宋体" w:hint="default"/>
                <w:sz w:val="18"/>
                <w:szCs w:val="18"/>
              </w:rPr>
              <w:t>《关于全资子公司对外投资设立合资公司的 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2019-126</w:t>
            </w:r>
          </w:p>
        </w:tc>
        <w:tc>
          <w:tcPr>
            <w:tcW w:w="1702" w:type="dxa"/>
            <w:vMerge/>
            <w:tcBorders>
              <w:left w:val="single" w:sz="6" w:space="0" w:color="000000"/>
              <w:right w:val="single" w:sz="6" w:space="0" w:color="000000"/>
            </w:tcBorders>
          </w:tcPr>
          <w:p>
            <w:pPr/>
          </w:p>
        </w:tc>
      </w:tr>
      <w:tr>
        <w:trPr>
          <w:trHeight w:val="348" w:hRule="exact"/>
        </w:trPr>
        <w:tc>
          <w:tcPr>
            <w:tcW w:w="451"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2020.01.03</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《关于对外投资进展的公告》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2020-001</w:t>
            </w:r>
          </w:p>
        </w:tc>
        <w:tc>
          <w:tcPr>
            <w:tcW w:w="1702" w:type="dxa"/>
            <w:vMerge/>
            <w:tcBorders>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26"/>
        <w:ind w:right="1128"/>
        <w:jc w:val="left"/>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0" w:right="1128" w:hanging="288"/>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公司合并报表范围内全资子公司北京龙域之星科技有限公司通过高新技术企业证书的首次认定，详细内容见公司于</w:t>
      </w:r>
      <w:r>
        <w:rPr>
          <w:rFonts w:ascii="Times New Roman" w:hAnsi="Times New Roman" w:cs="Times New Roman" w:eastAsia="Times New Roman" w:hint="default"/>
          <w:spacing w:val="-1"/>
        </w:rPr>
        <w:t>2019</w:t>
      </w:r>
    </w:p>
    <w:p>
      <w:pPr>
        <w:pStyle w:val="BodyText"/>
        <w:spacing w:line="228" w:lineRule="exact"/>
        <w:ind w:right="0"/>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日披露在巨潮资讯网（</w:t>
      </w:r>
      <w:r>
        <w:rPr>
          <w:rFonts w:ascii="Times New Roman" w:hAnsi="Times New Roman" w:cs="Times New Roman" w:eastAsia="Times New Roman" w:hint="default"/>
          <w:color w:val="6D6D6D"/>
        </w:rPr>
      </w:r>
      <w:hyperlink r:id="rId13">
        <w:r>
          <w:rPr>
            <w:rFonts w:ascii="Times New Roman" w:hAnsi="Times New Roman" w:cs="Times New Roman" w:eastAsia="Times New Roman" w:hint="default"/>
            <w:color w:val="6D6D6D"/>
            <w:u w:val="single" w:color="6D6D6D"/>
          </w:rPr>
          <w:t>www.cninfo.com.cn</w:t>
        </w:r>
        <w:r>
          <w:rPr>
            <w:rFonts w:ascii="Times New Roman" w:hAnsi="Times New Roman" w:cs="Times New Roman" w:eastAsia="Times New Roman" w:hint="default"/>
            <w:color w:val="6D6D6D"/>
          </w:rPr>
        </w:r>
      </w:hyperlink>
      <w:r>
        <w:rPr/>
        <w:t>）的《关于子公司北京龙域之星科技有限公司获得高新技术企业认定的公</w:t>
      </w:r>
    </w:p>
    <w:p>
      <w:pPr>
        <w:pStyle w:val="BodyText"/>
        <w:spacing w:line="240" w:lineRule="auto" w:before="62"/>
        <w:ind w:right="1128"/>
        <w:jc w:val="left"/>
      </w:pPr>
      <w:r>
        <w:rPr/>
        <w:t>告》（编号：</w:t>
      </w:r>
      <w:r>
        <w:rPr>
          <w:rFonts w:ascii="Times New Roman" w:hAnsi="Times New Roman" w:cs="Times New Roman" w:eastAsia="Times New Roman" w:hint="default"/>
        </w:rPr>
        <w:t>2019-007</w:t>
      </w:r>
      <w:r>
        <w:rPr/>
        <w:t>）。</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044" w:right="1128"/>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8"/>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7"/>
        <w:gridCol w:w="823"/>
        <w:gridCol w:w="823"/>
        <w:gridCol w:w="823"/>
        <w:gridCol w:w="821"/>
        <w:gridCol w:w="823"/>
        <w:gridCol w:w="821"/>
        <w:gridCol w:w="823"/>
        <w:gridCol w:w="794"/>
        <w:gridCol w:w="792"/>
      </w:tblGrid>
      <w:tr>
        <w:trPr>
          <w:trHeight w:val="402"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316" w:right="45"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119,164,8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60.43%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25,393,69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-39,971,4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104,587,1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46.99%</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119,164,8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60.43%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25,393,69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-39,971,4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-14,577,7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104,587,1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46.99%</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7.54%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25,393,69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-14,875,0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10,518,69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25,393,69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11.41%</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104,289,8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52.89%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-25,096,4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-25,096,4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79,193,40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35.58%</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78,035,14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39.57%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39,971,45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39,971,45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53.01%</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78,035,14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39.57%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39,971,45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39,971,45</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118,006,5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53.01%</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197,200,0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25,393,69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25,393,69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222,593,6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股份变动的原因</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093"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）发行审核委员会对公司申请的非公开发行股票</w:t>
      </w:r>
      <w:r>
        <w:rPr/>
        <w:t> </w:t>
      </w:r>
      <w:r>
        <w:rPr>
          <w:spacing w:val="-2"/>
        </w:rPr>
        <w:t>事项进行审核并获得审核通过。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日，公司取得中国证监会出具的《关于核准厦门吉宏包装科技股份有限公司非</w:t>
      </w:r>
      <w:r>
        <w:rPr>
          <w:spacing w:val="-61"/>
        </w:rPr>
        <w:t> </w:t>
      </w:r>
      <w:r>
        <w:rPr>
          <w:spacing w:val="-61"/>
        </w:rPr>
      </w:r>
      <w:r>
        <w:rPr/>
        <w:t>公开发行股票的批复》（证监许可</w:t>
      </w:r>
      <w:r>
        <w:rPr>
          <w:rFonts w:ascii="Times New Roman" w:hAnsi="Times New Roman" w:cs="Times New Roman" w:eastAsia="Times New Roman" w:hint="default"/>
        </w:rPr>
        <w:t>[2018]2099</w:t>
      </w:r>
      <w:r>
        <w:rPr/>
        <w:t>号），核准公司发行股份数量不超过</w:t>
      </w:r>
      <w:r>
        <w:rPr>
          <w:rFonts w:ascii="Times New Roman" w:hAnsi="Times New Roman" w:cs="Times New Roman" w:eastAsia="Times New Roman" w:hint="default"/>
        </w:rPr>
        <w:t>3,944</w:t>
      </w:r>
      <w:r>
        <w:rPr/>
        <w:t>万股（含</w:t>
      </w:r>
      <w:r>
        <w:rPr>
          <w:rFonts w:ascii="Times New Roman" w:hAnsi="Times New Roman" w:cs="Times New Roman" w:eastAsia="Times New Roman" w:hint="default"/>
        </w:rPr>
        <w:t>3,944</w:t>
      </w:r>
      <w:r>
        <w:rPr/>
        <w:t>万股）。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 公司以非公开发行股票方式向赣州发展融资租赁有限责任公司、湖北高投产控投资股份有限公司发行股票</w:t>
      </w:r>
      <w:r>
        <w:rPr>
          <w:rFonts w:ascii="Times New Roman" w:hAnsi="Times New Roman" w:cs="Times New Roman" w:eastAsia="Times New Roman" w:hint="default"/>
        </w:rPr>
        <w:t>25,393,699</w:t>
      </w:r>
      <w:r>
        <w:rPr/>
        <w:t>股，发 行价格人民币</w:t>
      </w:r>
      <w:r>
        <w:rPr>
          <w:rFonts w:ascii="Times New Roman" w:hAnsi="Times New Roman" w:cs="Times New Roman" w:eastAsia="Times New Roman" w:hint="default"/>
        </w:rPr>
        <w:t>20.32</w:t>
      </w:r>
      <w:r>
        <w:rPr/>
        <w:t>元</w:t>
      </w:r>
      <w:r>
        <w:rPr>
          <w:rFonts w:ascii="Times New Roman" w:hAnsi="Times New Roman" w:cs="Times New Roman" w:eastAsia="Times New Roman" w:hint="default"/>
        </w:rPr>
        <w:t>/</w:t>
      </w:r>
      <w:r>
        <w:rPr/>
        <w:t>股，新增股份上市日期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日，股票性质为有限售条件股份，限售期限自股票上市之日起</w:t>
      </w:r>
      <w:r>
        <w:rPr>
          <w:rFonts w:ascii="Times New Roman" w:hAnsi="Times New Roman" w:cs="Times New Roman" w:eastAsia="Times New Roman" w:hint="default"/>
        </w:rPr>
        <w:t>12 </w:t>
      </w:r>
      <w:r>
        <w:rPr/>
        <w:t>个月。</w:t>
      </w:r>
    </w:p>
    <w:p>
      <w:pPr>
        <w:pStyle w:val="BodyText"/>
        <w:spacing w:line="240" w:lineRule="auto" w:before="31"/>
        <w:ind w:left="452" w:right="1128"/>
        <w:jc w:val="left"/>
      </w:pPr>
      <w:r>
        <w:rPr>
          <w:rFonts w:ascii="Times New Roman" w:hAnsi="Times New Roman" w:cs="Times New Roman" w:eastAsia="Times New Roman" w:hint="default"/>
        </w:rPr>
        <w:t>2</w:t>
      </w:r>
      <w:r>
        <w:rPr/>
        <w:t>、公司股东庄浩女士、庄澍先生、西藏永悦诗超企业管理有限公司、张和平先生和贺静颖女士分别持有首发前限售股</w:t>
      </w:r>
    </w:p>
    <w:p>
      <w:pPr>
        <w:pStyle w:val="BodyText"/>
        <w:spacing w:line="304" w:lineRule="auto" w:before="62"/>
        <w:ind w:right="1129"/>
        <w:jc w:val="both"/>
      </w:pPr>
      <w:r>
        <w:rPr>
          <w:spacing w:val="-6"/>
        </w:rPr>
        <w:t>（</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18</w:t>
      </w:r>
      <w:r>
        <w:rPr>
          <w:spacing w:val="-6"/>
        </w:rPr>
        <w:t>日实施</w:t>
      </w:r>
      <w:r>
        <w:rPr>
          <w:rFonts w:ascii="Times New Roman" w:hAnsi="Times New Roman" w:cs="Times New Roman" w:eastAsia="Times New Roman" w:hint="default"/>
          <w:spacing w:val="-6"/>
        </w:rPr>
        <w:t>10</w:t>
      </w:r>
      <w:r>
        <w:rPr>
          <w:spacing w:val="-6"/>
        </w:rPr>
        <w:t>转</w:t>
      </w:r>
      <w:r>
        <w:rPr>
          <w:rFonts w:ascii="Times New Roman" w:hAnsi="Times New Roman" w:cs="Times New Roman" w:eastAsia="Times New Roman" w:hint="default"/>
          <w:spacing w:val="-6"/>
        </w:rPr>
        <w:t>7</w:t>
      </w:r>
      <w:r>
        <w:rPr>
          <w:spacing w:val="-6"/>
        </w:rPr>
        <w:t>的权益分派方案后的持股数量）</w:t>
      </w:r>
      <w:r>
        <w:rPr>
          <w:rFonts w:ascii="Times New Roman" w:hAnsi="Times New Roman" w:cs="Times New Roman" w:eastAsia="Times New Roman" w:hint="default"/>
          <w:spacing w:val="-6"/>
        </w:rPr>
        <w:t>67,681,250</w:t>
      </w:r>
      <w:r>
        <w:rPr>
          <w:spacing w:val="-6"/>
        </w:rPr>
        <w:t>股、</w:t>
      </w:r>
      <w:r>
        <w:rPr>
          <w:rFonts w:ascii="Times New Roman" w:hAnsi="Times New Roman" w:cs="Times New Roman" w:eastAsia="Times New Roman" w:hint="default"/>
          <w:spacing w:val="-6"/>
        </w:rPr>
        <w:t>26,031,250</w:t>
      </w:r>
      <w:r>
        <w:rPr>
          <w:spacing w:val="-6"/>
        </w:rPr>
        <w:t>股、</w:t>
      </w:r>
      <w:r>
        <w:rPr>
          <w:rFonts w:ascii="Times New Roman" w:hAnsi="Times New Roman" w:cs="Times New Roman" w:eastAsia="Times New Roman" w:hint="default"/>
          <w:spacing w:val="-6"/>
        </w:rPr>
        <w:t>14,875,000</w:t>
      </w:r>
      <w:r>
        <w:rPr>
          <w:spacing w:val="-6"/>
        </w:rPr>
        <w:t>股、</w:t>
      </w:r>
      <w:r>
        <w:rPr>
          <w:rFonts w:ascii="Times New Roman" w:hAnsi="Times New Roman" w:cs="Times New Roman" w:eastAsia="Times New Roman" w:hint="default"/>
          <w:spacing w:val="-6"/>
        </w:rPr>
        <w:t>5,206,250</w:t>
      </w:r>
      <w:r>
        <w:rPr>
          <w:spacing w:val="-6"/>
        </w:rPr>
        <w:t>股、</w:t>
      </w:r>
      <w:r>
        <w:rPr>
          <w:rFonts w:ascii="Times New Roman" w:hAnsi="Times New Roman" w:cs="Times New Roman" w:eastAsia="Times New Roman" w:hint="default"/>
          <w:spacing w:val="-6"/>
        </w:rPr>
        <w:t>5,206,250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日解除限售后流通上市，所持有的股份性质由有限售条件股份变更为无限售流通股。因庄浩女士现任公司 </w:t>
      </w:r>
      <w:r>
        <w:rPr>
          <w:spacing w:val="-2"/>
        </w:rPr>
        <w:t>董事长、张和平先生现任公司总经理兼董事、庄澍先生现任公司副总经理兼董事，根据法律法规相关规定，任职期间每年转</w:t>
      </w:r>
      <w:r>
        <w:rPr>
          <w:spacing w:val="-67"/>
        </w:rPr>
        <w:t> </w:t>
      </w:r>
      <w:r>
        <w:rPr>
          <w:spacing w:val="-67"/>
        </w:rPr>
      </w:r>
      <w:r>
        <w:rPr/>
        <w:t>让股份不得超过各自所持有公司股份总数的百分之二十五。贺静颖曾任公司副总经理，于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日离职，原定任期至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日，根据相关规定，应当在其就职时确定的任期内和任期届满后六个月内继续遵守每年转让的股份不超过其所</w:t>
      </w:r>
      <w:r>
        <w:rPr>
          <w:spacing w:val="-57"/>
        </w:rPr>
        <w:t> </w:t>
      </w:r>
      <w:r>
        <w:rPr>
          <w:spacing w:val="-57"/>
        </w:rPr>
      </w:r>
      <w:r>
        <w:rPr/>
        <w:t>持有公司股份总数的百分之二十五的限制性规定。</w:t>
      </w:r>
    </w:p>
    <w:p>
      <w:pPr>
        <w:spacing w:after="0" w:line="304"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2" w:firstLine="504"/>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日召开</w:t>
      </w:r>
      <w:r>
        <w:rPr>
          <w:rFonts w:ascii="Times New Roman" w:hAnsi="Times New Roman" w:cs="Times New Roman" w:eastAsia="Times New Roman" w:hint="default"/>
        </w:rPr>
        <w:t>2019</w:t>
      </w:r>
      <w:r>
        <w:rPr/>
        <w:t>年第七次临时股东大会，审议通过关于公司监事会换届选举的议案，王海营先生 </w:t>
      </w:r>
      <w:r>
        <w:rPr>
          <w:spacing w:val="-2"/>
        </w:rPr>
        <w:t>任公司第四届监事会非职工代表监事，其持有公司股份数量</w:t>
      </w:r>
      <w:r>
        <w:rPr>
          <w:rFonts w:ascii="Times New Roman" w:hAnsi="Times New Roman" w:cs="Times New Roman" w:eastAsia="Times New Roman" w:hint="default"/>
          <w:spacing w:val="-2"/>
        </w:rPr>
        <w:t>1,246,400</w:t>
      </w:r>
      <w:r>
        <w:rPr>
          <w:spacing w:val="-2"/>
        </w:rPr>
        <w:t>股。根据法律法规相关规定，王海营先生在担任公司监</w:t>
      </w:r>
      <w:r>
        <w:rPr>
          <w:spacing w:val="-58"/>
        </w:rPr>
        <w:t> </w:t>
      </w:r>
      <w:r>
        <w:rPr>
          <w:spacing w:val="-58"/>
        </w:rPr>
      </w:r>
      <w:r>
        <w:rPr/>
        <w:t>事期间每年转让的股份不得超过其所持有公司股份总数的百分之二十五。</w:t>
      </w:r>
    </w:p>
    <w:p>
      <w:pPr>
        <w:pStyle w:val="BodyText"/>
        <w:spacing w:line="240" w:lineRule="auto" w:before="72"/>
        <w:ind w:right="1128"/>
        <w:jc w:val="left"/>
      </w:pPr>
      <w:r>
        <w:rPr/>
        <w:t>股份变动的批准情况</w:t>
      </w:r>
    </w:p>
    <w:p>
      <w:pPr>
        <w:pStyle w:val="BodyText"/>
        <w:spacing w:line="240" w:lineRule="auto" w:before="11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043" w:firstLine="432"/>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）发行审核委员会对公司申请的非公开发行股票事 </w:t>
      </w:r>
      <w:r>
        <w:rPr>
          <w:spacing w:val="-2"/>
        </w:rPr>
        <w:t>项进行审核并获得审核通过。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日，公司取得中国证监会出具的《关于核准厦门吉宏包装科技股份有限公司非公</w:t>
      </w:r>
      <w:r>
        <w:rPr>
          <w:spacing w:val="-61"/>
        </w:rPr>
        <w:t> </w:t>
      </w:r>
      <w:r>
        <w:rPr>
          <w:spacing w:val="-61"/>
        </w:rPr>
      </w:r>
      <w:r>
        <w:rPr/>
        <w:t>开发行股票的批复》（证监许可</w:t>
      </w:r>
      <w:r>
        <w:rPr>
          <w:rFonts w:ascii="Times New Roman" w:hAnsi="Times New Roman" w:cs="Times New Roman" w:eastAsia="Times New Roman" w:hint="default"/>
        </w:rPr>
        <w:t>[2018]2099</w:t>
      </w:r>
      <w:r>
        <w:rPr/>
        <w:t>号），核准公司发行股份数量不超过</w:t>
      </w:r>
      <w:r>
        <w:rPr>
          <w:rFonts w:ascii="Times New Roman" w:hAnsi="Times New Roman" w:cs="Times New Roman" w:eastAsia="Times New Roman" w:hint="default"/>
        </w:rPr>
        <w:t>3,944</w:t>
      </w:r>
      <w:r>
        <w:rPr/>
        <w:t>万股（含</w:t>
      </w:r>
      <w:r>
        <w:rPr>
          <w:rFonts w:ascii="Times New Roman" w:hAnsi="Times New Roman" w:cs="Times New Roman" w:eastAsia="Times New Roman" w:hint="default"/>
        </w:rPr>
        <w:t>3,944</w:t>
      </w:r>
      <w:r>
        <w:rPr/>
        <w:t>万股）。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 司以非公开发行股票方式向赣州发展融资租赁有限责任公司、湖北高投产控投资股份有限公司发行股票</w:t>
      </w:r>
      <w:r>
        <w:rPr>
          <w:rFonts w:ascii="Times New Roman" w:hAnsi="Times New Roman" w:cs="Times New Roman" w:eastAsia="Times New Roman" w:hint="default"/>
        </w:rPr>
        <w:t>25,393,699</w:t>
      </w:r>
      <w:r>
        <w:rPr/>
        <w:t>股，发行 </w:t>
      </w:r>
      <w:r>
        <w:rPr>
          <w:spacing w:val="-3"/>
        </w:rPr>
        <w:t>价格人民币</w:t>
      </w:r>
      <w:r>
        <w:rPr>
          <w:rFonts w:ascii="Times New Roman" w:hAnsi="Times New Roman" w:cs="Times New Roman" w:eastAsia="Times New Roman" w:hint="default"/>
          <w:spacing w:val="-3"/>
        </w:rPr>
        <w:t>20.32</w:t>
      </w:r>
      <w:r>
        <w:rPr>
          <w:spacing w:val="-3"/>
        </w:rPr>
        <w:t>元</w:t>
      </w:r>
      <w:r>
        <w:rPr>
          <w:rFonts w:ascii="Times New Roman" w:hAnsi="Times New Roman" w:cs="Times New Roman" w:eastAsia="Times New Roman" w:hint="default"/>
          <w:spacing w:val="-3"/>
        </w:rPr>
        <w:t>/</w:t>
      </w:r>
      <w:r>
        <w:rPr>
          <w:spacing w:val="-3"/>
        </w:rPr>
        <w:t>股，新增股份上市日期</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日，股票性质为有限售条件股份，限售期限自股票上市之日起</w:t>
      </w:r>
      <w:r>
        <w:rPr>
          <w:rFonts w:ascii="Times New Roman" w:hAnsi="Times New Roman" w:cs="Times New Roman" w:eastAsia="Times New Roman" w:hint="default"/>
          <w:spacing w:val="-3"/>
        </w:rPr>
        <w:t>12</w:t>
      </w:r>
      <w:r>
        <w:rPr>
          <w:spacing w:val="-3"/>
        </w:rPr>
        <w:t>个月。</w:t>
      </w:r>
    </w:p>
    <w:p>
      <w:pPr>
        <w:pStyle w:val="BodyText"/>
        <w:spacing w:line="240" w:lineRule="auto" w:before="53"/>
        <w:ind w:right="1128"/>
        <w:jc w:val="left"/>
      </w:pPr>
      <w:r>
        <w:rPr/>
        <w:t>股份变动的过户情况</w:t>
      </w:r>
    </w:p>
    <w:p>
      <w:pPr>
        <w:pStyle w:val="BodyText"/>
        <w:spacing w:line="340" w:lineRule="auto" w:before="114"/>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38" w:lineRule="auto" w:before="41"/>
        <w:ind w:left="440" w:right="1150" w:hanging="28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日，公司通过股票回购专用证券账户以集中竞价交易方式累计回购公司股份数量</w:t>
      </w:r>
      <w:r>
        <w:rPr>
          <w:rFonts w:ascii="Times New Roman" w:hAnsi="Times New Roman" w:cs="Times New Roman" w:eastAsia="Times New Roman" w:hint="default"/>
        </w:rPr>
        <w:t>653,700</w:t>
      </w:r>
      <w:r>
        <w:rPr/>
        <w:t>股，占公司总</w:t>
      </w:r>
    </w:p>
    <w:p>
      <w:pPr>
        <w:pStyle w:val="BodyText"/>
        <w:spacing w:line="230" w:lineRule="exact"/>
        <w:ind w:right="0"/>
        <w:jc w:val="left"/>
        <w:rPr>
          <w:rFonts w:ascii="Times New Roman" w:hAnsi="Times New Roman" w:cs="Times New Roman" w:eastAsia="Times New Roman" w:hint="default"/>
        </w:rPr>
      </w:pPr>
      <w:r>
        <w:rPr/>
        <w:t>股本的比例</w:t>
      </w:r>
      <w:r>
        <w:rPr>
          <w:rFonts w:ascii="Times New Roman" w:hAnsi="Times New Roman" w:cs="Times New Roman" w:eastAsia="Times New Roman" w:hint="default"/>
        </w:rPr>
        <w:t>0.29%</w:t>
      </w:r>
      <w:r>
        <w:rPr/>
        <w:t>，购买的最高价为</w:t>
      </w:r>
      <w:r>
        <w:rPr>
          <w:rFonts w:ascii="Times New Roman" w:hAnsi="Times New Roman" w:cs="Times New Roman" w:eastAsia="Times New Roman" w:hint="default"/>
        </w:rPr>
        <w:t>34.58</w:t>
      </w:r>
      <w:r>
        <w:rPr/>
        <w:t>元</w:t>
      </w:r>
      <w:r>
        <w:rPr>
          <w:rFonts w:ascii="Times New Roman" w:hAnsi="Times New Roman" w:cs="Times New Roman" w:eastAsia="Times New Roman" w:hint="default"/>
        </w:rPr>
        <w:t>/</w:t>
      </w:r>
      <w:r>
        <w:rPr/>
        <w:t>股，最低价为</w:t>
      </w:r>
      <w:r>
        <w:rPr>
          <w:rFonts w:ascii="Times New Roman" w:hAnsi="Times New Roman" w:cs="Times New Roman" w:eastAsia="Times New Roman" w:hint="default"/>
        </w:rPr>
        <w:t>23.05</w:t>
      </w:r>
      <w:r>
        <w:rPr/>
        <w:t>元</w:t>
      </w:r>
      <w:r>
        <w:rPr>
          <w:rFonts w:ascii="Times New Roman" w:hAnsi="Times New Roman" w:cs="Times New Roman" w:eastAsia="Times New Roman" w:hint="default"/>
        </w:rPr>
        <w:t>/</w:t>
      </w:r>
      <w:r>
        <w:rPr/>
        <w:t>股，成交均价为</w:t>
      </w:r>
      <w:r>
        <w:rPr>
          <w:rFonts w:ascii="Times New Roman" w:hAnsi="Times New Roman" w:cs="Times New Roman" w:eastAsia="Times New Roman" w:hint="default"/>
        </w:rPr>
        <w:t>29.06</w:t>
      </w:r>
      <w:r>
        <w:rPr/>
        <w:t>元</w:t>
      </w:r>
      <w:r>
        <w:rPr>
          <w:rFonts w:ascii="Times New Roman" w:hAnsi="Times New Roman" w:cs="Times New Roman" w:eastAsia="Times New Roman" w:hint="default"/>
        </w:rPr>
        <w:t>/</w:t>
      </w:r>
      <w:r>
        <w:rPr/>
        <w:t>股，支付的总金额为</w:t>
      </w:r>
      <w:r>
        <w:rPr>
          <w:rFonts w:ascii="Times New Roman" w:hAnsi="Times New Roman" w:cs="Times New Roman" w:eastAsia="Times New Roman" w:hint="default"/>
        </w:rPr>
        <w:t>18,997,267.20</w:t>
      </w:r>
    </w:p>
    <w:p>
      <w:pPr>
        <w:pStyle w:val="BodyText"/>
        <w:spacing w:line="360" w:lineRule="auto" w:before="63"/>
        <w:ind w:right="6973"/>
        <w:jc w:val="left"/>
      </w:pPr>
      <w:r>
        <w:rPr/>
        <w:t>元（不含交易费用）。 采用集中竞价方式减持回购股份的实施进展情况</w:t>
      </w:r>
    </w:p>
    <w:p>
      <w:pPr>
        <w:pStyle w:val="BodyText"/>
        <w:spacing w:line="338" w:lineRule="auto" w:before="2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3"/>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15"/>
          <w:szCs w:val="15"/>
        </w:rPr>
      </w:pPr>
    </w:p>
    <w:p>
      <w:pPr>
        <w:spacing w:line="1965" w:lineRule="exact"/>
        <w:ind w:left="152"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5141929" cy="12477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0" cstate="print"/>
                    <a:stretch>
                      <a:fillRect/>
                    </a:stretch>
                  </pic:blipFill>
                  <pic:spPr>
                    <a:xfrm>
                      <a:off x="0" y="0"/>
                      <a:ext cx="5141929" cy="1247775"/>
                    </a:xfrm>
                    <a:prstGeom prst="rect">
                      <a:avLst/>
                    </a:prstGeom>
                  </pic:spPr>
                </pic:pic>
              </a:graphicData>
            </a:graphic>
          </wp:inline>
        </w:drawing>
      </w:r>
      <w:r>
        <w:rPr>
          <w:rFonts w:ascii="宋体" w:hAnsi="宋体" w:cs="宋体" w:eastAsia="宋体" w:hint="default"/>
          <w:position w:val="-38"/>
          <w:sz w:val="20"/>
          <w:szCs w:val="20"/>
        </w:rPr>
      </w:r>
    </w:p>
    <w:p>
      <w:pPr>
        <w:pStyle w:val="BodyText"/>
        <w:spacing w:line="240" w:lineRule="auto" w:before="157"/>
        <w:ind w:right="1128"/>
        <w:jc w:val="left"/>
      </w:pPr>
      <w:r>
        <w:rPr/>
        <w:t>公司认为必要或证券监管机构要求披露的其他内容</w:t>
      </w:r>
    </w:p>
    <w:p>
      <w:pPr>
        <w:pStyle w:val="BodyText"/>
        <w:spacing w:line="240" w:lineRule="auto" w:before="117"/>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45"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67,846,107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67,681,250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50,925,794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因董事身份受限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26,031,250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26,031,250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19,523,437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因董事身份受限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19"/>
          <w:pgSz w:w="11910" w:h="16840"/>
          <w:pgMar w:footer="981" w:header="745" w:top="1060" w:bottom="1180" w:left="980" w:right="0"/>
          <w:pgNumType w:start="5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西藏永悦诗超企 业管理有限公司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贺静颖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3,904,687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因曾任高级管理 人员身份受限锁 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3,904,687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因董事身份受限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21,702,755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21,702,755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年非公 开发行股票新增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湖北高投产控投 资股份有限公司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3,690,944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3,690,944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年非公 开发行股票新增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王海营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因监事身份受限 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119,164,857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26,328,499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104,587,104</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28"/>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709"/>
        <w:gridCol w:w="1133"/>
        <w:gridCol w:w="1042"/>
        <w:gridCol w:w="1510"/>
        <w:gridCol w:w="1560"/>
        <w:gridCol w:w="1205"/>
      </w:tblGrid>
      <w:tr>
        <w:trPr>
          <w:trHeight w:val="714" w:hRule="exact"/>
        </w:trPr>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92" w:right="19"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20.32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25,393,699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25,393,699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1128"/>
        <w:jc w:val="left"/>
      </w:pPr>
      <w:r>
        <w:rPr/>
        <w:t>报告期内证券发行（不含优先股）情况的说明</w:t>
      </w:r>
    </w:p>
    <w:p>
      <w:pPr>
        <w:pStyle w:val="BodyText"/>
        <w:spacing w:line="300" w:lineRule="auto" w:before="114"/>
        <w:ind w:right="1093" w:firstLine="50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）发行审核委员会对公司申请的非公开发行股票 </w:t>
      </w:r>
      <w:r>
        <w:rPr>
          <w:spacing w:val="-2"/>
        </w:rPr>
        <w:t>事项进行审核并获得审核通过。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日，公司取得中国证监会出具的《关于核准厦门吉宏包装科技股份有限公司非</w:t>
      </w:r>
      <w:r>
        <w:rPr>
          <w:spacing w:val="-61"/>
        </w:rPr>
        <w:t> </w:t>
      </w:r>
      <w:r>
        <w:rPr>
          <w:spacing w:val="-61"/>
        </w:rPr>
      </w:r>
      <w:r>
        <w:rPr/>
        <w:t>公开发行股票的批复》（证监许可</w:t>
      </w:r>
      <w:r>
        <w:rPr>
          <w:rFonts w:ascii="Times New Roman" w:hAnsi="Times New Roman" w:cs="Times New Roman" w:eastAsia="Times New Roman" w:hint="default"/>
        </w:rPr>
        <w:t>[2018]2099</w:t>
      </w:r>
      <w:r>
        <w:rPr/>
        <w:t>号），核准公司发行股份数量不超过</w:t>
      </w:r>
      <w:r>
        <w:rPr>
          <w:rFonts w:ascii="Times New Roman" w:hAnsi="Times New Roman" w:cs="Times New Roman" w:eastAsia="Times New Roman" w:hint="default"/>
        </w:rPr>
        <w:t>3,944</w:t>
      </w:r>
      <w:r>
        <w:rPr/>
        <w:t>万股（含</w:t>
      </w:r>
      <w:r>
        <w:rPr>
          <w:rFonts w:ascii="Times New Roman" w:hAnsi="Times New Roman" w:cs="Times New Roman" w:eastAsia="Times New Roman" w:hint="default"/>
        </w:rPr>
        <w:t>3,944</w:t>
      </w:r>
      <w:r>
        <w:rPr/>
        <w:t>万股）。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 公司以非公开发行股票方式向赣州发展融资租赁有限责任公司、湖北高投产控投资股份有限公司发行股票</w:t>
      </w:r>
      <w:r>
        <w:rPr>
          <w:rFonts w:ascii="Times New Roman" w:hAnsi="Times New Roman" w:cs="Times New Roman" w:eastAsia="Times New Roman" w:hint="default"/>
        </w:rPr>
        <w:t>25,393,699</w:t>
      </w:r>
      <w:r>
        <w:rPr/>
        <w:t>股，发 行价格人民币</w:t>
      </w:r>
      <w:r>
        <w:rPr>
          <w:rFonts w:ascii="Times New Roman" w:hAnsi="Times New Roman" w:cs="Times New Roman" w:eastAsia="Times New Roman" w:hint="default"/>
        </w:rPr>
        <w:t>20.32</w:t>
      </w:r>
      <w:r>
        <w:rPr/>
        <w:t>元</w:t>
      </w:r>
      <w:r>
        <w:rPr>
          <w:rFonts w:ascii="Times New Roman" w:hAnsi="Times New Roman" w:cs="Times New Roman" w:eastAsia="Times New Roman" w:hint="default"/>
        </w:rPr>
        <w:t>/</w:t>
      </w:r>
      <w:r>
        <w:rPr/>
        <w:t>股，新增股份上市日期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日，股票性质为有限售条件股份，限售期限自股票上市之日起</w:t>
      </w:r>
      <w:r>
        <w:rPr>
          <w:rFonts w:ascii="Times New Roman" w:hAnsi="Times New Roman" w:cs="Times New Roman" w:eastAsia="Times New Roman" w:hint="default"/>
        </w:rPr>
        <w:t>12 </w:t>
      </w:r>
      <w:r>
        <w:rPr/>
        <w:t>个月。</w:t>
      </w:r>
    </w:p>
    <w:p>
      <w:pPr>
        <w:spacing w:line="240" w:lineRule="auto" w:before="10"/>
        <w:rPr>
          <w:rFonts w:ascii="宋体" w:hAnsi="宋体" w:cs="宋体" w:eastAsia="宋体" w:hint="default"/>
          <w:sz w:val="23"/>
          <w:szCs w:val="23"/>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27" w:firstLine="432"/>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27</w:t>
      </w:r>
      <w:r>
        <w:rPr>
          <w:spacing w:val="-1"/>
        </w:rPr>
        <w:t>日，中国证券监督管理委员会（以下简称</w:t>
      </w:r>
      <w:r>
        <w:rPr>
          <w:rFonts w:ascii="Times New Roman" w:hAnsi="Times New Roman" w:cs="Times New Roman" w:eastAsia="Times New Roman" w:hint="default"/>
          <w:spacing w:val="-1"/>
        </w:rPr>
        <w:t>“</w:t>
      </w:r>
      <w:r>
        <w:rPr>
          <w:spacing w:val="-1"/>
        </w:rPr>
        <w:t>中国证监会</w:t>
      </w:r>
      <w:r>
        <w:rPr>
          <w:rFonts w:ascii="Times New Roman" w:hAnsi="Times New Roman" w:cs="Times New Roman" w:eastAsia="Times New Roman" w:hint="default"/>
          <w:spacing w:val="-1"/>
        </w:rPr>
        <w:t>”</w:t>
      </w:r>
      <w:r>
        <w:rPr>
          <w:spacing w:val="-1"/>
        </w:rPr>
        <w:t>）发行审核委员会对公司申请的非公开发行股票事</w:t>
      </w:r>
      <w:r>
        <w:rPr/>
        <w:t> </w:t>
      </w:r>
      <w:r>
        <w:rPr>
          <w:spacing w:val="-2"/>
        </w:rPr>
        <w:t>项进行审核并获得审核通过。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日，公司取得中国证监会出具的《关于核准厦门吉宏包装科技股份有限公司非公</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43"/>
        <w:jc w:val="both"/>
      </w:pPr>
      <w:r>
        <w:rPr/>
        <w:t>开发行股票的批复》（证监许可</w:t>
      </w:r>
      <w:r>
        <w:rPr>
          <w:rFonts w:ascii="Times New Roman" w:hAnsi="Times New Roman" w:cs="Times New Roman" w:eastAsia="Times New Roman" w:hint="default"/>
        </w:rPr>
        <w:t>[2018]2099</w:t>
      </w:r>
      <w:r>
        <w:rPr/>
        <w:t>号），核准公司发行股份数量不超过</w:t>
      </w:r>
      <w:r>
        <w:rPr>
          <w:rFonts w:ascii="Times New Roman" w:hAnsi="Times New Roman" w:cs="Times New Roman" w:eastAsia="Times New Roman" w:hint="default"/>
        </w:rPr>
        <w:t>3,944</w:t>
      </w:r>
      <w:r>
        <w:rPr/>
        <w:t>万股（含</w:t>
      </w:r>
      <w:r>
        <w:rPr>
          <w:rFonts w:ascii="Times New Roman" w:hAnsi="Times New Roman" w:cs="Times New Roman" w:eastAsia="Times New Roman" w:hint="default"/>
        </w:rPr>
        <w:t>3,944</w:t>
      </w:r>
      <w:r>
        <w:rPr/>
        <w:t>万股）。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 司以非公开发行股票方式向赣州发展融资租赁有限责任公司、湖北高投产控投资股份有限公司发行股票</w:t>
      </w:r>
      <w:r>
        <w:rPr>
          <w:rFonts w:ascii="Times New Roman" w:hAnsi="Times New Roman" w:cs="Times New Roman" w:eastAsia="Times New Roman" w:hint="default"/>
        </w:rPr>
        <w:t>25,393,699</w:t>
      </w:r>
      <w:r>
        <w:rPr/>
        <w:t>股，发行 </w:t>
      </w:r>
      <w:r>
        <w:rPr>
          <w:spacing w:val="-3"/>
        </w:rPr>
        <w:t>价格人民币</w:t>
      </w:r>
      <w:r>
        <w:rPr>
          <w:rFonts w:ascii="Times New Roman" w:hAnsi="Times New Roman" w:cs="Times New Roman" w:eastAsia="Times New Roman" w:hint="default"/>
          <w:spacing w:val="-3"/>
        </w:rPr>
        <w:t>20.32</w:t>
      </w:r>
      <w:r>
        <w:rPr>
          <w:spacing w:val="-3"/>
        </w:rPr>
        <w:t>元</w:t>
      </w:r>
      <w:r>
        <w:rPr>
          <w:rFonts w:ascii="Times New Roman" w:hAnsi="Times New Roman" w:cs="Times New Roman" w:eastAsia="Times New Roman" w:hint="default"/>
          <w:spacing w:val="-3"/>
        </w:rPr>
        <w:t>/</w:t>
      </w:r>
      <w:r>
        <w:rPr>
          <w:spacing w:val="-3"/>
        </w:rPr>
        <w:t>股，新增股份上市日期</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日，股票性质为有限售条件股份，限售期限自股票上市之日起</w:t>
      </w:r>
      <w:r>
        <w:rPr>
          <w:rFonts w:ascii="Times New Roman" w:hAnsi="Times New Roman" w:cs="Times New Roman" w:eastAsia="Times New Roman" w:hint="default"/>
          <w:spacing w:val="-3"/>
        </w:rPr>
        <w:t>12</w:t>
      </w:r>
      <w:r>
        <w:rPr>
          <w:spacing w:val="-3"/>
        </w:rPr>
        <w:t>个月。</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274"/>
        <w:gridCol w:w="923"/>
        <w:gridCol w:w="488"/>
        <w:gridCol w:w="749"/>
        <w:gridCol w:w="826"/>
        <w:gridCol w:w="329"/>
        <w:gridCol w:w="461"/>
        <w:gridCol w:w="761"/>
        <w:gridCol w:w="866"/>
        <w:gridCol w:w="306"/>
        <w:gridCol w:w="1043"/>
        <w:gridCol w:w="151"/>
        <w:gridCol w:w="1198"/>
      </w:tblGrid>
      <w:tr>
        <w:trPr>
          <w:trHeight w:val="1968"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11,382</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12,843</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5"/>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4" w:right="48"/>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49" w:type="dxa"/>
            <w:vMerge/>
            <w:tcBorders>
              <w:left w:val="single" w:sz="4" w:space="0" w:color="000000"/>
              <w:bottom w:val="single" w:sz="4" w:space="0" w:color="000000"/>
              <w:right w:val="single" w:sz="4" w:space="0" w:color="000000"/>
            </w:tcBorders>
            <w:shd w:val="clear" w:color="auto" w:fill="D3D3D3"/>
          </w:tcPr>
          <w:p>
            <w:pPr/>
          </w:p>
        </w:tc>
        <w:tc>
          <w:tcPr>
            <w:tcW w:w="826" w:type="dxa"/>
            <w:vMerge/>
            <w:tcBorders>
              <w:left w:val="single" w:sz="4" w:space="0" w:color="000000"/>
              <w:bottom w:val="single" w:sz="4" w:space="0" w:color="000000"/>
              <w:right w:val="single" w:sz="4" w:space="0" w:color="000000"/>
            </w:tcBorders>
            <w:shd w:val="clear" w:color="auto" w:fill="D3D3D3"/>
          </w:tcPr>
          <w:p>
            <w:pPr/>
          </w:p>
        </w:tc>
        <w:tc>
          <w:tcPr>
            <w:tcW w:w="790" w:type="dxa"/>
            <w:gridSpan w:val="2"/>
            <w:vMerge/>
            <w:tcBorders>
              <w:left w:val="single" w:sz="4" w:space="0" w:color="000000"/>
              <w:bottom w:val="single" w:sz="4" w:space="0" w:color="000000"/>
              <w:right w:val="single" w:sz="4" w:space="0" w:color="000000"/>
            </w:tcBorders>
            <w:shd w:val="clear" w:color="auto" w:fill="D3D3D3"/>
          </w:tcPr>
          <w:p>
            <w:pPr/>
          </w:p>
        </w:tc>
        <w:tc>
          <w:tcPr>
            <w:tcW w:w="761"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51,346,10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-16,554,9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50,925,79</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420,313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27,459,590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10.12%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22,531,25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19,523,43</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3,007,813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2,200,000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21,702,75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21,702,75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21,702,75</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10,851,377</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赣州金融控股集 团有限责任公司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西藏永悦诗超企 业管理有限公司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8,587,000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-6,288,00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8,587,000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华夏基金管理有 限公司－社保基 金四二二组合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4,234,594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4234594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4,234,594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贺静颖</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3,905,250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-1,301,00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3,904,687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3,905,250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-1,301,00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3,904,687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90"/>
        <w:gridCol w:w="785"/>
        <w:gridCol w:w="790"/>
        <w:gridCol w:w="787"/>
        <w:gridCol w:w="840"/>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湖北高投产控投 资股份有限公司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3,690,944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3,690,944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3,690,944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3"/>
              <w:jc w:val="both"/>
              <w:rPr>
                <w:rFonts w:ascii="宋体" w:hAnsi="宋体" w:cs="宋体" w:eastAsia="宋体" w:hint="default"/>
                <w:sz w:val="18"/>
                <w:szCs w:val="18"/>
              </w:rPr>
            </w:pPr>
            <w:r>
              <w:rPr>
                <w:rFonts w:ascii="宋体" w:hAnsi="宋体" w:cs="宋体" w:eastAsia="宋体" w:hint="default"/>
                <w:sz w:val="18"/>
                <w:szCs w:val="18"/>
              </w:rPr>
              <w:t>厦门吉宏科技股 份有限公司－第 一期员工持股计 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3,273,569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-78,700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3,273,569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10" w:space="0" w:color="D3D3D3"/>
              <w:bottom w:val="single" w:sz="4" w:space="0" w:color="000000"/>
              <w:right w:val="single" w:sz="4" w:space="0" w:color="000000"/>
            </w:tcBorders>
          </w:tcPr>
          <w:p>
            <w:pPr>
              <w:pStyle w:val="TableParagraph"/>
              <w:spacing w:line="309" w:lineRule="auto" w:before="49"/>
              <w:ind w:left="19" w:right="78"/>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赣州发展融资租赁有限责任公司和湖北高投产控投资股份有限公司在公司非公开发 行股票中分别认购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21,702,755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3,690,944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股，上述认购股份上市日期为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日，均为有限售条件流通股，限售期限自股票上市之日起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163"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9" w:type="dxa"/>
            <w:gridSpan w:val="7"/>
            <w:vMerge w:val="restart"/>
            <w:tcBorders>
              <w:top w:val="single" w:sz="4" w:space="0" w:color="000000"/>
              <w:left w:val="single" w:sz="4" w:space="0" w:color="000000"/>
              <w:right w:val="single" w:sz="4" w:space="0" w:color="000000"/>
            </w:tcBorders>
          </w:tcPr>
          <w:p>
            <w:pPr>
              <w:pStyle w:val="TableParagraph"/>
              <w:spacing w:line="316" w:lineRule="auto" w:before="51"/>
              <w:ind w:left="26" w:right="19"/>
              <w:jc w:val="both"/>
              <w:rPr>
                <w:rFonts w:ascii="宋体" w:hAnsi="宋体" w:cs="宋体" w:eastAsia="宋体" w:hint="default"/>
                <w:sz w:val="18"/>
                <w:szCs w:val="18"/>
              </w:rPr>
            </w:pPr>
            <w:r>
              <w:rPr>
                <w:rFonts w:ascii="宋体" w:hAnsi="宋体" w:cs="宋体" w:eastAsia="宋体" w:hint="default"/>
                <w:spacing w:val="-1"/>
                <w:sz w:val="18"/>
                <w:szCs w:val="18"/>
              </w:rPr>
              <w:t>庄浩和张和平为夫妻关系，庄澍和贺静颖为夫妻关系，西藏永悦诗超企业管理有限公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司控股股东庄振海与庄浩、庄澍为父女及父子关系；赣州发展融资租赁有限责任公司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为赣州金融控股集团有限责任公司控股子公司。</w:t>
            </w:r>
          </w:p>
        </w:tc>
      </w:tr>
      <w:tr>
        <w:trPr>
          <w:trHeight w:val="703"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4"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9" w:type="dxa"/>
            <w:gridSpan w:val="7"/>
            <w:vMerge/>
            <w:tcBorders>
              <w:left w:val="single" w:sz="4" w:space="0" w:color="000000"/>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9" w:type="dxa"/>
            <w:gridSpan w:val="7"/>
            <w:vMerge/>
            <w:tcBorders>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91"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1"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880" w:type="dxa"/>
            <w:gridSpan w:val="2"/>
            <w:vMerge/>
            <w:tcBorders>
              <w:left w:val="single" w:sz="4" w:space="0" w:color="000000"/>
              <w:bottom w:val="nil" w:sz="6" w:space="0" w:color="auto"/>
              <w:right w:val="single" w:sz="4" w:space="0" w:color="000000"/>
            </w:tcBorders>
            <w:shd w:val="clear" w:color="auto" w:fill="D3D3D3"/>
          </w:tcPr>
          <w:p>
            <w:pPr/>
          </w:p>
        </w:tc>
        <w:tc>
          <w:tcPr>
            <w:tcW w:w="3991"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91"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赣州金融控股集团有限责任公司</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西藏永悦诗超企业管理有限公司</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8,587,000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8,587,000</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华夏基金管理有限公司－社保基金 四二二组合</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4,234,594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4,234,594</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厦门吉宏科技股份有限公司－第一 期员工持股计划</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3,273,569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3,273,569</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袁晓强</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2,460,000</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中国银行股份有限公司－华夏行业 精选混合型证券投资基金</w:t>
            </w:r>
            <w:r>
              <w:rPr>
                <w:rFonts w:ascii="Times New Roman" w:hAnsi="Times New Roman" w:cs="Times New Roman" w:eastAsia="Times New Roman" w:hint="default"/>
                <w:sz w:val="18"/>
                <w:szCs w:val="18"/>
              </w:rPr>
              <w:t>(LOF)</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2,179,338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2,179,338</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郭恺文</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1,972,000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1,972,000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姜霄</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1,781,030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1,781,030</w:t>
            </w:r>
          </w:p>
        </w:tc>
      </w:tr>
      <w:tr>
        <w:trPr>
          <w:trHeight w:val="1027"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4"/>
              <w:jc w:val="both"/>
              <w:rPr>
                <w:rFonts w:ascii="宋体" w:hAnsi="宋体" w:cs="宋体" w:eastAsia="宋体" w:hint="default"/>
                <w:sz w:val="18"/>
                <w:szCs w:val="18"/>
              </w:rPr>
            </w:pPr>
            <w:r>
              <w:rPr>
                <w:rFonts w:ascii="宋体" w:hAnsi="宋体" w:cs="宋体" w:eastAsia="宋体" w:hint="default"/>
                <w:sz w:val="18"/>
                <w:szCs w:val="18"/>
              </w:rPr>
              <w:t>交通银行股份有限公司－光大保德 信国企改革主题股票型证券投资基 金</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1,550,000</w:t>
            </w:r>
          </w:p>
        </w:tc>
      </w:tr>
      <w:tr>
        <w:trPr>
          <w:trHeight w:val="71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上海高毅资产管理合伙企业（有限合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伙）－高毅邻山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号远望基金</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w:t>
            </w:r>
          </w:p>
        </w:tc>
      </w:tr>
      <w:tr>
        <w:trPr>
          <w:trHeight w:val="1339"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3" w:right="18"/>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pacing w:val="-1"/>
                <w:sz w:val="18"/>
                <w:szCs w:val="18"/>
              </w:rPr>
              <w:t>庄浩和张和平为夫妻关系，庄澍和贺静颖为夫妻关系，西藏永悦诗超企业管理有限公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司控股股东庄振海与庄浩、庄澍为父女及父子关系，赣州发展融资租赁有限责任公司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为赣州金融控股集团有限责任公司控股子公司，未知其他股东之间是否存在关联关 系，也未知是否属于一致行动人。</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28"/>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pStyle w:val="BodyText"/>
        <w:spacing w:line="240" w:lineRule="auto" w:before="101"/>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302"/>
        <w:gridCol w:w="3850"/>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28"/>
        <w:jc w:val="left"/>
      </w:pPr>
      <w:r>
        <w:rPr/>
        <w:t>控股股东报告期内变更</w:t>
      </w:r>
    </w:p>
    <w:p>
      <w:pPr>
        <w:pStyle w:val="BodyText"/>
        <w:spacing w:line="340" w:lineRule="auto" w:before="114"/>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贺静颖</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28"/>
        <w:jc w:val="left"/>
      </w:pPr>
      <w:r>
        <w:rPr/>
        <w:t>实际控制人报告期内变更</w:t>
      </w:r>
    </w:p>
    <w:p>
      <w:pPr>
        <w:pStyle w:val="BodyText"/>
        <w:spacing w:line="348" w:lineRule="auto" w:before="115"/>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81" w:top="1060" w:bottom="1180" w:left="980" w:right="0"/>
        </w:sectPr>
      </w:pPr>
    </w:p>
    <w:p>
      <w:pPr>
        <w:spacing w:line="240" w:lineRule="auto" w:before="11"/>
        <w:rPr>
          <w:rFonts w:ascii="宋体" w:hAnsi="宋体" w:cs="宋体" w:eastAsia="宋体" w:hint="default"/>
          <w:sz w:val="28"/>
          <w:szCs w:val="28"/>
        </w:rPr>
      </w:pPr>
    </w:p>
    <w:p>
      <w:pPr>
        <w:spacing w:line="2796" w:lineRule="exact"/>
        <w:ind w:left="2077"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674363" cy="1775459"/>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1" cstate="print"/>
                    <a:stretch>
                      <a:fillRect/>
                    </a:stretch>
                  </pic:blipFill>
                  <pic:spPr>
                    <a:xfrm>
                      <a:off x="0" y="0"/>
                      <a:ext cx="3674363" cy="1775459"/>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12"/>
        <w:rPr>
          <w:rFonts w:ascii="宋体" w:hAnsi="宋体" w:cs="宋体" w:eastAsia="宋体" w:hint="default"/>
          <w:sz w:val="10"/>
          <w:szCs w:val="10"/>
        </w:rPr>
      </w:pPr>
    </w:p>
    <w:p>
      <w:pPr>
        <w:spacing w:before="26"/>
        <w:ind w:left="152" w:right="1128"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363" w:right="1128"/>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723" w:right="1128"/>
        <w:jc w:val="left"/>
        <w:rPr>
          <w:b w:val="0"/>
          <w:bCs w:val="0"/>
        </w:rPr>
      </w:pPr>
      <w:bookmarkStart w:name="_TOC_250005" w:id="8"/>
      <w:r>
        <w:rPr/>
        <w:t>第八节可转换公司债券相关情况</w:t>
      </w:r>
      <w:bookmarkEnd w:id="8"/>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758" w:right="1128"/>
        <w:jc w:val="left"/>
        <w:rPr>
          <w:b w:val="0"/>
          <w:bCs w:val="0"/>
        </w:rPr>
      </w:pPr>
      <w:bookmarkStart w:name="_TOC_250004" w:id="9"/>
      <w:r>
        <w:rPr/>
        <w:t>第九节董事、监事、高级管理人员和员工情况</w:t>
      </w:r>
      <w:bookmarkEnd w:id="9"/>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8"/>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3"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0" w:right="0"/>
              <w:jc w:val="left"/>
              <w:rPr>
                <w:rFonts w:ascii="宋体" w:hAnsi="宋体" w:cs="宋体" w:eastAsia="宋体" w:hint="default"/>
                <w:sz w:val="18"/>
                <w:szCs w:val="18"/>
              </w:rPr>
            </w:pPr>
            <w:r>
              <w:rPr>
                <w:rFonts w:ascii="宋体" w:hAnsi="宋体" w:cs="宋体" w:eastAsia="宋体" w:hint="default"/>
                <w:spacing w:val="-97"/>
                <w:sz w:val="18"/>
                <w:szCs w:val="18"/>
              </w:rPr>
              <w:t>）</w:t>
            </w:r>
            <w:r>
              <w:rPr>
                <w:rFonts w:ascii="宋体" w:hAnsi="宋体" w:cs="宋体" w:eastAsia="宋体" w:hint="default"/>
                <w:sz w:val="18"/>
                <w:szCs w:val="18"/>
              </w:rPr>
              <w:t>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67,901,06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16,554,95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51,346,10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5,206,250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3,905,250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26,031,25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22,531,25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郭光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高晶</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吴明贵</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白雪婷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何卓锴</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王海营</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1,246,400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1,246,400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周承东</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r>
      <w:tr>
        <w:trPr>
          <w:trHeight w:val="353"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王春晓</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01"/>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99,138,56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1,246,400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21,355,95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79,029,00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
        <w:rPr>
          <w:rFonts w:ascii="宋体" w:hAnsi="宋体" w:cs="宋体" w:eastAsia="宋体" w:hint="default"/>
          <w:b/>
          <w:bCs/>
          <w:sz w:val="18"/>
          <w:szCs w:val="18"/>
        </w:rPr>
      </w:pPr>
    </w:p>
    <w:p>
      <w:pPr>
        <w:pStyle w:val="Heading2"/>
        <w:spacing w:line="240" w:lineRule="auto" w:before="26"/>
        <w:ind w:right="1128"/>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周承东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王春晓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16" w:lineRule="auto" w:before="115"/>
        <w:ind w:left="512" w:right="1128" w:hanging="89"/>
        <w:jc w:val="left"/>
      </w:pPr>
      <w:r>
        <w:rPr>
          <w:rFonts w:ascii="宋体" w:hAnsi="宋体" w:cs="宋体" w:eastAsia="宋体" w:hint="default"/>
          <w:b/>
          <w:bCs/>
        </w:rPr>
        <w:t>（一）董事</w:t>
      </w:r>
      <w:r>
        <w:rPr>
          <w:rFonts w:ascii="宋体" w:hAnsi="宋体" w:cs="宋体" w:eastAsia="宋体" w:hint="default"/>
          <w:b/>
          <w:bCs/>
          <w:w w:val="99"/>
        </w:rPr>
        <w:t> </w:t>
      </w:r>
      <w:r>
        <w:rPr>
          <w:spacing w:val="-2"/>
        </w:rPr>
        <w:t>庄浩，女，汉族，</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6</w:t>
      </w:r>
      <w:r>
        <w:rPr>
          <w:spacing w:val="-2"/>
        </w:rPr>
        <w:t>月出生，中国国籍，无永久境外居留权，</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6</w:t>
      </w:r>
      <w:r>
        <w:rPr>
          <w:spacing w:val="-2"/>
        </w:rPr>
        <w:t>月毕业于北京印刷学院，本科学历。现任厦</w:t>
      </w:r>
    </w:p>
    <w:p>
      <w:pPr>
        <w:pStyle w:val="BodyText"/>
        <w:spacing w:line="316" w:lineRule="auto"/>
        <w:ind w:right="1129"/>
        <w:jc w:val="both"/>
      </w:pPr>
      <w:r>
        <w:rPr>
          <w:spacing w:val="-2"/>
        </w:rPr>
        <w:t>门吉宏科技股份有限公司董事长、香港吉宏科技有限公司董事、厦门市正奇信息技术有限公司执行董事兼总经理、孝感市吉</w:t>
      </w:r>
      <w:r>
        <w:rPr>
          <w:spacing w:val="-63"/>
        </w:rPr>
        <w:t> </w:t>
      </w:r>
      <w:r>
        <w:rPr>
          <w:spacing w:val="-63"/>
        </w:rPr>
      </w:r>
      <w:r>
        <w:rPr>
          <w:spacing w:val="-2"/>
        </w:rPr>
        <w:t>宏包装有限公司执行董事兼总经理、厦门鑫泷悦环保纸袋有限公司执行董事兼总经理、厦门市吉客印电子商务有限公司执行</w:t>
      </w:r>
      <w:r>
        <w:rPr>
          <w:spacing w:val="-64"/>
        </w:rPr>
        <w:t> </w:t>
      </w:r>
      <w:r>
        <w:rPr>
          <w:spacing w:val="-64"/>
        </w:rPr>
      </w:r>
      <w:r>
        <w:rPr>
          <w:spacing w:val="-2"/>
        </w:rPr>
        <w:t>董事兼总经理、思塔克纸业（上海）有限公司执行董事兼总经理、江西吉宏供应链管理有限公司执行董事兼总经理、江西维</w:t>
      </w:r>
      <w:r>
        <w:rPr>
          <w:spacing w:val="-67"/>
        </w:rPr>
        <w:t> </w:t>
      </w:r>
      <w:r>
        <w:rPr>
          <w:spacing w:val="-67"/>
        </w:rPr>
      </w:r>
      <w:r>
        <w:rPr/>
        <w:t>致供应链管理有限公司董事长。</w:t>
      </w:r>
    </w:p>
    <w:p>
      <w:pPr>
        <w:pStyle w:val="BodyText"/>
        <w:spacing w:line="314" w:lineRule="auto" w:before="19"/>
        <w:ind w:right="1129" w:firstLine="360"/>
        <w:jc w:val="both"/>
      </w:pPr>
      <w:r>
        <w:rPr/>
        <w:t>张和平，男，汉族，</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月出生，中国国籍，无永久境外居留权，</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6</w:t>
      </w:r>
      <w:r>
        <w:rPr/>
        <w:t>月毕业于北京印刷学院，本科学历。现 </w:t>
      </w:r>
      <w:r>
        <w:rPr>
          <w:spacing w:val="-2"/>
        </w:rPr>
        <w:t>任厦门吉宏科技股份有限公司董事兼总经理、廊坊分公司总经理、黄冈分公司总经理、呼和浩特市吉宏印刷包装有限公司执</w:t>
      </w:r>
      <w:r>
        <w:rPr>
          <w:spacing w:val="-66"/>
        </w:rPr>
        <w:t> </w:t>
      </w:r>
      <w:r>
        <w:rPr>
          <w:spacing w:val="-66"/>
        </w:rPr>
      </w:r>
      <w:r>
        <w:rPr>
          <w:spacing w:val="-2"/>
        </w:rPr>
        <w:t>行董事兼总经理、廊坊市吉宏包装有限公司执行董事、滦州吉宏包装有限公司董事长兼总经理、宁夏吉宏环保包装科技有限</w:t>
      </w:r>
      <w:r>
        <w:rPr>
          <w:spacing w:val="-63"/>
        </w:rPr>
        <w:t> </w:t>
      </w:r>
      <w:r>
        <w:rPr>
          <w:spacing w:val="-63"/>
        </w:rPr>
      </w:r>
      <w:r>
        <w:rPr>
          <w:spacing w:val="-2"/>
        </w:rPr>
        <w:t>公司执行董事兼总经理、济南吉联包装有限公司执行董事兼总经理、黄冈市吉宏包装有限公司执行董事、陕西永鑫纸业包装</w:t>
      </w:r>
      <w:r>
        <w:rPr>
          <w:spacing w:val="-63"/>
        </w:rPr>
        <w:t> </w:t>
      </w:r>
      <w:r>
        <w:rPr>
          <w:spacing w:val="-63"/>
        </w:rPr>
      </w:r>
      <w:r>
        <w:rPr/>
        <w:t>有限公司董事、孝感市吉联食品包装有限公司执行董事兼总经理。</w:t>
      </w:r>
    </w:p>
    <w:p>
      <w:pPr>
        <w:pStyle w:val="BodyText"/>
        <w:spacing w:line="300" w:lineRule="auto" w:before="20"/>
        <w:ind w:right="1129" w:firstLine="360"/>
        <w:jc w:val="both"/>
      </w:pPr>
      <w:r>
        <w:rPr/>
        <w:t>庄澍，男，回族，</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月出生，中国国籍，无永久境外居留权，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月毕业于西南交通大学，</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月取得厦 </w:t>
      </w:r>
      <w:r>
        <w:rPr>
          <w:spacing w:val="-2"/>
        </w:rPr>
        <w:t>门大学工商管理硕士学位。现任厦门吉宏科技股份有限公司董事、副总经理、廊坊分公司副总经理、呼和浩特市吉宏印刷包</w:t>
      </w:r>
    </w:p>
    <w:p>
      <w:pPr>
        <w:spacing w:after="0" w:line="300"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512" w:right="1123" w:hanging="361"/>
        <w:jc w:val="left"/>
      </w:pPr>
      <w:r>
        <w:rPr/>
        <w:t>装有限公司监事、滦州吉宏包装有限公司董事、宁夏吉宏环保包装科技有限公司监事。 廖生兴，男，汉族，</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w:t>
      </w:r>
      <w:r>
        <w:rPr/>
        <w:t>月出生，中国国籍，无境外永久居留权，江西理工大学工商管理专业，硕士研究生学历。</w:t>
      </w:r>
    </w:p>
    <w:p>
      <w:pPr>
        <w:pStyle w:val="BodyText"/>
        <w:spacing w:line="316" w:lineRule="auto"/>
        <w:ind w:right="1129"/>
        <w:jc w:val="both"/>
      </w:pPr>
      <w:r>
        <w:rPr>
          <w:spacing w:val="-2"/>
        </w:rPr>
        <w:t>曾任职于江西省石城县人大常委会、赣州市国有资产经营有限公司，现为赣州发展投资控股集团有限责任公司党委委员、副</w:t>
      </w:r>
      <w:r>
        <w:rPr>
          <w:spacing w:val="-63"/>
        </w:rPr>
        <w:t> </w:t>
      </w:r>
      <w:r>
        <w:rPr>
          <w:spacing w:val="-63"/>
        </w:rPr>
      </w:r>
      <w:r>
        <w:rPr/>
        <w:t>总经理。</w:t>
      </w:r>
    </w:p>
    <w:p>
      <w:pPr>
        <w:pStyle w:val="BodyText"/>
        <w:spacing w:line="309" w:lineRule="auto" w:before="18"/>
        <w:ind w:right="1129" w:firstLine="360"/>
        <w:jc w:val="both"/>
      </w:pPr>
      <w:r>
        <w:rPr/>
        <w:t>郭光，男，汉族，</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月出生，中国国籍，无永久境外居留权，</w:t>
      </w:r>
      <w:r>
        <w:rPr>
          <w:rFonts w:ascii="Times New Roman" w:hAnsi="Times New Roman" w:cs="Times New Roman" w:eastAsia="Times New Roman" w:hint="default"/>
        </w:rPr>
        <w:t>1997</w:t>
      </w:r>
      <w:r>
        <w:rPr/>
        <w:t>年毕业于德国科隆大学，法学专业，博士研究 </w:t>
      </w:r>
      <w:r>
        <w:rPr>
          <w:spacing w:val="-2"/>
        </w:rPr>
        <w:t>生学历。现为北京光汉律师事务所合伙人、公司独立董事，兼任中国金谷国际信托有限责任公司、河南百川畅银环保能源股</w:t>
      </w:r>
      <w:r>
        <w:rPr>
          <w:spacing w:val="-65"/>
        </w:rPr>
        <w:t> </w:t>
      </w:r>
      <w:r>
        <w:rPr>
          <w:spacing w:val="-65"/>
        </w:rPr>
      </w:r>
      <w:r>
        <w:rPr/>
        <w:t>份有限公司独立董事、霍尔果斯摩尼影业有限公司监事。</w:t>
      </w:r>
    </w:p>
    <w:p>
      <w:pPr>
        <w:pStyle w:val="BodyText"/>
        <w:spacing w:line="309" w:lineRule="auto" w:before="24"/>
        <w:ind w:right="1132" w:firstLine="360"/>
        <w:jc w:val="both"/>
      </w:pPr>
      <w:r>
        <w:rPr/>
        <w:t>高晶，男，汉族，</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1</w:t>
      </w:r>
      <w:r>
        <w:rPr/>
        <w:t>月出生，中国国籍，无永久境外居留权，高级工程师。曾任职于中国印刷科学技术研究所、 </w:t>
      </w:r>
      <w:r>
        <w:rPr>
          <w:spacing w:val="-2"/>
        </w:rPr>
        <w:t>北京印刷学院、北京百花彩印有限公司、北京豹驰技术发展有限公司、中国民航报社、必胜网、今日印刷杂志社，现任公司</w:t>
      </w:r>
      <w:r>
        <w:rPr>
          <w:spacing w:val="-68"/>
        </w:rPr>
        <w:t> </w:t>
      </w:r>
      <w:r>
        <w:rPr>
          <w:spacing w:val="-68"/>
        </w:rPr>
      </w:r>
      <w:r>
        <w:rPr/>
        <w:t>独立董事。</w:t>
      </w:r>
    </w:p>
    <w:p>
      <w:pPr>
        <w:pStyle w:val="BodyText"/>
        <w:spacing w:line="312" w:lineRule="auto" w:before="24"/>
        <w:ind w:right="1129" w:firstLine="360"/>
        <w:jc w:val="both"/>
      </w:pPr>
      <w:r>
        <w:rPr>
          <w:spacing w:val="-2"/>
        </w:rPr>
        <w:t>黄炳艺，男，汉族，</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7</w:t>
      </w:r>
      <w:r>
        <w:rPr>
          <w:spacing w:val="-2"/>
        </w:rPr>
        <w:t>月出生，中国国籍，无境外永久居留权，</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6</w:t>
      </w:r>
      <w:r>
        <w:rPr>
          <w:spacing w:val="-2"/>
        </w:rPr>
        <w:t>月毕业于厦门大学，统计学专业，博士研</w:t>
      </w:r>
      <w:r>
        <w:rPr/>
        <w:t> </w:t>
      </w:r>
      <w:r>
        <w:rPr>
          <w:spacing w:val="-2"/>
        </w:rPr>
        <w:t>究生学历，北京大学工商管理（会计学）博士后，美国罗格斯大学访问学者。现任厦门大学管理学院会计系副教授、厦门大</w:t>
      </w:r>
      <w:r>
        <w:rPr>
          <w:spacing w:val="-71"/>
        </w:rPr>
        <w:t> </w:t>
      </w:r>
      <w:r>
        <w:rPr>
          <w:spacing w:val="-71"/>
        </w:rPr>
      </w:r>
      <w:r>
        <w:rPr>
          <w:spacing w:val="-5"/>
        </w:rPr>
        <w:t>学管理学院专业硕士中心副主任、公司独立董事，兼任合诚工程咨询集团股份有限公司、长威信息科技发展股份有限公司（非</w:t>
      </w:r>
      <w:r>
        <w:rPr>
          <w:spacing w:val="-78"/>
        </w:rPr>
        <w:t> </w:t>
      </w:r>
      <w:r>
        <w:rPr>
          <w:spacing w:val="-78"/>
        </w:rPr>
      </w:r>
      <w:r>
        <w:rPr/>
        <w:t>上市公司）和鹭燕医药股份有限公司独立董事。</w:t>
      </w:r>
    </w:p>
    <w:p>
      <w:pPr>
        <w:pStyle w:val="BodyText"/>
        <w:spacing w:line="316" w:lineRule="auto" w:before="22"/>
        <w:ind w:left="512" w:right="1123"/>
        <w:jc w:val="left"/>
      </w:pPr>
      <w:r>
        <w:rPr>
          <w:rFonts w:ascii="宋体" w:hAnsi="宋体" w:cs="宋体" w:eastAsia="宋体" w:hint="default"/>
          <w:b/>
          <w:bCs/>
        </w:rPr>
        <w:t>（二）监事</w:t>
      </w:r>
      <w:r>
        <w:rPr>
          <w:rFonts w:ascii="宋体" w:hAnsi="宋体" w:cs="宋体" w:eastAsia="宋体" w:hint="default"/>
          <w:b/>
          <w:bCs/>
          <w:w w:val="99"/>
        </w:rPr>
        <w:t> </w:t>
      </w:r>
      <w:r>
        <w:rPr/>
        <w:t>白雪婷，女，汉族，</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8</w:t>
      </w:r>
      <w:r>
        <w:rPr/>
        <w:t>月出生，中国国籍，无永久境外居留权，毕业于泉州农业工程学校，</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月起在公司</w:t>
      </w:r>
    </w:p>
    <w:p>
      <w:pPr>
        <w:pStyle w:val="BodyText"/>
        <w:spacing w:line="319" w:lineRule="auto"/>
        <w:ind w:left="512" w:right="1123" w:hanging="361"/>
        <w:jc w:val="left"/>
      </w:pPr>
      <w:r>
        <w:rPr/>
        <w:t>业务部任主管职务，现为公司职工代表监事、监事会主席。 何卓锴，男，汉族，</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10</w:t>
      </w:r>
      <w:r>
        <w:rPr/>
        <w:t>月出生，中国国籍，无永久境外居留权，毕业于四川师范学院中文系，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月起任廊</w:t>
      </w:r>
    </w:p>
    <w:p>
      <w:pPr>
        <w:pStyle w:val="BodyText"/>
        <w:spacing w:line="316" w:lineRule="auto"/>
        <w:ind w:left="512" w:right="1123" w:hanging="361"/>
        <w:jc w:val="left"/>
      </w:pPr>
      <w:r>
        <w:rPr/>
        <w:t>坊分公司采购部主管、廊坊市吉宏包装有限公司监事、滦县吉宏包装有限公司监事。 王海营，男，汉族，</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2</w:t>
      </w:r>
      <w:r>
        <w:rPr/>
        <w:t>月出生，中国国籍，无永久境外居留权，毕业于北京航空航天大学，曾任职于北京易查无</w:t>
      </w:r>
    </w:p>
    <w:p>
      <w:pPr>
        <w:pStyle w:val="BodyText"/>
        <w:spacing w:line="316" w:lineRule="auto"/>
        <w:ind w:right="1132"/>
        <w:jc w:val="both"/>
      </w:pPr>
      <w:r>
        <w:rPr>
          <w:spacing w:val="-2"/>
        </w:rPr>
        <w:t>限信息技术有限公司、掌游天下（北京）信息技术股份有限公司、北京赛菲克斯科技有限公司，现为北京金域互动科技有限</w:t>
      </w:r>
      <w:r>
        <w:rPr>
          <w:spacing w:val="-67"/>
        </w:rPr>
        <w:t> </w:t>
      </w:r>
      <w:r>
        <w:rPr>
          <w:spacing w:val="-67"/>
        </w:rPr>
      </w:r>
      <w:r>
        <w:rPr>
          <w:spacing w:val="-2"/>
        </w:rPr>
        <w:t>公司执行董事兼总经理、重庆市阿欧艾网络科技有限公司执行董事兼总经理、霍尔果斯维斯塔科技有限公司执行董事兼总经</w:t>
      </w:r>
      <w:r>
        <w:rPr>
          <w:spacing w:val="-64"/>
        </w:rPr>
        <w:t> </w:t>
      </w:r>
      <w:r>
        <w:rPr>
          <w:spacing w:val="-64"/>
        </w:rPr>
      </w:r>
      <w:r>
        <w:rPr/>
        <w:t>理。</w:t>
      </w:r>
    </w:p>
    <w:p>
      <w:pPr>
        <w:pStyle w:val="BodyText"/>
        <w:spacing w:line="316" w:lineRule="auto" w:before="19"/>
        <w:ind w:left="512" w:right="6253"/>
        <w:jc w:val="left"/>
      </w:pPr>
      <w:r>
        <w:rPr>
          <w:rFonts w:ascii="宋体" w:hAnsi="宋体" w:cs="宋体" w:eastAsia="宋体" w:hint="default"/>
          <w:b/>
          <w:bCs/>
        </w:rPr>
        <w:t>（三）高级管理人员</w:t>
      </w:r>
      <w:r>
        <w:rPr>
          <w:rFonts w:ascii="宋体" w:hAnsi="宋体" w:cs="宋体" w:eastAsia="宋体" w:hint="default"/>
          <w:b/>
          <w:bCs/>
          <w:w w:val="99"/>
        </w:rPr>
        <w:t> </w:t>
      </w:r>
      <w:r>
        <w:rPr/>
        <w:t>张和平，现任公司总经理，详见董事主要工作经历。 庄澍，现任公司副总经理，详见董事主要工作经历。</w:t>
      </w:r>
    </w:p>
    <w:p>
      <w:pPr>
        <w:pStyle w:val="BodyText"/>
        <w:spacing w:line="312" w:lineRule="auto" w:before="19"/>
        <w:ind w:right="1129" w:firstLine="360"/>
        <w:jc w:val="both"/>
      </w:pPr>
      <w:r>
        <w:rPr/>
        <w:t>龚红鹰，女，汉族，</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11</w:t>
      </w:r>
      <w:r>
        <w:rPr/>
        <w:t>月出生，中国国籍，无永久境外居留权，</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7</w:t>
      </w:r>
      <w:r>
        <w:rPr/>
        <w:t>月毕业于郑州航空工业管理学院，现任 </w:t>
      </w:r>
      <w:r>
        <w:rPr>
          <w:spacing w:val="-2"/>
        </w:rPr>
        <w:t>公司副总经理、董事会秘书，西安吉客印电子商务有限公司、郑州吉客印电子商务有限公司执行董事兼总经理、西安金印客</w:t>
      </w:r>
      <w:r>
        <w:rPr>
          <w:spacing w:val="-64"/>
        </w:rPr>
        <w:t> </w:t>
      </w:r>
      <w:r>
        <w:rPr>
          <w:spacing w:val="-64"/>
        </w:rPr>
      </w:r>
      <w:r>
        <w:rPr>
          <w:spacing w:val="-2"/>
        </w:rPr>
        <w:t>电子商务有限公司执行董事兼总经理、济南吉联包装有限公司监事、江西吉宏供应链管理有限公司执行董事、山西火致供应</w:t>
      </w:r>
      <w:r>
        <w:rPr>
          <w:spacing w:val="-63"/>
        </w:rPr>
        <w:t> </w:t>
      </w:r>
      <w:r>
        <w:rPr>
          <w:spacing w:val="-63"/>
        </w:rPr>
      </w:r>
      <w:r>
        <w:rPr/>
        <w:t>链管理有限公司董事长。</w:t>
      </w:r>
    </w:p>
    <w:p>
      <w:pPr>
        <w:pStyle w:val="BodyText"/>
        <w:spacing w:line="240" w:lineRule="auto" w:before="63"/>
        <w:ind w:left="728" w:right="0"/>
        <w:jc w:val="left"/>
      </w:pPr>
      <w:r>
        <w:rPr>
          <w:spacing w:val="-3"/>
        </w:rPr>
        <w:t>吴明贵，男，汉族，</w:t>
      </w:r>
      <w:r>
        <w:rPr>
          <w:rFonts w:ascii="Times New Roman" w:hAnsi="Times New Roman" w:cs="Times New Roman" w:eastAsia="Times New Roman" w:hint="default"/>
          <w:spacing w:val="-3"/>
        </w:rPr>
        <w:t>1972</w:t>
      </w:r>
      <w:r>
        <w:rPr>
          <w:spacing w:val="-3"/>
        </w:rPr>
        <w:t>年</w:t>
      </w:r>
      <w:r>
        <w:rPr>
          <w:rFonts w:ascii="Times New Roman" w:hAnsi="Times New Roman" w:cs="Times New Roman" w:eastAsia="Times New Roman" w:hint="default"/>
          <w:spacing w:val="-3"/>
        </w:rPr>
        <w:t>10</w:t>
      </w:r>
      <w:r>
        <w:rPr>
          <w:spacing w:val="-3"/>
        </w:rPr>
        <w:t>月出生，中国国籍，无永久境外居留权，</w:t>
      </w:r>
      <w:r>
        <w:rPr>
          <w:rFonts w:ascii="Times New Roman" w:hAnsi="Times New Roman" w:cs="Times New Roman" w:eastAsia="Times New Roman" w:hint="default"/>
          <w:spacing w:val="-3"/>
        </w:rPr>
        <w:t>1994</w:t>
      </w:r>
      <w:r>
        <w:rPr>
          <w:spacing w:val="-3"/>
        </w:rPr>
        <w:t>年</w:t>
      </w:r>
      <w:r>
        <w:rPr>
          <w:rFonts w:ascii="Times New Roman" w:hAnsi="Times New Roman" w:cs="Times New Roman" w:eastAsia="Times New Roman" w:hint="default"/>
          <w:spacing w:val="-3"/>
        </w:rPr>
        <w:t>7</w:t>
      </w:r>
      <w:r>
        <w:rPr>
          <w:spacing w:val="-3"/>
        </w:rPr>
        <w:t>月毕业于三明工业学校工业会计专业，</w:t>
      </w:r>
    </w:p>
    <w:p>
      <w:pPr>
        <w:pStyle w:val="BodyText"/>
        <w:spacing w:line="338" w:lineRule="auto" w:before="62"/>
        <w:ind w:right="5012"/>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月厦门大学会计学专业毕业，中级会计师，</w:t>
      </w:r>
      <w:r>
        <w:rPr>
          <w:spacing w:val="-19"/>
        </w:rPr>
        <w:t> </w:t>
      </w:r>
      <w:r>
        <w:rPr/>
        <w:t>现为公司财务总监。</w:t>
      </w:r>
      <w:r>
        <w:rPr/>
        <w:t> 在股东单位任职情况</w:t>
      </w:r>
    </w:p>
    <w:p>
      <w:pPr>
        <w:pStyle w:val="BodyText"/>
        <w:spacing w:line="340"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厦门市正奇信息技术有限公司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孝感市吉宏包装有限公司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2"/>
          <w:pgSz w:w="11910" w:h="16840"/>
          <w:pgMar w:footer="981" w:header="745" w:top="1060" w:bottom="1180" w:left="980" w:right="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厦门鑫泷悦环保纸袋有限公司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厦门市吉客印电子商务有限公司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思塔克纸业（上海）有限公司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香港吉宏科技有限公司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江西吉宏供应链管理有限公司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江西维致供应链管理有限公司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呼和浩特市吉宏印刷包装有限公司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廊坊市吉宏包装有限公司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宁夏吉宏环保包装科技有限公司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黄冈市吉宏包装有限公司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孝感市吉联食品包装有限公司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呼和浩特市吉宏印刷包装有限公司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宁夏吉宏环保包装科技有限公司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赣州发展投资控股集团有限责任公司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赣州发展资产经营管理有限责任公司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赣州金融控股集团有限责任公司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赣州基本建设投资实业有限公司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赣州广微发展实业有限公司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江西龙潭水电实业有限公司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西安吉客印电子商务有限公司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郑州吉客印电子商务有限公司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西安金印客电子商务有限公司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济南吉联包装有限公司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江西吉宏供应链管理有限公司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山西火致供应链管理有限公司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北京光汉律师事务所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中国金谷国际信托有限责任公司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河南百川畅银环保能源股份有限公司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霍尔果斯摩尼影业有限公司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厦门大学管理学院会计系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厦门大学管理学院专业硕士中心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鹭燕医药股份有限公司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合诚工程咨询集团股份有限公司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长威信息科技发展股份有限公司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何卓锴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廊坊市吉宏包装有限公司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何卓锴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王海营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北京金域互动科技有限公司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王海营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重庆市阿欧艾网络科技有限公司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王海营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霍尔果斯维斯塔科技有限公司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28"/>
        <w:jc w:val="left"/>
      </w:pPr>
      <w:r>
        <w:rPr/>
        <w:t>公司现任及报告期内离任董事、监事和高级管理人员近三年证券监管机构处罚的情况</w:t>
      </w:r>
    </w:p>
    <w:p>
      <w:pPr>
        <w:pStyle w:val="BodyText"/>
        <w:spacing w:line="240" w:lineRule="auto" w:before="115"/>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440" w:right="1128" w:hanging="288"/>
        <w:jc w:val="left"/>
      </w:pPr>
      <w:r>
        <w:rPr/>
        <w:t>董事、监事、高级管理人员报酬的决策程序、确定依据、实际支付情况 </w:t>
      </w:r>
      <w:r>
        <w:rPr>
          <w:spacing w:val="-1"/>
        </w:rPr>
        <w:t>公司董事、监事、高级管理人员报酬（包括基本工资、奖金、津贴、各项保险费等）均依据公司岗位职责、绩效考核及</w:t>
      </w:r>
    </w:p>
    <w:p>
      <w:pPr>
        <w:pStyle w:val="BodyText"/>
        <w:spacing w:line="224" w:lineRule="exact"/>
        <w:ind w:right="1128"/>
        <w:jc w:val="left"/>
      </w:pPr>
      <w:r>
        <w:rPr/>
        <w:t>行业相关岗位的薪酬水平确定，并严格遵守公司法和公司章程的规定进行决策、发放。</w:t>
      </w:r>
    </w:p>
    <w:p>
      <w:pPr>
        <w:pStyle w:val="BodyText"/>
        <w:spacing w:line="240" w:lineRule="auto" w:before="117"/>
        <w:ind w:right="1128"/>
        <w:jc w:val="left"/>
      </w:pPr>
      <w:r>
        <w:rPr/>
        <w:t>公司报告期内董事、监事和高级管理人员报酬情况</w:t>
      </w:r>
    </w:p>
    <w:p>
      <w:pPr>
        <w:pStyle w:val="BodyText"/>
        <w:spacing w:line="240" w:lineRule="auto" w:before="117"/>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廖生兴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龚红鹰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9"/>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吴明贵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白雪婷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何卓锴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王海营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周承东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王春晓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298.62</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公司董事、高级管理人员报告期内被授予的股权激励情况</w:t>
      </w:r>
    </w:p>
    <w:p>
      <w:pPr>
        <w:pStyle w:val="BodyText"/>
        <w:spacing w:line="240" w:lineRule="auto" w:before="117"/>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5"/>
          <w:szCs w:val="25"/>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62;top:14;width:24;height:392" coordorigin="4762,14" coordsize="24,392">
              <v:shape style="position:absolute;left:4762;top:14;width:24;height:392" coordorigin="4762,14" coordsize="24,392" path="m4762,406l4786,406,4786,14,4762,14,4762,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2;height:401"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xbxContent>
                </v:textbox>
                <w10:wrap type="none"/>
              </v:shape>
              <v:shape style="position:absolute;left:9274;top:129;width:27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457</w:t>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2,411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2,868</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2,868</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1,578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2,868</w:t>
            </w:r>
          </w:p>
        </w:tc>
      </w:tr>
    </w:tbl>
    <w:p>
      <w:pPr>
        <w:spacing w:line="240" w:lineRule="auto" w:before="3"/>
        <w:rPr>
          <w:rFonts w:ascii="宋体" w:hAnsi="宋体" w:cs="宋体" w:eastAsia="宋体" w:hint="default"/>
          <w:b/>
          <w:bCs/>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288"/>
        <w:jc w:val="both"/>
      </w:pPr>
      <w:r>
        <w:rPr>
          <w:spacing w:val="-1"/>
        </w:rPr>
        <w:t>报告期内，公司严格执行劳动合同法等法律法规，与公司员工签订劳动合同，根据岗位、技能等情形合理确定基本工资</w:t>
      </w:r>
      <w:r>
        <w:rPr/>
        <w:t> </w:t>
      </w:r>
      <w:r>
        <w:rPr>
          <w:spacing w:val="-2"/>
        </w:rPr>
        <w:t>待遇，实施绩效考核机制，在兼顾公平的基础上，注重考核和激励，同时建立相应的社会保险管理等体系，为员工缴纳相应</w:t>
      </w:r>
      <w:r>
        <w:rPr>
          <w:spacing w:val="-67"/>
        </w:rPr>
        <w:t> </w:t>
      </w:r>
      <w:r>
        <w:rPr>
          <w:spacing w:val="-67"/>
        </w:rPr>
      </w:r>
      <w:r>
        <w:rPr/>
        <w:t>的社会保险和住房公积金。</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288"/>
        <w:jc w:val="both"/>
      </w:pPr>
      <w:r>
        <w:rPr>
          <w:spacing w:val="-1"/>
        </w:rPr>
        <w:t>公司根据生产经营和发展需要、结合岗位需求制定不同形式的培训计划，如管理能力培训、岗位操作技能培训等，用以</w:t>
      </w:r>
      <w:r>
        <w:rPr/>
        <w:t> 提高公司员工的专业技能和职业素养。</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763"/>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288"/>
        <w:jc w:val="left"/>
      </w:pPr>
      <w:r>
        <w:rPr/>
        <w:t>报告期内，公司严格按照《公司法》《证券法》《上市公司治理准则》《深圳证券交易所股票上市规则》《深圳证券交 </w:t>
      </w:r>
      <w:r>
        <w:rPr>
          <w:spacing w:val="-4"/>
        </w:rPr>
        <w:t>易所中小企业板上市公司规范运作指引》等法律法规的规定、部门规章制度及规范性文件的要求，不断地完善公司治理结构，</w:t>
      </w:r>
      <w:r>
        <w:rPr>
          <w:spacing w:val="-44"/>
        </w:rPr>
        <w:t> </w:t>
      </w:r>
      <w:r>
        <w:rPr>
          <w:spacing w:val="-44"/>
        </w:rPr>
      </w:r>
      <w:r>
        <w:rPr>
          <w:spacing w:val="-2"/>
        </w:rPr>
        <w:t>建立健全内部管理和控制制度，加强信息披露事务管理，规范运作，进一步提升公司治理水平。报告期内，公司治理的实际</w:t>
      </w:r>
      <w:r>
        <w:rPr>
          <w:spacing w:val="-67"/>
        </w:rPr>
        <w:t> </w:t>
      </w:r>
      <w:r>
        <w:rPr>
          <w:spacing w:val="-67"/>
        </w:rPr>
      </w:r>
      <w:r>
        <w:rPr/>
        <w:t>状况符合法律法规及中国证监会、深圳证券交易所发布的有关上市公司治理的规范性文件要求。</w:t>
      </w:r>
    </w:p>
    <w:p>
      <w:pPr>
        <w:pStyle w:val="BodyText"/>
        <w:spacing w:line="240" w:lineRule="auto" w:before="59"/>
        <w:ind w:right="0"/>
        <w:jc w:val="both"/>
      </w:pPr>
      <w:r>
        <w:rPr/>
        <w:t>公司治理的实际状况与中国证监会发布的有关上市公司治理的规范性文件是否存在重大差异</w:t>
      </w:r>
    </w:p>
    <w:p>
      <w:pPr>
        <w:pStyle w:val="BodyText"/>
        <w:spacing w:line="340" w:lineRule="auto" w:before="115"/>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271"/>
        <w:jc w:val="both"/>
      </w:pPr>
      <w:r>
        <w:rPr/>
        <w:t>公司严格按照《公司法》《证券法》《公司章程》等相关规定规范运作，建立完善的法人治理结构，建立健全各项规章 </w:t>
      </w:r>
      <w:r>
        <w:rPr>
          <w:spacing w:val="-2"/>
        </w:rPr>
        <w:t>管理制度，在业务、人员、资产、机构、财务等方面与控股股东、实际控制人之间完全分开，具有独立面向市场、自主经营</w:t>
      </w:r>
      <w:r>
        <w:rPr>
          <w:spacing w:val="-66"/>
        </w:rPr>
        <w:t> </w:t>
      </w:r>
      <w:r>
        <w:rPr>
          <w:spacing w:val="-66"/>
        </w:rPr>
      </w:r>
      <w:r>
        <w:rPr/>
        <w:t>的完整的主营业务体系。</w:t>
      </w:r>
    </w:p>
    <w:p>
      <w:pPr>
        <w:pStyle w:val="BodyText"/>
        <w:spacing w:line="300" w:lineRule="auto" w:before="18"/>
        <w:ind w:left="424" w:right="1121"/>
        <w:jc w:val="left"/>
      </w:pPr>
      <w:r>
        <w:rPr>
          <w:rFonts w:ascii="Times New Roman" w:hAnsi="Times New Roman" w:cs="Times New Roman" w:eastAsia="Times New Roman" w:hint="default"/>
        </w:rPr>
        <w:t>1</w:t>
      </w:r>
      <w:r>
        <w:rPr/>
        <w:t>、业务独立 公司拥有独立完整的研发设计、采购、生产、销售和服务等主营业务体系，具有独立自主进行经营活动的能力，公司及</w:t>
      </w:r>
    </w:p>
    <w:p>
      <w:pPr>
        <w:pStyle w:val="BodyText"/>
        <w:spacing w:line="316" w:lineRule="auto" w:before="31"/>
        <w:ind w:right="1132"/>
        <w:jc w:val="both"/>
      </w:pPr>
      <w:r>
        <w:rPr>
          <w:spacing w:val="-2"/>
        </w:rPr>
        <w:t>分子公司职能部门按照分工协作和职权划分建立起来的一套完整体系，能够独立支配和使用人财物等，顺利组织和实施生产</w:t>
      </w:r>
      <w:r>
        <w:rPr>
          <w:spacing w:val="-64"/>
        </w:rPr>
        <w:t> </w:t>
      </w:r>
      <w:r>
        <w:rPr>
          <w:spacing w:val="-64"/>
        </w:rPr>
      </w:r>
      <w:r>
        <w:rPr/>
        <w:t>经营活动，不存在依赖控股股东、实际控制人的情况。</w:t>
      </w:r>
    </w:p>
    <w:p>
      <w:pPr>
        <w:pStyle w:val="BodyText"/>
        <w:spacing w:line="300" w:lineRule="auto" w:before="18"/>
        <w:ind w:left="424" w:right="1121"/>
        <w:jc w:val="left"/>
      </w:pPr>
      <w:r>
        <w:rPr>
          <w:rFonts w:ascii="Times New Roman" w:hAnsi="Times New Roman" w:cs="Times New Roman" w:eastAsia="Times New Roman" w:hint="default"/>
        </w:rPr>
        <w:t>2</w:t>
      </w:r>
      <w:r>
        <w:rPr/>
        <w:t>、人员独立 公司建立了独立的劳动、人事和工资管理体系，公司董事、监事及高级管理人员的任免均严格按照公司法及公司章程的</w:t>
      </w:r>
    </w:p>
    <w:p>
      <w:pPr>
        <w:pStyle w:val="BodyText"/>
        <w:spacing w:line="316" w:lineRule="auto" w:before="31"/>
        <w:ind w:right="1129"/>
        <w:jc w:val="both"/>
      </w:pPr>
      <w:r>
        <w:rPr>
          <w:spacing w:val="-2"/>
        </w:rPr>
        <w:t>决策程序进行，不存在控股股东或实际控制人干预公司董事会、股东大会已经做出的人事任免决定的情况，亦不存在控股股</w:t>
      </w:r>
      <w:r>
        <w:rPr>
          <w:spacing w:val="-63"/>
        </w:rPr>
        <w:t> </w:t>
      </w:r>
      <w:r>
        <w:rPr>
          <w:spacing w:val="-63"/>
        </w:rPr>
      </w:r>
      <w:r>
        <w:rPr>
          <w:spacing w:val="-2"/>
        </w:rPr>
        <w:t>东或实际控制人代替董事会、股东大会直接审批或决策重大事项的行为。公司总经理、副总经理、财务总监和董事会秘书等</w:t>
      </w:r>
      <w:r>
        <w:rPr>
          <w:spacing w:val="-65"/>
        </w:rPr>
        <w:t> </w:t>
      </w:r>
      <w:r>
        <w:rPr>
          <w:spacing w:val="-65"/>
        </w:rPr>
      </w:r>
      <w:r>
        <w:rPr>
          <w:spacing w:val="-2"/>
        </w:rPr>
        <w:t>均未在控股股东、实际控制人及其控制的其他企业中担任除董事、监事以外的其他职务，未在控股股东、实际控制人及其控</w:t>
      </w:r>
      <w:r>
        <w:rPr>
          <w:spacing w:val="-65"/>
        </w:rPr>
        <w:t> </w:t>
      </w:r>
      <w:r>
        <w:rPr>
          <w:spacing w:val="-65"/>
        </w:rPr>
      </w:r>
      <w:r>
        <w:rPr/>
        <w:t>制的其他企业领薪，公司财务人员未在控股股东、实际控制人及其关联企业中兼职。</w:t>
      </w:r>
    </w:p>
    <w:p>
      <w:pPr>
        <w:pStyle w:val="BodyText"/>
        <w:spacing w:line="300" w:lineRule="auto" w:before="18"/>
        <w:ind w:left="424" w:right="1121"/>
        <w:jc w:val="left"/>
      </w:pPr>
      <w:r>
        <w:rPr>
          <w:rFonts w:ascii="Times New Roman" w:hAnsi="Times New Roman" w:cs="Times New Roman" w:eastAsia="Times New Roman" w:hint="default"/>
        </w:rPr>
        <w:t>3</w:t>
      </w:r>
      <w:r>
        <w:rPr/>
        <w:t>、资产独立 公司拥有生产经营所需的主要生产设备、辅助生产设备、土地、房产、专利、商标等资产，具有完整的采购、生产和销</w:t>
      </w:r>
    </w:p>
    <w:p>
      <w:pPr>
        <w:pStyle w:val="BodyText"/>
        <w:spacing w:line="309" w:lineRule="auto" w:before="31"/>
        <w:ind w:left="424" w:right="1121" w:hanging="272"/>
        <w:jc w:val="left"/>
      </w:pPr>
      <w:r>
        <w:rPr/>
        <w:t>售系统及相关配套设施，公司不存在以资产、权益或信誉为股东、董事、监事和高级管理人员的债务提供担保的情况。 </w:t>
      </w:r>
      <w:r>
        <w:rPr>
          <w:rFonts w:ascii="Times New Roman" w:hAnsi="Times New Roman" w:cs="Times New Roman" w:eastAsia="Times New Roman" w:hint="default"/>
        </w:rPr>
        <w:t>4</w:t>
      </w:r>
      <w:r>
        <w:rPr/>
        <w:t>、机构独立 公司依法建立健全股东大会、董事会、监事会等机构，具有独立健全的法人治理结构，相关机构和人员能够依法履行职</w:t>
      </w:r>
    </w:p>
    <w:p>
      <w:pPr>
        <w:pStyle w:val="BodyText"/>
        <w:spacing w:line="316" w:lineRule="auto" w:before="24"/>
        <w:ind w:right="1134"/>
        <w:jc w:val="both"/>
      </w:pPr>
      <w:r>
        <w:rPr>
          <w:spacing w:val="-2"/>
        </w:rPr>
        <w:t>责。公司根据经营需要设立完整独立的职能部门，并制定相应的内部管理和控制制度，各部门之间分工明确、各司其职、相</w:t>
      </w:r>
      <w:r>
        <w:rPr>
          <w:spacing w:val="-67"/>
        </w:rPr>
        <w:t> </w:t>
      </w:r>
      <w:r>
        <w:rPr>
          <w:spacing w:val="-67"/>
        </w:rPr>
      </w:r>
      <w:r>
        <w:rPr>
          <w:spacing w:val="-2"/>
        </w:rPr>
        <w:t>互配合，构成一个有机的整体，保证公司的高效运作。公司不存在与控股股东、实际控制人混合经营的情况，也不存在控股</w:t>
      </w:r>
      <w:r>
        <w:rPr>
          <w:spacing w:val="-67"/>
        </w:rPr>
        <w:t> </w:t>
      </w:r>
      <w:r>
        <w:rPr>
          <w:spacing w:val="-67"/>
        </w:rPr>
      </w:r>
      <w:r>
        <w:rPr/>
        <w:t>股东、实际控制人干预公司机构设立的情形。</w:t>
      </w:r>
    </w:p>
    <w:p>
      <w:pPr>
        <w:pStyle w:val="BodyText"/>
        <w:spacing w:line="340" w:lineRule="auto" w:before="18"/>
        <w:ind w:left="368" w:right="1128" w:firstLine="55"/>
        <w:jc w:val="left"/>
      </w:pPr>
      <w:r>
        <w:rPr>
          <w:rFonts w:ascii="Times New Roman" w:hAnsi="Times New Roman" w:cs="Times New Roman" w:eastAsia="Times New Roman" w:hint="default"/>
        </w:rPr>
        <w:t>5</w:t>
      </w:r>
      <w:r>
        <w:rPr/>
        <w:t>、财务独立 公司建立独立的核算体系，制定完善的财务管理制度。公司设立独立的财务部门，配备独立的财务人员，拥有独立的银</w:t>
      </w:r>
    </w:p>
    <w:p>
      <w:pPr>
        <w:pStyle w:val="BodyText"/>
        <w:spacing w:line="316" w:lineRule="auto"/>
        <w:ind w:right="1129"/>
        <w:jc w:val="both"/>
      </w:pPr>
      <w:r>
        <w:rPr>
          <w:spacing w:val="-2"/>
        </w:rPr>
        <w:t>行账号，资金运作独立，办理独立的税务登记证并独立纳税，不存在与控股股东、实际控制人共用银行账户及混合纳税的情</w:t>
      </w:r>
      <w:r>
        <w:rPr>
          <w:spacing w:val="-67"/>
        </w:rPr>
        <w:t> </w:t>
      </w:r>
      <w:r>
        <w:rPr>
          <w:spacing w:val="-67"/>
        </w:rPr>
      </w:r>
      <w:r>
        <w:rPr>
          <w:spacing w:val="-2"/>
        </w:rPr>
        <w:t>形。公司对所有资产拥有完全的控制支配权，不存在资产、资金被控股股东、实际控制人违规占用而损害公司或其他股东利</w:t>
      </w:r>
      <w:r>
        <w:rPr>
          <w:spacing w:val="-65"/>
        </w:rPr>
        <w:t> </w:t>
      </w:r>
      <w:r>
        <w:rPr>
          <w:spacing w:val="-65"/>
        </w:rPr>
      </w:r>
      <w:r>
        <w:rPr/>
        <w:t>益的情形。</w:t>
      </w:r>
    </w:p>
    <w:p>
      <w:pPr>
        <w:spacing w:after="0" w:line="316" w:lineRule="auto"/>
        <w:jc w:val="both"/>
        <w:sectPr>
          <w:pgSz w:w="11910" w:h="16840"/>
          <w:pgMar w:header="745" w:footer="981"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8"/>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63.02%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46.34%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3"/>
        <w:rPr>
          <w:rFonts w:ascii="宋体" w:hAnsi="宋体" w:cs="宋体" w:eastAsia="宋体" w:hint="default"/>
          <w:b/>
          <w:bCs/>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8"/>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4"/>
        <w:gridCol w:w="1164"/>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3"/>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3"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6" w:right="3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3"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郭光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高晶</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黄炳艺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49"/>
        <w:ind w:right="8053"/>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独立董事对公司有关事项是否提出异议</w:t>
      </w:r>
    </w:p>
    <w:p>
      <w:pPr>
        <w:pStyle w:val="BodyText"/>
        <w:spacing w:line="340" w:lineRule="auto" w:before="115"/>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t>独立董事对公司有关建议是否被采纳</w:t>
      </w:r>
    </w:p>
    <w:p>
      <w:pPr>
        <w:pStyle w:val="BodyText"/>
        <w:spacing w:line="340"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39"/>
        <w:ind w:right="1040" w:firstLine="288"/>
        <w:jc w:val="both"/>
      </w:pPr>
      <w:r>
        <w:rPr>
          <w:spacing w:val="-2"/>
        </w:rPr>
        <w:t>报告期内，公司独立董事严格按照《公司法》《关于在上市公司建立独立董事制度的指导意见》及公司章程的相关规定，</w:t>
      </w:r>
      <w:r>
        <w:rPr/>
        <w:t> </w:t>
      </w:r>
      <w:r>
        <w:rPr>
          <w:spacing w:val="-4"/>
        </w:rPr>
        <w:t>及时了解公司经营信息，对公司利润分配、对外投资、募集资金使用、关联交易、回购公司股份等事项作出公正独立的判断，</w:t>
      </w:r>
      <w:r>
        <w:rPr>
          <w:spacing w:val="-46"/>
        </w:rPr>
        <w:t> </w:t>
      </w:r>
      <w:r>
        <w:rPr>
          <w:spacing w:val="-46"/>
        </w:rPr>
      </w:r>
      <w:r>
        <w:rPr/>
        <w:t>运用专业知识对有关事项提出专业意见，客观独立行使表决权。</w:t>
      </w:r>
    </w:p>
    <w:p>
      <w:pPr>
        <w:spacing w:line="240" w:lineRule="auto" w:before="11"/>
        <w:rPr>
          <w:rFonts w:ascii="宋体" w:hAnsi="宋体" w:cs="宋体" w:eastAsia="宋体" w:hint="default"/>
          <w:sz w:val="20"/>
          <w:szCs w:val="20"/>
        </w:rPr>
      </w:pPr>
    </w:p>
    <w:p>
      <w:pPr>
        <w:pStyle w:val="Heading2"/>
        <w:spacing w:line="240" w:lineRule="auto"/>
        <w:ind w:right="1128"/>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288"/>
        <w:jc w:val="left"/>
      </w:pPr>
      <w:r>
        <w:rPr/>
        <w:t>公司董事会下设四个专门委员会，分别为战略委员会、审计委员会、提名委员会和薪酬与考核委员会。其中，战略委员 </w:t>
      </w:r>
      <w:r>
        <w:rPr>
          <w:spacing w:val="-2"/>
        </w:rPr>
        <w:t>会根据公司实际情况及市场需求对公司发展作出合理规划，对投资等影响公司发展的重大事项进行深入研究，对公司发展起</w:t>
      </w:r>
      <w:r>
        <w:rPr>
          <w:spacing w:val="-64"/>
        </w:rPr>
        <w:t> </w:t>
      </w:r>
      <w:r>
        <w:rPr>
          <w:spacing w:val="-64"/>
        </w:rPr>
      </w:r>
      <w:r>
        <w:rPr>
          <w:spacing w:val="-4"/>
        </w:rPr>
        <w:t>重要作用；审计委员会对公司的内部制度及财务信息等进行审核，对拟续聘会计师事务所的相关情况进行调研评价，在年度、</w:t>
      </w:r>
      <w:r>
        <w:rPr>
          <w:spacing w:val="-44"/>
        </w:rPr>
        <w:t> </w:t>
      </w:r>
      <w:r>
        <w:rPr>
          <w:spacing w:val="-44"/>
        </w:rPr>
      </w:r>
      <w:r>
        <w:rPr>
          <w:spacing w:val="-2"/>
        </w:rPr>
        <w:t>半年度及季报财务报告的编制及审计过程中勤勉尽职，认真履行监督、核查职能；提名委员会、薪酬与考核委员会分别对报</w:t>
      </w:r>
      <w:r>
        <w:rPr>
          <w:spacing w:val="-66"/>
        </w:rPr>
        <w:t> </w:t>
      </w:r>
      <w:r>
        <w:rPr>
          <w:spacing w:val="-66"/>
        </w:rPr>
      </w:r>
      <w:r>
        <w:rPr/>
        <w:t>告期内公司董事及高级管理人员的任职资格及薪酬情况进行审查与考核。</w:t>
      </w:r>
    </w:p>
    <w:p>
      <w:pPr>
        <w:spacing w:line="240" w:lineRule="auto" w:before="11"/>
        <w:rPr>
          <w:rFonts w:ascii="宋体" w:hAnsi="宋体" w:cs="宋体" w:eastAsia="宋体" w:hint="default"/>
          <w:sz w:val="20"/>
          <w:szCs w:val="20"/>
        </w:rPr>
      </w:pPr>
    </w:p>
    <w:p>
      <w:pPr>
        <w:pStyle w:val="Heading2"/>
        <w:spacing w:line="240" w:lineRule="auto"/>
        <w:ind w:right="1128"/>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监事会在报告期内的监督活动中发现公司是否存在风险</w:t>
      </w:r>
    </w:p>
    <w:p>
      <w:pPr>
        <w:pStyle w:val="BodyText"/>
        <w:spacing w:line="340"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28"/>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firstLine="288"/>
        <w:jc w:val="left"/>
      </w:pPr>
      <w:r>
        <w:rPr>
          <w:spacing w:val="-1"/>
        </w:rPr>
        <w:t>公司高级管理人员的聘任、考核和激励机制均严格按照公司法和公司章程的规定执行，经提名委员会及薪酬与考核委员</w:t>
      </w:r>
      <w:r>
        <w:rPr/>
        <w:t> 会审核后报董事会审议批准，高管薪酬方案合理、发放程序符合相关规定。</w:t>
      </w:r>
    </w:p>
    <w:p>
      <w:pPr>
        <w:spacing w:line="240" w:lineRule="auto" w:before="11"/>
        <w:rPr>
          <w:rFonts w:ascii="宋体" w:hAnsi="宋体" w:cs="宋体" w:eastAsia="宋体" w:hint="default"/>
          <w:sz w:val="20"/>
          <w:szCs w:val="20"/>
        </w:rPr>
      </w:pPr>
    </w:p>
    <w:p>
      <w:pPr>
        <w:pStyle w:val="Heading2"/>
        <w:spacing w:line="240" w:lineRule="auto"/>
        <w:ind w:right="1128"/>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BodyText"/>
        <w:spacing w:line="240" w:lineRule="auto" w:before="44"/>
        <w:ind w:left="0" w:right="1163"/>
        <w:jc w:val="right"/>
      </w:pPr>
      <w:r>
        <w:rPr/>
        <w:pict>
          <v:shape style="position:absolute;margin-left:56.400002pt;margin-top:-246.011292pt;width:479.2pt;height:538.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7"/>
                    <w:gridCol w:w="305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53"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6" w:lineRule="auto" w:before="49"/>
                          <w:ind w:left="29" w:right="19"/>
                          <w:jc w:val="both"/>
                          <w:rPr>
                            <w:rFonts w:ascii="宋体" w:hAnsi="宋体" w:cs="宋体" w:eastAsia="宋体" w:hint="default"/>
                            <w:sz w:val="18"/>
                            <w:szCs w:val="18"/>
                          </w:rPr>
                        </w:pPr>
                        <w:r>
                          <w:rPr>
                            <w:rFonts w:ascii="宋体" w:hAnsi="宋体" w:cs="宋体" w:eastAsia="宋体" w:hint="default"/>
                            <w:sz w:val="18"/>
                            <w:szCs w:val="18"/>
                          </w:rPr>
                          <w:t>重大缺陷：一项内部控制缺陷单独或连同 其他缺陷具备合理可能性导致不能及时防 止或发现并纠正财务报告中的重大错报； 重要缺陷：内部控制缺陷单独或连同其他 缺陷具备合理可能性导致不能及时防止或 发现并纠正财务报告中虽然未达到或超过 重要性水平，但仍应引起董事会和管理层 重视的错报；</w:t>
                        </w:r>
                        <w:r>
                          <w:rPr>
                            <w:rFonts w:ascii="宋体" w:hAnsi="宋体" w:cs="宋体" w:eastAsia="宋体" w:hint="default"/>
                            <w:spacing w:val="-31"/>
                            <w:sz w:val="18"/>
                            <w:szCs w:val="18"/>
                          </w:rPr>
                          <w:t> </w:t>
                        </w:r>
                        <w:r>
                          <w:rPr>
                            <w:rFonts w:ascii="宋体" w:hAnsi="宋体" w:cs="宋体" w:eastAsia="宋体" w:hint="default"/>
                            <w:spacing w:val="-3"/>
                            <w:sz w:val="18"/>
                            <w:szCs w:val="18"/>
                          </w:rPr>
                          <w:t>一般缺陷：不构成重大缺陷</w:t>
                        </w:r>
                        <w:r>
                          <w:rPr>
                            <w:rFonts w:ascii="宋体" w:hAnsi="宋体" w:cs="宋体" w:eastAsia="宋体" w:hint="default"/>
                            <w:sz w:val="18"/>
                            <w:szCs w:val="18"/>
                          </w:rPr>
                          <w:t> 和重要缺陷的内部控制缺陷。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304" w:lineRule="auto" w:before="49"/>
                          <w:ind w:left="26" w:right="19"/>
                          <w:jc w:val="left"/>
                          <w:rPr>
                            <w:rFonts w:ascii="宋体" w:hAnsi="宋体" w:cs="宋体" w:eastAsia="宋体" w:hint="default"/>
                            <w:sz w:val="18"/>
                            <w:szCs w:val="18"/>
                          </w:rPr>
                        </w:pPr>
                        <w:r>
                          <w:rPr>
                            <w:rFonts w:ascii="宋体" w:hAnsi="宋体" w:cs="宋体" w:eastAsia="宋体" w:hint="default"/>
                            <w:spacing w:val="-9"/>
                            <w:sz w:val="18"/>
                            <w:szCs w:val="18"/>
                          </w:rPr>
                          <w:t>重大缺陷：（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）公司缺乏重大事项决策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程序；（</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）违犯国家法律﹑法规；如安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全﹑环保；（</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）公司中高级管理人员或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技术人员流失严重；（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）媒体负面新闻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频现；（</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）内部控制评价的结果特别是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重大或重要缺陷未得到整改；（</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业务缺乏制度控制或制度系统性失效 </w:t>
                        </w:r>
                        <w:r>
                          <w:rPr>
                            <w:rFonts w:ascii="宋体" w:hAnsi="宋体" w:cs="宋体" w:eastAsia="宋体" w:hint="default"/>
                            <w:spacing w:val="-4"/>
                            <w:sz w:val="18"/>
                            <w:szCs w:val="18"/>
                          </w:rPr>
                          <w:t>以上情形认定为重大缺陷，除此外认定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为重要或一般缺陷。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253"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409"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2" w:lineRule="auto" w:before="49"/>
                          <w:ind w:left="29" w:right="20"/>
                          <w:jc w:val="left"/>
                          <w:rPr>
                            <w:rFonts w:ascii="宋体" w:hAnsi="宋体" w:cs="宋体" w:eastAsia="宋体" w:hint="default"/>
                            <w:sz w:val="18"/>
                            <w:szCs w:val="18"/>
                          </w:rPr>
                        </w:pPr>
                        <w:r>
                          <w:rPr>
                            <w:rFonts w:ascii="宋体" w:hAnsi="宋体" w:cs="宋体" w:eastAsia="宋体" w:hint="default"/>
                            <w:sz w:val="18"/>
                            <w:szCs w:val="18"/>
                          </w:rPr>
                          <w:t>重大缺陷：营业收入总额的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错报﹑利 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 报；重要缺陷：营业收入总额的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﹑利润总额的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。达到上述评 定项目任一标准即判定为相应标准的缺 陷，按孰低原则认定缺陷性质。</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6" w:right="19"/>
                          <w:jc w:val="left"/>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﹑对公司造成较大负面影响并 </w:t>
                        </w:r>
                        <w:r>
                          <w:rPr>
                            <w:rFonts w:ascii="宋体" w:hAnsi="宋体" w:cs="宋体" w:eastAsia="宋体" w:hint="default"/>
                            <w:spacing w:val="-4"/>
                            <w:sz w:val="18"/>
                            <w:szCs w:val="18"/>
                          </w:rPr>
                          <w:t>以公告形式对外披露；重要缺陷：利润</w:t>
                        </w:r>
                        <w:r>
                          <w:rPr>
                            <w:rFonts w:ascii="宋体" w:hAnsi="宋体" w:cs="宋体" w:eastAsia="宋体" w:hint="default"/>
                            <w:sz w:val="18"/>
                            <w:szCs w:val="18"/>
                          </w:rPr>
                          <w:t> 总额的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直接财产损失金额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﹑或受到国家政府部门处罚但 </w:t>
                        </w:r>
                        <w:r>
                          <w:rPr>
                            <w:rFonts w:ascii="宋体" w:hAnsi="宋体" w:cs="宋体" w:eastAsia="宋体" w:hint="default"/>
                            <w:spacing w:val="-4"/>
                            <w:sz w:val="18"/>
                            <w:szCs w:val="18"/>
                          </w:rPr>
                          <w:t>未对公司造成负面影响；一般缺陷：直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接财产损失金额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﹑受 </w:t>
                        </w:r>
                        <w:r>
                          <w:rPr>
                            <w:rFonts w:ascii="宋体" w:hAnsi="宋体" w:cs="宋体" w:eastAsia="宋体" w:hint="default"/>
                            <w:spacing w:val="-4"/>
                            <w:sz w:val="18"/>
                            <w:szCs w:val="18"/>
                          </w:rPr>
                          <w:t>到省级（含省级）以下政府部门处罚但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未对公司造成负面影响。</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409"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240" w:lineRule="auto" w:before="26"/>
        <w:ind w:right="1128"/>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内部控制鉴证报告</w:t>
      </w:r>
    </w:p>
    <w:p>
      <w:pPr>
        <w:spacing w:line="240" w:lineRule="auto" w:before="13"/>
        <w:rPr>
          <w:rFonts w:ascii="宋体" w:hAnsi="宋体" w:cs="宋体" w:eastAsia="宋体" w:hint="default"/>
          <w:sz w:val="7"/>
          <w:szCs w:val="7"/>
        </w:rPr>
      </w:pPr>
    </w:p>
    <w:p>
      <w:pPr>
        <w:spacing w:line="1135" w:lineRule="exact"/>
        <w:ind w:left="148"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8.95pt;height:56.8pt;mso-position-horizontal-relative:char;mso-position-vertical-relative:line" coordorigin="0,0" coordsize="9579,1136">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9512;height:392" coordorigin="34,14" coordsize="9512,392">
              <v:shape style="position:absolute;left:34;top:14;width:9512;height:392" coordorigin="34,14" coordsize="9512,392" path="m34,14l9545,14,9545,406,34,406,34,14xe" filled="true" fillcolor="#d3d3d3" stroked="false">
                <v:path arrowok="t"/>
                <v:fill type="solid"/>
              </v:shape>
            </v:group>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10;top:410;width:9560;height:2" coordorigin="10,410" coordsize="9560,2">
              <v:shape style="position:absolute;left:10;top:410;width:9560;height:2" coordorigin="10,410" coordsize="9560,0" path="m10,410l9569,410e" filled="false" stroked="true" strokeweight=".48pt" strokecolor="#000000">
                <v:path arrowok="t"/>
              </v:shape>
            </v:group>
            <v:group style="position:absolute;left:5;top:5;width:2;height:1126" coordorigin="5,5" coordsize="2,1126">
              <v:shape style="position:absolute;left:5;top:5;width:2;height:1126" coordorigin="5,5" coordsize="0,1126" path="m5,5l5,1130e" filled="false" stroked="true" strokeweight=".48pt" strokecolor="#000000">
                <v:path arrowok="t"/>
              </v:shape>
            </v:group>
            <v:group style="position:absolute;left:10;top:1126;width:9560;height:2" coordorigin="10,1126" coordsize="9560,2">
              <v:shape style="position:absolute;left:10;top:1126;width:9560;height:2" coordorigin="10,1126" coordsize="9560,0" path="m10,1126l9569,1126e" filled="false" stroked="true" strokeweight=".48pt" strokecolor="#000000">
                <v:path arrowok="t"/>
              </v:shape>
            </v:group>
            <v:group style="position:absolute;left:9574;top:5;width:2;height:1126" coordorigin="9574,5" coordsize="2,1126">
              <v:shape style="position:absolute;left:9574;top:5;width:2;height:1126" coordorigin="9574,5" coordsize="0,1126" path="m9574,5l9574,1130e" filled="false" stroked="true" strokeweight=".48pt" strokecolor="#000000">
                <v:path arrowok="t"/>
              </v:shape>
              <v:shape style="position:absolute;left:5;top:10;width:9569;height:401"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xbxContent>
                </v:textbox>
                <w10:wrap type="none"/>
              </v:shape>
              <v:shape style="position:absolute;left:5;top:410;width:9569;height:716" type="#_x0000_t202" filled="false" stroked="false">
                <v:textbox inset="0,0,0,0">
                  <w:txbxContent>
                    <w:p>
                      <w:pPr>
                        <w:spacing w:line="297" w:lineRule="auto" w:before="56"/>
                        <w:ind w:left="28" w:right="86" w:firstLine="0"/>
                        <w:jc w:val="left"/>
                        <w:rPr>
                          <w:rFonts w:ascii="宋体" w:hAnsi="宋体" w:cs="宋体" w:eastAsia="宋体" w:hint="default"/>
                          <w:sz w:val="18"/>
                          <w:szCs w:val="18"/>
                        </w:rPr>
                      </w:pPr>
                      <w:r>
                        <w:rPr>
                          <w:rFonts w:ascii="宋体" w:hAnsi="宋体" w:cs="宋体" w:eastAsia="宋体" w:hint="default"/>
                          <w:sz w:val="18"/>
                          <w:szCs w:val="18"/>
                        </w:rPr>
                        <w:t>公司按照《企业内部控制基本规范》及相关规定，于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 内部控制。</w:t>
                      </w:r>
                    </w:p>
                  </w:txbxContent>
                </v:textbox>
                <w10:wrap type="none"/>
              </v:shape>
            </v:group>
          </v:group>
        </w:pict>
      </w:r>
      <w:r>
        <w:rPr>
          <w:rFonts w:ascii="宋体" w:hAnsi="宋体" w:cs="宋体" w:eastAsia="宋体" w:hint="default"/>
          <w:position w:val="-22"/>
          <w:sz w:val="20"/>
          <w:szCs w:val="20"/>
        </w:rPr>
      </w:r>
    </w:p>
    <w:p>
      <w:pPr>
        <w:spacing w:after="0" w:line="1135" w:lineRule="exact"/>
        <w:rPr>
          <w:rFonts w:ascii="宋体" w:hAnsi="宋体" w:cs="宋体" w:eastAsia="宋体" w:hint="default"/>
          <w:sz w:val="20"/>
          <w:szCs w:val="20"/>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2"/>
                <w:sz w:val="18"/>
                <w:szCs w:val="18"/>
              </w:rPr>
              <w:t> </w:t>
            </w:r>
            <w:hyperlink r:id="rId13">
              <w:r>
                <w:rPr>
                  <w:rFonts w:ascii="Times New Roman" w:hAnsi="Times New Roman" w:cs="Times New Roman" w:eastAsia="Times New Roman" w:hint="default"/>
                  <w:sz w:val="18"/>
                  <w:szCs w:val="18"/>
                </w:rPr>
                <w:t>www.cninfo.com.cn</w:t>
              </w:r>
            </w:hyperlink>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28"/>
        <w:jc w:val="left"/>
      </w:pPr>
      <w:r>
        <w:rPr/>
        <w:t>会计师事务所是否出具非标准意见的内部控制鉴证报告</w:t>
      </w:r>
    </w:p>
    <w:p>
      <w:pPr>
        <w:pStyle w:val="BodyText"/>
        <w:spacing w:line="340" w:lineRule="auto" w:before="115"/>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044" w:right="1128"/>
        <w:jc w:val="left"/>
        <w:rPr>
          <w:b w:val="0"/>
          <w:bCs w:val="0"/>
        </w:rPr>
      </w:pPr>
      <w:bookmarkStart w:name="_TOC_250002" w:id="11"/>
      <w:r>
        <w:rPr/>
        <w:t>第十一节公司债券相关情况</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footerReference w:type="default" r:id="rId23"/>
          <w:pgSz w:w="11910" w:h="16840"/>
          <w:pgMar w:footer="981" w:header="745" w:top="1060" w:bottom="1180" w:left="980" w:right="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606" w:right="1128"/>
        <w:jc w:val="left"/>
        <w:rPr>
          <w:b w:val="0"/>
          <w:bCs w:val="0"/>
        </w:rPr>
      </w:pPr>
      <w:bookmarkStart w:name="_TOC_250001" w:id="12"/>
      <w:r>
        <w:rPr/>
        <w:t>第十二节</w:t>
      </w:r>
      <w:r>
        <w:rPr>
          <w:spacing w:val="-5"/>
        </w:rPr>
        <w:t> </w:t>
      </w:r>
      <w:r>
        <w:rPr/>
        <w:t>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8"/>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XYZH/2020XAA20138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常晓波、张东鹤</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512" w:right="-19" w:hanging="361"/>
        <w:jc w:val="left"/>
        <w:rPr>
          <w:rFonts w:ascii="宋体" w:hAnsi="宋体" w:cs="宋体" w:eastAsia="宋体" w:hint="default"/>
          <w:sz w:val="18"/>
          <w:szCs w:val="18"/>
        </w:rPr>
      </w:pPr>
      <w:r>
        <w:rPr>
          <w:rFonts w:ascii="宋体" w:hAnsi="宋体" w:cs="宋体" w:eastAsia="宋体" w:hint="default"/>
          <w:sz w:val="18"/>
          <w:szCs w:val="18"/>
        </w:rPr>
        <w:t>厦门吉宏科技股份有限公司全体股东：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80" w:left="980" w:right="0"/>
          <w:cols w:num="2" w:equalWidth="0">
            <w:col w:w="3213" w:space="1066"/>
            <w:col w:w="6651"/>
          </w:cols>
        </w:sectPr>
      </w:pPr>
    </w:p>
    <w:p>
      <w:pPr>
        <w:pStyle w:val="BodyText"/>
        <w:spacing w:line="300" w:lineRule="auto" w:before="19"/>
        <w:ind w:right="1128" w:firstLine="360"/>
        <w:jc w:val="left"/>
      </w:pPr>
      <w:r>
        <w:rPr>
          <w:spacing w:val="-2"/>
        </w:rPr>
        <w:t>我们审计了厦门吉宏科技股份有限公司（以下简称吉宏股份）财务报表，包括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w:t>
      </w:r>
    </w:p>
    <w:p>
      <w:pPr>
        <w:pStyle w:val="BodyText"/>
        <w:spacing w:line="300" w:lineRule="auto" w:before="13"/>
        <w:ind w:right="1128" w:firstLine="360"/>
        <w:jc w:val="left"/>
      </w:pPr>
      <w:r>
        <w:rPr>
          <w:spacing w:val="-2"/>
        </w:rPr>
        <w:t>我们认为，后附的财务报表在所有重大方面按照企业会计准则的规定编制，公允反映了吉宏股份</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512" w:right="1128"/>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28"/>
        <w:jc w:val="left"/>
      </w:pPr>
      <w:r>
        <w:rPr>
          <w:spacing w:val="-2"/>
        </w:rPr>
        <w:t>阐述了我们在这些准则下的责任。按照中国注册会计师职业道德守则，我们独立于吉宏股份，并履行了职业道德方面的其他</w:t>
      </w:r>
      <w:r>
        <w:rPr>
          <w:spacing w:val="-63"/>
        </w:rPr>
        <w:t> </w:t>
      </w:r>
      <w:r>
        <w:rPr>
          <w:spacing w:val="-63"/>
        </w:rPr>
      </w:r>
      <w:r>
        <w:rPr/>
        <w:t>责任。我们相信，我们获取的审计证据是充分、适当的，为发表审计意见提供了基础。</w:t>
      </w:r>
    </w:p>
    <w:p>
      <w:pPr>
        <w:pStyle w:val="BodyText"/>
        <w:spacing w:line="319" w:lineRule="auto" w:before="18"/>
        <w:ind w:left="512" w:right="1128"/>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7"/>
        <w:ind w:right="1128"/>
        <w:jc w:val="left"/>
      </w:pPr>
      <w:r>
        <w:rPr/>
        <w:t>审计并形成审计意见为背景，我们不对这些事项单独发表意见。</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382"/>
        <w:gridCol w:w="4123"/>
      </w:tblGrid>
      <w:tr>
        <w:trPr>
          <w:trHeight w:val="348" w:hRule="exact"/>
        </w:trPr>
        <w:tc>
          <w:tcPr>
            <w:tcW w:w="8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、销售收入的确认事项</w:t>
            </w:r>
            <w:r>
              <w:rPr>
                <w:rFonts w:ascii="宋体" w:hAnsi="宋体" w:cs="宋体" w:eastAsia="宋体" w:hint="default"/>
                <w:sz w:val="18"/>
                <w:szCs w:val="18"/>
              </w:rPr>
            </w:r>
          </w:p>
        </w:tc>
      </w:tr>
      <w:tr>
        <w:trPr>
          <w:trHeight w:val="346"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4"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92"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34" w:hRule="exact"/>
        </w:trPr>
        <w:tc>
          <w:tcPr>
            <w:tcW w:w="43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如财务报表附注六、</w:t>
            </w:r>
            <w:r>
              <w:rPr>
                <w:rFonts w:ascii="Times New Roman" w:hAnsi="Times New Roman" w:cs="Times New Roman" w:eastAsia="Times New Roman" w:hint="default"/>
                <w:sz w:val="18"/>
                <w:szCs w:val="18"/>
              </w:rPr>
              <w:t>35</w:t>
            </w:r>
            <w:r>
              <w:rPr>
                <w:rFonts w:ascii="宋体" w:hAnsi="宋体" w:cs="宋体" w:eastAsia="宋体" w:hint="default"/>
                <w:sz w:val="18"/>
                <w:szCs w:val="18"/>
              </w:rPr>
              <w:t>所述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年度吉宏股份营业</w:t>
            </w:r>
          </w:p>
        </w:tc>
        <w:tc>
          <w:tcPr>
            <w:tcW w:w="41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我们针对销售商品收入确认的关键审计</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3"/>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r>
              <w:rPr>
                <w:rFonts w:ascii="宋体" w:hAnsi="宋体" w:cs="宋体" w:eastAsia="宋体" w:hint="default"/>
                <w:spacing w:val="-55"/>
                <w:sz w:val="18"/>
                <w:szCs w:val="18"/>
              </w:rPr>
              <w:t> </w:t>
            </w:r>
            <w:r>
              <w:rPr>
                <w:rFonts w:ascii="宋体" w:hAnsi="宋体" w:cs="宋体" w:eastAsia="宋体" w:hint="default"/>
                <w:sz w:val="18"/>
                <w:szCs w:val="18"/>
              </w:rPr>
              <w:t>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3,009,252,726.74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包</w:t>
            </w:r>
            <w:r>
              <w:rPr>
                <w:rFonts w:ascii="宋体" w:hAnsi="宋体" w:cs="宋体" w:eastAsia="宋体" w:hint="default"/>
                <w:spacing w:val="-55"/>
                <w:sz w:val="18"/>
                <w:szCs w:val="18"/>
              </w:rPr>
              <w:t> </w:t>
            </w:r>
            <w:r>
              <w:rPr>
                <w:rFonts w:ascii="宋体" w:hAnsi="宋体" w:cs="宋体" w:eastAsia="宋体" w:hint="default"/>
                <w:sz w:val="18"/>
                <w:szCs w:val="18"/>
              </w:rPr>
              <w:t>装</w:t>
            </w:r>
            <w:r>
              <w:rPr>
                <w:rFonts w:ascii="宋体" w:hAnsi="宋体" w:cs="宋体" w:eastAsia="宋体" w:hint="default"/>
                <w:spacing w:val="-55"/>
                <w:sz w:val="18"/>
                <w:szCs w:val="18"/>
              </w:rPr>
              <w:t> </w:t>
            </w:r>
            <w:r>
              <w:rPr>
                <w:rFonts w:ascii="宋体" w:hAnsi="宋体" w:cs="宋体" w:eastAsia="宋体" w:hint="default"/>
                <w:sz w:val="18"/>
                <w:szCs w:val="18"/>
              </w:rPr>
              <w:t>印</w:t>
            </w:r>
            <w:r>
              <w:rPr>
                <w:rFonts w:ascii="宋体" w:hAnsi="宋体" w:cs="宋体" w:eastAsia="宋体" w:hint="default"/>
                <w:spacing w:val="-55"/>
                <w:sz w:val="18"/>
                <w:szCs w:val="18"/>
              </w:rPr>
              <w:t> </w:t>
            </w:r>
            <w:r>
              <w:rPr>
                <w:rFonts w:ascii="宋体" w:hAnsi="宋体" w:cs="宋体" w:eastAsia="宋体" w:hint="default"/>
                <w:sz w:val="18"/>
                <w:szCs w:val="18"/>
              </w:rPr>
              <w:t>刷</w:t>
            </w:r>
            <w:r>
              <w:rPr>
                <w:rFonts w:ascii="宋体" w:hAnsi="宋体" w:cs="宋体" w:eastAsia="宋体" w:hint="default"/>
                <w:spacing w:val="-58"/>
                <w:sz w:val="18"/>
                <w:szCs w:val="18"/>
              </w:rPr>
              <w:t> </w:t>
            </w: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r>
              <w:rPr>
                <w:rFonts w:ascii="宋体" w:hAnsi="宋体" w:cs="宋体" w:eastAsia="宋体" w:hint="default"/>
                <w:spacing w:val="-55"/>
                <w:sz w:val="18"/>
                <w:szCs w:val="18"/>
              </w:rPr>
              <w:t> </w:t>
            </w:r>
            <w:r>
              <w:rPr>
                <w:rFonts w:ascii="宋体" w:hAnsi="宋体" w:cs="宋体" w:eastAsia="宋体" w:hint="default"/>
                <w:sz w:val="18"/>
                <w:szCs w:val="18"/>
              </w:rPr>
              <w:t>为</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事项执行的主要审计程序包括：</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1,354,288,419.24</w:t>
            </w:r>
            <w:r>
              <w:rPr>
                <w:rFonts w:ascii="宋体" w:hAnsi="宋体" w:cs="宋体" w:eastAsia="宋体" w:hint="default"/>
                <w:sz w:val="18"/>
                <w:szCs w:val="18"/>
              </w:rPr>
              <w:t>元，占营业收入总额的比重为</w:t>
            </w:r>
            <w:r>
              <w:rPr>
                <w:rFonts w:ascii="Times New Roman" w:hAnsi="Times New Roman" w:cs="Times New Roman" w:eastAsia="Times New Roman" w:hint="default"/>
                <w:sz w:val="18"/>
                <w:szCs w:val="18"/>
              </w:rPr>
              <w:t>45.00%</w:t>
            </w:r>
            <w:r>
              <w:rPr>
                <w:rFonts w:ascii="宋体" w:hAnsi="宋体" w:cs="宋体" w:eastAsia="宋体" w:hint="default"/>
                <w:sz w:val="18"/>
                <w:szCs w:val="18"/>
              </w:rPr>
              <w:t>；</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评价和测试与销售商品收入确认相关</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z w:val="18"/>
                <w:szCs w:val="18"/>
              </w:rPr>
              <w:t>互联网业务收入</w:t>
            </w:r>
            <w:r>
              <w:rPr>
                <w:rFonts w:ascii="Times New Roman" w:hAnsi="Times New Roman" w:cs="Times New Roman" w:eastAsia="Times New Roman" w:hint="default"/>
                <w:sz w:val="18"/>
                <w:szCs w:val="18"/>
              </w:rPr>
              <w:t>1,654,964,307.50</w:t>
            </w:r>
            <w:r>
              <w:rPr>
                <w:rFonts w:ascii="宋体" w:hAnsi="宋体" w:cs="宋体" w:eastAsia="宋体" w:hint="default"/>
                <w:sz w:val="18"/>
                <w:szCs w:val="18"/>
              </w:rPr>
              <w:t>元，占营业收入总额的</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的关键内部控制，复核相关会计政策是否</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比重为</w:t>
            </w:r>
            <w:r>
              <w:rPr>
                <w:rFonts w:ascii="Times New Roman" w:hAnsi="Times New Roman" w:cs="Times New Roman" w:eastAsia="Times New Roman" w:hint="default"/>
                <w:sz w:val="18"/>
                <w:szCs w:val="18"/>
              </w:rPr>
              <w:t>55.00%</w:t>
            </w:r>
            <w:r>
              <w:rPr>
                <w:rFonts w:ascii="宋体" w:hAnsi="宋体" w:cs="宋体" w:eastAsia="宋体" w:hint="default"/>
                <w:sz w:val="18"/>
                <w:szCs w:val="18"/>
              </w:rPr>
              <w:t>。</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正确且一贯运用；</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结合产品类型对收入以及毛利情况执</w:t>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营业收入是吉宏股份经营和考核的关键业绩指标，</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行分析，判断本期收入金额是否出现异常</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3"/>
              <w:jc w:val="left"/>
              <w:rPr>
                <w:rFonts w:ascii="宋体" w:hAnsi="宋体" w:cs="宋体" w:eastAsia="宋体" w:hint="default"/>
                <w:sz w:val="18"/>
                <w:szCs w:val="18"/>
              </w:rPr>
            </w:pPr>
            <w:r>
              <w:rPr>
                <w:rFonts w:ascii="宋体" w:hAnsi="宋体" w:cs="宋体" w:eastAsia="宋体" w:hint="default"/>
                <w:sz w:val="18"/>
                <w:szCs w:val="18"/>
              </w:rPr>
              <w:t>且存在较高的固有风险，因此我们将吉宏股份营业收入</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波动的情况；</w:t>
            </w: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的确认确定为关键审计事项。</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从销售商品收入的会计记录和出库记</w:t>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4" w:right="0"/>
              <w:jc w:val="left"/>
              <w:rPr>
                <w:rFonts w:ascii="宋体" w:hAnsi="宋体" w:cs="宋体" w:eastAsia="宋体" w:hint="default"/>
                <w:sz w:val="18"/>
                <w:szCs w:val="18"/>
              </w:rPr>
            </w:pPr>
            <w:r>
              <w:rPr>
                <w:rFonts w:ascii="宋体" w:hAnsi="宋体" w:cs="宋体" w:eastAsia="宋体" w:hint="default"/>
                <w:sz w:val="18"/>
                <w:szCs w:val="18"/>
              </w:rPr>
              <w:t>录中选取样本，与该笔销售相关的合同、</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发货记录及客户收货信息进行核对；</w:t>
            </w: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检查资产负债表日前后的产品销售记录，检</w:t>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查期末销售收入是否计入了正确的</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会计期间；</w:t>
            </w:r>
          </w:p>
        </w:tc>
      </w:tr>
      <w:tr>
        <w:trPr>
          <w:trHeight w:val="331" w:hRule="exact"/>
        </w:trPr>
        <w:tc>
          <w:tcPr>
            <w:tcW w:w="4382" w:type="dxa"/>
            <w:tcBorders>
              <w:top w:val="nil" w:sz="6" w:space="0" w:color="auto"/>
              <w:left w:val="single" w:sz="6" w:space="0" w:color="000000"/>
              <w:bottom w:val="single" w:sz="6" w:space="0" w:color="000000"/>
              <w:right w:val="single" w:sz="6" w:space="0" w:color="000000"/>
            </w:tcBorders>
          </w:tcPr>
          <w:p>
            <w:pPr/>
          </w:p>
        </w:tc>
        <w:tc>
          <w:tcPr>
            <w:tcW w:w="41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针对发出商品选取样本检查会计记</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4"/>
        <w:ind w:left="0" w:right="2185"/>
        <w:jc w:val="right"/>
      </w:pPr>
      <w:r>
        <w:rPr/>
        <w:pict>
          <v:shape style="position:absolute;margin-left:56.279999pt;margin-top:-371.888275pt;width:426.4pt;height:517.8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2"/>
                    <w:gridCol w:w="4123"/>
                  </w:tblGrid>
                  <w:tr>
                    <w:trPr>
                      <w:trHeight w:val="327" w:hRule="exact"/>
                    </w:trPr>
                    <w:tc>
                      <w:tcPr>
                        <w:tcW w:w="4382" w:type="dxa"/>
                        <w:vMerge w:val="restart"/>
                        <w:tcBorders>
                          <w:top w:val="single" w:sz="6" w:space="0" w:color="000000"/>
                          <w:left w:val="single" w:sz="6" w:space="0" w:color="000000"/>
                          <w:right w:val="single" w:sz="6" w:space="0" w:color="000000"/>
                        </w:tcBorders>
                      </w:tcPr>
                      <w:p>
                        <w:pPr/>
                      </w:p>
                    </w:tc>
                    <w:tc>
                      <w:tcPr>
                        <w:tcW w:w="41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录、发票、出库单及客户收货信息，确认</w:t>
                        </w:r>
                      </w:p>
                    </w:tc>
                  </w:tr>
                  <w:tr>
                    <w:trPr>
                      <w:trHeight w:val="312" w:hRule="exact"/>
                    </w:trPr>
                    <w:tc>
                      <w:tcPr>
                        <w:tcW w:w="4382" w:type="dxa"/>
                        <w:vMerge/>
                        <w:tcBorders>
                          <w:left w:val="single" w:sz="6" w:space="0" w:color="000000"/>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相关会计处理是否正确；</w:t>
                        </w:r>
                      </w:p>
                    </w:tc>
                  </w:tr>
                  <w:tr>
                    <w:trPr>
                      <w:trHeight w:val="317" w:hRule="exact"/>
                    </w:trPr>
                    <w:tc>
                      <w:tcPr>
                        <w:tcW w:w="4382" w:type="dxa"/>
                        <w:vMerge/>
                        <w:tcBorders>
                          <w:left w:val="single" w:sz="6" w:space="0" w:color="000000"/>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抽取部分样本对收入进行函证；</w:t>
                        </w:r>
                      </w:p>
                    </w:tc>
                  </w:tr>
                  <w:tr>
                    <w:trPr>
                      <w:trHeight w:val="312" w:hRule="exact"/>
                    </w:trPr>
                    <w:tc>
                      <w:tcPr>
                        <w:tcW w:w="4382" w:type="dxa"/>
                        <w:vMerge/>
                        <w:tcBorders>
                          <w:left w:val="single" w:sz="6" w:space="0" w:color="000000"/>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针对互联网业务：电商业务</w:t>
                        </w:r>
                        <w:r>
                          <w:rPr>
                            <w:rFonts w:ascii="Times New Roman" w:hAnsi="Times New Roman" w:cs="Times New Roman" w:eastAsia="Times New Roman" w:hint="default"/>
                            <w:sz w:val="18"/>
                            <w:szCs w:val="18"/>
                          </w:rPr>
                          <w:t>IT</w:t>
                        </w:r>
                        <w:r>
                          <w:rPr>
                            <w:rFonts w:ascii="宋体" w:hAnsi="宋体" w:cs="宋体" w:eastAsia="宋体" w:hint="default"/>
                            <w:sz w:val="18"/>
                            <w:szCs w:val="18"/>
                          </w:rPr>
                          <w:t>审计确定订单</w:t>
                        </w:r>
                      </w:p>
                    </w:tc>
                  </w:tr>
                  <w:tr>
                    <w:trPr>
                      <w:trHeight w:val="307" w:hRule="exact"/>
                    </w:trPr>
                    <w:tc>
                      <w:tcPr>
                        <w:tcW w:w="4382" w:type="dxa"/>
                        <w:vMerge/>
                        <w:tcBorders>
                          <w:left w:val="single" w:sz="6" w:space="0" w:color="000000"/>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的真实性，抽取部分收入与物流信息进行核对，确定</w:t>
                        </w:r>
                      </w:p>
                    </w:tc>
                  </w:tr>
                  <w:tr>
                    <w:trPr>
                      <w:trHeight w:val="312" w:hRule="exact"/>
                    </w:trPr>
                    <w:tc>
                      <w:tcPr>
                        <w:tcW w:w="4382" w:type="dxa"/>
                        <w:vMerge/>
                        <w:tcBorders>
                          <w:left w:val="single" w:sz="6" w:space="0" w:color="000000"/>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3"/>
                          <w:jc w:val="left"/>
                          <w:rPr>
                            <w:rFonts w:ascii="宋体" w:hAnsi="宋体" w:cs="宋体" w:eastAsia="宋体" w:hint="default"/>
                            <w:sz w:val="18"/>
                            <w:szCs w:val="18"/>
                          </w:rPr>
                        </w:pPr>
                        <w:r>
                          <w:rPr>
                            <w:rFonts w:ascii="宋体" w:hAnsi="宋体" w:cs="宋体" w:eastAsia="宋体" w:hint="default"/>
                            <w:spacing w:val="6"/>
                            <w:sz w:val="18"/>
                            <w:szCs w:val="18"/>
                          </w:rPr>
                          <w:t>货物已签收；将收入与物流公司的对账记录进行核</w:t>
                        </w:r>
                      </w:p>
                    </w:tc>
                  </w:tr>
                  <w:tr>
                    <w:trPr>
                      <w:trHeight w:val="317" w:hRule="exact"/>
                    </w:trPr>
                    <w:tc>
                      <w:tcPr>
                        <w:tcW w:w="4382" w:type="dxa"/>
                        <w:vMerge/>
                        <w:tcBorders>
                          <w:left w:val="single" w:sz="6" w:space="0" w:color="000000"/>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27"/>
                          <w:jc w:val="left"/>
                          <w:rPr>
                            <w:rFonts w:ascii="宋体" w:hAnsi="宋体" w:cs="宋体" w:eastAsia="宋体" w:hint="default"/>
                            <w:sz w:val="18"/>
                            <w:szCs w:val="18"/>
                          </w:rPr>
                        </w:pPr>
                        <w:r>
                          <w:rPr>
                            <w:rFonts w:ascii="宋体" w:hAnsi="宋体" w:cs="宋体" w:eastAsia="宋体" w:hint="default"/>
                            <w:sz w:val="18"/>
                            <w:szCs w:val="18"/>
                          </w:rPr>
                          <w:t>对；移动互联网业务</w:t>
                        </w:r>
                        <w:r>
                          <w:rPr>
                            <w:rFonts w:ascii="Times New Roman" w:hAnsi="Times New Roman" w:cs="Times New Roman" w:eastAsia="Times New Roman" w:hint="default"/>
                            <w:sz w:val="18"/>
                            <w:szCs w:val="18"/>
                          </w:rPr>
                          <w:t>IT</w:t>
                        </w:r>
                        <w:r>
                          <w:rPr>
                            <w:rFonts w:ascii="宋体" w:hAnsi="宋体" w:cs="宋体" w:eastAsia="宋体" w:hint="default"/>
                            <w:sz w:val="18"/>
                            <w:szCs w:val="18"/>
                          </w:rPr>
                          <w:t>审计确认系统数据的真实性，</w:t>
                        </w:r>
                      </w:p>
                    </w:tc>
                  </w:tr>
                  <w:tr>
                    <w:trPr>
                      <w:trHeight w:val="307" w:hRule="exact"/>
                    </w:trPr>
                    <w:tc>
                      <w:tcPr>
                        <w:tcW w:w="4382" w:type="dxa"/>
                        <w:vMerge/>
                        <w:tcBorders>
                          <w:left w:val="single" w:sz="6" w:space="0" w:color="000000"/>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抽取系统部分数据与客户提供数据进行核对，抽取部</w:t>
                        </w:r>
                      </w:p>
                    </w:tc>
                  </w:tr>
                  <w:tr>
                    <w:trPr>
                      <w:trHeight w:val="333" w:hRule="exact"/>
                    </w:trPr>
                    <w:tc>
                      <w:tcPr>
                        <w:tcW w:w="4382" w:type="dxa"/>
                        <w:vMerge/>
                        <w:tcBorders>
                          <w:left w:val="single" w:sz="6" w:space="0" w:color="000000"/>
                          <w:bottom w:val="single" w:sz="6" w:space="0" w:color="000000"/>
                          <w:right w:val="single" w:sz="6" w:space="0" w:color="000000"/>
                        </w:tcBorders>
                      </w:tcPr>
                      <w:p>
                        <w:pPr/>
                      </w:p>
                    </w:tc>
                    <w:tc>
                      <w:tcPr>
                        <w:tcW w:w="41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分收入核对客户对账单。</w:t>
                        </w:r>
                      </w:p>
                    </w:tc>
                  </w:tr>
                  <w:tr>
                    <w:trPr>
                      <w:trHeight w:val="346" w:hRule="exact"/>
                    </w:trPr>
                    <w:tc>
                      <w:tcPr>
                        <w:tcW w:w="8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、应收账款预期信用损失事项</w:t>
                        </w:r>
                      </w:p>
                    </w:tc>
                  </w:tr>
                  <w:tr>
                    <w:trPr>
                      <w:trHeight w:val="348"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92"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331" w:hRule="exact"/>
                    </w:trPr>
                    <w:tc>
                      <w:tcPr>
                        <w:tcW w:w="43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8"/>
                          <w:ind w:right="-3"/>
                          <w:jc w:val="right"/>
                          <w:rPr>
                            <w:rFonts w:ascii="宋体" w:hAnsi="宋体" w:cs="宋体" w:eastAsia="宋体" w:hint="default"/>
                            <w:sz w:val="18"/>
                            <w:szCs w:val="18"/>
                          </w:rPr>
                        </w:pPr>
                        <w:r>
                          <w:rPr>
                            <w:rFonts w:ascii="宋体" w:hAnsi="宋体" w:cs="宋体" w:eastAsia="宋体" w:hint="default"/>
                            <w:spacing w:val="-2"/>
                            <w:sz w:val="18"/>
                            <w:szCs w:val="18"/>
                          </w:rPr>
                          <w:t>如财务报表附注六、</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所述</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日吉宏股份</w:t>
                        </w:r>
                      </w:p>
                    </w:tc>
                    <w:tc>
                      <w:tcPr>
                        <w:tcW w:w="41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pacing w:val="6"/>
                            <w:sz w:val="18"/>
                            <w:szCs w:val="18"/>
                          </w:rPr>
                          <w:t>我们针对应收账款预期信用损失上述关键审计</w:t>
                        </w:r>
                      </w:p>
                    </w:tc>
                  </w:tr>
                  <w:tr>
                    <w:trPr>
                      <w:trHeight w:val="37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456,749,538.63</w:t>
                        </w:r>
                        <w:r>
                          <w:rPr>
                            <w:rFonts w:ascii="宋体" w:hAnsi="宋体" w:cs="宋体" w:eastAsia="宋体" w:hint="default"/>
                            <w:sz w:val="18"/>
                            <w:szCs w:val="18"/>
                          </w:rPr>
                          <w:t>元，占流动资产总额</w:t>
                        </w:r>
                        <w:r>
                          <w:rPr>
                            <w:rFonts w:ascii="Times New Roman" w:hAnsi="Times New Roman" w:cs="Times New Roman" w:eastAsia="Times New Roman" w:hint="default"/>
                            <w:sz w:val="18"/>
                            <w:szCs w:val="18"/>
                          </w:rPr>
                          <w:t>28.66%</w:t>
                        </w:r>
                        <w:r>
                          <w:rPr>
                            <w:rFonts w:ascii="宋体" w:hAnsi="宋体" w:cs="宋体" w:eastAsia="宋体" w:hint="default"/>
                            <w:sz w:val="18"/>
                            <w:szCs w:val="18"/>
                          </w:rPr>
                          <w:t>。</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事项执行的主要审计程序包括：</w:t>
                        </w:r>
                      </w:p>
                    </w:tc>
                  </w:tr>
                  <w:tr>
                    <w:trPr>
                      <w:trHeight w:val="37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评价和测试与信用政策及应收款项管理相关</w:t>
                        </w:r>
                      </w:p>
                    </w:tc>
                  </w:tr>
                  <w:tr>
                    <w:trPr>
                      <w:trHeight w:val="24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的内部控制的设计和执行的有效性；</w:t>
                        </w:r>
                      </w:p>
                    </w:tc>
                  </w:tr>
                  <w:tr>
                    <w:trPr>
                      <w:trHeight w:val="216"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186" w:lineRule="exact"/>
                          <w:ind w:right="-3"/>
                          <w:jc w:val="right"/>
                          <w:rPr>
                            <w:rFonts w:ascii="宋体" w:hAnsi="宋体" w:cs="宋体" w:eastAsia="宋体" w:hint="default"/>
                            <w:sz w:val="18"/>
                            <w:szCs w:val="18"/>
                          </w:rPr>
                        </w:pPr>
                        <w:r>
                          <w:rPr>
                            <w:rFonts w:ascii="宋体" w:hAnsi="宋体" w:cs="宋体" w:eastAsia="宋体" w:hint="default"/>
                            <w:sz w:val="18"/>
                            <w:szCs w:val="18"/>
                          </w:rPr>
                          <w:t>应收款项绝对额相对较大，预期信用损失的估计依</w:t>
                        </w:r>
                      </w:p>
                    </w:tc>
                    <w:tc>
                      <w:tcPr>
                        <w:tcW w:w="412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4" w:right="-3"/>
                          <w:jc w:val="left"/>
                          <w:rPr>
                            <w:rFonts w:ascii="宋体" w:hAnsi="宋体" w:cs="宋体" w:eastAsia="宋体" w:hint="default"/>
                            <w:sz w:val="18"/>
                            <w:szCs w:val="18"/>
                          </w:rPr>
                        </w:pPr>
                        <w:r>
                          <w:rPr>
                            <w:rFonts w:ascii="宋体" w:hAnsi="宋体" w:cs="宋体" w:eastAsia="宋体" w:hint="default"/>
                            <w:sz w:val="18"/>
                            <w:szCs w:val="18"/>
                          </w:rPr>
                          <w:t>据管理层判断，因此，我们将应收账款预期信用损失确</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24" w:lineRule="exact"/>
                          <w:ind w:right="0"/>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与管理层就应收款项可收回性的估计进行交</w:t>
                        </w:r>
                      </w:p>
                    </w:tc>
                  </w:tr>
                  <w:tr>
                    <w:trPr>
                      <w:trHeight w:val="37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4" w:right="0"/>
                          <w:jc w:val="left"/>
                          <w:rPr>
                            <w:rFonts w:ascii="宋体" w:hAnsi="宋体" w:cs="宋体" w:eastAsia="宋体" w:hint="default"/>
                            <w:sz w:val="18"/>
                            <w:szCs w:val="18"/>
                          </w:rPr>
                        </w:pPr>
                        <w:r>
                          <w:rPr>
                            <w:rFonts w:ascii="宋体" w:hAnsi="宋体" w:cs="宋体" w:eastAsia="宋体" w:hint="default"/>
                            <w:sz w:val="18"/>
                            <w:szCs w:val="18"/>
                          </w:rPr>
                          <w:t>定为关键审计事项。</w:t>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4" w:right="0"/>
                          <w:jc w:val="left"/>
                          <w:rPr>
                            <w:rFonts w:ascii="宋体" w:hAnsi="宋体" w:cs="宋体" w:eastAsia="宋体" w:hint="default"/>
                            <w:sz w:val="18"/>
                            <w:szCs w:val="18"/>
                          </w:rPr>
                        </w:pPr>
                        <w:r>
                          <w:rPr>
                            <w:rFonts w:ascii="宋体" w:hAnsi="宋体" w:cs="宋体" w:eastAsia="宋体" w:hint="default"/>
                            <w:sz w:val="18"/>
                            <w:szCs w:val="18"/>
                          </w:rPr>
                          <w:t>流，并与历史收款记录进行比较；</w:t>
                        </w:r>
                      </w:p>
                    </w:tc>
                  </w:tr>
                  <w:tr>
                    <w:trPr>
                      <w:trHeight w:val="341"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0"/>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分析应收款项预期信用损失估计方法的合理</w:t>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性，按照公司的会计政策计算预期信用损失，分析应</w:t>
                        </w:r>
                      </w:p>
                    </w:tc>
                  </w:tr>
                  <w:tr>
                    <w:trPr>
                      <w:trHeight w:val="37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收款项预期信用损失计提的充分性；</w:t>
                        </w:r>
                      </w:p>
                    </w:tc>
                  </w:tr>
                  <w:tr>
                    <w:trPr>
                      <w:trHeight w:val="37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对单项风险特征明显的应收账款，结合已经</w:t>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识别出的债务人的特征，和债务人财务状况及还款能</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6"/>
                            <w:sz w:val="18"/>
                            <w:szCs w:val="18"/>
                          </w:rPr>
                          <w:t>力，对管理层对预期信用损失的预计进行分析、复核</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3"/>
                          <w:jc w:val="left"/>
                          <w:rPr>
                            <w:rFonts w:ascii="宋体" w:hAnsi="宋体" w:cs="宋体" w:eastAsia="宋体" w:hint="default"/>
                            <w:sz w:val="18"/>
                            <w:szCs w:val="18"/>
                          </w:rPr>
                        </w:pPr>
                        <w:r>
                          <w:rPr>
                            <w:rFonts w:ascii="宋体" w:hAnsi="宋体" w:cs="宋体" w:eastAsia="宋体" w:hint="default"/>
                            <w:spacing w:val="6"/>
                            <w:sz w:val="18"/>
                            <w:szCs w:val="18"/>
                          </w:rPr>
                          <w:t>以确认预期信用损失计提方法的合理性和计提结果</w:t>
                        </w:r>
                      </w:p>
                    </w:tc>
                  </w:tr>
                  <w:tr>
                    <w:trPr>
                      <w:trHeight w:val="37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的充分性；</w:t>
                        </w:r>
                      </w:p>
                    </w:tc>
                  </w:tr>
                  <w:tr>
                    <w:trPr>
                      <w:trHeight w:val="37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通过分析应收款项的账龄和客户信用的情况</w:t>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2"/>
                            <w:sz w:val="18"/>
                            <w:szCs w:val="18"/>
                          </w:rPr>
                          <w:t>结合应收款项函证、期后回款情况等，验证预期信用</w:t>
                        </w:r>
                      </w:p>
                    </w:tc>
                  </w:tr>
                  <w:tr>
                    <w:trPr>
                      <w:trHeight w:val="37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损失计提的合理性；</w:t>
                        </w:r>
                      </w:p>
                    </w:tc>
                  </w:tr>
                  <w:tr>
                    <w:trPr>
                      <w:trHeight w:val="37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0"/>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复核公司应收款款项及相应的坏账准备的披</w:t>
                        </w:r>
                      </w:p>
                    </w:tc>
                  </w:tr>
                  <w:tr>
                    <w:trPr>
                      <w:trHeight w:val="449" w:hRule="exact"/>
                    </w:trPr>
                    <w:tc>
                      <w:tcPr>
                        <w:tcW w:w="4382" w:type="dxa"/>
                        <w:tcBorders>
                          <w:top w:val="nil" w:sz="6" w:space="0" w:color="auto"/>
                          <w:left w:val="single" w:sz="6" w:space="0" w:color="000000"/>
                          <w:bottom w:val="single" w:sz="6" w:space="0" w:color="000000"/>
                          <w:right w:val="single" w:sz="6" w:space="0" w:color="000000"/>
                        </w:tcBorders>
                      </w:tcPr>
                      <w:p>
                        <w:pPr/>
                      </w:p>
                    </w:tc>
                    <w:tc>
                      <w:tcPr>
                        <w:tcW w:w="41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露和列报。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0" w:right="220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319" w:lineRule="auto" w:before="44"/>
        <w:ind w:left="512" w:right="1128"/>
        <w:jc w:val="left"/>
      </w:pPr>
      <w:r>
        <w:rPr>
          <w:rFonts w:ascii="宋体" w:hAnsi="宋体" w:cs="宋体" w:eastAsia="宋体" w:hint="default"/>
          <w:b/>
          <w:bCs/>
        </w:rPr>
        <w:t>四、其他信息</w:t>
      </w:r>
      <w:r>
        <w:rPr>
          <w:rFonts w:ascii="宋体" w:hAnsi="宋体" w:cs="宋体" w:eastAsia="宋体" w:hint="default"/>
          <w:b/>
          <w:bCs/>
          <w:w w:val="99"/>
        </w:rPr>
        <w:t> </w:t>
      </w:r>
      <w:r>
        <w:rPr>
          <w:spacing w:val="-1"/>
        </w:rPr>
        <w:t>吉宏股份管理层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对其他信息负责。其他信息包括吉宏股份</w:t>
      </w:r>
      <w:r>
        <w:rPr>
          <w:rFonts w:ascii="Times New Roman" w:hAnsi="Times New Roman" w:cs="Times New Roman" w:eastAsia="Times New Roman" w:hint="default"/>
          <w:spacing w:val="-1"/>
        </w:rPr>
        <w:t>2019</w:t>
      </w:r>
      <w:r>
        <w:rPr>
          <w:spacing w:val="-1"/>
        </w:rPr>
        <w:t>年度报告中涵盖的信息，但不包括财务</w:t>
      </w:r>
    </w:p>
    <w:p>
      <w:pPr>
        <w:pStyle w:val="BodyText"/>
        <w:spacing w:line="316" w:lineRule="auto"/>
        <w:ind w:left="512" w:right="1128" w:hanging="361"/>
        <w:jc w:val="left"/>
      </w:pPr>
      <w:r>
        <w:rPr/>
        <w:t>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8"/>
        <w:ind w:left="512" w:right="1128"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28"/>
        <w:jc w:val="left"/>
      </w:pPr>
      <w:r>
        <w:rPr/>
        <w:t>报告。</w:t>
      </w:r>
    </w:p>
    <w:p>
      <w:pPr>
        <w:spacing w:line="316" w:lineRule="auto" w:before="76"/>
        <w:ind w:left="512" w:right="1128"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40" w:lineRule="auto" w:before="19"/>
        <w:ind w:right="1128"/>
        <w:jc w:val="left"/>
      </w:pPr>
      <w:r>
        <w:rPr/>
        <w:t>务报表不存在由于舞弊或错误导致的重大错报。</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34" w:firstLine="360"/>
        <w:jc w:val="both"/>
      </w:pPr>
      <w:r>
        <w:rPr>
          <w:spacing w:val="-2"/>
        </w:rPr>
        <w:t>在编制财务报表时，管理层负责评估吉宏股份的持续经营能力，披露与持续经营相关的事项（如适用），并运用持续经</w:t>
      </w:r>
      <w:r>
        <w:rPr/>
        <w:t> 营假设，除非管理层计划清算吉宏股份、终止运营或别无其他现实的选择。</w:t>
      </w:r>
    </w:p>
    <w:p>
      <w:pPr>
        <w:spacing w:line="316" w:lineRule="auto" w:before="19"/>
        <w:ind w:left="512" w:right="6973" w:firstLine="0"/>
        <w:jc w:val="left"/>
        <w:rPr>
          <w:rFonts w:ascii="宋体" w:hAnsi="宋体" w:cs="宋体" w:eastAsia="宋体" w:hint="default"/>
          <w:sz w:val="18"/>
          <w:szCs w:val="18"/>
        </w:rPr>
      </w:pPr>
      <w:r>
        <w:rPr>
          <w:rFonts w:ascii="宋体" w:hAnsi="宋体" w:cs="宋体" w:eastAsia="宋体" w:hint="default"/>
          <w:sz w:val="18"/>
          <w:szCs w:val="18"/>
        </w:rPr>
        <w:t>治理层负责监督吉宏股份的财务报告过程。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8"/>
        <w:ind w:right="1129"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2" w:right="1128"/>
        <w:jc w:val="left"/>
      </w:pPr>
      <w:r>
        <w:rPr/>
        <w:t>在按照审计准则执行审计工作的过程中，我们运用职业判断，并保持职业怀疑。同时，我们也执行以下工作：</w:t>
      </w:r>
    </w:p>
    <w:p>
      <w:pPr>
        <w:pStyle w:val="BodyText"/>
        <w:spacing w:line="309" w:lineRule="auto" w:before="76"/>
        <w:ind w:right="1033"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300" w:lineRule="auto" w:before="24"/>
        <w:ind w:left="512" w:right="4633"/>
        <w:jc w:val="left"/>
      </w:pPr>
      <w:r>
        <w:rPr/>
        <w:t>（</w:t>
      </w:r>
      <w:r>
        <w:rPr>
          <w:rFonts w:ascii="Times New Roman" w:hAnsi="Times New Roman" w:cs="Times New Roman" w:eastAsia="Times New Roman" w:hint="default"/>
        </w:rPr>
        <w:t>2</w:t>
      </w:r>
      <w:r>
        <w:rPr/>
        <w:t>）了解与审计相关的内部控制，以设计恰当的审计程序。 评价管理层选用会计政策的恰当性和作出会计估计及相关披露的合理性。</w:t>
      </w:r>
    </w:p>
    <w:p>
      <w:pPr>
        <w:pStyle w:val="BodyText"/>
        <w:spacing w:line="312" w:lineRule="auto" w:before="31"/>
        <w:ind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）对管理层使用持续经营假设的恰当性得出结论。同时，根据获取的审计证据，就可能导致对吉宏股份持续经营能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于截至审计报告日可获得的信息。然而，未来的事项或情况可能导致吉宏股份不能持续经营。</w:t>
      </w:r>
    </w:p>
    <w:p>
      <w:pPr>
        <w:pStyle w:val="BodyText"/>
        <w:spacing w:line="240" w:lineRule="auto" w:before="22"/>
        <w:ind w:left="512" w:right="1128"/>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62"/>
        <w:ind w:right="1132" w:firstLine="360"/>
        <w:jc w:val="both"/>
      </w:pPr>
      <w:r>
        <w:rPr/>
        <w:t>（</w:t>
      </w:r>
      <w:r>
        <w:rPr>
          <w:rFonts w:ascii="Times New Roman" w:hAnsi="Times New Roman" w:cs="Times New Roman" w:eastAsia="Times New Roman" w:hint="default"/>
        </w:rPr>
        <w:t>6</w:t>
      </w:r>
      <w:r>
        <w:rPr/>
        <w:t>）就吉宏股份中实体或业务活动的财务信息获取充分、适当的审计证据，以对财务报表发表审计意见。我们负责指 导、监督和执行集团审计，并对审计意见承担全部责任。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8"/>
        <w:ind w:right="1129" w:firstLine="288"/>
        <w:jc w:val="both"/>
      </w:pPr>
      <w:r>
        <w:rPr>
          <w:spacing w:val="-1"/>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11"/>
        <w:rPr>
          <w:rFonts w:ascii="宋体" w:hAnsi="宋体" w:cs="宋体" w:eastAsia="宋体" w:hint="default"/>
          <w:sz w:val="20"/>
          <w:szCs w:val="20"/>
        </w:rPr>
      </w:pPr>
    </w:p>
    <w:p>
      <w:pPr>
        <w:pStyle w:val="Heading2"/>
        <w:spacing w:line="240" w:lineRule="auto"/>
        <w:ind w:right="1128"/>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8"/>
        <w:jc w:val="left"/>
      </w:pPr>
      <w:r>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编制单位：厦门吉宏科技股份有限公司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5"/>
        <w:jc w:val="left"/>
      </w:pPr>
      <w:r>
        <w:rPr>
          <w:rFonts w:ascii="Times New Roman" w:hAnsi="Times New Roman" w:cs="Times New Roman" w:eastAsia="Times New Roman" w:hint="default"/>
        </w:rPr>
        <w:t>2019 </w:t>
      </w:r>
      <w:r>
        <w:rPr/>
        <w:t>年</w:t>
      </w:r>
      <w:r>
        <w:rPr>
          <w:spacing w:val="-47"/>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3" w:equalWidth="0">
            <w:col w:w="3213" w:space="862"/>
            <w:col w:w="1641" w:space="3202"/>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487,752,265.19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280,669,307.72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282,000,000.00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1,880,288.00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456,749,538.63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343,892,254.10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953,086.98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53,100,968.76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34,425,547.06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29,323,551.30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24,446,625.06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725,593.15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11,074,659.91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244,234,319.16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206,239,279.77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39,636,273.01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30,604,185.33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1,593,750,003.03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922,157,487.04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13,795,058.73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37,349,681.63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448,336,953.86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369,296,773.07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120,381,641.88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4,929,599.88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104,419,992.15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89,608,113.37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144,884,677.88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144,880,622.88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6,746,588.46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7,797,891.63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5,407,599.46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3,884,796.21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1,534,144.56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8,499,692.93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845,506,656.98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666,247,171.60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2,439,256,660.01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1,588,404,658.64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349,510,000.00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259,967,000.00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89,004,436.64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46,565,501.11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306,819,584.24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295,613,381.81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2,637,462.47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11,396,505.79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5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30,782,877.41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26,544,745.28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38,114,132.14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32,356,170.08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64,381,139.25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118,538,313.17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904,975.23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625,447.54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2,105,263.16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38,867,252.13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21,637,500.93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920,116,884.28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812,619,118.17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24,774,753.92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45,536,886.32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12,458,325.58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4,434,353.31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5,273,839.24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8,581,167.42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68,106,918.74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58,552,407.05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988,223,803.02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871,171,525.22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222,593,699.00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521,681,156.53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50,001,501.74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5,998,852.83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954,310.02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579,015.09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45,862,816.65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31,496,237.40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621,788,481.82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408,497,974.02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1,406,881,611.19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687,774,728.25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44,151,245.80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29,458,405.17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1,451,032,856.99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717,233,133.42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2,439,256,660.01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1,588,404,658.64</w:t>
            </w:r>
          </w:p>
        </w:tc>
      </w:tr>
    </w:tbl>
    <w:p>
      <w:pPr>
        <w:spacing w:line="240" w:lineRule="auto" w:before="11"/>
        <w:rPr>
          <w:rFonts w:ascii="Times New Roman" w:hAnsi="Times New Roman" w:cs="Times New Roman" w:eastAsia="Times New Roman" w:hint="default"/>
          <w:sz w:val="22"/>
          <w:szCs w:val="22"/>
        </w:rPr>
      </w:pPr>
    </w:p>
    <w:p>
      <w:pPr>
        <w:pStyle w:val="BodyText"/>
        <w:tabs>
          <w:tab w:pos="3333" w:val="left" w:leader="none"/>
          <w:tab w:pos="7564" w:val="left" w:leader="none"/>
        </w:tabs>
        <w:spacing w:line="240" w:lineRule="auto" w:before="44"/>
        <w:ind w:left="0" w:right="1225"/>
        <w:jc w:val="right"/>
      </w:pPr>
      <w:r>
        <w:rPr/>
        <w:t>法定代表人：庄浩</w:t>
        <w:tab/>
      </w:r>
      <w:r>
        <w:rPr>
          <w:spacing w:val="-1"/>
        </w:rPr>
        <w:t>主管会计工作负责人：吴明贵</w:t>
        <w:tab/>
      </w:r>
      <w:r>
        <w:rPr/>
        <w:t>会计机构负责人：詹文明</w:t>
      </w:r>
    </w:p>
    <w:p>
      <w:pPr>
        <w:spacing w:line="240" w:lineRule="auto" w:before="0"/>
        <w:rPr>
          <w:rFonts w:ascii="宋体" w:hAnsi="宋体" w:cs="宋体" w:eastAsia="宋体" w:hint="default"/>
          <w:sz w:val="18"/>
          <w:szCs w:val="18"/>
        </w:rPr>
      </w:pPr>
    </w:p>
    <w:p>
      <w:pPr>
        <w:pStyle w:val="Heading3"/>
        <w:spacing w:line="240" w:lineRule="auto" w:before="117"/>
        <w:ind w:right="1128"/>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203,015,413.37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99,517,502.22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1,356,288.00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206,771,093.88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106,884,113.53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953,086.98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9,907,877.93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4,163,352.16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577,561,547.91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178,483,581.84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605,627.40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57,574,659.91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78,099,781.99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78,331,416.63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621,779.21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6,483,955.18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1,103,930,581.27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475,220,209.56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471,638,102.23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390,205,705.38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155,654,519.46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174,790,862.62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9,625,992.50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414,025.38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10,500,213.48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9,469,495.57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4,222,324.12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5,147,035.16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1,510,083.06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963,940.64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1,534,144.56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3,606,125.18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654,685,379.41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584,597,189.93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1,758,615,960.68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1,059,817,399.49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342,440,000.00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248,710,000.00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67,604,436.64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46,565,501.11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76,831,150.22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68,523,189.12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1,113,103.47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786,428.79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11,847,166.32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9,609,367.29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4,031,943.86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1,241,659.80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122,597,567.36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99,324,537.31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678,884.62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429,182.64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29,505,406.43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21,637,500.93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655,970,774.30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496,398,184.35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20,466,523.65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45,536,886.32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3,116,485.88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3,736,969.04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49,183,009.53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49,273,855.36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705,153,783.83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545,672,039.71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222,593,699.00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523,855,703.60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48,999,587.09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5,998,852.83</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45,862,816.65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31,496,237.40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267,148,810.43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236,449,535.29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1,053,462,176.85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514,145,359.78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1,758,615,960.68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1,059,817,399.49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3,009,252,726.74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2,269,045,472.46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3,009,252,726.74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2,269,045,472.46</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557.039795pt;width:160pt;height:19.6pt;mso-position-horizontal-relative:page;mso-position-vertical-relative:page;z-index:-1282168" coordorigin="4219,11141" coordsize="3200,392">
            <v:group style="position:absolute;left:7397;top:11141;width:22;height:392" coordorigin="7397,11141" coordsize="22,392">
              <v:shape style="position:absolute;left:7397;top:11141;width:22;height:392" coordorigin="7397,11141" coordsize="22,392" path="m7397,11532l7418,11532,7418,11141,7397,11141,7397,11532xe" filled="true" fillcolor="#ffffff" stroked="false">
                <v:path arrowok="t"/>
                <v:fill type="solid"/>
              </v:shape>
            </v:group>
            <v:group style="position:absolute;left:4219;top:11141;width:22;height:392" coordorigin="4219,11141" coordsize="22,392">
              <v:shape style="position:absolute;left:4219;top:11141;width:22;height:392" coordorigin="4219,11141" coordsize="22,392" path="m4219,11532l4241,11532,4241,11141,4219,11141,4219,11532xe" filled="true" fillcolor="#ffffff" stroked="false">
                <v:path arrowok="t"/>
                <v:fill type="solid"/>
              </v:shape>
            </v:group>
            <v:group style="position:absolute;left:4241;top:11141;width:3156;height:392" coordorigin="4241,11141" coordsize="3156,392">
              <v:shape style="position:absolute;left:4241;top:11141;width:3156;height:392" coordorigin="4241,11141" coordsize="3156,392" path="m4241,11141l7397,11141,7397,11532,4241,11532,4241,111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8"/>
        <w:gridCol w:w="3211"/>
        <w:gridCol w:w="3276"/>
      </w:tblGrid>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2,633,511,033.94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2,017,655,793.64</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1,702,706,820.83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1,292,040,084.46</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11,445,644.43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9,342,168.45</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733,394,987.51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599,747,293.45</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98,408,775.80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59,216,036.48</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63,703,538.50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34,638,980.90</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23,851,266.87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22,671,229.90</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27,419,278.98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29,991,711.40</w:t>
            </w:r>
          </w:p>
        </w:tc>
      </w:tr>
      <w:tr>
        <w:trPr>
          <w:trHeight w:val="401"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7,785,200.32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6,690,337.36</w:t>
            </w: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11,898,952.80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1,478,164.27</w:t>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2,588,417.05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10,579,723.58</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1,959,264.17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2,431,138.40</w:t>
            </w: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6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1" w:firstLine="720"/>
              <w:jc w:val="left"/>
              <w:rPr>
                <w:rFonts w:ascii="宋体" w:hAnsi="宋体" w:cs="宋体" w:eastAsia="宋体"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-3,532,518.93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-7,527,697.26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-10,361,393.39</w:t>
            </w:r>
          </w:p>
        </w:tc>
      </w:tr>
      <w:tr>
        <w:trPr>
          <w:trHeight w:val="715" w:hRule="exact"/>
        </w:trPr>
        <w:tc>
          <w:tcPr>
            <w:tcW w:w="3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137,173.23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-141,701.97</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81" w:header="745" w:top="1060" w:bottom="1180" w:left="980" w:right="0"/>
          <w:pgNumType w:start="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132.839767pt;width:160pt;height:19.6pt;mso-position-horizontal-relative:page;mso-position-vertical-relative:page;z-index:-1282144" coordorigin="4219,2657" coordsize="3200,392">
            <v:group style="position:absolute;left:7397;top:2657;width:22;height:392" coordorigin="7397,2657" coordsize="22,392">
              <v:shape style="position:absolute;left:7397;top:2657;width:22;height:392" coordorigin="7397,2657" coordsize="22,392" path="m7397,3048l7418,3048,7418,2657,7397,2657,7397,3048xe" filled="true" fillcolor="#ffffff" stroked="false">
                <v:path arrowok="t"/>
                <v:fill type="solid"/>
              </v:shape>
            </v:group>
            <v:group style="position:absolute;left:4219;top:2657;width:22;height:392" coordorigin="4219,2657" coordsize="22,392">
              <v:shape style="position:absolute;left:4219;top:2657;width:22;height:392" coordorigin="4219,2657" coordsize="22,392" path="m4219,3048l4241,3048,4241,2657,4219,2657,4219,3048xe" filled="true" fillcolor="#ffffff" stroked="false">
                <v:path arrowok="t"/>
                <v:fill type="solid"/>
              </v:shape>
            </v:group>
            <v:group style="position:absolute;left:4241;top:2657;width:3156;height:392" coordorigin="4241,2657" coordsize="3156,392">
              <v:shape style="position:absolute;left:4241;top:2657;width:3156;height:392" coordorigin="4241,2657" coordsize="3156,392" path="m4241,2657l7397,2657,7397,3048,4241,3048,4241,265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379,306,019.69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252,944,471.31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5,650,757.90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7,509,521.58</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3,438,618.99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3,044,485.38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tabs>
                <w:tab w:pos="2051" w:val="left" w:leader="none"/>
              </w:tabs>
              <w:spacing w:line="240" w:lineRule="auto" w:before="51"/>
              <w:ind w:left="-121"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381,518,158.60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257,409,507.51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35,217,080.80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29,057,472.56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346,301,077.80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228,352,034.95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346,301,077.80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228,352,034.95</w:t>
            </w:r>
          </w:p>
        </w:tc>
      </w:tr>
      <w:tr>
        <w:trPr>
          <w:trHeight w:val="714"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326,257,025.14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213,169,745.48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20,044,052.66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15,182,289.47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406,110.15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1,072,627.73</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6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375,294.93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995,539.46</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firstLine="34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9" w:firstLine="34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375,294.93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995,539.46</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79"/>
        <w:gridCol w:w="3211"/>
        <w:gridCol w:w="3276"/>
      </w:tblGrid>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375,294.93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995,539.46</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30,815.22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77,088.27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346,707,187.95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229,424,662.68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326,632,320.07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214,165,284.94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20,074,867.88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15,259,377.74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w:t>
            </w:r>
          </w:p>
        </w:tc>
      </w:tr>
    </w:tbl>
    <w:p>
      <w:pPr>
        <w:pStyle w:val="BodyText"/>
        <w:tabs>
          <w:tab w:pos="3486" w:val="left" w:leader="none"/>
          <w:tab w:pos="7717" w:val="left" w:leader="none"/>
        </w:tabs>
        <w:spacing w:line="595" w:lineRule="auto" w:before="49"/>
        <w:ind w:right="1225"/>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法定代表人：庄浩</w:t>
        <w:tab/>
      </w:r>
      <w:r>
        <w:rPr>
          <w:spacing w:val="-1"/>
        </w:rPr>
        <w:t>主管会计工作负责人：吴明贵</w:t>
        <w:tab/>
      </w:r>
      <w:r>
        <w:rPr/>
        <w:t>会计机构负责人：詹文明</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755,496,718.05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659,360,054.21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605,425,122.31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546,909,948.38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3,560,444.72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3,371,868.01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36,526,064.80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25,119,376.80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35,101,377.94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30,261,631.07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35,774,518.29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27,633,795.03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13,056,981.02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16,426,041.65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21,448,853.64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23,187,786.67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9,365,052.35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6,493,412.56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7,465,587.37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891,623.74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116,734,730.18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96,717,388.40</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3,113,896.85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2,431,138.40</w:t>
            </w:r>
          </w:p>
        </w:tc>
      </w:tr>
      <w:tr>
        <w:trPr>
          <w:trHeight w:val="102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-2,778,345.49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-3,760,689.21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293,713.61</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102,132.27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12,657.73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143,815,624.09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107,552,776.75</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1,458,037.59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4,489,457.84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338,742.85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1,832,800.00</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144,934,918.83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110,209,434.59</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1,269,126.35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506,118.91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143,665,792.48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109,703,315.68</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143,665,792.48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109,703,315.68</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143,665,792.48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109,703,315.68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8"/>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8" w:right="0"/>
              <w:jc w:val="left"/>
              <w:rPr>
                <w:rFonts w:ascii="Times New Roman" w:hAnsi="Times New Roman" w:cs="Times New Roman" w:eastAsia="Times New Roman" w:hint="default"/>
                <w:sz w:val="18"/>
                <w:szCs w:val="18"/>
              </w:rPr>
            </w:pPr>
            <w:r>
              <w:rPr>
                <w:rFonts w:ascii="Times New Roman"/>
                <w:sz w:val="18"/>
              </w:rPr>
              <w:t>3,134,205,435.16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8" w:right="0"/>
              <w:jc w:val="left"/>
              <w:rPr>
                <w:rFonts w:ascii="Times New Roman" w:hAnsi="Times New Roman" w:cs="Times New Roman" w:eastAsia="Times New Roman" w:hint="default"/>
                <w:sz w:val="18"/>
                <w:szCs w:val="18"/>
              </w:rPr>
            </w:pPr>
            <w:r>
              <w:rPr>
                <w:rFonts w:ascii="Times New Roman"/>
                <w:sz w:val="18"/>
              </w:rPr>
              <w:t>2,173,124,433.68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2,443,558.22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1,789,772.80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30,312,611.58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12,303,075.52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3,166,961,604.96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2,187,217,282.00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1,878,293,897.51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1,256,860,406.35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234,698,734.61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134,252,539.22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92,974,721.54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69,727,961.28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643,822,110.06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469,390,221.34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2,849,789,463.72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1,930,231,128.19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317,172,141.24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256,986,153.81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2,338,068.33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59,840,000.00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877,044.00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838,137.43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65,282.44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3,215,112.33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150,743,419.87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210,027,727.26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38,704,546.46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4,990,000.00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23,290,000.00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25,856,264.12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137,903,474.37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398,000,000.00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2,221,500.00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638,873,991.38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202,119,520.83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-635,658,879.05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-51,376,100.96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503,189,592.27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409,530,000.00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287,710,000.00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20,321,622.87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140,207,871.10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933,041,215.14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429,917,871.10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338,308,587.70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343,840,000.00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122,632,549.42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41,750,778.85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7,903,225.80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1,098,416.00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67,993,393.65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110,907,155.00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528,934,530.77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496,497,933.85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404,106,684.37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-66,580,062.75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1,844,285.77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1,782,606.32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87,464,232.33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140,812,596.42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261,433,972.56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120,621,376.14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348,898,204.89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261,433,972.56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8"/>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729,414,344.77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695,924,054.34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1,437,130.52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1,785,113.98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16,282,391.60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7,242,661.87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747,133,866.89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704,951,830.19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565,330,933.25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518,591,376.10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70,174,365.01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49,771,174.21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16,998,770.35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23,302,917.69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48,801,072.22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39,955,231.94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701,305,140.83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631,620,699.94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45,828,726.06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73,331,130.25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59,840,000.00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438,764.00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1,049,461.45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163,438,764.00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180,889,461.45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30,300,475.08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8,785,858.42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74,340,000.00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55,724,630.77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156,600,000.00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143,000,000.00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253,375,105.85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239,725,858.42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-89,936,341.85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-58,836,396.97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500,249,592.27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393,460,000.00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287,710,000.00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592,607,695.44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179,857,871.10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1,486,317,287.71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467,567,871.10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267,730,000.00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337,150,000.00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112,639,083.69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34,380,992.83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1,077,220,560.66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110,907,155.00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1,457,589,644.35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482,438,147.83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28,727,643.36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-14,870,276.73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-740,839.49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1,758,033.56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-16,120,811.92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1,382,490.11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80,282,755.78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78,900,265.67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64,161,943.86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80,282,755.78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本期金额</w:t>
      </w:r>
    </w:p>
    <w:p>
      <w:pPr>
        <w:pStyle w:val="BodyText"/>
        <w:spacing w:line="240" w:lineRule="auto" w:before="115"/>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3"/>
        <w:gridCol w:w="583"/>
        <w:gridCol w:w="583"/>
        <w:gridCol w:w="586"/>
        <w:gridCol w:w="583"/>
        <w:gridCol w:w="583"/>
        <w:gridCol w:w="586"/>
        <w:gridCol w:w="578"/>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1"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3" w:type="dxa"/>
            <w:vMerge/>
            <w:tcBorders>
              <w:left w:val="single" w:sz="4" w:space="0" w:color="000000"/>
              <w:right w:val="single" w:sz="4" w:space="0" w:color="000000"/>
            </w:tcBorders>
            <w:shd w:val="clear" w:color="auto" w:fill="D3D3D3"/>
          </w:tcPr>
          <w:p>
            <w:pPr/>
          </w:p>
        </w:tc>
        <w:tc>
          <w:tcPr>
            <w:tcW w:w="714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37"/>
              <w:ind w:left="105" w:right="100"/>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53" w:type="dxa"/>
            <w:vMerge/>
            <w:tcBorders>
              <w:left w:val="single" w:sz="4" w:space="0" w:color="000000"/>
              <w:right w:val="single" w:sz="4" w:space="0" w:color="000000"/>
            </w:tcBorders>
            <w:shd w:val="clear" w:color="auto" w:fill="D3D3D3"/>
          </w:tcPr>
          <w:p>
            <w:pPr/>
          </w:p>
        </w:tc>
        <w:tc>
          <w:tcPr>
            <w:tcW w:w="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8" w:right="21" w:hanging="8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8"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08"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3D3D3"/>
          </w:tcPr>
          <w:p>
            <w:pPr/>
          </w:p>
        </w:tc>
        <w:tc>
          <w:tcPr>
            <w:tcW w:w="578" w:type="dxa"/>
            <w:vMerge/>
            <w:tcBorders>
              <w:left w:val="single" w:sz="4" w:space="0" w:color="000000"/>
              <w:right w:val="single" w:sz="4" w:space="0" w:color="000000"/>
            </w:tcBorders>
            <w:shd w:val="clear" w:color="auto" w:fill="D3D3D3"/>
          </w:tcPr>
          <w:p>
            <w:pPr/>
          </w:p>
        </w:tc>
      </w:tr>
      <w:tr>
        <w:trPr>
          <w:trHeight w:val="713" w:hRule="exact"/>
        </w:trPr>
        <w:tc>
          <w:tcPr>
            <w:tcW w:w="1253" w:type="dxa"/>
            <w:vMerge/>
            <w:tcBorders>
              <w:left w:val="single" w:sz="4" w:space="0" w:color="000000"/>
              <w:bottom w:val="single" w:sz="4" w:space="0" w:color="000000"/>
              <w:right w:val="single" w:sz="4" w:space="0" w:color="000000"/>
            </w:tcBorders>
            <w:shd w:val="clear" w:color="auto" w:fill="D3D3D3"/>
          </w:tcPr>
          <w:p>
            <w:pPr/>
          </w:p>
        </w:tc>
        <w:tc>
          <w:tcPr>
            <w:tcW w:w="494" w:type="dxa"/>
            <w:vMerge/>
            <w:tcBorders>
              <w:left w:val="single" w:sz="4" w:space="0" w:color="000000"/>
              <w:bottom w:val="single" w:sz="4" w:space="0" w:color="000000"/>
              <w:right w:val="single" w:sz="4" w:space="0" w:color="000000"/>
            </w:tcBorders>
            <w:shd w:val="clear" w:color="auto" w:fill="D3D3D3"/>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39" w:right="45"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197,2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579,01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5.09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408,49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7,974.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687,77</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4,728.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29,458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717,23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3,133.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197,2</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579,01</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5.09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408,49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7,974.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687,77</w:t>
            </w:r>
          </w:p>
          <w:p>
            <w:pPr>
              <w:pStyle w:val="TableParagraph"/>
              <w:spacing w:line="240" w:lineRule="auto" w:before="102"/>
              <w:ind w:left="101" w:right="0"/>
              <w:jc w:val="left"/>
              <w:rPr>
                <w:rFonts w:ascii="Times New Roman" w:hAnsi="Times New Roman" w:cs="Times New Roman" w:eastAsia="Times New Roman" w:hint="default"/>
                <w:sz w:val="18"/>
                <w:szCs w:val="18"/>
              </w:rPr>
            </w:pPr>
            <w:r>
              <w:rPr>
                <w:rFonts w:ascii="Times New Roman"/>
                <w:sz w:val="18"/>
              </w:rPr>
              <w:t>4,728.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29,458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717,23</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3,133.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25,39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9,654.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5,998,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852.83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375,29</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4.93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14,366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213,29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719,10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6,882.</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14,692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733,79</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9,723.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57</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375,29</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4.93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326,25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7,025.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326,63</w:t>
            </w:r>
          </w:p>
          <w:p>
            <w:pPr>
              <w:pStyle w:val="TableParagraph"/>
              <w:spacing w:line="240" w:lineRule="auto" w:before="102"/>
              <w:ind w:left="101" w:right="0"/>
              <w:jc w:val="left"/>
              <w:rPr>
                <w:rFonts w:ascii="Times New Roman" w:hAnsi="Times New Roman" w:cs="Times New Roman" w:eastAsia="Times New Roman" w:hint="default"/>
                <w:sz w:val="18"/>
                <w:szCs w:val="18"/>
              </w:rPr>
            </w:pPr>
            <w:r>
              <w:rPr>
                <w:rFonts w:ascii="Times New Roman"/>
                <w:sz w:val="18"/>
              </w:rPr>
              <w:t>2,320.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346,70</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7,187.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95</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25,39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9,654.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5,998,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852.83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491,07</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1,126,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461.72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492,20</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0,962.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25,39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3,699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471,67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9,654.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497,07</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3,353.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497,56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3,353.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79</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5,998,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852.83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-5,998,</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852.83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636,46</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1.72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-5,362,</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391.11</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14,366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-112,9</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66,517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.34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-98,59</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9,938.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-6,508,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488.97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-105,1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08,427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14,366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-14,36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6,579.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-98,59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9,938.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-98,59</w:t>
            </w:r>
          </w:p>
          <w:p>
            <w:pPr>
              <w:pStyle w:val="TableParagraph"/>
              <w:spacing w:line="240" w:lineRule="auto" w:before="102"/>
              <w:ind w:left="101" w:right="0"/>
              <w:jc w:val="left"/>
              <w:rPr>
                <w:rFonts w:ascii="Times New Roman" w:hAnsi="Times New Roman" w:cs="Times New Roman" w:eastAsia="Times New Roman" w:hint="default"/>
                <w:sz w:val="18"/>
                <w:szCs w:val="18"/>
              </w:rPr>
            </w:pPr>
            <w:r>
              <w:rPr>
                <w:rFonts w:ascii="Times New Roman"/>
                <w:sz w:val="18"/>
              </w:rPr>
              <w:t>9,938.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-6,508,</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488.97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-105,1</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08,427</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.06</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3"/>
        <w:gridCol w:w="583"/>
        <w:gridCol w:w="583"/>
        <w:gridCol w:w="586"/>
        <w:gridCol w:w="583"/>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222,5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93,69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521,68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1,156.</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5,998,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852.83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954,31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0.02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45,862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621,78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8,481.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1,406,</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881,61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1.19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44,151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1,451,</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032,85</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6.99</w:t>
            </w:r>
          </w:p>
        </w:tc>
      </w:tr>
    </w:tbl>
    <w:p>
      <w:pPr>
        <w:pStyle w:val="BodyText"/>
        <w:spacing w:line="240" w:lineRule="auto" w:before="49"/>
        <w:ind w:right="1128"/>
        <w:jc w:val="left"/>
      </w:pPr>
      <w:r>
        <w:rPr/>
        <w:t>上期金额</w:t>
      </w:r>
    </w:p>
    <w:p>
      <w:pPr>
        <w:pStyle w:val="BodyText"/>
        <w:spacing w:line="240" w:lineRule="auto" w:before="115"/>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6"/>
        <w:gridCol w:w="569"/>
        <w:gridCol w:w="641"/>
        <w:gridCol w:w="653"/>
      </w:tblGrid>
      <w:tr>
        <w:trPr>
          <w:trHeight w:val="401" w:hRule="exact"/>
        </w:trPr>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7"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323" w:hRule="exact"/>
        </w:trPr>
        <w:tc>
          <w:tcPr>
            <w:tcW w:w="1212" w:type="dxa"/>
            <w:vMerge/>
            <w:tcBorders>
              <w:left w:val="single" w:sz="4" w:space="0" w:color="000000"/>
              <w:right w:val="single" w:sz="4" w:space="0" w:color="000000"/>
            </w:tcBorders>
            <w:shd w:val="clear" w:color="auto" w:fill="D3D3D3"/>
          </w:tcPr>
          <w:p>
            <w:pPr/>
          </w:p>
        </w:tc>
        <w:tc>
          <w:tcPr>
            <w:tcW w:w="7063" w:type="dxa"/>
            <w:gridSpan w:val="13"/>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80" w:hRule="exact"/>
        </w:trPr>
        <w:tc>
          <w:tcPr>
            <w:tcW w:w="1212" w:type="dxa"/>
            <w:vMerge/>
            <w:tcBorders>
              <w:left w:val="single" w:sz="4" w:space="0" w:color="000000"/>
              <w:right w:val="single" w:sz="4" w:space="0" w:color="000000"/>
            </w:tcBorders>
            <w:shd w:val="clear" w:color="auto" w:fill="D3D3D3"/>
          </w:tcPr>
          <w:p>
            <w:pPr/>
          </w:p>
        </w:tc>
        <w:tc>
          <w:tcPr>
            <w:tcW w:w="7063" w:type="dxa"/>
            <w:gridSpan w:val="13"/>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134"/>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nil" w:sz="6" w:space="0" w:color="auto"/>
              <w:left w:val="single" w:sz="4" w:space="0" w:color="000000"/>
              <w:right w:val="single" w:sz="4" w:space="0" w:color="000000"/>
            </w:tcBorders>
            <w:shd w:val="clear" w:color="auto" w:fill="D3D3D3"/>
          </w:tcPr>
          <w:p>
            <w:pPr>
              <w:pStyle w:val="TableParagraph"/>
              <w:spacing w:line="214" w:lineRule="exact"/>
              <w:ind w:left="53"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316" w:lineRule="auto" w:before="74"/>
              <w:ind w:left="233" w:right="48"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401" w:hRule="exact"/>
        </w:trPr>
        <w:tc>
          <w:tcPr>
            <w:tcW w:w="1212" w:type="dxa"/>
            <w:vMerge/>
            <w:tcBorders>
              <w:left w:val="single" w:sz="4" w:space="0" w:color="000000"/>
              <w:right w:val="single" w:sz="4" w:space="0" w:color="000000"/>
            </w:tcBorders>
            <w:shd w:val="clear" w:color="auto" w:fill="D3D3D3"/>
          </w:tcPr>
          <w:p>
            <w:pPr/>
          </w:p>
        </w:tc>
        <w:tc>
          <w:tcPr>
            <w:tcW w:w="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0" w:right="10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r>
      <w:tr>
        <w:trPr>
          <w:trHeight w:val="715" w:hRule="exact"/>
        </w:trPr>
        <w:tc>
          <w:tcPr>
            <w:tcW w:w="1212" w:type="dxa"/>
            <w:vMerge/>
            <w:tcBorders>
              <w:left w:val="single" w:sz="4" w:space="0" w:color="000000"/>
              <w:bottom w:val="single" w:sz="4" w:space="0" w:color="000000"/>
              <w:right w:val="single" w:sz="4" w:space="0" w:color="000000"/>
            </w:tcBorders>
            <w:shd w:val="clear" w:color="auto" w:fill="D3D3D3"/>
          </w:tcPr>
          <w:p>
            <w:pPr/>
          </w:p>
        </w:tc>
        <w:tc>
          <w:tcPr>
            <w:tcW w:w="490" w:type="dxa"/>
            <w:vMerge/>
            <w:tcBorders>
              <w:left w:val="single" w:sz="4" w:space="0" w:color="000000"/>
              <w:bottom w:val="single" w:sz="4" w:space="0" w:color="000000"/>
              <w:right w:val="single" w:sz="4" w:space="0" w:color="000000"/>
            </w:tcBorders>
            <w:shd w:val="clear" w:color="auto" w:fill="D3D3D3"/>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588"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569" w:type="dxa"/>
            <w:vMerge/>
            <w:tcBorders>
              <w:left w:val="single" w:sz="4" w:space="0" w:color="000000"/>
              <w:bottom w:val="single" w:sz="4" w:space="0" w:color="000000"/>
              <w:right w:val="single" w:sz="4" w:space="0" w:color="000000"/>
            </w:tcBorders>
            <w:shd w:val="clear" w:color="auto" w:fill="D3D3D3"/>
          </w:tcPr>
          <w:p>
            <w:pPr/>
          </w:p>
        </w:tc>
        <w:tc>
          <w:tcPr>
            <w:tcW w:w="641"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116,0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145,22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6,195.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-416,5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24.37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221,12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2,210.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502,45</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7,786.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15,425,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798.32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517,883</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,584.95</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21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96"/>
              <w:jc w:val="right"/>
              <w:rPr>
                <w:rFonts w:ascii="宋体" w:hAnsi="宋体" w:cs="宋体" w:eastAsia="宋体" w:hint="default"/>
                <w:sz w:val="18"/>
                <w:szCs w:val="18"/>
              </w:rPr>
            </w:pPr>
            <w:r>
              <w:rPr>
                <w:rFonts w:ascii="宋体" w:hAnsi="宋体" w:cs="宋体" w:eastAsia="宋体" w:hint="default"/>
                <w:sz w:val="18"/>
                <w:szCs w:val="18"/>
              </w:rPr>
              <w:t>同一</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7" w:hRule="exact"/>
        </w:trPr>
        <w:tc>
          <w:tcPr>
            <w:tcW w:w="12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控制下企业合</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5" w:hRule="exact"/>
        </w:trPr>
        <w:tc>
          <w:tcPr>
            <w:tcW w:w="121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6"/>
              <w:jc w:val="righ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116,0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145,22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6,195.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-416,5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24.37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221,12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2,210.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502,45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7,786.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15,425,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798.32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517,883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,584.95</w:t>
            </w:r>
          </w:p>
        </w:tc>
      </w:tr>
      <w:tr>
        <w:trPr>
          <w:trHeight w:val="1337"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81,20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-95,22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4,693.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995,53</w:t>
            </w:r>
          </w:p>
          <w:p>
            <w:pPr>
              <w:pStyle w:val="TableParagraph"/>
              <w:spacing w:line="240" w:lineRule="auto" w:before="102"/>
              <w:ind w:left="208" w:right="0"/>
              <w:jc w:val="center"/>
              <w:rPr>
                <w:rFonts w:ascii="Times New Roman" w:hAnsi="Times New Roman" w:cs="Times New Roman" w:eastAsia="Times New Roman" w:hint="default"/>
                <w:sz w:val="18"/>
                <w:szCs w:val="18"/>
              </w:rPr>
            </w:pPr>
            <w:r>
              <w:rPr>
                <w:rFonts w:ascii="Times New Roman"/>
                <w:sz w:val="18"/>
              </w:rPr>
              <w:t>9.46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187,37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5,763.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185,31</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6,941.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14,032,</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606.85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199,349</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,548.47</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995,53</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9.46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213,16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9,745.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214,16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5,284.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15,259,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377.74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229,424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,662.68</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4,693.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4,693.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-12,024</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,693.31</w:t>
            </w:r>
          </w:p>
        </w:tc>
      </w:tr>
    </w:tbl>
    <w:p>
      <w:pPr>
        <w:spacing w:after="0" w:line="240" w:lineRule="auto"/>
        <w:jc w:val="left"/>
        <w:rPr>
          <w:rFonts w:ascii="Times New Roman" w:hAnsi="Times New Roman" w:cs="Times New Roman" w:eastAsia="Times New Roman" w:hint="default"/>
          <w:sz w:val="18"/>
          <w:szCs w:val="18"/>
        </w:rPr>
        <w:sectPr>
          <w:footerReference w:type="default" r:id="rId25"/>
          <w:pgSz w:w="11910" w:h="16840"/>
          <w:pgMar w:footer="981" w:header="745" w:top="1060" w:bottom="1180" w:left="98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4,693.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-83,20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-97,23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2,564.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71,183,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177.79</w:t>
            </w: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2"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4"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0"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2"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入所有者权益</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3"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83,207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83,207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,871.1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-83,207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,871.10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-25,79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3,981.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-14,82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3,650.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770.89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-18,050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,420.90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-10,97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0,331.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-14,82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3,650.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-14,82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3,650.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-3,226,</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770.89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-18,050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,420.90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81,20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-81,20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4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81,20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-81,20</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2"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0,000</w:t>
            </w: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0,000.</w:t>
            </w: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3"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.00</w:t>
            </w: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00</w:t>
            </w: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2"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4"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1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49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r>
      <w:tr>
        <w:trPr>
          <w:trHeight w:val="312" w:hRule="exact"/>
        </w:trPr>
        <w:tc>
          <w:tcPr>
            <w:tcW w:w="12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49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54" w:hRule="exact"/>
        </w:trPr>
        <w:tc>
          <w:tcPr>
            <w:tcW w:w="121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197,2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579,01</w:t>
            </w:r>
          </w:p>
          <w:p>
            <w:pPr>
              <w:pStyle w:val="TableParagraph"/>
              <w:spacing w:line="240" w:lineRule="auto" w:before="105"/>
              <w:ind w:left="208" w:right="0"/>
              <w:jc w:val="center"/>
              <w:rPr>
                <w:rFonts w:ascii="Times New Roman" w:hAnsi="Times New Roman" w:cs="Times New Roman" w:eastAsia="Times New Roman" w:hint="default"/>
                <w:sz w:val="18"/>
                <w:szCs w:val="18"/>
              </w:rPr>
            </w:pPr>
            <w:r>
              <w:rPr>
                <w:rFonts w:ascii="Times New Roman"/>
                <w:sz w:val="18"/>
              </w:rPr>
              <w:t>5.09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408,49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7,974.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687,77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4,728.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29,458,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405.17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717,233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,133.42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8"/>
        <w:jc w:val="left"/>
      </w:pPr>
      <w:r>
        <w:rPr/>
        <w:t>本期金额</w:t>
      </w:r>
    </w:p>
    <w:p>
      <w:pPr>
        <w:pStyle w:val="BodyText"/>
        <w:spacing w:line="240" w:lineRule="auto" w:before="117"/>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2"/>
        <w:gridCol w:w="605"/>
        <w:gridCol w:w="727"/>
        <w:gridCol w:w="727"/>
        <w:gridCol w:w="725"/>
        <w:gridCol w:w="727"/>
        <w:gridCol w:w="727"/>
        <w:gridCol w:w="614"/>
        <w:gridCol w:w="710"/>
        <w:gridCol w:w="862"/>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3D3D3"/>
          </w:tcPr>
          <w:p>
            <w:pPr/>
          </w:p>
        </w:tc>
        <w:tc>
          <w:tcPr>
            <w:tcW w:w="6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19" w:hanging="245"/>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z w:val="18"/>
                <w:szCs w:val="18"/>
              </w:rPr>
              <w:t> 股</w:t>
            </w:r>
          </w:p>
        </w:tc>
        <w:tc>
          <w:tcPr>
            <w:tcW w:w="7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22" w:right="28"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6"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3D3D3"/>
          </w:tcPr>
          <w:p>
            <w:pPr/>
          </w:p>
        </w:tc>
        <w:tc>
          <w:tcPr>
            <w:tcW w:w="629" w:type="dxa"/>
            <w:vMerge/>
            <w:tcBorders>
              <w:left w:val="single" w:sz="4" w:space="0" w:color="000000"/>
              <w:bottom w:val="single" w:sz="4" w:space="0" w:color="000000"/>
              <w:right w:val="single" w:sz="4" w:space="0" w:color="000000"/>
            </w:tcBorders>
            <w:shd w:val="clear" w:color="auto" w:fill="D3D3D3"/>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5"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614" w:type="dxa"/>
            <w:vMerge/>
            <w:tcBorders>
              <w:left w:val="single" w:sz="4" w:space="0" w:color="000000"/>
              <w:bottom w:val="single" w:sz="4" w:space="0" w:color="000000"/>
              <w:right w:val="single" w:sz="4" w:space="0" w:color="000000"/>
            </w:tcBorders>
            <w:shd w:val="clear" w:color="auto" w:fill="D3D3D3"/>
          </w:tcPr>
          <w:p>
            <w:pPr/>
          </w:p>
        </w:tc>
        <w:tc>
          <w:tcPr>
            <w:tcW w:w="710"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48,999,5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87.09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31,496,2</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37.40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514,145,3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59.78</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48,999,5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87.09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31,496,2</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37.40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514,145,3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59.78</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25,393,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699.00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474,856,</w:t>
            </w:r>
          </w:p>
          <w:p>
            <w:pPr>
              <w:pStyle w:val="TableParagraph"/>
              <w:spacing w:line="240" w:lineRule="auto" w:before="102"/>
              <w:ind w:left="183" w:right="0"/>
              <w:jc w:val="center"/>
              <w:rPr>
                <w:rFonts w:ascii="Times New Roman" w:hAnsi="Times New Roman" w:cs="Times New Roman" w:eastAsia="Times New Roman" w:hint="default"/>
                <w:sz w:val="18"/>
                <w:szCs w:val="18"/>
              </w:rPr>
            </w:pPr>
            <w:r>
              <w:rPr>
                <w:rFonts w:ascii="Times New Roman"/>
                <w:sz w:val="18"/>
              </w:rPr>
              <w:t>116.51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5,998,85</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2.83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14,366,5</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79.25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30,699,</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275.14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539,316,8</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17.07</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5,792.4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143,665,7</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92.48</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25,393,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699.00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z w:val="18"/>
              </w:rPr>
              <w:t>474,856,</w:t>
            </w:r>
          </w:p>
          <w:p>
            <w:pPr>
              <w:pStyle w:val="TableParagraph"/>
              <w:spacing w:line="240" w:lineRule="auto" w:before="102"/>
              <w:ind w:left="183" w:right="0"/>
              <w:jc w:val="center"/>
              <w:rPr>
                <w:rFonts w:ascii="Times New Roman" w:hAnsi="Times New Roman" w:cs="Times New Roman" w:eastAsia="Times New Roman" w:hint="default"/>
                <w:sz w:val="18"/>
                <w:szCs w:val="18"/>
              </w:rPr>
            </w:pPr>
            <w:r>
              <w:rPr>
                <w:rFonts w:ascii="Times New Roman"/>
                <w:sz w:val="18"/>
              </w:rPr>
              <w:t>116.51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5,998,85</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2.83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494,250,9</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62.68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25,393,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699.00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474,856,</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116.51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500,249,8</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15.51</w:t>
            </w: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5,998,85</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2.83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-5,998,852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14,366,5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79.25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-112,96</w:t>
            </w:r>
            <w:r>
              <w:rPr>
                <w:rFonts w:ascii="Times New Roman"/>
                <w:spacing w:val="-1"/>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-98,599,93</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8.09</w:t>
            </w: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14,366,5</w:t>
            </w:r>
          </w:p>
          <w:p>
            <w:pPr>
              <w:pStyle w:val="TableParagraph"/>
              <w:spacing w:line="240" w:lineRule="auto" w:before="102"/>
              <w:ind w:left="288" w:right="0"/>
              <w:jc w:val="left"/>
              <w:rPr>
                <w:rFonts w:ascii="Times New Roman" w:hAnsi="Times New Roman" w:cs="Times New Roman" w:eastAsia="Times New Roman" w:hint="default"/>
                <w:sz w:val="18"/>
                <w:szCs w:val="18"/>
              </w:rPr>
            </w:pPr>
            <w:r>
              <w:rPr>
                <w:rFonts w:ascii="Times New Roman"/>
                <w:sz w:val="18"/>
              </w:rPr>
              <w:t>79.25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-14,366</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,579.25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-98,599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,938.09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-98,599,93</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8.09</w:t>
            </w: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7"/>
        <w:gridCol w:w="727"/>
        <w:gridCol w:w="725"/>
        <w:gridCol w:w="727"/>
        <w:gridCol w:w="727"/>
        <w:gridCol w:w="614"/>
        <w:gridCol w:w="710"/>
        <w:gridCol w:w="862"/>
      </w:tblGrid>
      <w:tr>
        <w:trPr>
          <w:trHeight w:val="1027" w:hRule="exact"/>
        </w:trPr>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523,855,</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703.60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5,998,85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2.83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45,862,8</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16.65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267,14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1,053,462,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176.85</w:t>
            </w:r>
          </w:p>
        </w:tc>
      </w:tr>
    </w:tbl>
    <w:p>
      <w:pPr>
        <w:pStyle w:val="BodyText"/>
        <w:spacing w:line="240" w:lineRule="auto" w:before="49"/>
        <w:ind w:right="1128"/>
        <w:jc w:val="left"/>
      </w:pPr>
      <w:r>
        <w:rPr/>
        <w:t>上期金额</w:t>
      </w:r>
    </w:p>
    <w:p>
      <w:pPr>
        <w:pStyle w:val="BodyText"/>
        <w:spacing w:line="240" w:lineRule="auto" w:before="11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1"/>
        <w:gridCol w:w="593"/>
        <w:gridCol w:w="574"/>
        <w:gridCol w:w="571"/>
        <w:gridCol w:w="571"/>
        <w:gridCol w:w="686"/>
        <w:gridCol w:w="686"/>
        <w:gridCol w:w="684"/>
        <w:gridCol w:w="782"/>
        <w:gridCol w:w="665"/>
        <w:gridCol w:w="797"/>
        <w:gridCol w:w="797"/>
        <w:gridCol w:w="931"/>
      </w:tblGrid>
      <w:tr>
        <w:trPr>
          <w:trHeight w:val="401" w:hRule="exact"/>
        </w:trPr>
        <w:tc>
          <w:tcPr>
            <w:tcW w:w="12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1" w:type="dxa"/>
            <w:vMerge/>
            <w:tcBorders>
              <w:left w:val="single" w:sz="4" w:space="0" w:color="000000"/>
              <w:right w:val="single" w:sz="4" w:space="0" w:color="000000"/>
            </w:tcBorders>
            <w:shd w:val="clear" w:color="auto" w:fill="D3D3D3"/>
          </w:tcPr>
          <w:p>
            <w:pPr/>
          </w:p>
        </w:tc>
        <w:tc>
          <w:tcPr>
            <w:tcW w:w="5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21"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5"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1" w:type="dxa"/>
            <w:vMerge/>
            <w:tcBorders>
              <w:left w:val="single" w:sz="4" w:space="0" w:color="000000"/>
              <w:bottom w:val="single" w:sz="4" w:space="0" w:color="000000"/>
              <w:right w:val="single" w:sz="4" w:space="0" w:color="000000"/>
            </w:tcBorders>
            <w:shd w:val="clear" w:color="auto" w:fill="D3D3D3"/>
          </w:tcPr>
          <w:p>
            <w:pPr/>
          </w:p>
        </w:tc>
        <w:tc>
          <w:tcPr>
            <w:tcW w:w="593" w:type="dxa"/>
            <w:vMerge/>
            <w:tcBorders>
              <w:left w:val="single" w:sz="4" w:space="0" w:color="000000"/>
              <w:bottom w:val="single" w:sz="4" w:space="0" w:color="000000"/>
              <w:right w:val="single" w:sz="4" w:space="0" w:color="000000"/>
            </w:tcBorders>
            <w:shd w:val="clear" w:color="auto" w:fill="D3D3D3"/>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92"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z w:val="18"/>
                <w:szCs w:val="18"/>
              </w:rPr>
              <w:t> 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144,224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,280.40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20,525,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905.83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152,540,2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01.19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433,290,38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7.42</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z w:val="18"/>
                <w:szCs w:val="18"/>
              </w:rPr>
              <w:t> 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116,00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144,224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,280.40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20,525,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905.83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152,540,2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01.19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433,290,38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7.42</w:t>
            </w: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z w:val="18"/>
                <w:szCs w:val="18"/>
              </w:rPr>
              <w:t> </w:t>
            </w:r>
            <w:r>
              <w:rPr>
                <w:rFonts w:ascii="宋体" w:hAnsi="宋体" w:cs="宋体" w:eastAsia="宋体" w:hint="default"/>
                <w:spacing w:val="-12"/>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-95,224,</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693.31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331.57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83,909,33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4.10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80,854,972.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36</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109,703,3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15.68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109,703,31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5.68</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-14,024,</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693.31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-14,024,693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.31</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-14,024,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693.31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-83,207,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871.10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69,183,177.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r>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83,207,8</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71.10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-83,207,871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331.57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-25,793,9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-14,823,650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1"/>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10,970,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331.57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-10,970,3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（或</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-14,823,6</w:t>
            </w:r>
          </w:p>
        </w:tc>
        <w:tc>
          <w:tcPr>
            <w:tcW w:w="797" w:type="dxa"/>
            <w:vMerge w:val="restart"/>
            <w:tcBorders>
              <w:top w:val="single" w:sz="4" w:space="0" w:color="000000"/>
              <w:left w:val="single" w:sz="4" w:space="0" w:color="000000"/>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-14,823,650</w:t>
            </w:r>
          </w:p>
        </w:tc>
      </w:tr>
      <w:tr>
        <w:trPr>
          <w:trHeight w:val="354"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50.01</w:t>
            </w:r>
          </w:p>
        </w:tc>
        <w:tc>
          <w:tcPr>
            <w:tcW w:w="797" w:type="dxa"/>
            <w:vMerge/>
            <w:tcBorders>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.01</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-81,200,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6" w:hRule="exact"/>
        </w:trPr>
        <w:tc>
          <w:tcPr>
            <w:tcW w:w="12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60"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6" w:hRule="exact"/>
        </w:trPr>
        <w:tc>
          <w:tcPr>
            <w:tcW w:w="12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划变动额结转</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60"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360"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593" w:type="dxa"/>
            <w:vMerge w:val="restart"/>
            <w:tcBorders>
              <w:top w:val="single" w:sz="4" w:space="0" w:color="000000"/>
              <w:left w:val="single" w:sz="4" w:space="0" w:color="000000"/>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07" w:hRule="exact"/>
        </w:trPr>
        <w:tc>
          <w:tcPr>
            <w:tcW w:w="12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益结转留存收</w:t>
            </w:r>
          </w:p>
        </w:tc>
        <w:tc>
          <w:tcPr>
            <w:tcW w:w="593" w:type="dxa"/>
            <w:vMerge/>
            <w:tcBorders>
              <w:left w:val="single" w:sz="4" w:space="0" w:color="000000"/>
              <w:right w:val="single" w:sz="4" w:space="0" w:color="000000"/>
            </w:tcBorders>
          </w:tcPr>
          <w:p>
            <w:pPr/>
          </w:p>
        </w:tc>
        <w:tc>
          <w:tcPr>
            <w:tcW w:w="574"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57"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9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z w:val="18"/>
                <w:szCs w:val="18"/>
              </w:rPr>
              <w:t> 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197,20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48,999,</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587.09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31,496,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237.40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236,449,5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35.29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514,145,35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9.78</w:t>
            </w:r>
          </w:p>
        </w:tc>
      </w:tr>
    </w:tbl>
    <w:p>
      <w:pPr>
        <w:spacing w:line="240" w:lineRule="auto" w:before="1"/>
        <w:rPr>
          <w:rFonts w:ascii="宋体" w:hAnsi="宋体" w:cs="宋体" w:eastAsia="宋体" w:hint="default"/>
          <w:sz w:val="18"/>
          <w:szCs w:val="18"/>
        </w:rPr>
      </w:pPr>
    </w:p>
    <w:p>
      <w:pPr>
        <w:pStyle w:val="Heading2"/>
        <w:spacing w:line="240" w:lineRule="auto" w:before="26"/>
        <w:ind w:right="1128"/>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40" w:firstLine="360"/>
        <w:jc w:val="both"/>
      </w:pPr>
      <w:r>
        <w:rPr/>
        <w:t>厦门吉宏科技股份有限公司（原名</w:t>
      </w:r>
      <w:r>
        <w:rPr>
          <w:rFonts w:ascii="Times New Roman" w:hAnsi="Times New Roman" w:cs="Times New Roman" w:eastAsia="Times New Roman" w:hint="default"/>
        </w:rPr>
        <w:t>“</w:t>
      </w:r>
      <w:r>
        <w:rPr/>
        <w:t>厦门吉宏包装科技股份有限公司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 </w:t>
      </w:r>
      <w:r>
        <w:rPr>
          <w:spacing w:val="-2"/>
        </w:rPr>
        <w:t>成立，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日由有限公司整体变更为股份有限公司，注册资本</w:t>
      </w:r>
      <w:r>
        <w:rPr>
          <w:rFonts w:ascii="Times New Roman" w:hAnsi="Times New Roman" w:cs="Times New Roman" w:eastAsia="Times New Roman" w:hint="default"/>
          <w:spacing w:val="-2"/>
        </w:rPr>
        <w:t>8,700</w:t>
      </w:r>
      <w:r>
        <w:rPr>
          <w:spacing w:val="-2"/>
        </w:rPr>
        <w:t>万元，统一社会信用代码：</w:t>
      </w:r>
      <w:r>
        <w:rPr>
          <w:rFonts w:ascii="Times New Roman" w:hAnsi="Times New Roman" w:cs="Times New Roman" w:eastAsia="Times New Roman" w:hint="default"/>
          <w:spacing w:val="-2"/>
        </w:rPr>
        <w:t>913502007516215965</w:t>
      </w:r>
      <w:r>
        <w:rPr>
          <w:spacing w:val="-2"/>
        </w:rPr>
        <w:t>。</w:t>
      </w:r>
    </w:p>
    <w:p>
      <w:pPr>
        <w:pStyle w:val="BodyText"/>
        <w:spacing w:line="300" w:lineRule="auto" w:before="13"/>
        <w:ind w:right="1129" w:firstLine="360"/>
        <w:jc w:val="both"/>
      </w:pPr>
      <w:r>
        <w:rPr/>
        <w:t>根据公司</w:t>
      </w:r>
      <w:r>
        <w:rPr>
          <w:rFonts w:ascii="Times New Roman" w:hAnsi="Times New Roman" w:cs="Times New Roman" w:eastAsia="Times New Roman" w:hint="default"/>
        </w:rPr>
        <w:t>2012</w:t>
      </w:r>
      <w:r>
        <w:rPr/>
        <w:t>年年度股东大会决议并经中国证券监督管理委员会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日签发证监许可</w:t>
      </w:r>
      <w:r>
        <w:rPr>
          <w:rFonts w:ascii="Times New Roman" w:hAnsi="Times New Roman" w:cs="Times New Roman" w:eastAsia="Times New Roman" w:hint="default"/>
        </w:rPr>
        <w:t>[2016]1306</w:t>
      </w:r>
      <w:r>
        <w:rPr/>
        <w:t>号《关于核准 厦门吉宏包装科技股份有限公司首次公开发行股票的批复》，公司于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日向社会首次公开发行人民币普通股（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2900</w:t>
      </w:r>
      <w:r>
        <w:rPr/>
        <w:t>万股，每股发行价格</w:t>
      </w:r>
      <w:r>
        <w:rPr>
          <w:rFonts w:ascii="Times New Roman" w:hAnsi="Times New Roman" w:cs="Times New Roman" w:eastAsia="Times New Roman" w:hint="default"/>
        </w:rPr>
        <w:t>6.37</w:t>
      </w:r>
      <w:r>
        <w:rPr/>
        <w:t>元，并于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日在深圳证券交易所上市交易。本次发行上市后，公司的注册资本</w:t>
      </w:r>
      <w:r>
        <w:rPr>
          <w:spacing w:val="-46"/>
        </w:rPr>
        <w:t> </w:t>
      </w:r>
      <w:r>
        <w:rPr>
          <w:spacing w:val="-46"/>
        </w:rPr>
      </w:r>
      <w:r>
        <w:rPr/>
        <w:t>增加至人民币</w:t>
      </w:r>
      <w:r>
        <w:rPr>
          <w:rFonts w:ascii="Times New Roman" w:hAnsi="Times New Roman" w:cs="Times New Roman" w:eastAsia="Times New Roman" w:hint="default"/>
        </w:rPr>
        <w:t>11,600</w:t>
      </w:r>
      <w:r>
        <w:rPr/>
        <w:t>万元。</w:t>
      </w:r>
    </w:p>
    <w:p>
      <w:pPr>
        <w:pStyle w:val="BodyText"/>
        <w:spacing w:line="240" w:lineRule="auto" w:before="13"/>
        <w:ind w:left="512"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日公司第三届董事会第二十六次会议通过</w:t>
      </w:r>
      <w:r>
        <w:rPr>
          <w:rFonts w:ascii="Times New Roman" w:hAnsi="Times New Roman" w:cs="Times New Roman" w:eastAsia="Times New Roman" w:hint="default"/>
        </w:rPr>
        <w:t>2018</w:t>
      </w:r>
      <w:r>
        <w:rPr/>
        <w:t>年半年度利润分配及资本公积转增股本议案，以现有总股本</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rFonts w:ascii="Times New Roman" w:hAnsi="Times New Roman" w:cs="Times New Roman" w:eastAsia="Times New Roman" w:hint="default"/>
        </w:rPr>
        <w:t>11,600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股，分红后总股本增加至</w:t>
      </w:r>
      <w:r>
        <w:rPr>
          <w:rFonts w:ascii="Times New Roman" w:hAnsi="Times New Roman" w:cs="Times New Roman" w:eastAsia="Times New Roman" w:hint="default"/>
        </w:rPr>
        <w:t>19,720</w:t>
      </w:r>
      <w:r>
        <w:rPr/>
        <w:t>万元。</w:t>
      </w:r>
    </w:p>
    <w:p>
      <w:pPr>
        <w:pStyle w:val="BodyText"/>
        <w:spacing w:line="240" w:lineRule="auto" w:before="62"/>
        <w:ind w:left="512"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r>
        <w:rPr>
          <w:spacing w:val="-87"/>
        </w:rPr>
        <w:t>，</w:t>
      </w:r>
      <w:r>
        <w:rPr/>
        <w:t>公司取得中</w:t>
      </w:r>
      <w:r>
        <w:rPr>
          <w:spacing w:val="-3"/>
        </w:rPr>
        <w:t>国</w:t>
      </w:r>
      <w:r>
        <w:rPr/>
        <w:t>证券监督管理委员</w:t>
      </w:r>
      <w:r>
        <w:rPr>
          <w:spacing w:val="-87"/>
        </w:rPr>
        <w:t>会</w:t>
      </w:r>
      <w:r>
        <w:rPr/>
        <w:t>《关于核准厦门吉宏包装科技股份有限公司非公开发行股票的批复》</w:t>
      </w:r>
    </w:p>
    <w:p>
      <w:pPr>
        <w:pStyle w:val="BodyText"/>
        <w:spacing w:line="300" w:lineRule="auto" w:before="63"/>
        <w:ind w:right="1132"/>
        <w:jc w:val="both"/>
      </w:pPr>
      <w:r>
        <w:rPr/>
        <w:t>（证监许可</w:t>
      </w:r>
      <w:r>
        <w:rPr>
          <w:rFonts w:ascii="Times New Roman" w:hAnsi="Times New Roman" w:cs="Times New Roman" w:eastAsia="Times New Roman" w:hint="default"/>
        </w:rPr>
        <w:t>[2018]2099</w:t>
      </w:r>
      <w:r>
        <w:rPr/>
        <w:t>号），同意公司非公开发行不超过</w:t>
      </w:r>
      <w:r>
        <w:rPr>
          <w:rFonts w:ascii="Times New Roman" w:hAnsi="Times New Roman" w:cs="Times New Roman" w:eastAsia="Times New Roman" w:hint="default"/>
        </w:rPr>
        <w:t>39,440,000</w:t>
      </w:r>
      <w:r>
        <w:rPr/>
        <w:t>股新股。根据最终发行结果，公司本次向湖北高投产控</w:t>
      </w:r>
      <w:r>
        <w:rPr>
          <w:spacing w:val="-37"/>
        </w:rPr>
        <w:t> </w:t>
      </w:r>
      <w:r>
        <w:rPr>
          <w:spacing w:val="-37"/>
        </w:rPr>
      </w:r>
      <w:r>
        <w:rPr/>
        <w:t>投资股份有限公司、赣州发展融资租赁有限责任公司</w:t>
      </w:r>
      <w:r>
        <w:rPr>
          <w:rFonts w:ascii="Times New Roman" w:hAnsi="Times New Roman" w:cs="Times New Roman" w:eastAsia="Times New Roman" w:hint="default"/>
        </w:rPr>
        <w:t>2</w:t>
      </w:r>
      <w:r>
        <w:rPr/>
        <w:t>名特定投资者非公开发行</w:t>
      </w:r>
      <w:r>
        <w:rPr>
          <w:rFonts w:ascii="Times New Roman" w:hAnsi="Times New Roman" w:cs="Times New Roman" w:eastAsia="Times New Roman" w:hint="default"/>
        </w:rPr>
        <w:t>25,393,699</w:t>
      </w:r>
      <w:r>
        <w:rPr/>
        <w:t>股</w:t>
      </w:r>
      <w:r>
        <w:rPr>
          <w:rFonts w:ascii="Times New Roman" w:hAnsi="Times New Roman" w:cs="Times New Roman" w:eastAsia="Times New Roman" w:hint="default"/>
        </w:rPr>
        <w:t>A</w:t>
      </w:r>
      <w:r>
        <w:rPr/>
        <w:t>股股票（每股面值</w:t>
      </w:r>
      <w:r>
        <w:rPr>
          <w:rFonts w:ascii="Times New Roman" w:hAnsi="Times New Roman" w:cs="Times New Roman" w:eastAsia="Times New Roman" w:hint="default"/>
        </w:rPr>
        <w:t>1</w:t>
      </w:r>
      <w:r>
        <w:rPr/>
        <w:t>元），增</w:t>
      </w:r>
      <w:r>
        <w:rPr>
          <w:spacing w:val="-51"/>
        </w:rPr>
        <w:t> </w:t>
      </w:r>
      <w:r>
        <w:rPr>
          <w:spacing w:val="-51"/>
        </w:rPr>
      </w:r>
      <w:r>
        <w:rPr/>
        <w:t>加股本人民币</w:t>
      </w:r>
      <w:r>
        <w:rPr>
          <w:rFonts w:ascii="Times New Roman" w:hAnsi="Times New Roman" w:cs="Times New Roman" w:eastAsia="Times New Roman" w:hint="default"/>
        </w:rPr>
        <w:t>25,393,699.00</w:t>
      </w:r>
      <w:r>
        <w:rPr/>
        <w:t>元，变更后的注册资本（股本）为人民币</w:t>
      </w:r>
      <w:r>
        <w:rPr>
          <w:rFonts w:ascii="Times New Roman" w:hAnsi="Times New Roman" w:cs="Times New Roman" w:eastAsia="Times New Roman" w:hint="default"/>
        </w:rPr>
        <w:t>222,593,699.00</w:t>
      </w:r>
      <w:r>
        <w:rPr/>
        <w:t>元，本次新增股份于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日在深 圳证券交易所上市。</w:t>
      </w:r>
    </w:p>
    <w:p>
      <w:pPr>
        <w:pStyle w:val="BodyText"/>
        <w:spacing w:line="316" w:lineRule="auto" w:before="31"/>
        <w:ind w:left="512" w:right="6163"/>
        <w:jc w:val="left"/>
      </w:pPr>
      <w:r>
        <w:rPr/>
        <w:t>法定代表人：庄浩； 注册地址：厦门市海沧区东孚工业区二期浦头路</w:t>
      </w:r>
      <w:r>
        <w:rPr>
          <w:rFonts w:ascii="Times New Roman" w:hAnsi="Times New Roman" w:cs="Times New Roman" w:eastAsia="Times New Roman" w:hint="default"/>
        </w:rPr>
        <w:t>9</w:t>
      </w:r>
      <w:r>
        <w:rPr/>
        <w:t>号；</w:t>
      </w:r>
    </w:p>
    <w:p>
      <w:pPr>
        <w:pStyle w:val="BodyText"/>
        <w:spacing w:line="316" w:lineRule="auto"/>
        <w:ind w:left="512" w:right="1033"/>
        <w:jc w:val="left"/>
      </w:pPr>
      <w:r>
        <w:rPr/>
        <w:t>公司主营业务：互联网精准营销广告业务、跨境电商业务；环保包装及食品包装的生产和销售。 经营范围包括：专业化设计服务；其他未列明专业技术服务业（不含需经许可审批的事项）；互联网销售；软件开发；</w:t>
      </w:r>
    </w:p>
    <w:p>
      <w:pPr>
        <w:pStyle w:val="BodyText"/>
        <w:spacing w:line="314" w:lineRule="auto" w:before="18"/>
        <w:ind w:right="1033"/>
        <w:jc w:val="left"/>
      </w:pPr>
      <w:r>
        <w:rPr/>
        <w:t>信息技术咨询服务；其他互联网服务</w:t>
      </w:r>
      <w:r>
        <w:rPr>
          <w:rFonts w:ascii="Times New Roman" w:hAnsi="Times New Roman" w:cs="Times New Roman" w:eastAsia="Times New Roman" w:hint="default"/>
        </w:rPr>
        <w:t>(</w:t>
      </w:r>
      <w:r>
        <w:rPr/>
        <w:t>不含需经许可审批的项目</w:t>
      </w:r>
      <w:r>
        <w:rPr>
          <w:rFonts w:ascii="Times New Roman" w:hAnsi="Times New Roman" w:cs="Times New Roman" w:eastAsia="Times New Roman" w:hint="default"/>
        </w:rPr>
        <w:t>)</w:t>
      </w:r>
      <w:r>
        <w:rPr/>
        <w:t>；第一类医疗器械零售；第一类医疗器械批发；第二类医疗 </w:t>
      </w:r>
      <w:r>
        <w:rPr>
          <w:spacing w:val="-2"/>
        </w:rPr>
        <w:t>器械零售；第二类医疗器械批发；包装装潢及其他印刷；本册印制；广告的设计、制作、代理、发布；塑料薄膜制造。其他</w:t>
      </w:r>
      <w:r>
        <w:rPr>
          <w:spacing w:val="-68"/>
        </w:rPr>
        <w:t> </w:t>
      </w:r>
      <w:r>
        <w:rPr>
          <w:spacing w:val="-68"/>
        </w:rPr>
      </w:r>
      <w:r>
        <w:rPr>
          <w:spacing w:val="-2"/>
        </w:rPr>
        <w:t>塑料制品制造；其他未列明制造业（不含须经许可审批的项目）；其他化工产品批发（不含危险化学品和监控化学品）；其</w:t>
      </w:r>
      <w:r>
        <w:rPr>
          <w:spacing w:val="-69"/>
        </w:rPr>
        <w:t> </w:t>
      </w:r>
      <w:r>
        <w:rPr>
          <w:spacing w:val="-69"/>
        </w:rPr>
      </w:r>
      <w:r>
        <w:rPr/>
        <w:t>他未列明批发业（不含需经许可审批的经营项目）；其他未列明零售业（不含需经许可审批的项目）；印刷专用设备制造； </w:t>
      </w:r>
      <w:r>
        <w:rPr>
          <w:spacing w:val="-2"/>
        </w:rPr>
        <w:t>其他专用设备制造（不含需经许可审批的项目）；其他未列明专业设备修理（不含需经许可审批的项目）；经营各类商品和</w:t>
      </w:r>
      <w:r>
        <w:rPr>
          <w:spacing w:val="-68"/>
        </w:rPr>
        <w:t> </w:t>
      </w:r>
      <w:r>
        <w:rPr>
          <w:spacing w:val="-68"/>
        </w:rPr>
      </w:r>
      <w:r>
        <w:rPr/>
        <w:t>技术的进出口（不另附进出口商品目录），但国家限定公司经营或禁止进出口的商品及技术除外。</w:t>
      </w:r>
    </w:p>
    <w:p>
      <w:pPr>
        <w:pStyle w:val="BodyText"/>
        <w:spacing w:line="319" w:lineRule="auto" w:before="20"/>
        <w:ind w:left="512" w:right="1128"/>
        <w:jc w:val="left"/>
      </w:pPr>
      <w:r>
        <w:rPr/>
        <w:t>营业期限：长期。 </w:t>
      </w:r>
      <w:r>
        <w:rPr>
          <w:spacing w:val="-2"/>
        </w:rPr>
        <w:t>公司实际控制人庄浩。股东大会是本公司的权力机构，依法行使公司经营方针、筹资、投资、利润分配等重大事项决议</w:t>
      </w:r>
    </w:p>
    <w:p>
      <w:pPr>
        <w:pStyle w:val="BodyText"/>
        <w:spacing w:line="316" w:lineRule="auto" w:before="17"/>
        <w:ind w:right="1128"/>
        <w:jc w:val="left"/>
      </w:pPr>
      <w:r>
        <w:rPr>
          <w:spacing w:val="-2"/>
        </w:rPr>
        <w:t>权。董事会对股东大会负责，依法行使公司的经营决策权；经理层负责组织实施股东大会、董事会决议事项，主持企业的生</w:t>
      </w:r>
      <w:r>
        <w:rPr>
          <w:spacing w:val="-67"/>
        </w:rPr>
        <w:t> </w:t>
      </w:r>
      <w:r>
        <w:rPr>
          <w:spacing w:val="-67"/>
        </w:rPr>
      </w:r>
      <w:r>
        <w:rPr/>
        <w:t>产经营管理工作。</w:t>
      </w:r>
    </w:p>
    <w:p>
      <w:pPr>
        <w:pStyle w:val="BodyText"/>
        <w:spacing w:line="316" w:lineRule="auto" w:before="19"/>
        <w:ind w:right="1040" w:firstLine="360"/>
        <w:jc w:val="both"/>
      </w:pPr>
      <w:r>
        <w:rPr>
          <w:spacing w:val="-4"/>
        </w:rPr>
        <w:t>公司设有股东大会、董事会、监事会；董事会下设提名委员会、战略委员会、薪酬与考核委员会、审计委员会及内审部、</w:t>
      </w:r>
      <w:r>
        <w:rPr/>
        <w:t> </w:t>
      </w:r>
      <w:r>
        <w:rPr>
          <w:spacing w:val="-4"/>
        </w:rPr>
        <w:t>证券部；管理层包括总经理及下设的营销中心、工程技术创新中心、采购中心、质量中心、财务中心、人资中心、信息中心、</w:t>
      </w:r>
      <w:r>
        <w:rPr>
          <w:spacing w:val="-43"/>
        </w:rPr>
        <w:t> </w:t>
      </w:r>
      <w:r>
        <w:rPr>
          <w:spacing w:val="-43"/>
        </w:rPr>
      </w:r>
      <w:r>
        <w:rPr/>
        <w:t>企管中心。</w:t>
      </w:r>
    </w:p>
    <w:p>
      <w:pPr>
        <w:pStyle w:val="BodyText"/>
        <w:spacing w:line="316" w:lineRule="auto" w:before="19"/>
        <w:ind w:right="1033" w:firstLine="288"/>
        <w:jc w:val="left"/>
      </w:pPr>
      <w:r>
        <w:rPr/>
        <w:t>本公司合并财务报表范围包括：呼和浩特市吉宏印刷包装有限公司、厦门市正奇信息技术有限公司、廊坊市吉宏包装有 </w:t>
      </w:r>
      <w:r>
        <w:rPr>
          <w:spacing w:val="-2"/>
        </w:rPr>
        <w:t>限公司、香港吉宏科技有限公司、孝感市吉宏包装有限公司、滦州吉宏包装有限公司、厦门鑫泷悦环保纸袋有限公司、厦门</w:t>
      </w:r>
      <w:r>
        <w:rPr>
          <w:spacing w:val="-67"/>
        </w:rPr>
        <w:t> </w:t>
      </w:r>
      <w:r>
        <w:rPr>
          <w:spacing w:val="-67"/>
        </w:rPr>
      </w:r>
      <w:r>
        <w:rPr>
          <w:spacing w:val="-4"/>
        </w:rPr>
        <w:t>市吉客印电子商务有限公司、西安吉客印电子商务有限公司、西安金印客电子商务有限公司、香港吉客印电子商务有限公司、</w:t>
      </w:r>
      <w:r>
        <w:rPr>
          <w:spacing w:val="-44"/>
        </w:rPr>
        <w:t> </w:t>
      </w:r>
      <w:r>
        <w:rPr>
          <w:spacing w:val="-44"/>
        </w:rPr>
      </w:r>
      <w:r>
        <w:rPr/>
        <w:t>香港金印客电子商务有限公司、郑州吉客印电子商务有限公司、香港丹骏电子商务有限公司、西安丹骏电子商务有限公司、 </w:t>
      </w:r>
      <w:r>
        <w:rPr>
          <w:spacing w:val="-2"/>
        </w:rPr>
        <w:t>思塔克纸业（上海）有限公司、宁夏吉宏环保包装科技有限公司、济南吉联包装有限公司、北京龙域之星科技有限公司、霍</w:t>
      </w:r>
      <w:r>
        <w:rPr>
          <w:spacing w:val="-70"/>
        </w:rPr>
        <w:t> </w:t>
      </w:r>
      <w:r>
        <w:rPr>
          <w:spacing w:val="-70"/>
        </w:rPr>
      </w:r>
      <w:r>
        <w:rPr>
          <w:spacing w:val="-2"/>
        </w:rPr>
        <w:t>尔果斯金域网络科技有限公司、霍尔果斯维斯塔科技有限公司、北京金域互动科技有限公司、重庆市阿欧艾网络科技有限公</w:t>
      </w:r>
      <w:r>
        <w:rPr>
          <w:spacing w:val="-63"/>
        </w:rPr>
        <w:t> </w:t>
      </w:r>
      <w:r>
        <w:rPr>
          <w:spacing w:val="-63"/>
        </w:rPr>
      </w:r>
      <w:r>
        <w:rPr>
          <w:spacing w:val="-2"/>
        </w:rPr>
        <w:t>司、厦门美晴网络科技有限公司、西藏泰戈科技有限公司、厦门海格电子商务有限公司、芜湖禾邦电子商务有限公司、芜湖</w:t>
      </w:r>
      <w:r>
        <w:rPr>
          <w:spacing w:val="-67"/>
        </w:rPr>
        <w:t> </w:t>
      </w:r>
      <w:r>
        <w:rPr>
          <w:spacing w:val="-67"/>
        </w:rPr>
      </w:r>
      <w:r>
        <w:rPr>
          <w:spacing w:val="-2"/>
        </w:rPr>
        <w:t>黑蚁电子商务有限公司；本年新增子公司：黄冈市吉宏包装有限公司、安徽吉宏环保纸品有限公司、成都渡佳电子商务有限</w:t>
      </w:r>
      <w:r>
        <w:rPr>
          <w:spacing w:val="-67"/>
        </w:rPr>
        <w:t> </w:t>
      </w:r>
      <w:r>
        <w:rPr>
          <w:spacing w:val="-67"/>
        </w:rPr>
      </w:r>
      <w:r>
        <w:rPr>
          <w:spacing w:val="-2"/>
        </w:rPr>
        <w:t>公司、深圳吉链区块链技术有限公司、孝感市吉联食品包装有限公司、江西吉宏供应链管理有限公司、江西维致供应链管理</w:t>
      </w:r>
      <w:r>
        <w:rPr>
          <w:spacing w:val="-67"/>
        </w:rPr>
        <w:t> </w:t>
      </w:r>
      <w:r>
        <w:rPr>
          <w:spacing w:val="-67"/>
        </w:rPr>
      </w:r>
      <w:r>
        <w:rPr/>
        <w:t>有限公司、山西火致供应链管理有限公司。本年减少子公司：厦门吉联包装有限公司、西安超斯塔科技有限公司、 </w:t>
      </w:r>
      <w:r>
        <w:rPr>
          <w:rFonts w:ascii="Times New Roman" w:hAnsi="Times New Roman" w:cs="Times New Roman" w:eastAsia="Times New Roman" w:hint="default"/>
        </w:rPr>
        <w:t>NOVABEYOND TECHNOLOGY(SD)</w:t>
      </w:r>
      <w:r>
        <w:rPr>
          <w:rFonts w:ascii="Times New Roman" w:hAnsi="Times New Roman" w:cs="Times New Roman" w:eastAsia="Times New Roman" w:hint="default"/>
          <w:spacing w:val="-5"/>
        </w:rPr>
        <w:t> </w:t>
      </w:r>
      <w:r>
        <w:rPr>
          <w:rFonts w:ascii="Times New Roman" w:hAnsi="Times New Roman" w:cs="Times New Roman" w:eastAsia="Times New Roman" w:hint="default"/>
        </w:rPr>
        <w:t>PTE.LTD.</w:t>
      </w:r>
      <w:r>
        <w:rPr/>
        <w:t>、香港百泽惠科技有限公司。公司包括以下分公司：厦门吉宏科技股份有限 </w:t>
      </w:r>
      <w:r>
        <w:rPr>
          <w:spacing w:val="-2"/>
        </w:rPr>
        <w:t>公司廊坊分公司、厦门吉宏科技股份有限公司黄冈分公司、西安吉客印电子商务有限公司深圳分公司、西安吉客印电子商务</w:t>
      </w:r>
      <w:r>
        <w:rPr>
          <w:spacing w:val="-63"/>
        </w:rPr>
        <w:t> </w:t>
      </w:r>
      <w:r>
        <w:rPr>
          <w:spacing w:val="-63"/>
        </w:rPr>
      </w:r>
      <w:r>
        <w:rPr>
          <w:spacing w:val="-2"/>
        </w:rPr>
        <w:t>有限公司昆明分公司、西安吉客印电子商务有限公司北京分公司、西安金印客电子商务有限公司深圳分公司、江西维致供应</w:t>
      </w:r>
      <w:r>
        <w:rPr>
          <w:spacing w:val="-63"/>
        </w:rPr>
        <w:t> </w:t>
      </w:r>
      <w:r>
        <w:rPr>
          <w:spacing w:val="-63"/>
        </w:rPr>
      </w:r>
      <w:r>
        <w:rPr/>
        <w:t>链管理有限公司西安分公司。</w:t>
      </w:r>
    </w:p>
    <w:p>
      <w:pPr>
        <w:spacing w:line="240" w:lineRule="auto" w:before="4"/>
        <w:rPr>
          <w:rFonts w:ascii="宋体" w:hAnsi="宋体" w:cs="宋体" w:eastAsia="宋体" w:hint="default"/>
          <w:sz w:val="25"/>
          <w:szCs w:val="25"/>
        </w:rPr>
      </w:pPr>
    </w:p>
    <w:p>
      <w:pPr>
        <w:pStyle w:val="BodyText"/>
        <w:spacing w:line="240" w:lineRule="auto"/>
        <w:ind w:left="440" w:right="1128"/>
        <w:jc w:val="left"/>
      </w:pPr>
      <w:r>
        <w:rPr/>
        <w:t>本期发生的企业合并详见本附注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81"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8"/>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8" w:firstLine="360"/>
        <w:jc w:val="left"/>
      </w:pPr>
      <w:r>
        <w:rPr>
          <w:spacing w:val="-2"/>
        </w:rPr>
        <w:t>本公司财务报表以持续经营为基础，根据实际发生的交易和事项，按照财政部颁布的《企业会计准则》及相关规定，并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2"/>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128"/>
        <w:jc w:val="left"/>
      </w:pPr>
      <w:r>
        <w:rPr/>
        <w:t>本公司自本报告期末至少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3"/>
        <w:rPr>
          <w:rFonts w:ascii="宋体" w:hAnsi="宋体" w:cs="宋体" w:eastAsia="宋体" w:hint="default"/>
          <w:sz w:val="24"/>
          <w:szCs w:val="24"/>
        </w:rPr>
      </w:pPr>
    </w:p>
    <w:p>
      <w:pPr>
        <w:pStyle w:val="Heading2"/>
        <w:spacing w:line="240" w:lineRule="auto"/>
        <w:ind w:right="1128"/>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40" w:right="1128" w:hanging="288"/>
        <w:jc w:val="left"/>
      </w:pPr>
      <w:r>
        <w:rPr/>
        <w:t>具体会计政策和会计估计提示： </w:t>
      </w:r>
      <w:r>
        <w:rPr>
          <w:spacing w:val="-1"/>
        </w:rPr>
        <w:t>本公司根据实际生产经营特点制定的具体会计政策和会计估计包括营业周期、应收款项坏账准备的确认和计量、发出存</w:t>
      </w:r>
    </w:p>
    <w:p>
      <w:pPr>
        <w:pStyle w:val="BodyText"/>
        <w:spacing w:line="222" w:lineRule="exact"/>
        <w:ind w:right="1128"/>
        <w:jc w:val="left"/>
      </w:pPr>
      <w:r>
        <w:rPr/>
        <w:t>货计量、固定资产分类及折旧方法、无形资产摊销、研发费用资本化条件、收入确认和计量等。</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8" w:firstLine="439"/>
        <w:jc w:val="left"/>
      </w:pPr>
      <w:r>
        <w:rPr/>
        <w:t>本公司编制的财务报表符合企业会计准则的要求，真实、完整地反映了本公司的财务状况、经营成果和现金流量等有 关信息。</w:t>
      </w:r>
    </w:p>
    <w:p>
      <w:pPr>
        <w:spacing w:line="240" w:lineRule="auto" w:before="9"/>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128"/>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128"/>
        <w:jc w:val="left"/>
      </w:pPr>
      <w:r>
        <w:rPr/>
        <w:t>本公司营业周期为</w:t>
      </w:r>
      <w:r>
        <w:rPr>
          <w:rFonts w:ascii="Times New Roman" w:hAnsi="Times New Roman" w:cs="Times New Roman" w:eastAsia="Times New Roman" w:hint="default"/>
        </w:rPr>
        <w:t>12</w:t>
      </w:r>
      <w:r>
        <w:rPr/>
        <w:t>个月，以营业周期作为资产和负债的流动性划分标准。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128"/>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91"/>
        <w:jc w:val="both"/>
      </w:pPr>
      <w:r>
        <w:rPr/>
        <w:t>本公司作为合并方，在同一控制下企业合并中取得的资产和负债，在合并日按被合并方在最终控制方合并报表中的账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5"/>
        </w:rPr>
        <w:t> </w:t>
      </w:r>
      <w:r>
        <w:rPr>
          <w:spacing w:val="-65"/>
        </w:rPr>
      </w:r>
      <w:r>
        <w:rPr/>
        <w:t>益。</w:t>
      </w:r>
    </w:p>
    <w:p>
      <w:pPr>
        <w:spacing w:line="240" w:lineRule="auto" w:before="10"/>
        <w:rPr>
          <w:rFonts w:ascii="宋体" w:hAnsi="宋体" w:cs="宋体" w:eastAsia="宋体" w:hint="default"/>
          <w:sz w:val="19"/>
          <w:szCs w:val="19"/>
        </w:rPr>
      </w:pPr>
    </w:p>
    <w:p>
      <w:pPr>
        <w:pStyle w:val="BodyText"/>
        <w:spacing w:line="316" w:lineRule="auto"/>
        <w:ind w:left="253" w:right="1127" w:firstLine="268"/>
        <w:jc w:val="both"/>
      </w:pPr>
      <w:r>
        <w:rPr/>
        <w:t>在非同一控制下企业合并中取得的被购买方可辨认资产、负债及或有负债在收购日以公允价值计量。合并成本为本公 司在购买日为取得对被购买方的控制权而支付的现金或非现金资产、发行或承担的负债、发行的权益性证券等的公允价值 以及在企业合并中发生的各项直接相关费用之和（通过多次交易分步实现的企业合并，其合并成本为每一单项交易的成本 之和）。合并成本大于合并中取得的被购买方可辨认净资产公允价值份额的差额，确认为商誉；合并成本小于合并中取得 的被购买方可辨认净资产公允价值份额的，首先对合并中取得的各项可辨认资产、负债及或有负债的公允价值、以及合并</w:t>
      </w:r>
    </w:p>
    <w:p>
      <w:pPr>
        <w:spacing w:after="0" w:line="316"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253" w:right="1112"/>
        <w:jc w:val="left"/>
      </w:pPr>
      <w:r>
        <w:rPr/>
        <w:t>对价的非现金资产或发行的权益性证券等的公允价值进行复核，经复核后，合并成本仍小于合并中取得的被购买方可辨认 净资产公允价值份额的，将其差额计入合并当期营业外收入。</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410" w:lineRule="atLeast" w:before="170"/>
        <w:ind w:left="512" w:right="1128"/>
        <w:jc w:val="left"/>
      </w:pPr>
      <w:r>
        <w:rPr/>
        <w:t>本公司将所有控制的子公司纳入合并财务报表范围。 </w:t>
      </w:r>
      <w:r>
        <w:rPr>
          <w:spacing w:val="-2"/>
        </w:rPr>
        <w:t>在编制合并财务报表时，子公司与本公司采用的会计政策或会计期间不一致的，按照本公司的会计政策或会计期间对子</w:t>
      </w:r>
    </w:p>
    <w:p>
      <w:pPr>
        <w:pStyle w:val="BodyText"/>
        <w:spacing w:line="240" w:lineRule="auto" w:before="74"/>
        <w:ind w:right="1128"/>
        <w:jc w:val="left"/>
      </w:pPr>
      <w:r>
        <w:rPr/>
        <w:t>公司财务报表进行必要的调整。</w:t>
      </w:r>
    </w:p>
    <w:p>
      <w:pPr>
        <w:spacing w:line="240" w:lineRule="auto" w:before="7"/>
        <w:rPr>
          <w:rFonts w:ascii="宋体" w:hAnsi="宋体" w:cs="宋体" w:eastAsia="宋体" w:hint="default"/>
          <w:sz w:val="13"/>
          <w:szCs w:val="13"/>
        </w:rPr>
      </w:pPr>
    </w:p>
    <w:p>
      <w:pPr>
        <w:pStyle w:val="BodyText"/>
        <w:spacing w:line="309" w:lineRule="auto"/>
        <w:ind w:right="1132" w:firstLine="360"/>
        <w:jc w:val="both"/>
      </w:pPr>
      <w:r>
        <w:rPr>
          <w:spacing w:val="-2"/>
        </w:rPr>
        <w:t>合并范围内的所有重大内部交易、往来余额及未实现利润在合并报表编制时予以抵销。子公司的所有者权益中不属于母</w:t>
      </w:r>
      <w:r>
        <w:rPr/>
        <w:t> 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r>
        <w:rPr>
          <w:spacing w:val="-76"/>
        </w:rPr>
        <w:t> </w:t>
      </w:r>
      <w:r>
        <w:rPr>
          <w:spacing w:val="-76"/>
        </w:rPr>
      </w: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10"/>
        <w:rPr>
          <w:rFonts w:ascii="宋体" w:hAnsi="宋体" w:cs="宋体" w:eastAsia="宋体" w:hint="default"/>
          <w:sz w:val="18"/>
          <w:szCs w:val="18"/>
        </w:rPr>
      </w:pPr>
    </w:p>
    <w:p>
      <w:pPr>
        <w:pStyle w:val="BodyText"/>
        <w:spacing w:line="316" w:lineRule="auto"/>
        <w:ind w:right="1134" w:firstLine="439"/>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316" w:lineRule="auto"/>
        <w:ind w:right="1129" w:firstLine="439"/>
        <w:jc w:val="both"/>
      </w:pPr>
      <w:r>
        <w:rPr/>
        <w:t>通过多次交易分步取得同一控制下被投资单位的股权，最终形成企业合并的，应在取得控制权的报告期，补充披露在 </w:t>
      </w:r>
      <w:r>
        <w:rPr>
          <w:spacing w:val="-2"/>
        </w:rPr>
        <w:t>合并财务报表中的处理方法。例如：通过多次交易分步取得同一控制下被投资单位的股权，最终形成企业合并，编制合并报</w:t>
      </w:r>
      <w:r>
        <w:rPr>
          <w:spacing w:val="-64"/>
        </w:rPr>
        <w:t> </w:t>
      </w:r>
      <w:r>
        <w:rPr>
          <w:spacing w:val="-64"/>
        </w:rPr>
      </w:r>
      <w:r>
        <w:rPr>
          <w:spacing w:val="-2"/>
        </w:rPr>
        <w:t>表时，视同在最终控制方开始控制时即以目前的状态存在进行调整，在编制比较报表时，以不早于本公司和被合并方同处于</w:t>
      </w:r>
      <w:r>
        <w:rPr>
          <w:spacing w:val="-65"/>
        </w:rPr>
        <w:t> </w:t>
      </w:r>
      <w:r>
        <w:rPr>
          <w:spacing w:val="-65"/>
        </w:rPr>
      </w:r>
      <w:r>
        <w:rPr>
          <w:spacing w:val="-2"/>
        </w:rPr>
        <w:t>最终控制方的控制之下的时点为限，将被合并方的有关资产、负债并入本公司合并财务报表的比较报表中，并将合并而增加</w:t>
      </w:r>
      <w:r>
        <w:rPr>
          <w:spacing w:val="-63"/>
        </w:rPr>
        <w:t> </w:t>
      </w:r>
      <w:r>
        <w:rPr>
          <w:spacing w:val="-63"/>
        </w:rPr>
      </w:r>
      <w:r>
        <w:rPr>
          <w:spacing w:val="-2"/>
        </w:rPr>
        <w:t>的净资产在比较报表中调整所有者权益项下的相关项目。为避免对被合并方净资产的价值进行重复计算，本公司在达到合并</w:t>
      </w:r>
      <w:r>
        <w:rPr>
          <w:spacing w:val="-64"/>
        </w:rPr>
        <w:t> </w:t>
      </w:r>
      <w:r>
        <w:rPr>
          <w:spacing w:val="-64"/>
        </w:rPr>
      </w:r>
      <w:r>
        <w:rPr>
          <w:spacing w:val="-2"/>
        </w:rPr>
        <w:t>之前持有的长期股权投资，在取得原股权之日与本公司和被合并方处于同一方最终控制之日孰晚日起至合并日之间已确认有</w:t>
      </w:r>
      <w:r>
        <w:rPr>
          <w:spacing w:val="-64"/>
        </w:rPr>
        <w:t> </w:t>
      </w:r>
      <w:r>
        <w:rPr>
          <w:spacing w:val="-64"/>
        </w:rPr>
      </w:r>
      <w:r>
        <w:rPr/>
        <w:t>关损益、其他综合收益和其他净资产变动，应分别冲减比较报表期间的期初留存收益和当期损益。</w:t>
      </w:r>
    </w:p>
    <w:p>
      <w:pPr>
        <w:spacing w:line="240" w:lineRule="auto" w:before="10"/>
        <w:rPr>
          <w:rFonts w:ascii="宋体" w:hAnsi="宋体" w:cs="宋体" w:eastAsia="宋体" w:hint="default"/>
          <w:sz w:val="19"/>
          <w:szCs w:val="19"/>
        </w:rPr>
      </w:pPr>
    </w:p>
    <w:p>
      <w:pPr>
        <w:pStyle w:val="BodyText"/>
        <w:spacing w:line="319" w:lineRule="auto"/>
        <w:ind w:right="1134" w:firstLine="439"/>
        <w:jc w:val="both"/>
      </w:pPr>
      <w:r>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spacing w:line="240" w:lineRule="auto" w:before="8"/>
        <w:rPr>
          <w:rFonts w:ascii="宋体" w:hAnsi="宋体" w:cs="宋体" w:eastAsia="宋体" w:hint="default"/>
          <w:sz w:val="19"/>
          <w:szCs w:val="19"/>
        </w:rPr>
      </w:pPr>
    </w:p>
    <w:p>
      <w:pPr>
        <w:pStyle w:val="BodyText"/>
        <w:spacing w:line="316" w:lineRule="auto"/>
        <w:ind w:right="1033" w:firstLine="439"/>
        <w:jc w:val="left"/>
      </w:pPr>
      <w:r>
        <w:rPr/>
        <w:t>通过多次交易分步取得非同一控制下被投资单位的股权，最终形成企业合并的，应在取得控制权的报告期，补充披露 </w:t>
      </w:r>
      <w:r>
        <w:rPr>
          <w:spacing w:val="-2"/>
        </w:rPr>
        <w:t>在合并财务报表中的处理方法。例如：通过多次交易分步取得非同一控制下被投资单位的股权，最终形成企业合并，编制合</w:t>
      </w:r>
      <w:r>
        <w:rPr>
          <w:spacing w:val="-66"/>
        </w:rPr>
        <w:t> </w:t>
      </w:r>
      <w:r>
        <w:rPr>
          <w:spacing w:val="-66"/>
        </w:rPr>
      </w:r>
      <w:r>
        <w:rPr>
          <w:spacing w:val="-2"/>
        </w:rPr>
        <w:t>并报表时，对于购买日之前持有的被购买方的股权，按照该股权在购买日的公允价值进行重新计量，公允价值与其账面价值</w:t>
      </w:r>
      <w:r>
        <w:rPr>
          <w:spacing w:val="-63"/>
        </w:rPr>
        <w:t> </w:t>
      </w:r>
      <w:r>
        <w:rPr>
          <w:spacing w:val="-63"/>
        </w:rPr>
      </w:r>
      <w:r>
        <w:rPr/>
        <w:t>的差额计入当期投资收益；与其相关的购买日之前持有的被购买方的股权涉及权益法核算下的其他综合收益以及除净损益、 </w:t>
      </w:r>
      <w:r>
        <w:rPr>
          <w:spacing w:val="-2"/>
        </w:rPr>
        <w:t>其他综合收益和利润分配外的其他所有者权益变动，在购买日所属当期转为投资损益，由于被投资方重新计量设定受益计划</w:t>
      </w:r>
      <w:r>
        <w:rPr>
          <w:spacing w:val="-64"/>
        </w:rPr>
        <w:t> </w:t>
      </w:r>
      <w:r>
        <w:rPr>
          <w:spacing w:val="-64"/>
        </w:rPr>
      </w:r>
      <w:r>
        <w:rPr/>
        <w:t>净负债或净资产变动而产生的其他综合收益除外。</w:t>
      </w:r>
    </w:p>
    <w:p>
      <w:pPr>
        <w:spacing w:line="240" w:lineRule="auto" w:before="10"/>
        <w:rPr>
          <w:rFonts w:ascii="宋体" w:hAnsi="宋体" w:cs="宋体" w:eastAsia="宋体" w:hint="default"/>
          <w:sz w:val="19"/>
          <w:szCs w:val="19"/>
        </w:rPr>
      </w:pPr>
    </w:p>
    <w:p>
      <w:pPr>
        <w:pStyle w:val="BodyText"/>
        <w:spacing w:line="316" w:lineRule="auto"/>
        <w:ind w:right="1132" w:firstLine="439"/>
        <w:jc w:val="both"/>
      </w:pPr>
      <w:r>
        <w:rPr/>
        <w:t>本公司在不丧失控制权的情况下部分处置对子公司的长期股权投资，在合并财务报表中，处置价款与处置长期股权投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spacing w:line="240" w:lineRule="auto" w:before="10"/>
        <w:rPr>
          <w:rFonts w:ascii="宋体" w:hAnsi="宋体" w:cs="宋体" w:eastAsia="宋体" w:hint="default"/>
          <w:sz w:val="19"/>
          <w:szCs w:val="19"/>
        </w:rPr>
      </w:pPr>
    </w:p>
    <w:p>
      <w:pPr>
        <w:pStyle w:val="BodyText"/>
        <w:spacing w:line="316" w:lineRule="auto"/>
        <w:ind w:right="1132" w:firstLine="439"/>
        <w:jc w:val="both"/>
      </w:pPr>
      <w:r>
        <w:rPr/>
        <w:t>本公司因处置部分股权投资等原因丧失了对被投资方的控制权的，在编制合并财务报表时，对于剩余股权，按照其在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5"/>
        </w:rPr>
        <w:t> </w:t>
      </w:r>
      <w:r>
        <w:rPr>
          <w:spacing w:val="-65"/>
        </w:rPr>
      </w:r>
      <w:r>
        <w:rPr/>
        <w:t>有子公司股权投资相关的其他综合收益等，在丧失控制权时转为当期投资损益。</w:t>
      </w:r>
    </w:p>
    <w:p>
      <w:pPr>
        <w:spacing w:line="240" w:lineRule="auto" w:before="10"/>
        <w:rPr>
          <w:rFonts w:ascii="宋体" w:hAnsi="宋体" w:cs="宋体" w:eastAsia="宋体" w:hint="default"/>
          <w:sz w:val="19"/>
          <w:szCs w:val="19"/>
        </w:rPr>
      </w:pPr>
    </w:p>
    <w:p>
      <w:pPr>
        <w:pStyle w:val="BodyText"/>
        <w:spacing w:line="316" w:lineRule="auto"/>
        <w:ind w:right="1132" w:firstLine="439"/>
        <w:jc w:val="both"/>
      </w:pPr>
      <w:r>
        <w:rPr/>
        <w:t>本公司通过多次交易分步处置对子公司股权投资直至丧失控制权的，如果处置对子公司股权投资直至丧失控制权的各 </w:t>
      </w:r>
      <w:r>
        <w:rPr>
          <w:spacing w:val="-2"/>
        </w:rPr>
        <w:t>项交易属于一揽子交易的，应当将各项交易作为一项处置子公司并丧失控制权的交易进行会计处理；但是，在丧失控制权之</w:t>
      </w:r>
      <w:r>
        <w:rPr>
          <w:spacing w:val="-66"/>
        </w:rPr>
        <w:t> </w:t>
      </w:r>
      <w:r>
        <w:rPr>
          <w:spacing w:val="-66"/>
        </w:rPr>
      </w:r>
      <w:r>
        <w:rPr>
          <w:spacing w:val="-2"/>
        </w:rPr>
        <w:t>前每一次处置价款与处置投资对应的享有该子公司净资产份额的差额，在合并财务报表中确认为其他综合收益，在丧失控制</w:t>
      </w:r>
    </w:p>
    <w:p>
      <w:pPr>
        <w:spacing w:after="0" w:line="316"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472" w:right="0"/>
        <w:jc w:val="both"/>
      </w:pPr>
      <w:r>
        <w:rPr/>
        <w:t>权时一并转入丧失控制权当期的投资损益。</w:t>
      </w:r>
    </w:p>
    <w:p>
      <w:pPr>
        <w:spacing w:line="240" w:lineRule="auto" w:before="0"/>
        <w:rPr>
          <w:rFonts w:ascii="宋体" w:hAnsi="宋体" w:cs="宋体" w:eastAsia="宋体" w:hint="default"/>
          <w:sz w:val="18"/>
          <w:szCs w:val="18"/>
        </w:rPr>
      </w:pPr>
    </w:p>
    <w:p>
      <w:pPr>
        <w:pStyle w:val="Heading3"/>
        <w:spacing w:line="240" w:lineRule="auto" w:before="120"/>
        <w:ind w:left="472"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472" w:right="1129" w:firstLine="439"/>
        <w:jc w:val="both"/>
      </w:pPr>
      <w:r>
        <w:rPr>
          <w:spacing w:val="-1"/>
        </w:rPr>
        <w:t>本公司的合营安排包括共同经营和合营企业。对于共同经营项目</w:t>
      </w:r>
      <w:r>
        <w:rPr>
          <w:rFonts w:ascii="Times New Roman" w:hAnsi="Times New Roman" w:cs="Times New Roman" w:eastAsia="Times New Roman" w:hint="default"/>
          <w:spacing w:val="-1"/>
        </w:rPr>
        <w:t>,</w:t>
      </w:r>
      <w:r>
        <w:rPr>
          <w:spacing w:val="-1"/>
        </w:rPr>
        <w:t>本公司作为共同经营中的合营方确认单独持有的资产</w:t>
      </w:r>
      <w:r>
        <w:rPr/>
        <w:t> </w:t>
      </w:r>
      <w:r>
        <w:rPr>
          <w:spacing w:val="-2"/>
        </w:rPr>
        <w:t>和承担的负债，以及按份额确认持有的资产和承担的负债，根据相关约定单独或按份额确认相关的收入和费用。与共同经营</w:t>
      </w:r>
      <w:r>
        <w:rPr>
          <w:spacing w:val="-63"/>
        </w:rPr>
        <w:t> </w:t>
      </w:r>
      <w:r>
        <w:rPr>
          <w:spacing w:val="-63"/>
        </w:rPr>
      </w:r>
      <w:r>
        <w:rPr/>
        <w:t>发生购买、销售不构成业务的资产交易的，仅确认因该交易产生的损益中归属于共同经营其他参与方的部分。</w:t>
      </w:r>
    </w:p>
    <w:p>
      <w:pPr>
        <w:spacing w:line="240" w:lineRule="auto" w:before="3"/>
        <w:rPr>
          <w:rFonts w:ascii="宋体" w:hAnsi="宋体" w:cs="宋体" w:eastAsia="宋体" w:hint="default"/>
          <w:sz w:val="23"/>
          <w:szCs w:val="23"/>
        </w:rPr>
      </w:pPr>
    </w:p>
    <w:p>
      <w:pPr>
        <w:pStyle w:val="Heading3"/>
        <w:spacing w:line="240" w:lineRule="auto"/>
        <w:ind w:left="472"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472" w:right="1129" w:firstLine="439"/>
        <w:jc w:val="both"/>
      </w:pPr>
      <w:r>
        <w:rPr/>
        <w:t>本公司现金流量表之现金指库存现金以及可以随时用于支付的存款。现金流量表之现金等价物指持有期限不超过</w:t>
      </w:r>
      <w:r>
        <w:rPr>
          <w:rFonts w:ascii="Times New Roman" w:hAnsi="Times New Roman" w:cs="Times New Roman" w:eastAsia="Times New Roman" w:hint="default"/>
        </w:rPr>
        <w:t>3</w:t>
      </w:r>
      <w:r>
        <w:rPr/>
        <w:t>个 月、流动性强、易于转换为已知金额现金且价值变动风险很小的投资。</w:t>
      </w:r>
    </w:p>
    <w:p>
      <w:pPr>
        <w:spacing w:line="240" w:lineRule="auto" w:before="10"/>
        <w:rPr>
          <w:rFonts w:ascii="宋体" w:hAnsi="宋体" w:cs="宋体" w:eastAsia="宋体" w:hint="default"/>
          <w:sz w:val="23"/>
          <w:szCs w:val="23"/>
        </w:rPr>
      </w:pPr>
    </w:p>
    <w:p>
      <w:pPr>
        <w:pStyle w:val="Heading3"/>
        <w:spacing w:line="240" w:lineRule="auto"/>
        <w:ind w:left="472"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0"/>
        <w:jc w:val="both"/>
      </w:pPr>
      <w:r>
        <w:rPr/>
        <w:t>（</w:t>
      </w:r>
      <w:r>
        <w:rPr>
          <w:rFonts w:ascii="Times New Roman" w:hAnsi="Times New Roman" w:cs="Times New Roman" w:eastAsia="Times New Roman" w:hint="default"/>
        </w:rPr>
        <w:t>1</w:t>
      </w:r>
      <w:r>
        <w:rPr/>
        <w:t>）外币交易</w:t>
      </w:r>
    </w:p>
    <w:p>
      <w:pPr>
        <w:spacing w:line="240" w:lineRule="auto" w:before="2"/>
        <w:rPr>
          <w:rFonts w:ascii="宋体" w:hAnsi="宋体" w:cs="宋体" w:eastAsia="宋体" w:hint="default"/>
          <w:sz w:val="23"/>
          <w:szCs w:val="23"/>
        </w:rPr>
      </w:pPr>
    </w:p>
    <w:p>
      <w:pPr>
        <w:pStyle w:val="BodyText"/>
        <w:spacing w:line="316" w:lineRule="auto"/>
        <w:ind w:left="472" w:right="1132" w:firstLine="439"/>
        <w:jc w:val="both"/>
      </w:pPr>
      <w:r>
        <w:rPr/>
        <w:t>本公司外币交易按交易发生日的即期汇率将外币金额折算为人民币金额。于资产负债表日，外币货币性项目采用资产 </w:t>
      </w:r>
      <w:r>
        <w:rPr>
          <w:spacing w:val="-2"/>
        </w:rPr>
        <w:t>负债表日的即期汇率折算为人民币，所产生的折算差额除了为购建或生产符合资本化条件的资产而借入的外币专门借款产生</w:t>
      </w:r>
      <w:r>
        <w:rPr>
          <w:spacing w:val="-64"/>
        </w:rPr>
        <w:t> </w:t>
      </w:r>
      <w:r>
        <w:rPr>
          <w:spacing w:val="-64"/>
        </w:rPr>
      </w:r>
      <w:r>
        <w:rPr/>
        <w:t>的汇兑差额按资本化的原则处理外，直接计入当期损益。</w:t>
      </w:r>
    </w:p>
    <w:p>
      <w:pPr>
        <w:pStyle w:val="BodyText"/>
        <w:spacing w:line="552" w:lineRule="exact" w:before="27"/>
        <w:ind w:left="864" w:right="0" w:hanging="392"/>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w:t>
      </w:r>
    </w:p>
    <w:p>
      <w:pPr>
        <w:pStyle w:val="BodyText"/>
        <w:spacing w:line="316" w:lineRule="auto"/>
        <w:ind w:left="472" w:right="1129"/>
        <w:jc w:val="both"/>
      </w:pPr>
      <w:r>
        <w:rPr>
          <w:spacing w:val="-2"/>
        </w:rPr>
        <w:t>业务发生时的即期汇率折算；利润表中的收入与费用项目，采用交易发生日的即期汇率折算。上述折算产生的外币报表折算</w:t>
      </w:r>
      <w:r>
        <w:rPr>
          <w:spacing w:val="-63"/>
        </w:rPr>
        <w:t> </w:t>
      </w:r>
      <w:r>
        <w:rPr>
          <w:spacing w:val="-63"/>
        </w:rPr>
      </w:r>
      <w:r>
        <w:rPr>
          <w:spacing w:val="-2"/>
        </w:rPr>
        <w:t>差额，在其他综合收益项目中列示。外币现金流量采用现金流量发生日的即期汇率折算。汇率变动对现金的影响额，在现金</w:t>
      </w:r>
      <w:r>
        <w:rPr>
          <w:spacing w:val="-66"/>
        </w:rPr>
        <w:t> </w:t>
      </w:r>
      <w:r>
        <w:rPr>
          <w:spacing w:val="-66"/>
        </w:rPr>
      </w:r>
      <w:r>
        <w:rPr/>
        <w:t>流量表中单独列示。</w:t>
      </w:r>
    </w:p>
    <w:p>
      <w:pPr>
        <w:spacing w:line="240" w:lineRule="auto" w:before="10"/>
        <w:rPr>
          <w:rFonts w:ascii="宋体" w:hAnsi="宋体" w:cs="宋体" w:eastAsia="宋体" w:hint="default"/>
          <w:sz w:val="22"/>
          <w:szCs w:val="22"/>
        </w:rPr>
      </w:pPr>
    </w:p>
    <w:p>
      <w:pPr>
        <w:pStyle w:val="Heading3"/>
        <w:spacing w:line="240" w:lineRule="auto"/>
        <w:ind w:left="472"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832" w:right="0"/>
        <w:jc w:val="left"/>
      </w:pPr>
      <w:r>
        <w:rPr/>
        <w:t>本公司成为金融工具合同的一方时确认一项金融资产或金融负债。</w:t>
      </w:r>
    </w:p>
    <w:p>
      <w:pPr>
        <w:spacing w:line="240" w:lineRule="auto" w:before="2"/>
        <w:rPr>
          <w:rFonts w:ascii="宋体" w:hAnsi="宋体" w:cs="宋体" w:eastAsia="宋体" w:hint="default"/>
          <w:sz w:val="24"/>
          <w:szCs w:val="24"/>
        </w:rPr>
      </w:pPr>
    </w:p>
    <w:p>
      <w:pPr>
        <w:pStyle w:val="BodyText"/>
        <w:spacing w:line="240" w:lineRule="auto"/>
        <w:ind w:left="832" w:right="0"/>
        <w:jc w:val="left"/>
      </w:pPr>
      <w:r>
        <w:rPr/>
        <w:t>（</w:t>
      </w:r>
      <w:r>
        <w:rPr>
          <w:rFonts w:ascii="Times New Roman" w:hAnsi="Times New Roman" w:cs="Times New Roman" w:eastAsia="Times New Roman" w:hint="default"/>
        </w:rPr>
        <w:t>1</w:t>
      </w:r>
      <w:r>
        <w:rPr/>
        <w:t>）金融资产</w:t>
      </w:r>
    </w:p>
    <w:p>
      <w:pPr>
        <w:spacing w:line="240" w:lineRule="auto" w:before="7"/>
        <w:rPr>
          <w:rFonts w:ascii="宋体" w:hAnsi="宋体" w:cs="宋体" w:eastAsia="宋体" w:hint="default"/>
          <w:sz w:val="12"/>
          <w:szCs w:val="12"/>
        </w:rPr>
      </w:pPr>
    </w:p>
    <w:p>
      <w:pPr>
        <w:pStyle w:val="BodyText"/>
        <w:tabs>
          <w:tab w:pos="904" w:val="left" w:leader="none"/>
        </w:tabs>
        <w:spacing w:line="240" w:lineRule="auto"/>
        <w:ind w:left="112" w:right="0"/>
        <w:jc w:val="left"/>
      </w:pPr>
      <w:r>
        <w:rPr/>
        <w:t>1.</w:t>
        <w:tab/>
      </w:r>
      <w:r>
        <w:rPr>
          <w:rFonts w:ascii="Times New Roman" w:hAnsi="Times New Roman" w:cs="Times New Roman" w:eastAsia="Times New Roman" w:hint="default"/>
        </w:rPr>
        <w:t>1</w:t>
      </w:r>
      <w:r>
        <w:rPr/>
        <w:t>）金融资产分类、确认依据和计量方法</w:t>
      </w:r>
    </w:p>
    <w:p>
      <w:pPr>
        <w:spacing w:line="240" w:lineRule="auto" w:before="2"/>
        <w:rPr>
          <w:rFonts w:ascii="宋体" w:hAnsi="宋体" w:cs="宋体" w:eastAsia="宋体" w:hint="default"/>
          <w:sz w:val="23"/>
          <w:szCs w:val="23"/>
        </w:rPr>
      </w:pPr>
    </w:p>
    <w:p>
      <w:pPr>
        <w:pStyle w:val="BodyText"/>
        <w:spacing w:line="316" w:lineRule="auto"/>
        <w:ind w:left="472" w:right="1132" w:firstLine="360"/>
        <w:jc w:val="both"/>
      </w:pPr>
      <w:r>
        <w:rPr>
          <w:spacing w:val="-2"/>
        </w:rPr>
        <w:t>本公司根据管理金融资产的业务模式和金融资产的合同现金流特征，将金融资产分类为以摊余成本计量的金融资产、以</w:t>
      </w:r>
      <w:r>
        <w:rPr/>
        <w:t> 公允价值计量且其变动计入其他综合收益的金融资产、以公允价值计量且其变动计入当期损益的金融资产。</w:t>
      </w:r>
    </w:p>
    <w:p>
      <w:pPr>
        <w:spacing w:line="240" w:lineRule="auto" w:before="10"/>
        <w:rPr>
          <w:rFonts w:ascii="宋体" w:hAnsi="宋体" w:cs="宋体" w:eastAsia="宋体" w:hint="default"/>
          <w:sz w:val="19"/>
          <w:szCs w:val="19"/>
        </w:rPr>
      </w:pPr>
    </w:p>
    <w:p>
      <w:pPr>
        <w:pStyle w:val="BodyText"/>
        <w:spacing w:line="316" w:lineRule="auto"/>
        <w:ind w:left="472" w:right="1129" w:firstLine="360"/>
        <w:jc w:val="both"/>
      </w:pPr>
      <w:r>
        <w:rPr>
          <w:spacing w:val="-2"/>
        </w:rPr>
        <w:t>本公司将同时符合下列条件的金融资产分类为以摊余成本计量的金融资产：①管理该金融资产的业务模式是以收取合同</w:t>
      </w:r>
      <w:r>
        <w:rPr/>
        <w:t> </w:t>
      </w:r>
      <w:r>
        <w:rPr>
          <w:spacing w:val="-2"/>
        </w:rPr>
        <w:t>现金流量为目标。②该金融资产的合同条款规定，在特定日期产生的现金流量，仅为对本金和以未偿付本金金额为基础的利</w:t>
      </w:r>
      <w:r>
        <w:rPr>
          <w:spacing w:val="-63"/>
        </w:rPr>
        <w:t> </w:t>
      </w:r>
      <w:r>
        <w:rPr>
          <w:spacing w:val="-63"/>
        </w:rPr>
      </w:r>
      <w:r>
        <w:rPr>
          <w:spacing w:val="-2"/>
        </w:rPr>
        <w:t>息的支付。此类金融资产按照公允价值进行初始计量，相关交易费用计入初始确认金额；以摊余成本进行后续计量。除被指</w:t>
      </w:r>
      <w:r>
        <w:rPr>
          <w:spacing w:val="-66"/>
        </w:rPr>
        <w:t> </w:t>
      </w:r>
      <w:r>
        <w:rPr>
          <w:spacing w:val="-66"/>
        </w:rPr>
      </w:r>
      <w:r>
        <w:rPr>
          <w:spacing w:val="-2"/>
        </w:rPr>
        <w:t>定为被套期项目的，按照实际利率法摊销初始金额与到期金额之间的差额，其摊销、减值、汇兑损益以及终止确认时产生的</w:t>
      </w:r>
      <w:r>
        <w:rPr>
          <w:spacing w:val="-65"/>
        </w:rPr>
        <w:t> </w:t>
      </w:r>
      <w:r>
        <w:rPr>
          <w:spacing w:val="-65"/>
        </w:rPr>
      </w:r>
      <w:r>
        <w:rPr/>
        <w:t>利得或损失，计入当期损益。</w:t>
      </w:r>
    </w:p>
    <w:p>
      <w:pPr>
        <w:spacing w:line="240" w:lineRule="auto" w:before="10"/>
        <w:rPr>
          <w:rFonts w:ascii="宋体" w:hAnsi="宋体" w:cs="宋体" w:eastAsia="宋体" w:hint="default"/>
          <w:sz w:val="19"/>
          <w:szCs w:val="19"/>
        </w:rPr>
      </w:pPr>
    </w:p>
    <w:p>
      <w:pPr>
        <w:pStyle w:val="BodyText"/>
        <w:spacing w:line="316" w:lineRule="auto"/>
        <w:ind w:left="472" w:right="1132" w:firstLine="360"/>
        <w:jc w:val="both"/>
      </w:pPr>
      <w:r>
        <w:rPr>
          <w:spacing w:val="-2"/>
        </w:rPr>
        <w:t>本公司将同时符合下列条件的金融资产分类为以公允价值计量且其变动计入其他综合收益的金融资产：①管理该金融资</w:t>
      </w:r>
      <w:r>
        <w:rPr/>
        <w:t> </w:t>
      </w:r>
      <w:r>
        <w:rPr>
          <w:spacing w:val="-2"/>
        </w:rPr>
        <w:t>产的业务模式既以收取合同现金流量为目标又以出售该金融资产为目标。②该金融资产的合同条款规定，在特定日期产生的</w:t>
      </w:r>
    </w:p>
    <w:p>
      <w:pPr>
        <w:spacing w:after="0" w:line="316" w:lineRule="auto"/>
        <w:jc w:val="both"/>
        <w:sectPr>
          <w:pgSz w:w="11910" w:h="16840"/>
          <w:pgMar w:header="745" w:footer="981" w:top="1060" w:bottom="1180" w:left="660" w:right="0"/>
        </w:sectPr>
      </w:pPr>
    </w:p>
    <w:p>
      <w:pPr>
        <w:spacing w:line="240" w:lineRule="auto" w:before="9"/>
        <w:rPr>
          <w:rFonts w:ascii="宋体" w:hAnsi="宋体" w:cs="宋体" w:eastAsia="宋体" w:hint="default"/>
          <w:sz w:val="25"/>
          <w:szCs w:val="25"/>
        </w:rPr>
      </w:pPr>
    </w:p>
    <w:p>
      <w:pPr>
        <w:pStyle w:val="BodyText"/>
        <w:spacing w:line="316" w:lineRule="auto" w:before="44"/>
        <w:ind w:right="1129"/>
        <w:jc w:val="both"/>
      </w:pPr>
      <w:r>
        <w:rPr>
          <w:spacing w:val="-2"/>
        </w:rPr>
        <w:t>现金流量，仅为对本金和以未偿付本金金额为基础的利息的支付。此类金融资产按照公允价值进行初始计量，相关交易费用</w:t>
      </w:r>
      <w:r>
        <w:rPr>
          <w:spacing w:val="-63"/>
        </w:rPr>
        <w:t> </w:t>
      </w:r>
      <w:r>
        <w:rPr>
          <w:spacing w:val="-63"/>
        </w:rPr>
      </w:r>
      <w:r>
        <w:rPr>
          <w:spacing w:val="-2"/>
        </w:rPr>
        <w:t>计入初始确认金额。除被指定为被套期项目的，此类金融资产，除信用减值损失或利得、汇兑损益和按照实际利率法计算的</w:t>
      </w:r>
      <w:r>
        <w:rPr>
          <w:spacing w:val="-65"/>
        </w:rPr>
        <w:t> </w:t>
      </w:r>
      <w:r>
        <w:rPr>
          <w:spacing w:val="-65"/>
        </w:rPr>
      </w:r>
      <w:r>
        <w:rPr>
          <w:spacing w:val="-2"/>
        </w:rPr>
        <w:t>该金融资产利息之外，所产生的其他利得或损失，均计入其他综合收益；金融资产终止确认时，之前计入其他综合收益的累</w:t>
      </w:r>
      <w:r>
        <w:rPr>
          <w:spacing w:val="-67"/>
        </w:rPr>
        <w:t> </w:t>
      </w:r>
      <w:r>
        <w:rPr>
          <w:spacing w:val="-67"/>
        </w:rPr>
      </w:r>
      <w:r>
        <w:rPr/>
        <w:t>计利得或损失应当从其他综合收益中转出，计入当期损益。</w:t>
      </w:r>
    </w:p>
    <w:p>
      <w:pPr>
        <w:spacing w:line="240" w:lineRule="auto" w:before="10"/>
        <w:rPr>
          <w:rFonts w:ascii="宋体" w:hAnsi="宋体" w:cs="宋体" w:eastAsia="宋体" w:hint="default"/>
          <w:sz w:val="19"/>
          <w:szCs w:val="19"/>
        </w:rPr>
      </w:pPr>
    </w:p>
    <w:p>
      <w:pPr>
        <w:pStyle w:val="BodyText"/>
        <w:spacing w:line="316" w:lineRule="auto"/>
        <w:ind w:right="1129" w:firstLine="360"/>
        <w:jc w:val="both"/>
      </w:pPr>
      <w:r>
        <w:rPr>
          <w:spacing w:val="-2"/>
        </w:rPr>
        <w:t>本公司按照实际利率法确认利息收入。利息收入根据金融资产账面余额乘以实际利率计算确定，但下列情况除外：①对</w:t>
      </w:r>
      <w:r>
        <w:rPr/>
        <w:t> </w:t>
      </w:r>
      <w:r>
        <w:rPr>
          <w:spacing w:val="-2"/>
        </w:rPr>
        <w:t>于购入或源生的已发生信用减值的金融资产，自初始确认起，按照该金融资产的摊余成本和经信用调整的实际利率计算确定</w:t>
      </w:r>
      <w:r>
        <w:rPr>
          <w:spacing w:val="-64"/>
        </w:rPr>
        <w:t> </w:t>
      </w:r>
      <w:r>
        <w:rPr>
          <w:spacing w:val="-64"/>
        </w:rPr>
      </w:r>
      <w:r>
        <w:rPr>
          <w:spacing w:val="-2"/>
        </w:rPr>
        <w:t>其利息收入。②对于购入或源生的未发生信用减值、但在后续期间成为已发生信用减值的金融资产，在后续期间，按照该金</w:t>
      </w:r>
      <w:r>
        <w:rPr>
          <w:spacing w:val="-65"/>
        </w:rPr>
        <w:t> </w:t>
      </w:r>
      <w:r>
        <w:rPr>
          <w:spacing w:val="-65"/>
        </w:rPr>
      </w:r>
      <w:r>
        <w:rPr/>
        <w:t>融资产的摊余成本和实际利率计算确定其利息收入。</w:t>
      </w:r>
    </w:p>
    <w:p>
      <w:pPr>
        <w:spacing w:line="240" w:lineRule="auto" w:before="10"/>
        <w:rPr>
          <w:rFonts w:ascii="宋体" w:hAnsi="宋体" w:cs="宋体" w:eastAsia="宋体" w:hint="default"/>
          <w:sz w:val="19"/>
          <w:szCs w:val="19"/>
        </w:rPr>
      </w:pPr>
    </w:p>
    <w:p>
      <w:pPr>
        <w:pStyle w:val="BodyText"/>
        <w:spacing w:line="316" w:lineRule="auto"/>
        <w:ind w:right="1129" w:firstLine="360"/>
        <w:jc w:val="both"/>
      </w:pPr>
      <w:r>
        <w:rPr>
          <w:spacing w:val="-2"/>
        </w:rPr>
        <w:t>本公司将非交易性权益工具投资指定为以公允价值计量且其变动计入其他综合收益的金融资产。该指定一经作出，不得</w:t>
      </w:r>
      <w:r>
        <w:rPr/>
        <w:t> </w:t>
      </w:r>
      <w:r>
        <w:rPr>
          <w:spacing w:val="-2"/>
        </w:rPr>
        <w:t>撤销。本公司指定的以公允价值计量且其变动计入其他综合收益的非交易性权益工具投资，按照公允价值进行初始计量，相</w:t>
      </w:r>
      <w:r>
        <w:rPr>
          <w:spacing w:val="-63"/>
        </w:rPr>
        <w:t> </w:t>
      </w:r>
      <w:r>
        <w:rPr>
          <w:spacing w:val="-63"/>
        </w:rPr>
      </w:r>
      <w:r>
        <w:rPr>
          <w:spacing w:val="-5"/>
        </w:rPr>
        <w:t>关交易费用计入初始确认金额；除了获得股利（属于投资成本收回部分的除外）计入当期损益外，其他相关的利得和损失（包</w:t>
      </w:r>
      <w:r>
        <w:rPr>
          <w:spacing w:val="-80"/>
        </w:rPr>
        <w:t> </w:t>
      </w:r>
      <w:r>
        <w:rPr>
          <w:spacing w:val="-80"/>
        </w:rPr>
      </w:r>
      <w:r>
        <w:rPr>
          <w:spacing w:val="-2"/>
        </w:rPr>
        <w:t>括汇兑损益）均计入其他综合收益，且后续不得转入当期损益。当其终止确认时，之前计入其他综合收益的累计利得或损失</w:t>
      </w:r>
      <w:r>
        <w:rPr>
          <w:spacing w:val="-65"/>
        </w:rPr>
        <w:t> </w:t>
      </w:r>
      <w:r>
        <w:rPr>
          <w:spacing w:val="-65"/>
        </w:rPr>
      </w:r>
      <w:r>
        <w:rPr/>
        <w:t>从其他综合收益中转出，计入留存收益。</w:t>
      </w:r>
    </w:p>
    <w:p>
      <w:pPr>
        <w:spacing w:line="240" w:lineRule="auto" w:before="10"/>
        <w:rPr>
          <w:rFonts w:ascii="宋体" w:hAnsi="宋体" w:cs="宋体" w:eastAsia="宋体" w:hint="default"/>
          <w:sz w:val="19"/>
          <w:szCs w:val="19"/>
        </w:rPr>
      </w:pPr>
    </w:p>
    <w:p>
      <w:pPr>
        <w:pStyle w:val="BodyText"/>
        <w:spacing w:line="316" w:lineRule="auto"/>
        <w:ind w:right="1127" w:firstLine="360"/>
        <w:jc w:val="both"/>
      </w:pPr>
      <w:r>
        <w:rPr/>
        <w:t>除上述分类为以摊余成本计量的金融资产和分类为以公允价值计量且其变动计入其他综合收益的金融资产之外的金融 </w:t>
      </w:r>
      <w:r>
        <w:rPr>
          <w:spacing w:val="-2"/>
        </w:rPr>
        <w:t>资产，本公司将其分类为以公允价值计量且其变动计入当期损益的金融资产。此类金融资产按照公允价值进行初始计量，相</w:t>
      </w:r>
      <w:r>
        <w:rPr>
          <w:spacing w:val="-63"/>
        </w:rPr>
        <w:t> </w:t>
      </w:r>
      <w:r>
        <w:rPr>
          <w:spacing w:val="-63"/>
        </w:rPr>
      </w:r>
      <w:r>
        <w:rPr/>
        <w:t>关交易费用直接计入当期损益。此类金融资产的利得或损失，计入当期损益。</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本公司在非同一控制下的企业合并中确认的或有对价构成金融资产的，该金融资产分类为以公允价值计量且其变动计入</w:t>
      </w:r>
      <w:r>
        <w:rPr/>
        <w:t> 当期损益的金融资产。</w:t>
      </w:r>
    </w:p>
    <w:p>
      <w:pPr>
        <w:pStyle w:val="BodyText"/>
        <w:spacing w:line="420" w:lineRule="atLeast" w:before="88"/>
        <w:ind w:left="544" w:right="1181" w:hanging="32"/>
        <w:jc w:val="left"/>
      </w:pPr>
      <w:r>
        <w:rPr>
          <w:rFonts w:ascii="Times New Roman" w:hAnsi="Times New Roman" w:cs="Times New Roman" w:eastAsia="Times New Roman" w:hint="default"/>
        </w:rPr>
        <w:t>2</w:t>
      </w:r>
      <w:r>
        <w:rPr/>
        <w:t>）金融资产转移的确认依据和计量方法 本公司将满足下列条件之一的金融资产予以终止确认：①收取该金融资产现金流量的合同权利终止；②金融资产发生</w:t>
      </w:r>
    </w:p>
    <w:p>
      <w:pPr>
        <w:pStyle w:val="BodyText"/>
        <w:spacing w:line="316" w:lineRule="auto" w:before="76"/>
        <w:ind w:right="1132"/>
        <w:jc w:val="both"/>
      </w:pPr>
      <w:r>
        <w:rPr>
          <w:spacing w:val="-2"/>
        </w:rPr>
        <w:t>转移，本公司转移了金融资产所有权上几乎所有风险和报酬；③金融资产发生转移，本公司既没有转移也没有保留金融资产</w:t>
      </w:r>
      <w:r>
        <w:rPr>
          <w:spacing w:val="-66"/>
        </w:rPr>
        <w:t> </w:t>
      </w:r>
      <w:r>
        <w:rPr>
          <w:spacing w:val="-66"/>
        </w:rPr>
      </w:r>
      <w:r>
        <w:rPr/>
        <w:t>所有权上几乎所有风险和报酬，且未保留对该金融资产控制的。</w:t>
      </w:r>
    </w:p>
    <w:p>
      <w:pPr>
        <w:pStyle w:val="BodyText"/>
        <w:spacing w:line="316" w:lineRule="auto" w:before="139"/>
        <w:ind w:right="1128" w:firstLine="391"/>
        <w:jc w:val="left"/>
      </w:pPr>
      <w:r>
        <w:rPr/>
        <w:t>金融资产整体转移满足终止确认条件的，将所转移金融资产的账面价值，与因转移而收到的对价及原直接计入其他综 </w:t>
      </w:r>
      <w:r>
        <w:rPr>
          <w:spacing w:val="-2"/>
        </w:rPr>
        <w:t>合收益的公允价值变动累计额中对应终止确认部分的金额（涉及转移的金融资产的合同条款规定，在特定日期产生的现金流</w:t>
      </w:r>
      <w:r>
        <w:rPr>
          <w:spacing w:val="-64"/>
        </w:rPr>
        <w:t> </w:t>
      </w:r>
      <w:r>
        <w:rPr>
          <w:spacing w:val="-64"/>
        </w:rPr>
      </w:r>
      <w:r>
        <w:rPr/>
        <w:t>量，仅为对本金和以未偿付本金金额为基础的利息的支付）之和的差额计入当期损益。</w:t>
      </w:r>
    </w:p>
    <w:p>
      <w:pPr>
        <w:spacing w:line="240" w:lineRule="auto" w:before="10"/>
        <w:rPr>
          <w:rFonts w:ascii="宋体" w:hAnsi="宋体" w:cs="宋体" w:eastAsia="宋体" w:hint="default"/>
          <w:sz w:val="19"/>
          <w:szCs w:val="19"/>
        </w:rPr>
      </w:pPr>
    </w:p>
    <w:p>
      <w:pPr>
        <w:pStyle w:val="BodyText"/>
        <w:spacing w:line="316" w:lineRule="auto"/>
        <w:ind w:right="1033"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spacing w:val="-2"/>
        </w:rPr>
        <w:t>动累计额中对应终止确认部分的金额（涉及转移的金融资产的合同条款规定，在特定日期产生的现金流量，仅为对本金和以</w:t>
      </w:r>
      <w:r>
        <w:rPr>
          <w:spacing w:val="-63"/>
        </w:rPr>
        <w:t> </w:t>
      </w:r>
      <w:r>
        <w:rPr>
          <w:spacing w:val="-63"/>
        </w:rPr>
      </w:r>
      <w:r>
        <w:rPr/>
        <w:t>未偿付本金金额为基础的利息的支付）之和，与分摊的前述金融资产整体账面价值的差额计入当期损益。</w:t>
      </w:r>
    </w:p>
    <w:p>
      <w:pPr>
        <w:spacing w:line="240" w:lineRule="auto" w:before="10"/>
        <w:rPr>
          <w:rFonts w:ascii="宋体" w:hAnsi="宋体" w:cs="宋体" w:eastAsia="宋体" w:hint="default"/>
          <w:sz w:val="19"/>
          <w:szCs w:val="19"/>
        </w:rPr>
      </w:pPr>
    </w:p>
    <w:p>
      <w:pPr>
        <w:pStyle w:val="BodyText"/>
        <w:spacing w:line="240" w:lineRule="auto"/>
        <w:ind w:left="512" w:right="1128"/>
        <w:jc w:val="left"/>
      </w:pPr>
      <w:r>
        <w:rPr/>
        <w:t>（</w:t>
      </w:r>
      <w:r>
        <w:rPr>
          <w:rFonts w:ascii="Times New Roman" w:hAnsi="Times New Roman" w:cs="Times New Roman" w:eastAsia="Times New Roman" w:hint="default"/>
        </w:rPr>
        <w:t>2</w:t>
      </w:r>
      <w:r>
        <w:rPr/>
        <w:t>）金融负债</w:t>
      </w:r>
    </w:p>
    <w:p>
      <w:pPr>
        <w:pStyle w:val="BodyText"/>
        <w:spacing w:line="530" w:lineRule="atLeast" w:before="24"/>
        <w:ind w:left="618" w:right="1107" w:firstLine="4"/>
        <w:jc w:val="left"/>
      </w:pPr>
      <w:r>
        <w:rPr>
          <w:rFonts w:ascii="Times New Roman" w:hAnsi="Times New Roman" w:cs="Times New Roman" w:eastAsia="Times New Roman" w:hint="default"/>
        </w:rPr>
        <w:t>1</w:t>
      </w:r>
      <w:r>
        <w:rPr/>
        <w:t>）金融负债分类、确认依据和计量方法 除下列各项外，本公司将金融负债分类为以摊余成本计量的金融负债：①以公允价值计量且其变动计入当期损益的金</w:t>
      </w:r>
    </w:p>
    <w:p>
      <w:pPr>
        <w:pStyle w:val="BodyText"/>
        <w:spacing w:line="240" w:lineRule="auto" w:before="76"/>
        <w:ind w:right="0"/>
        <w:jc w:val="both"/>
      </w:pPr>
      <w:r>
        <w:rPr/>
        <w:t>融负债，包括交易性金融负债（含属于金融负债的衍生工具）和指定为以公允价值计量且其变动计入当期损益的金融负债。</w:t>
      </w:r>
    </w:p>
    <w:p>
      <w:pPr>
        <w:pStyle w:val="BodyText"/>
        <w:spacing w:line="319" w:lineRule="auto" w:before="76"/>
        <w:ind w:right="1132"/>
        <w:jc w:val="both"/>
      </w:pPr>
      <w:r>
        <w:rPr>
          <w:spacing w:val="-2"/>
        </w:rPr>
        <w:t>②不符合终止确认条件的金融资产转移或继续涉入被转移金融资产所形成的金融负债。③不属于以上①或②情形的财务担保</w:t>
      </w:r>
      <w:r>
        <w:rPr>
          <w:spacing w:val="-64"/>
        </w:rPr>
        <w:t> </w:t>
      </w:r>
      <w:r>
        <w:rPr>
          <w:spacing w:val="-64"/>
        </w:rPr>
      </w:r>
      <w:r>
        <w:rPr/>
        <w:t>合同，以及不属于以上①情形的以低于市场利率贷款的贷款承诺。</w:t>
      </w:r>
    </w:p>
    <w:p>
      <w:pPr>
        <w:spacing w:line="240" w:lineRule="auto" w:before="8"/>
        <w:rPr>
          <w:rFonts w:ascii="宋体" w:hAnsi="宋体" w:cs="宋体" w:eastAsia="宋体" w:hint="default"/>
          <w:sz w:val="19"/>
          <w:szCs w:val="19"/>
        </w:rPr>
      </w:pPr>
    </w:p>
    <w:p>
      <w:pPr>
        <w:pStyle w:val="BodyText"/>
        <w:spacing w:line="240" w:lineRule="auto"/>
        <w:ind w:left="618" w:right="0"/>
        <w:jc w:val="left"/>
      </w:pPr>
      <w:r>
        <w:rPr/>
        <w:t>本公司将在非同一控制下的企业合并中作为购买方确认的或有对价形成金融负债的，按照以公允价值计量且其变动计</w:t>
      </w:r>
    </w:p>
    <w:p>
      <w:pPr>
        <w:spacing w:after="0" w:line="240" w:lineRule="auto"/>
        <w:jc w:val="left"/>
        <w:sectPr>
          <w:footerReference w:type="default" r:id="rId26"/>
          <w:pgSz w:w="11910" w:h="16840"/>
          <w:pgMar w:footer="981" w:header="745" w:top="1060" w:bottom="1180" w:left="980" w:right="0"/>
          <w:pgNumType w:start="10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入当期损益进行会计处理。</w:t>
      </w:r>
    </w:p>
    <w:p>
      <w:pPr>
        <w:pStyle w:val="BodyText"/>
        <w:spacing w:line="540" w:lineRule="atLeast" w:before="25"/>
        <w:ind w:left="618" w:right="1128" w:hanging="106"/>
        <w:jc w:val="left"/>
      </w:pPr>
      <w:r>
        <w:rPr>
          <w:rFonts w:ascii="Times New Roman" w:hAnsi="Times New Roman" w:cs="Times New Roman" w:eastAsia="Times New Roman" w:hint="default"/>
        </w:rPr>
        <w:t>2</w:t>
      </w:r>
      <w:r>
        <w:rPr/>
        <w:t>）金融负债终止确认条件 </w:t>
      </w:r>
      <w:r>
        <w:rPr>
          <w:spacing w:val="-1"/>
        </w:rPr>
        <w:t>当金融负债的现时义务全部或部分已经解除时，终止确认该金融负债或义务已解除的部分。本公司与债权人之间签订</w:t>
      </w:r>
    </w:p>
    <w:p>
      <w:pPr>
        <w:pStyle w:val="BodyText"/>
        <w:spacing w:line="316" w:lineRule="auto" w:before="76"/>
        <w:ind w:right="1129"/>
        <w:jc w:val="both"/>
      </w:pPr>
      <w:r>
        <w:rPr>
          <w:spacing w:val="-2"/>
        </w:rPr>
        <w:t>协议，以承担新金融负债方式替换现存金融负债，且新金融负债与现存金融负债的合同条款实质上不同的，终止确认现存金</w:t>
      </w:r>
      <w:r>
        <w:rPr>
          <w:spacing w:val="-63"/>
        </w:rPr>
        <w:t> </w:t>
      </w:r>
      <w:r>
        <w:rPr>
          <w:spacing w:val="-63"/>
        </w:rPr>
      </w:r>
      <w:r>
        <w:rPr>
          <w:spacing w:val="-2"/>
        </w:rPr>
        <w:t>融负债，并同时确认新金融负债。本公司对现存金融负债全部或部分的合同条款作出实质性修改的，终止确认现存金融负债</w:t>
      </w:r>
      <w:r>
        <w:rPr>
          <w:spacing w:val="-63"/>
        </w:rPr>
        <w:t> </w:t>
      </w:r>
      <w:r>
        <w:rPr>
          <w:spacing w:val="-63"/>
        </w:rPr>
      </w:r>
      <w:r>
        <w:rPr>
          <w:spacing w:val="-2"/>
        </w:rPr>
        <w:t>或其一部分，同时将修改条款后的金融负债确认为一项新金融负债。终止确认部分的账面价值与支付的对价之间的差额，计</w:t>
      </w:r>
      <w:r>
        <w:rPr>
          <w:spacing w:val="-63"/>
        </w:rPr>
        <w:t> </w:t>
      </w:r>
      <w:r>
        <w:rPr>
          <w:spacing w:val="-63"/>
        </w:rPr>
      </w:r>
      <w:r>
        <w:rPr/>
        <w:t>入当期损益。</w:t>
      </w:r>
    </w:p>
    <w:p>
      <w:pPr>
        <w:pStyle w:val="BodyText"/>
        <w:spacing w:line="552" w:lineRule="exact" w:before="27"/>
        <w:ind w:left="512" w:right="1128" w:hanging="61"/>
        <w:jc w:val="left"/>
      </w:pPr>
      <w:r>
        <w:rPr/>
        <w:t>（</w:t>
      </w:r>
      <w:r>
        <w:rPr>
          <w:rFonts w:ascii="Times New Roman" w:hAnsi="Times New Roman" w:cs="Times New Roman" w:eastAsia="Times New Roman" w:hint="default"/>
        </w:rPr>
        <w:t>3</w:t>
      </w:r>
      <w:r>
        <w:rPr/>
        <w:t>）金融资产和金融负债的公允价值确定方法 </w:t>
      </w:r>
      <w:r>
        <w:rPr>
          <w:spacing w:val="-2"/>
        </w:rPr>
        <w:t>本公司以主要市场的价格计量金融资产和金融负债的公允价值，不存在主要市场的，以最有利市场的价格计量金融资产</w:t>
      </w:r>
    </w:p>
    <w:p>
      <w:pPr>
        <w:pStyle w:val="BodyText"/>
        <w:spacing w:line="316" w:lineRule="auto"/>
        <w:ind w:right="1129"/>
        <w:jc w:val="both"/>
      </w:pPr>
      <w:r>
        <w:rPr>
          <w:spacing w:val="-2"/>
        </w:rPr>
        <w:t>和金融负债的公允价值，并且采用当时适用并且有足够可利用数据和其他信息支持的估值技术。公允价值计量所使用的输入</w:t>
      </w:r>
      <w:r>
        <w:rPr>
          <w:spacing w:val="-64"/>
        </w:rPr>
        <w:t> </w:t>
      </w:r>
      <w:r>
        <w:rPr>
          <w:spacing w:val="-64"/>
        </w:rPr>
      </w:r>
      <w:r>
        <w:rPr>
          <w:spacing w:val="-2"/>
        </w:rPr>
        <w:t>值分为三个层次，即第一层次输入值是计量日能够取得的相同资产或负债在活跃市场上未经调整的报价；第二层次输入值是</w:t>
      </w:r>
      <w:r>
        <w:rPr>
          <w:spacing w:val="-64"/>
        </w:rPr>
        <w:t> </w:t>
      </w:r>
      <w:r>
        <w:rPr>
          <w:spacing w:val="-64"/>
        </w:rPr>
      </w:r>
      <w:r>
        <w:rPr>
          <w:spacing w:val="-2"/>
        </w:rPr>
        <w:t>除第一层次输入值外相关资产或负债直接或间接可观察的输入值；第三层次输入值是相关资产或负债的不可观察输入值。本</w:t>
      </w:r>
      <w:r>
        <w:rPr>
          <w:spacing w:val="-64"/>
        </w:rPr>
        <w:t> </w:t>
      </w:r>
      <w:r>
        <w:rPr>
          <w:spacing w:val="-64"/>
        </w:rPr>
      </w:r>
      <w:r>
        <w:rPr>
          <w:spacing w:val="-2"/>
        </w:rPr>
        <w:t>公司优先使用第一层次输入值，最后再使用第三层次输入值。公允价值计量结果所属的层次，由对公允价值计量整体而言具</w:t>
      </w:r>
      <w:r>
        <w:rPr>
          <w:spacing w:val="-63"/>
        </w:rPr>
        <w:t> </w:t>
      </w:r>
      <w:r>
        <w:rPr>
          <w:spacing w:val="-63"/>
        </w:rPr>
      </w:r>
      <w:r>
        <w:rPr/>
        <w:t>有重大意义的输入值所属的最低层次决定。</w:t>
      </w:r>
    </w:p>
    <w:p>
      <w:pPr>
        <w:pStyle w:val="BodyText"/>
        <w:spacing w:line="552" w:lineRule="exact" w:before="27"/>
        <w:ind w:left="512" w:right="1128" w:hanging="145"/>
        <w:jc w:val="left"/>
      </w:pPr>
      <w:r>
        <w:rPr/>
        <w:t>（</w:t>
      </w:r>
      <w:r>
        <w:rPr>
          <w:rFonts w:ascii="Times New Roman" w:hAnsi="Times New Roman" w:cs="Times New Roman" w:eastAsia="Times New Roman" w:hint="default"/>
        </w:rPr>
        <w:t>4</w:t>
      </w:r>
      <w:r>
        <w:rPr/>
        <w:t>）金融资产和金融负债的抵销 </w:t>
      </w:r>
      <w:r>
        <w:rPr>
          <w:spacing w:val="-2"/>
        </w:rPr>
        <w:t>本公司的金融资产和金融负债在资产负债表内分别列示，不相互抵销。但同时满足下列条件时，以相互抵销后的净额在</w:t>
      </w:r>
    </w:p>
    <w:p>
      <w:pPr>
        <w:pStyle w:val="BodyText"/>
        <w:spacing w:line="300" w:lineRule="auto"/>
        <w:ind w:right="1132"/>
        <w:jc w:val="both"/>
      </w:pPr>
      <w:r>
        <w:rPr>
          <w:spacing w:val="-2"/>
        </w:rPr>
        <w:t>资产负债表内列示：（</w:t>
      </w:r>
      <w:r>
        <w:rPr>
          <w:rFonts w:ascii="Times New Roman" w:hAnsi="Times New Roman" w:cs="Times New Roman" w:eastAsia="Times New Roman" w:hint="default"/>
          <w:spacing w:val="-2"/>
        </w:rPr>
        <w:t>1</w:t>
      </w:r>
      <w:r>
        <w:rPr>
          <w:spacing w:val="-2"/>
        </w:rPr>
        <w:t>）本公司具有抵销已确认金额的法定权利，且该种法定权利是当前可执行的；（</w:t>
      </w:r>
      <w:r>
        <w:rPr>
          <w:rFonts w:ascii="Times New Roman" w:hAnsi="Times New Roman" w:cs="Times New Roman" w:eastAsia="Times New Roman" w:hint="default"/>
          <w:spacing w:val="-2"/>
        </w:rPr>
        <w:t>2</w:t>
      </w:r>
      <w:r>
        <w:rPr>
          <w:spacing w:val="-2"/>
        </w:rPr>
        <w:t>）本公司计划以净</w:t>
      </w:r>
      <w:r>
        <w:rPr>
          <w:spacing w:val="-66"/>
        </w:rPr>
        <w:t> </w:t>
      </w:r>
      <w:r>
        <w:rPr>
          <w:spacing w:val="-66"/>
        </w:rPr>
      </w:r>
      <w:r>
        <w:rPr/>
        <w:t>额结算，或同时变现该金融资产和清偿该金融负债。</w:t>
      </w:r>
    </w:p>
    <w:p>
      <w:pPr>
        <w:pStyle w:val="BodyText"/>
        <w:spacing w:line="552" w:lineRule="exact" w:before="40"/>
        <w:ind w:left="512" w:right="1123" w:hanging="61"/>
        <w:jc w:val="left"/>
      </w:pPr>
      <w:r>
        <w:rPr/>
        <w:t>（</w:t>
      </w:r>
      <w:r>
        <w:rPr>
          <w:rFonts w:ascii="Times New Roman" w:hAnsi="Times New Roman" w:cs="Times New Roman" w:eastAsia="Times New Roman" w:hint="default"/>
        </w:rPr>
        <w:t>5</w:t>
      </w:r>
      <w:r>
        <w:rPr/>
        <w:t>）金融负债与权益工具的区分及相关处理方法 本公司按照以下原则区分金融负债与权益工具：（</w:t>
      </w:r>
      <w:r>
        <w:rPr>
          <w:rFonts w:ascii="Times New Roman" w:hAnsi="Times New Roman" w:cs="Times New Roman" w:eastAsia="Times New Roman" w:hint="default"/>
        </w:rPr>
        <w:t>1</w:t>
      </w:r>
      <w:r>
        <w:rPr/>
        <w:t>）如果本公司不能无条件地避免以交付现金或其他金融资产来履行</w:t>
      </w:r>
    </w:p>
    <w:p>
      <w:pPr>
        <w:pStyle w:val="BodyText"/>
        <w:spacing w:line="314" w:lineRule="auto"/>
        <w:ind w:right="1129"/>
        <w:jc w:val="both"/>
      </w:pPr>
      <w:r>
        <w:rPr>
          <w:spacing w:val="-2"/>
        </w:rPr>
        <w:t>一项合同义务，则该合同义务符合金融负债的定义。有些金融工具虽然没有明确地包含交付现金或其他金融资产义务的条款</w:t>
      </w:r>
      <w:r>
        <w:rPr>
          <w:spacing w:val="-64"/>
        </w:rPr>
        <w:t> </w:t>
      </w:r>
      <w:r>
        <w:rPr>
          <w:spacing w:val="-64"/>
        </w:rPr>
      </w:r>
      <w:r>
        <w:rPr/>
        <w:t>和条件，但有可能通过其他条款和条件间接地形成合同义务。（</w:t>
      </w:r>
      <w:r>
        <w:rPr>
          <w:rFonts w:ascii="Times New Roman" w:hAnsi="Times New Roman" w:cs="Times New Roman" w:eastAsia="Times New Roman" w:hint="default"/>
        </w:rPr>
        <w:t>2</w:t>
      </w:r>
      <w:r>
        <w:rPr/>
        <w:t>）如果一项金融工具须用或可用本公司自身权益工具进行</w:t>
      </w:r>
      <w:r>
        <w:rPr>
          <w:spacing w:val="-84"/>
        </w:rPr>
        <w:t> </w:t>
      </w:r>
      <w:r>
        <w:rPr>
          <w:spacing w:val="-84"/>
        </w:rPr>
      </w:r>
      <w:r>
        <w:rPr>
          <w:spacing w:val="-2"/>
        </w:rPr>
        <w:t>结算，需要考虑用于结算该工具的本公司自身权益工具，是作为现金或其他金融资产的替代品，还是为了使该工具持有方享</w:t>
      </w:r>
      <w:r>
        <w:rPr>
          <w:spacing w:val="-63"/>
        </w:rPr>
        <w:t> </w:t>
      </w:r>
      <w:r>
        <w:rPr>
          <w:spacing w:val="-63"/>
        </w:rPr>
      </w:r>
      <w:r>
        <w:rPr>
          <w:spacing w:val="-2"/>
        </w:rPr>
        <w:t>有在发行方扣除所有负债后的资产中的剩余权益。如果是前者，该工具是发行方的金融负债；如果是后者，该工具是发行方</w:t>
      </w:r>
      <w:r>
        <w:rPr>
          <w:spacing w:val="-65"/>
        </w:rPr>
        <w:t> </w:t>
      </w:r>
      <w:r>
        <w:rPr>
          <w:spacing w:val="-65"/>
        </w:rPr>
      </w:r>
      <w:r>
        <w:rPr>
          <w:spacing w:val="-2"/>
        </w:rPr>
        <w:t>的权益工具。在某些情况下，一项金融工具合同规定本公司须用或可用自身权益工具结算该金融工具，其中合同权利或合同</w:t>
      </w:r>
      <w:r>
        <w:rPr>
          <w:spacing w:val="-65"/>
        </w:rPr>
        <w:t> </w:t>
      </w:r>
      <w:r>
        <w:rPr>
          <w:spacing w:val="-65"/>
        </w:rPr>
      </w:r>
      <w:r>
        <w:rPr/>
        <w:t>义务的金额等于可获取或需交付的自身权益工具的数量乘以其结算时的公允价值，则无论该合同权利或义务的金额是固定</w:t>
      </w:r>
      <w:r>
        <w:rPr>
          <w:spacing w:val="-11"/>
        </w:rPr>
        <w:t> </w:t>
      </w:r>
      <w:r>
        <w:rPr>
          <w:spacing w:val="-11"/>
        </w:rPr>
      </w:r>
      <w:r>
        <w:rPr/>
        <w:t>的，还是完全或部分地基于除本公司自身权益工具的市场价格以外的变量的变动而变动，该合同分类为金融负债。</w:t>
      </w:r>
    </w:p>
    <w:p>
      <w:pPr>
        <w:spacing w:line="240" w:lineRule="auto" w:before="12"/>
        <w:rPr>
          <w:rFonts w:ascii="宋体" w:hAnsi="宋体" w:cs="宋体" w:eastAsia="宋体" w:hint="default"/>
          <w:sz w:val="19"/>
          <w:szCs w:val="19"/>
        </w:rPr>
      </w:pPr>
    </w:p>
    <w:p>
      <w:pPr>
        <w:pStyle w:val="BodyText"/>
        <w:spacing w:line="316" w:lineRule="auto"/>
        <w:ind w:right="1132" w:firstLine="360"/>
        <w:jc w:val="both"/>
      </w:pPr>
      <w:r>
        <w:rPr>
          <w:spacing w:val="-2"/>
        </w:rPr>
        <w:t>本公司在合并报表中对金融工具（或其组成部分）进行分类时，考虑了集团成员和金融工具持有方之间达成的所有条款</w:t>
      </w:r>
      <w:r>
        <w:rPr/>
        <w:t> </w:t>
      </w:r>
      <w:r>
        <w:rPr>
          <w:spacing w:val="-2"/>
        </w:rPr>
        <w:t>和条件。如果集团作为一个整体由于该工具而承担了交付现金、其他金融资产或者以其他导致该工具成为金融负债的方式进</w:t>
      </w:r>
      <w:r>
        <w:rPr>
          <w:spacing w:val="-64"/>
        </w:rPr>
        <w:t> </w:t>
      </w:r>
      <w:r>
        <w:rPr>
          <w:spacing w:val="-64"/>
        </w:rPr>
      </w:r>
      <w:r>
        <w:rPr/>
        <w:t>行结算的义务，则该工具应当分类为金融负债。</w:t>
      </w:r>
    </w:p>
    <w:p>
      <w:pPr>
        <w:spacing w:line="240" w:lineRule="auto" w:before="10"/>
        <w:rPr>
          <w:rFonts w:ascii="宋体" w:hAnsi="宋体" w:cs="宋体" w:eastAsia="宋体" w:hint="default"/>
          <w:sz w:val="19"/>
          <w:szCs w:val="19"/>
        </w:rPr>
      </w:pPr>
    </w:p>
    <w:p>
      <w:pPr>
        <w:pStyle w:val="BodyText"/>
        <w:spacing w:line="316" w:lineRule="auto"/>
        <w:ind w:right="1128" w:firstLine="360"/>
        <w:jc w:val="left"/>
      </w:pPr>
      <w:r>
        <w:rPr>
          <w:spacing w:val="-2"/>
        </w:rPr>
        <w:t>金融工具或其组成部分属于金融负债的，相关利息、股利（或股息）、利得或损失，以及赎回或再融资产生的利得或损</w:t>
      </w:r>
      <w:r>
        <w:rPr/>
        <w:t> 失等，本公司计入当期损益。 </w:t>
      </w:r>
      <w:r>
        <w:rPr>
          <w:spacing w:val="-2"/>
        </w:rPr>
        <w:t>金融工具或其组成部分属于权益工具的，其发行（含再融资）、回购、出售或注销时，本公司作为权益的变动处理，不确认</w:t>
      </w:r>
      <w:r>
        <w:rPr>
          <w:spacing w:val="-68"/>
        </w:rPr>
        <w:t> </w:t>
      </w:r>
      <w:r>
        <w:rPr>
          <w:spacing w:val="-68"/>
        </w:rPr>
      </w:r>
      <w:r>
        <w:rPr/>
        <w:t>权益工具的公允价值变动。</w:t>
      </w:r>
    </w:p>
    <w:p>
      <w:pPr>
        <w:spacing w:after="0" w:line="316"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8" w:firstLine="360"/>
        <w:jc w:val="left"/>
      </w:pPr>
      <w:r>
        <w:rPr>
          <w:spacing w:val="-2"/>
        </w:rPr>
        <w:t>本公司对于应收票据按照相当于整个存续期内的预期信用损失金额计提损失准备。基于应收票据的信用风险特征，将其</w:t>
      </w:r>
      <w:r>
        <w:rPr/>
        <w:t> 划分为不同组合：</w:t>
      </w:r>
    </w:p>
    <w:tbl>
      <w:tblPr>
        <w:tblW w:w="0" w:type="auto"/>
        <w:jc w:val="left"/>
        <w:tblInd w:w="145" w:type="dxa"/>
        <w:tblLayout w:type="fixed"/>
        <w:tblCellMar>
          <w:top w:w="0" w:type="dxa"/>
          <w:left w:w="0" w:type="dxa"/>
          <w:bottom w:w="0" w:type="dxa"/>
          <w:right w:w="0" w:type="dxa"/>
        </w:tblCellMar>
        <w:tblLook w:val="01E0"/>
      </w:tblPr>
      <w:tblGrid>
        <w:gridCol w:w="1702"/>
        <w:gridCol w:w="3406"/>
        <w:gridCol w:w="3540"/>
      </w:tblGrid>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6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c>
          <w:tcPr>
            <w:tcW w:w="3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70" w:right="0"/>
              <w:jc w:val="left"/>
              <w:rPr>
                <w:rFonts w:ascii="宋体" w:hAnsi="宋体" w:cs="宋体" w:eastAsia="宋体" w:hint="default"/>
                <w:sz w:val="18"/>
                <w:szCs w:val="18"/>
              </w:rPr>
            </w:pPr>
            <w:r>
              <w:rPr>
                <w:rFonts w:ascii="宋体" w:hAnsi="宋体" w:cs="宋体" w:eastAsia="宋体" w:hint="default"/>
                <w:b/>
                <w:bCs/>
                <w:sz w:val="18"/>
                <w:szCs w:val="18"/>
              </w:rPr>
              <w:t>计量预期信用损失的方法</w:t>
            </w:r>
            <w:r>
              <w:rPr>
                <w:rFonts w:ascii="宋体" w:hAnsi="宋体" w:cs="宋体" w:eastAsia="宋体" w:hint="default"/>
                <w:sz w:val="18"/>
                <w:szCs w:val="18"/>
              </w:rPr>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00"/>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承兑人为商业银行</w:t>
            </w:r>
          </w:p>
        </w:tc>
        <w:tc>
          <w:tcPr>
            <w:tcW w:w="3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不确认预期信用损失</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600"/>
              <w:jc w:val="right"/>
              <w:rPr>
                <w:rFonts w:ascii="宋体" w:hAnsi="宋体" w:cs="宋体" w:eastAsia="宋体" w:hint="default"/>
                <w:sz w:val="18"/>
                <w:szCs w:val="18"/>
              </w:rPr>
            </w:pPr>
            <w:r>
              <w:rPr>
                <w:rFonts w:ascii="宋体" w:hAnsi="宋体" w:cs="宋体" w:eastAsia="宋体" w:hint="default"/>
                <w:sz w:val="18"/>
                <w:szCs w:val="18"/>
              </w:rPr>
              <w:t>商业承兑汇票</w:t>
            </w:r>
          </w:p>
        </w:tc>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1154" w:right="1" w:hanging="1152"/>
              <w:jc w:val="left"/>
              <w:rPr>
                <w:rFonts w:ascii="宋体" w:hAnsi="宋体" w:cs="宋体" w:eastAsia="宋体" w:hint="default"/>
                <w:sz w:val="18"/>
                <w:szCs w:val="18"/>
              </w:rPr>
            </w:pPr>
            <w:r>
              <w:rPr>
                <w:rFonts w:ascii="宋体" w:hAnsi="宋体" w:cs="宋体" w:eastAsia="宋体" w:hint="default"/>
                <w:spacing w:val="-1"/>
                <w:sz w:val="18"/>
                <w:szCs w:val="18"/>
              </w:rPr>
              <w:t>根据承兑人的信用风险划分，与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应收账款</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组合划分相同</w:t>
            </w:r>
          </w:p>
        </w:tc>
        <w:tc>
          <w:tcPr>
            <w:tcW w:w="3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98"/>
              <w:jc w:val="left"/>
              <w:rPr>
                <w:rFonts w:ascii="宋体" w:hAnsi="宋体" w:cs="宋体" w:eastAsia="宋体" w:hint="default"/>
                <w:sz w:val="18"/>
                <w:szCs w:val="18"/>
              </w:rPr>
            </w:pPr>
            <w:r>
              <w:rPr>
                <w:rFonts w:ascii="宋体" w:hAnsi="宋体" w:cs="宋体" w:eastAsia="宋体" w:hint="default"/>
                <w:sz w:val="18"/>
                <w:szCs w:val="18"/>
              </w:rPr>
              <w:t>参照应收账款确定预期信用损失率计提坏账 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before="36"/>
        <w:ind w:right="1128"/>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9" w:firstLine="360"/>
        <w:jc w:val="both"/>
      </w:pPr>
      <w:r>
        <w:rPr>
          <w:spacing w:val="-1"/>
        </w:rPr>
        <w:t>（</w:t>
      </w:r>
      <w:r>
        <w:rPr>
          <w:rFonts w:ascii="Times New Roman" w:hAnsi="Times New Roman" w:cs="Times New Roman" w:eastAsia="Times New Roman" w:hint="default"/>
          <w:spacing w:val="-1"/>
        </w:rPr>
        <w:t>1</w:t>
      </w:r>
      <w:r>
        <w:rPr>
          <w:spacing w:val="-1"/>
        </w:rPr>
        <w:t>）本公司对于《企业会计准则第</w:t>
      </w:r>
      <w:r>
        <w:rPr>
          <w:rFonts w:ascii="Times New Roman" w:hAnsi="Times New Roman" w:cs="Times New Roman" w:eastAsia="Times New Roman" w:hint="default"/>
          <w:spacing w:val="-1"/>
        </w:rPr>
        <w:t>14</w:t>
      </w:r>
      <w:r>
        <w:rPr>
          <w:spacing w:val="-1"/>
        </w:rPr>
        <w:t>号</w:t>
      </w:r>
      <w:r>
        <w:rPr>
          <w:rFonts w:ascii="Times New Roman" w:hAnsi="Times New Roman" w:cs="Times New Roman" w:eastAsia="Times New Roman" w:hint="default"/>
          <w:spacing w:val="-1"/>
        </w:rPr>
        <w:t>-</w:t>
      </w:r>
      <w:r>
        <w:rPr>
          <w:spacing w:val="-1"/>
        </w:rPr>
        <w:t>收入准则》规范的交易形成且不含重大融资成分的应收账款，始终按照相当于</w:t>
      </w:r>
      <w:r>
        <w:rPr/>
        <w:t> 整个存续期内预期信用损失的金额计量其损失准备。</w:t>
      </w:r>
    </w:p>
    <w:p>
      <w:pPr>
        <w:spacing w:line="240" w:lineRule="auto" w:before="10"/>
        <w:rPr>
          <w:rFonts w:ascii="宋体" w:hAnsi="宋体" w:cs="宋体" w:eastAsia="宋体" w:hint="default"/>
          <w:sz w:val="20"/>
          <w:szCs w:val="20"/>
        </w:rPr>
      </w:pPr>
    </w:p>
    <w:p>
      <w:pPr>
        <w:pStyle w:val="BodyText"/>
        <w:spacing w:line="314" w:lineRule="auto"/>
        <w:ind w:right="1127" w:firstLine="360"/>
        <w:jc w:val="both"/>
      </w:pPr>
      <w:r>
        <w:rPr/>
        <w:t>信用风险自初始确认后是否显著增加的判断。本公司通过比较金融工具在初始确认时所确定的预计存续期内的违约概 </w:t>
      </w:r>
      <w:r>
        <w:rPr>
          <w:spacing w:val="-2"/>
        </w:rPr>
        <w:t>率，及该工具在资产负债表日所确定的预计存续期内的违约概率，来判定金融工具信用风险是否显著增加。但是，如果本公</w:t>
      </w:r>
      <w:r>
        <w:rPr>
          <w:spacing w:val="-65"/>
        </w:rPr>
        <w:t> </w:t>
      </w:r>
      <w:r>
        <w:rPr>
          <w:spacing w:val="-65"/>
        </w:rPr>
      </w:r>
      <w:r>
        <w:rPr>
          <w:spacing w:val="-2"/>
        </w:rPr>
        <w:t>司确定金融工具在资产负债表日只具有较低的信用风险的，可以假设该金融工具的信用风险自初始确认后并未显著增加。在</w:t>
      </w:r>
      <w:r>
        <w:rPr>
          <w:spacing w:val="-64"/>
        </w:rPr>
        <w:t> </w:t>
      </w:r>
      <w:r>
        <w:rPr>
          <w:spacing w:val="-64"/>
        </w:rPr>
      </w:r>
      <w:r>
        <w:rPr/>
        <w:t>确定信用风险自初始确认后是否显著增加时，本公司考虑无须付出不必要的额外成本或努力即可获得的合理且有依据的信</w:t>
      </w:r>
      <w:r>
        <w:rPr>
          <w:spacing w:val="-11"/>
        </w:rPr>
        <w:t> </w:t>
      </w:r>
      <w:r>
        <w:rPr>
          <w:spacing w:val="-11"/>
        </w:rPr>
      </w:r>
      <w:r>
        <w:rPr>
          <w:spacing w:val="-2"/>
        </w:rPr>
        <w:t>息，包括前瞻性信息。本公司考虑的信息包括：①债务人未能按合同到期日支付本金和利息的情况；②已发生的或预期的金</w:t>
      </w:r>
      <w:r>
        <w:rPr>
          <w:spacing w:val="-65"/>
        </w:rPr>
        <w:t> </w:t>
      </w:r>
      <w:r>
        <w:rPr>
          <w:spacing w:val="-65"/>
        </w:rPr>
      </w:r>
      <w:r>
        <w:rPr/>
        <w:t>融工具的外部或内部信用评级 </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的严重恶化；③已发生的或预期的债务人经营成果的严重恶化；④现存的或预期的技 术、市场、经济或法律环境变化，并将对债务人对本集团的还款能力产生重大不利影响。</w:t>
      </w:r>
    </w:p>
    <w:p>
      <w:pPr>
        <w:pStyle w:val="BodyText"/>
        <w:spacing w:line="316" w:lineRule="auto" w:before="140"/>
        <w:ind w:right="1033" w:firstLine="360"/>
        <w:jc w:val="left"/>
      </w:pPr>
      <w:r>
        <w:rPr/>
        <w:t>以组合为基础的评估。对于应收账款，本公司在单项工具层面无法以合理成本获得关于信用风险显著增加的充分证据， </w:t>
      </w:r>
      <w:r>
        <w:rPr>
          <w:spacing w:val="-2"/>
        </w:rPr>
        <w:t>而在组合的基础上评估信用风险是否显著增加是可行，所以本公司按照信用风险评级为共同风险特征，对应收票据进行分组</w:t>
      </w:r>
      <w:r>
        <w:rPr>
          <w:spacing w:val="-64"/>
        </w:rPr>
        <w:t> </w:t>
      </w:r>
      <w:r>
        <w:rPr>
          <w:spacing w:val="-64"/>
        </w:rPr>
      </w:r>
      <w:r>
        <w:rPr>
          <w:spacing w:val="-2"/>
        </w:rPr>
        <w:t>并以组合为基础考虑评估信用风险是否显著增加。按照信用风险评级为共同风险特征，对应收账款进行分组并以组合为基础</w:t>
      </w:r>
      <w:r>
        <w:rPr>
          <w:spacing w:val="-64"/>
        </w:rPr>
        <w:t> </w:t>
      </w:r>
      <w:r>
        <w:rPr>
          <w:spacing w:val="-64"/>
        </w:rPr>
      </w:r>
      <w:r>
        <w:rPr/>
        <w:t>考虑评估信用风险是否显著增加。</w:t>
      </w:r>
    </w:p>
    <w:p>
      <w:pPr>
        <w:pStyle w:val="BodyText"/>
        <w:spacing w:line="316" w:lineRule="auto" w:before="139"/>
        <w:ind w:right="1132" w:firstLine="360"/>
        <w:jc w:val="both"/>
      </w:pPr>
      <w:r>
        <w:rPr>
          <w:spacing w:val="-2"/>
        </w:rPr>
        <w:t>预期信用损失计量。预期信用损失，是指以发生违约的风险为权重的金融工具信用损失的加权平均值。信用损失，是指</w:t>
      </w:r>
      <w:r>
        <w:rPr/>
        <w:t> </w:t>
      </w:r>
      <w:r>
        <w:rPr>
          <w:spacing w:val="-2"/>
        </w:rPr>
        <w:t>本公司按照原实际利率折现的、根据合同应收的所有合同现金流量与预期收取的所有现金流量之间的差额，即全部现金短缺</w:t>
      </w:r>
      <w:r>
        <w:rPr>
          <w:spacing w:val="-64"/>
        </w:rPr>
        <w:t> </w:t>
      </w:r>
      <w:r>
        <w:rPr>
          <w:spacing w:val="-64"/>
        </w:rPr>
      </w:r>
      <w:r>
        <w:rPr/>
        <w:t>的现值。</w:t>
      </w:r>
    </w:p>
    <w:p>
      <w:pPr>
        <w:pStyle w:val="BodyText"/>
        <w:spacing w:line="309" w:lineRule="auto" w:before="139"/>
        <w:ind w:right="1132" w:firstLine="360"/>
        <w:jc w:val="both"/>
      </w:pPr>
      <w:r>
        <w:rPr>
          <w:spacing w:val="-2"/>
        </w:rPr>
        <w:t>本公司在资产负债表日计算应收账款预期信用损失，如果该预期信用损失大于当前应收账款减值准备的账面金额，本公</w:t>
      </w:r>
      <w:r>
        <w:rPr/>
        <w:t> </w:t>
      </w:r>
      <w:r>
        <w:rPr>
          <w:spacing w:val="-1"/>
        </w:rPr>
        <w:t>司将其差额确认为应收账款减值损失，借记</w:t>
      </w:r>
      <w:r>
        <w:rPr>
          <w:rFonts w:ascii="Times New Roman" w:hAnsi="Times New Roman" w:cs="Times New Roman" w:eastAsia="Times New Roman" w:hint="default"/>
          <w:spacing w:val="-1"/>
        </w:rPr>
        <w:t>“</w:t>
      </w:r>
      <w:r>
        <w:rPr>
          <w:spacing w:val="-1"/>
        </w:rPr>
        <w:t>信用减值损失</w:t>
      </w:r>
      <w:r>
        <w:rPr>
          <w:rFonts w:ascii="Times New Roman" w:hAnsi="Times New Roman" w:cs="Times New Roman" w:eastAsia="Times New Roman" w:hint="default"/>
          <w:spacing w:val="-1"/>
        </w:rPr>
        <w:t>”</w:t>
      </w:r>
      <w:r>
        <w:rPr>
          <w:spacing w:val="-1"/>
        </w:rPr>
        <w:t>，贷记</w:t>
      </w:r>
      <w:r>
        <w:rPr>
          <w:rFonts w:ascii="Times New Roman" w:hAnsi="Times New Roman" w:cs="Times New Roman" w:eastAsia="Times New Roman" w:hint="default"/>
          <w:spacing w:val="-1"/>
        </w:rPr>
        <w:t>“</w:t>
      </w:r>
      <w:r>
        <w:rPr>
          <w:spacing w:val="-1"/>
        </w:rPr>
        <w:t>坏账准备</w:t>
      </w:r>
      <w:r>
        <w:rPr>
          <w:rFonts w:ascii="Times New Roman" w:hAnsi="Times New Roman" w:cs="Times New Roman" w:eastAsia="Times New Roman" w:hint="default"/>
          <w:spacing w:val="-1"/>
        </w:rPr>
        <w:t>”</w:t>
      </w:r>
      <w:r>
        <w:rPr>
          <w:spacing w:val="-1"/>
        </w:rPr>
        <w:t>。相反，本公司将差额确认为减值利得，做相</w:t>
      </w:r>
      <w:r>
        <w:rPr>
          <w:spacing w:val="-81"/>
        </w:rPr>
        <w:t> </w:t>
      </w:r>
      <w:r>
        <w:rPr>
          <w:spacing w:val="-81"/>
        </w:rPr>
      </w:r>
      <w:r>
        <w:rPr/>
        <w:t>反的会计记录。</w:t>
      </w:r>
    </w:p>
    <w:p>
      <w:pPr>
        <w:pStyle w:val="BodyText"/>
        <w:spacing w:line="300" w:lineRule="auto" w:before="144"/>
        <w:ind w:right="1072" w:firstLine="360"/>
        <w:jc w:val="both"/>
      </w:pPr>
      <w:r>
        <w:rPr/>
        <w:t>本公司实际发生信用损失，认定相关应收账款无法收回，经批准予以核销的，根据批准的核销金额，借记</w:t>
      </w:r>
      <w:r>
        <w:rPr>
          <w:rFonts w:ascii="Times New Roman" w:hAnsi="Times New Roman" w:cs="Times New Roman" w:eastAsia="Times New Roman" w:hint="default"/>
        </w:rPr>
        <w:t>“</w:t>
      </w:r>
      <w:r>
        <w:rPr/>
        <w:t>坏账准备</w:t>
      </w:r>
      <w:r>
        <w:rPr>
          <w:rFonts w:ascii="Times New Roman" w:hAnsi="Times New Roman" w:cs="Times New Roman" w:eastAsia="Times New Roman" w:hint="default"/>
        </w:rPr>
        <w:t>”</w:t>
      </w:r>
      <w:r>
        <w:rPr/>
        <w:t>， 贷记</w:t>
      </w:r>
      <w:r>
        <w:rPr>
          <w:spacing w:val="-21"/>
        </w:rPr>
        <w:t> </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。若核销金额大于已计提的损失准备，按期差额借记</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w:t>
      </w:r>
      <w:r>
        <w:rPr/>
        <w:t>。</w:t>
      </w:r>
    </w:p>
    <w:p>
      <w:pPr>
        <w:pStyle w:val="BodyText"/>
        <w:spacing w:line="415" w:lineRule="auto" w:before="133"/>
        <w:ind w:left="512" w:right="7243"/>
        <w:jc w:val="left"/>
      </w:pPr>
      <w:r>
        <w:rPr/>
        <w:t>（</w:t>
      </w:r>
      <w:r>
        <w:rPr>
          <w:rFonts w:ascii="Times New Roman" w:hAnsi="Times New Roman" w:cs="Times New Roman" w:eastAsia="Times New Roman" w:hint="default"/>
        </w:rPr>
        <w:t>2</w:t>
      </w:r>
      <w:r>
        <w:rPr/>
        <w:t>）应收账款分类及坏账准备计提方法 按组合计量预期信用损失的应收款项：</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920"/>
        <w:gridCol w:w="1920"/>
        <w:gridCol w:w="4807"/>
      </w:tblGrid>
      <w:tr>
        <w:trPr>
          <w:trHeight w:val="348"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c>
          <w:tcPr>
            <w:tcW w:w="4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04" w:right="0"/>
              <w:jc w:val="left"/>
              <w:rPr>
                <w:rFonts w:ascii="宋体" w:hAnsi="宋体" w:cs="宋体" w:eastAsia="宋体" w:hint="default"/>
                <w:sz w:val="18"/>
                <w:szCs w:val="18"/>
              </w:rPr>
            </w:pPr>
            <w:r>
              <w:rPr>
                <w:rFonts w:ascii="宋体" w:hAnsi="宋体" w:cs="宋体" w:eastAsia="宋体" w:hint="default"/>
                <w:b/>
                <w:bCs/>
                <w:sz w:val="18"/>
                <w:szCs w:val="18"/>
              </w:rPr>
              <w:t>计量预期信用损失的方法</w:t>
            </w:r>
            <w:r>
              <w:rPr>
                <w:rFonts w:ascii="宋体" w:hAnsi="宋体" w:cs="宋体" w:eastAsia="宋体" w:hint="default"/>
                <w:sz w:val="18"/>
                <w:szCs w:val="18"/>
              </w:rPr>
            </w:r>
          </w:p>
        </w:tc>
      </w:tr>
      <w:tr>
        <w:trPr>
          <w:trHeight w:val="331" w:hRule="exact"/>
        </w:trPr>
        <w:tc>
          <w:tcPr>
            <w:tcW w:w="19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信用风险特征</w:t>
            </w:r>
          </w:p>
        </w:tc>
        <w:tc>
          <w:tcPr>
            <w:tcW w:w="19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480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8"/>
              <w:ind w:left="4" w:right="-1"/>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参考历史信用损失经验，结合当前状况以及对未来经济状况的</w:t>
            </w:r>
          </w:p>
        </w:tc>
      </w:tr>
      <w:tr>
        <w:trPr>
          <w:trHeight w:val="307" w:hRule="exact"/>
        </w:trPr>
        <w:tc>
          <w:tcPr>
            <w:tcW w:w="19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1920" w:type="dxa"/>
            <w:tcBorders>
              <w:top w:val="nil" w:sz="6" w:space="0" w:color="auto"/>
              <w:left w:val="single" w:sz="6" w:space="0" w:color="000000"/>
              <w:bottom w:val="nil" w:sz="6" w:space="0" w:color="auto"/>
              <w:right w:val="single" w:sz="6" w:space="0" w:color="000000"/>
            </w:tcBorders>
          </w:tcPr>
          <w:p>
            <w:pPr/>
          </w:p>
        </w:tc>
        <w:tc>
          <w:tcPr>
            <w:tcW w:w="480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预测，编制应收账款账龄与整个存续期预期信用损失率对照</w:t>
            </w:r>
          </w:p>
        </w:tc>
      </w:tr>
      <w:tr>
        <w:trPr>
          <w:trHeight w:val="331" w:hRule="exact"/>
        </w:trPr>
        <w:tc>
          <w:tcPr>
            <w:tcW w:w="1920" w:type="dxa"/>
            <w:tcBorders>
              <w:top w:val="nil" w:sz="6" w:space="0" w:color="auto"/>
              <w:left w:val="single" w:sz="6" w:space="0" w:color="000000"/>
              <w:bottom w:val="single" w:sz="6" w:space="0" w:color="000000"/>
              <w:right w:val="single" w:sz="6" w:space="0" w:color="000000"/>
            </w:tcBorders>
          </w:tcPr>
          <w:p>
            <w:pPr/>
          </w:p>
        </w:tc>
        <w:tc>
          <w:tcPr>
            <w:tcW w:w="1920" w:type="dxa"/>
            <w:tcBorders>
              <w:top w:val="nil" w:sz="6" w:space="0" w:color="auto"/>
              <w:left w:val="single" w:sz="6" w:space="0" w:color="000000"/>
              <w:bottom w:val="single" w:sz="6" w:space="0" w:color="000000"/>
              <w:right w:val="single" w:sz="6" w:space="0" w:color="000000"/>
            </w:tcBorders>
          </w:tcPr>
          <w:p>
            <w:pPr/>
          </w:p>
        </w:tc>
        <w:tc>
          <w:tcPr>
            <w:tcW w:w="480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表，计算预期信用损失。</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440" w:right="1128"/>
        <w:jc w:val="left"/>
      </w:pPr>
      <w:r>
        <w:rPr/>
        <w:t>（</w:t>
      </w:r>
      <w:r>
        <w:rPr>
          <w:rFonts w:ascii="Times New Roman" w:hAnsi="Times New Roman" w:cs="Times New Roman" w:eastAsia="Times New Roman" w:hint="default"/>
        </w:rPr>
        <w:t>3</w:t>
      </w:r>
      <w:r>
        <w:rPr/>
        <w:t>）单项风险特征明显的应收账款</w:t>
      </w:r>
    </w:p>
    <w:p>
      <w:pPr>
        <w:spacing w:line="240" w:lineRule="auto" w:before="13"/>
        <w:rPr>
          <w:rFonts w:ascii="宋体" w:hAnsi="宋体" w:cs="宋体" w:eastAsia="宋体" w:hint="default"/>
          <w:sz w:val="13"/>
          <w:szCs w:val="13"/>
        </w:rPr>
      </w:pPr>
    </w:p>
    <w:p>
      <w:pPr>
        <w:pStyle w:val="BodyText"/>
        <w:spacing w:line="300" w:lineRule="auto"/>
        <w:ind w:right="1228"/>
        <w:jc w:val="left"/>
      </w:pPr>
      <w:r>
        <w:rPr/>
        <w:t>根据应收账款类似信用风险特征</w:t>
      </w:r>
      <w:r>
        <w:rPr>
          <w:rFonts w:ascii="Times New Roman" w:hAnsi="Times New Roman" w:cs="Times New Roman" w:eastAsia="Times New Roman" w:hint="default"/>
        </w:rPr>
        <w:t>(</w:t>
      </w:r>
      <w:r>
        <w:rPr/>
        <w:t>债务人根据合同条款偿还欠款的能力</w:t>
      </w:r>
      <w:r>
        <w:rPr>
          <w:rFonts w:ascii="Times New Roman" w:hAnsi="Times New Roman" w:cs="Times New Roman" w:eastAsia="Times New Roman" w:hint="default"/>
        </w:rPr>
        <w:t>),</w:t>
      </w:r>
      <w:r>
        <w:rPr/>
        <w:t>按历史款项损失情况及债务人经济状况预计可能存 在的损失情况</w:t>
      </w:r>
      <w:r>
        <w:rPr>
          <w:rFonts w:ascii="Times New Roman" w:hAnsi="Times New Roman" w:cs="Times New Roman" w:eastAsia="Times New Roman" w:hint="default"/>
        </w:rPr>
        <w:t>,</w:t>
      </w:r>
      <w:r>
        <w:rPr/>
        <w:t>通过违约风险敞口和整个存续期预期信用损失率</w:t>
      </w:r>
      <w:r>
        <w:rPr>
          <w:rFonts w:ascii="Times New Roman" w:hAnsi="Times New Roman" w:cs="Times New Roman" w:eastAsia="Times New Roman" w:hint="default"/>
        </w:rPr>
        <w:t>,</w:t>
      </w:r>
      <w:r>
        <w:rPr/>
        <w:t>计算预期信用损失。</w:t>
      </w:r>
    </w:p>
    <w:p>
      <w:pPr>
        <w:spacing w:line="240" w:lineRule="auto" w:before="4"/>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left"/>
      </w:pPr>
      <w:r>
        <w:rPr>
          <w:spacing w:val="-2"/>
        </w:rPr>
        <w:t>本公司收取银行承兑汇票且背书或贴现的交易发生频繁，或资产负债表日后存在背书或贴现的，表明管理该应收票据的</w:t>
      </w:r>
      <w:r>
        <w:rPr/>
        <w:t> 业务模式可能是既以收取合同现金流量为目标又以出售该金融资产为目标，在</w:t>
      </w:r>
      <w:r>
        <w:rPr>
          <w:rFonts w:ascii="Times New Roman" w:hAnsi="Times New Roman" w:cs="Times New Roman" w:eastAsia="Times New Roman" w:hint="default"/>
        </w:rPr>
        <w:t>“</w:t>
      </w:r>
      <w:r>
        <w:rPr/>
        <w:t>应收款项融资</w:t>
      </w:r>
      <w:r>
        <w:rPr>
          <w:rFonts w:ascii="Times New Roman" w:hAnsi="Times New Roman" w:cs="Times New Roman" w:eastAsia="Times New Roman" w:hint="default"/>
        </w:rPr>
        <w:t>”</w:t>
      </w:r>
      <w:r>
        <w:rPr/>
        <w:t>项目列报。</w:t>
      </w:r>
    </w:p>
    <w:p>
      <w:pPr>
        <w:spacing w:line="240" w:lineRule="auto" w:before="4"/>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69" w:lineRule="auto"/>
        <w:ind w:left="512" w:right="1128" w:hanging="361"/>
        <w:jc w:val="left"/>
        <w:rPr>
          <w:rFonts w:ascii="Times New Roman" w:hAnsi="Times New Roman" w:cs="Times New Roman" w:eastAsia="Times New Roman" w:hint="default"/>
        </w:rPr>
      </w:pPr>
      <w:r>
        <w:rPr/>
        <w:t>其他应收款的预期信用损失的确定方法及会计处理方法 本公司按照下列情形计量其他应收款损失准备：①信用风险自初始确认后未显著增加的金融资产，本集团按照未来</w:t>
      </w:r>
      <w:r>
        <w:rPr>
          <w:rFonts w:ascii="Times New Roman" w:hAnsi="Times New Roman" w:cs="Times New Roman" w:eastAsia="Times New Roman" w:hint="default"/>
        </w:rPr>
        <w:t>12</w:t>
      </w:r>
    </w:p>
    <w:p>
      <w:pPr>
        <w:pStyle w:val="BodyText"/>
        <w:spacing w:line="188" w:lineRule="exact"/>
        <w:ind w:right="0"/>
        <w:jc w:val="left"/>
      </w:pPr>
      <w:r>
        <w:rPr/>
        <w:t>个月的预期信用损失的金额计量损失准备；②信用风险自初始确认后已显著增加的金融资产，本集团按照相当于该金融工具</w:t>
      </w:r>
    </w:p>
    <w:p>
      <w:pPr>
        <w:pStyle w:val="BodyText"/>
        <w:spacing w:line="316" w:lineRule="auto" w:before="76"/>
        <w:ind w:right="1128"/>
        <w:jc w:val="left"/>
      </w:pPr>
      <w:r>
        <w:rPr>
          <w:spacing w:val="-2"/>
        </w:rPr>
        <w:t>整个存续期内预期信用损失的金额计量损失准备；③购买或源生已发生信用减值的金融资产，本集团按照相当于整个存续期</w:t>
      </w:r>
      <w:r>
        <w:rPr>
          <w:spacing w:val="-64"/>
        </w:rPr>
        <w:t> </w:t>
      </w:r>
      <w:r>
        <w:rPr>
          <w:spacing w:val="-64"/>
        </w:rPr>
      </w:r>
      <w:r>
        <w:rPr/>
        <w:t>内预期信用损失的金额计量损失准备。</w:t>
      </w:r>
    </w:p>
    <w:p>
      <w:pPr>
        <w:pStyle w:val="BodyText"/>
        <w:spacing w:line="316" w:lineRule="auto" w:before="139"/>
        <w:ind w:right="0" w:firstLine="360"/>
        <w:jc w:val="left"/>
      </w:pPr>
      <w:r>
        <w:rPr>
          <w:spacing w:val="-4"/>
        </w:rPr>
        <w:t>以组合为基础的评估。对于其他应收款，本公司在单项工具层面无法以合理成本获得关于信用风险显著增加的充分证据，</w:t>
      </w:r>
      <w:r>
        <w:rPr/>
        <w:t> </w:t>
      </w:r>
      <w:r>
        <w:rPr>
          <w:spacing w:val="-2"/>
        </w:rPr>
        <w:t>而在组合的基础上评估信用风险是否显著增加是可行，所以本公司按照初始确认日期为共同风险特征，对其他应收款进行分</w:t>
      </w:r>
      <w:r>
        <w:rPr>
          <w:spacing w:val="-64"/>
        </w:rPr>
        <w:t> </w:t>
      </w:r>
      <w:r>
        <w:rPr>
          <w:spacing w:val="-64"/>
        </w:rPr>
      </w:r>
      <w:r>
        <w:rPr/>
        <w:t>组并以组合为基础考虑评估信用风险是否显著增加。</w:t>
      </w:r>
    </w:p>
    <w:p>
      <w:pPr>
        <w:pStyle w:val="BodyText"/>
        <w:spacing w:line="240" w:lineRule="auto" w:before="139"/>
        <w:ind w:left="512" w:right="1128"/>
        <w:jc w:val="left"/>
      </w:pPr>
      <w:r>
        <w:rPr/>
        <w:t>按组合计量预期信用损失的其他应收款：</w:t>
      </w:r>
    </w:p>
    <w:p>
      <w:pPr>
        <w:spacing w:line="240" w:lineRule="auto" w:before="5"/>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1920"/>
        <w:gridCol w:w="1920"/>
        <w:gridCol w:w="4807"/>
      </w:tblGrid>
      <w:tr>
        <w:trPr>
          <w:trHeight w:val="348"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c>
          <w:tcPr>
            <w:tcW w:w="4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04" w:right="0"/>
              <w:jc w:val="left"/>
              <w:rPr>
                <w:rFonts w:ascii="宋体" w:hAnsi="宋体" w:cs="宋体" w:eastAsia="宋体" w:hint="default"/>
                <w:sz w:val="18"/>
                <w:szCs w:val="18"/>
              </w:rPr>
            </w:pPr>
            <w:r>
              <w:rPr>
                <w:rFonts w:ascii="宋体" w:hAnsi="宋体" w:cs="宋体" w:eastAsia="宋体" w:hint="default"/>
                <w:b/>
                <w:bCs/>
                <w:sz w:val="18"/>
                <w:szCs w:val="18"/>
              </w:rPr>
              <w:t>计量预期信用损失的方法</w:t>
            </w:r>
            <w:r>
              <w:rPr>
                <w:rFonts w:ascii="宋体" w:hAnsi="宋体" w:cs="宋体" w:eastAsia="宋体" w:hint="default"/>
                <w:sz w:val="18"/>
                <w:szCs w:val="18"/>
              </w:rPr>
            </w:r>
          </w:p>
        </w:tc>
      </w:tr>
      <w:tr>
        <w:trPr>
          <w:trHeight w:val="331" w:hRule="exact"/>
        </w:trPr>
        <w:tc>
          <w:tcPr>
            <w:tcW w:w="19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信用风险特</w:t>
            </w:r>
          </w:p>
        </w:tc>
        <w:tc>
          <w:tcPr>
            <w:tcW w:w="1920" w:type="dxa"/>
            <w:tcBorders>
              <w:top w:val="single" w:sz="6" w:space="0" w:color="000000"/>
              <w:left w:val="single" w:sz="6" w:space="0" w:color="000000"/>
              <w:bottom w:val="nil" w:sz="6" w:space="0" w:color="auto"/>
              <w:right w:val="single" w:sz="6" w:space="0" w:color="000000"/>
            </w:tcBorders>
          </w:tcPr>
          <w:p>
            <w:pPr/>
          </w:p>
        </w:tc>
        <w:tc>
          <w:tcPr>
            <w:tcW w:w="480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7"/>
              <w:ind w:left="4" w:right="-1"/>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参考历史信用损失经验，结合当前状况以及对未来经济状况的</w:t>
            </w:r>
          </w:p>
        </w:tc>
      </w:tr>
      <w:tr>
        <w:trPr>
          <w:trHeight w:val="307" w:hRule="exact"/>
        </w:trPr>
        <w:tc>
          <w:tcPr>
            <w:tcW w:w="19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征组合</w:t>
            </w:r>
          </w:p>
        </w:tc>
        <w:tc>
          <w:tcPr>
            <w:tcW w:w="19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480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4" w:right="-1"/>
              <w:jc w:val="left"/>
              <w:rPr>
                <w:rFonts w:ascii="宋体" w:hAnsi="宋体" w:cs="宋体" w:eastAsia="宋体" w:hint="default"/>
                <w:sz w:val="18"/>
                <w:szCs w:val="18"/>
              </w:rPr>
            </w:pPr>
            <w:r>
              <w:rPr>
                <w:rFonts w:ascii="宋体" w:hAnsi="宋体" w:cs="宋体" w:eastAsia="宋体" w:hint="default"/>
                <w:spacing w:val="-3"/>
                <w:sz w:val="18"/>
                <w:szCs w:val="18"/>
              </w:rPr>
              <w:t>预测，编制其他应收款账龄与整个存续期预期信用损失率对照</w:t>
            </w:r>
          </w:p>
        </w:tc>
      </w:tr>
      <w:tr>
        <w:trPr>
          <w:trHeight w:val="331" w:hRule="exact"/>
        </w:trPr>
        <w:tc>
          <w:tcPr>
            <w:tcW w:w="1920" w:type="dxa"/>
            <w:tcBorders>
              <w:top w:val="nil" w:sz="6" w:space="0" w:color="auto"/>
              <w:left w:val="single" w:sz="6" w:space="0" w:color="000000"/>
              <w:bottom w:val="single" w:sz="6" w:space="0" w:color="000000"/>
              <w:right w:val="single" w:sz="6" w:space="0" w:color="000000"/>
            </w:tcBorders>
          </w:tcPr>
          <w:p>
            <w:pPr/>
          </w:p>
        </w:tc>
        <w:tc>
          <w:tcPr>
            <w:tcW w:w="1920" w:type="dxa"/>
            <w:tcBorders>
              <w:top w:val="nil" w:sz="6" w:space="0" w:color="auto"/>
              <w:left w:val="single" w:sz="6" w:space="0" w:color="000000"/>
              <w:bottom w:val="single" w:sz="6" w:space="0" w:color="000000"/>
              <w:right w:val="single" w:sz="6" w:space="0" w:color="000000"/>
            </w:tcBorders>
          </w:tcPr>
          <w:p>
            <w:pPr/>
          </w:p>
        </w:tc>
        <w:tc>
          <w:tcPr>
            <w:tcW w:w="480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表，计算预期信用损失。</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8"/>
        <w:jc w:val="left"/>
        <w:rPr>
          <w:b w:val="0"/>
          <w:bCs w:val="0"/>
        </w:rPr>
      </w:pPr>
      <w:r>
        <w:rPr>
          <w:rFonts w:ascii="Times New Roman" w:hAnsi="Times New Roman" w:cs="Times New Roman" w:eastAsia="Times New Roman" w:hint="default"/>
        </w:rPr>
        <w:t>15</w:t>
      </w:r>
      <w:r>
        <w:rPr/>
        <w:t>、存货</w:t>
      </w:r>
      <w:r>
        <w:rPr>
          <w:b w:val="0"/>
          <w:bCs w:val="0"/>
        </w:rPr>
      </w:r>
    </w:p>
    <w:p>
      <w:pPr>
        <w:pStyle w:val="BodyText"/>
        <w:spacing w:line="550" w:lineRule="atLeast" w:before="30"/>
        <w:ind w:left="512" w:right="1128"/>
        <w:jc w:val="left"/>
      </w:pPr>
      <w:r>
        <w:rPr/>
        <w:t>本公司存货主要包括原材料、包装物、低值易耗品、在产品、库存商品等。 </w:t>
      </w:r>
      <w:r>
        <w:rPr>
          <w:spacing w:val="-2"/>
        </w:rPr>
        <w:t>存货实行永续盘存制，存货在取得时按实际成本计价；领用或发出存货，采用加权平均法确定其实际成本。低值易耗品</w:t>
      </w:r>
    </w:p>
    <w:p>
      <w:pPr>
        <w:pStyle w:val="BodyText"/>
        <w:spacing w:line="240" w:lineRule="auto" w:before="76"/>
        <w:ind w:right="1128"/>
        <w:jc w:val="left"/>
      </w:pPr>
      <w:r>
        <w:rPr/>
        <w:t>和包装物采用一次转销法进行摊销。</w:t>
      </w:r>
    </w:p>
    <w:p>
      <w:pPr>
        <w:spacing w:line="240" w:lineRule="auto" w:before="2"/>
        <w:rPr>
          <w:rFonts w:ascii="宋体" w:hAnsi="宋体" w:cs="宋体" w:eastAsia="宋体" w:hint="default"/>
          <w:sz w:val="24"/>
          <w:szCs w:val="24"/>
        </w:rPr>
      </w:pPr>
    </w:p>
    <w:p>
      <w:pPr>
        <w:pStyle w:val="BodyText"/>
        <w:spacing w:line="316" w:lineRule="auto"/>
        <w:ind w:right="1132" w:firstLine="360"/>
        <w:jc w:val="both"/>
      </w:pPr>
      <w:r>
        <w:rPr>
          <w:spacing w:val="-2"/>
        </w:rPr>
        <w:t>库存商品、在产品和用于出售的材料等直接用于出售的商品存货，其可变现净值按该存货的估计售价减去估计的销售费</w:t>
      </w:r>
      <w:r>
        <w:rPr/>
        <w:t> </w:t>
      </w:r>
      <w:r>
        <w:rPr>
          <w:spacing w:val="-2"/>
        </w:rPr>
        <w:t>用和相关税费后的金额确定；用于生产而持有的材料存货，其可变现净值按所生产的产成品的估计售价减去至完工时估计将</w:t>
      </w:r>
      <w:r>
        <w:rPr>
          <w:spacing w:val="-64"/>
        </w:rPr>
        <w:t> </w:t>
      </w:r>
      <w:r>
        <w:rPr>
          <w:spacing w:val="-64"/>
        </w:rPr>
      </w:r>
      <w:r>
        <w:rPr/>
        <w:t>要发生的成本、估计的销售费用和相关税费后的金额确定。</w:t>
      </w:r>
    </w:p>
    <w:p>
      <w:pPr>
        <w:spacing w:after="0" w:line="316" w:lineRule="auto"/>
        <w:jc w:val="both"/>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29" w:firstLine="216"/>
        <w:jc w:val="both"/>
      </w:pPr>
      <w:r>
        <w:rPr>
          <w:spacing w:val="-1"/>
        </w:rPr>
        <w:t>（</w:t>
      </w:r>
      <w:r>
        <w:rPr>
          <w:rFonts w:ascii="Times New Roman" w:hAnsi="Times New Roman" w:cs="Times New Roman" w:eastAsia="Times New Roman" w:hint="default"/>
          <w:spacing w:val="-1"/>
        </w:rPr>
        <w:t>1</w:t>
      </w:r>
      <w:r>
        <w:rPr>
          <w:spacing w:val="-1"/>
        </w:rPr>
        <w:t>）本公司将同时符合下列条件的非流动资产或处置组划分为持有待售：①根据类似交易中出售此类资产或处置组的惯</w:t>
      </w:r>
      <w:r>
        <w:rPr/>
        <w:t> </w:t>
      </w:r>
      <w:r>
        <w:rPr>
          <w:spacing w:val="-2"/>
        </w:rPr>
        <w:t>例，在当前状况下即可立即出售；②出售极可能发生，即已经就一项出售计划作出决议且获得确定的购买承诺，预计出售将</w:t>
      </w:r>
      <w:r>
        <w:rPr>
          <w:spacing w:val="-65"/>
        </w:rPr>
        <w:t> </w:t>
      </w:r>
      <w:r>
        <w:rPr>
          <w:spacing w:val="-65"/>
        </w:rPr>
      </w:r>
      <w:r>
        <w:rPr>
          <w:spacing w:val="-2"/>
        </w:rPr>
        <w:t>在一年内完成。有关规定要求相关权力机构或者监管部门批准后方可出售的需要获得相关批准。本公司将非流动资产或处置</w:t>
      </w:r>
      <w:r>
        <w:rPr>
          <w:spacing w:val="-64"/>
        </w:rPr>
        <w:t> </w:t>
      </w:r>
      <w:r>
        <w:rPr>
          <w:spacing w:val="-64"/>
        </w:rPr>
      </w:r>
      <w:r>
        <w:rPr>
          <w:spacing w:val="-2"/>
        </w:rPr>
        <w:t>组首次划分为持有待售类别前，按照相关会计准则规定计量非流动资产或处置组中各项资产和负债的账面价值。初始计量或</w:t>
      </w:r>
      <w:r>
        <w:rPr>
          <w:spacing w:val="-64"/>
        </w:rPr>
        <w:t> </w:t>
      </w:r>
      <w:r>
        <w:rPr>
          <w:spacing w:val="-64"/>
        </w:rPr>
      </w:r>
      <w:r>
        <w:rPr>
          <w:spacing w:val="-2"/>
        </w:rPr>
        <w:t>在资产负债表日重新计量持有待售的非流动资产或处置组时，其账面价值高于公允价值减去出售费用后的净额的，将账面价</w:t>
      </w:r>
      <w:r>
        <w:rPr>
          <w:spacing w:val="-64"/>
        </w:rPr>
        <w:t> </w:t>
      </w:r>
      <w:r>
        <w:rPr>
          <w:spacing w:val="-64"/>
        </w:rPr>
      </w:r>
      <w:r>
        <w:rPr>
          <w:spacing w:val="-2"/>
        </w:rPr>
        <w:t>值减记至公允价值减去出售费用后的净额，减记的金额确认为资产减值损失，计入当期损益，同时计提持有待售资产减值准</w:t>
      </w:r>
      <w:r>
        <w:rPr>
          <w:spacing w:val="-63"/>
        </w:rPr>
        <w:t> </w:t>
      </w:r>
      <w:r>
        <w:rPr>
          <w:spacing w:val="-63"/>
        </w:rPr>
      </w:r>
      <w:r>
        <w:rPr/>
        <w:t>备。</w:t>
      </w:r>
    </w:p>
    <w:p>
      <w:pPr>
        <w:pStyle w:val="BodyText"/>
        <w:spacing w:line="309" w:lineRule="auto" w:before="140"/>
        <w:ind w:right="1132" w:firstLine="216"/>
        <w:jc w:val="both"/>
      </w:pPr>
      <w:r>
        <w:rPr>
          <w:spacing w:val="-1"/>
        </w:rPr>
        <w:t>（</w:t>
      </w:r>
      <w:r>
        <w:rPr>
          <w:rFonts w:ascii="Times New Roman" w:hAnsi="Times New Roman" w:cs="Times New Roman" w:eastAsia="Times New Roman" w:hint="default"/>
          <w:spacing w:val="-1"/>
        </w:rPr>
        <w:t>2</w:t>
      </w:r>
      <w:r>
        <w:rPr>
          <w:spacing w:val="-1"/>
        </w:rPr>
        <w:t>）本公司专为转售而取得的非流动资产或处置组，在取得日满足</w:t>
      </w:r>
      <w:r>
        <w:rPr>
          <w:rFonts w:ascii="Times New Roman" w:hAnsi="Times New Roman" w:cs="Times New Roman" w:eastAsia="Times New Roman" w:hint="default"/>
          <w:spacing w:val="-1"/>
        </w:rPr>
        <w:t>“</w:t>
      </w:r>
      <w:r>
        <w:rPr>
          <w:spacing w:val="-1"/>
        </w:rPr>
        <w:t>预计出售将在一年内完成</w:t>
      </w:r>
      <w:r>
        <w:rPr>
          <w:rFonts w:ascii="Times New Roman" w:hAnsi="Times New Roman" w:cs="Times New Roman" w:eastAsia="Times New Roman" w:hint="default"/>
          <w:spacing w:val="-1"/>
        </w:rPr>
        <w:t>”</w:t>
      </w:r>
      <w:r>
        <w:rPr>
          <w:spacing w:val="-1"/>
        </w:rPr>
        <w:t>的规定条件，且短期（通</w:t>
      </w:r>
      <w:r>
        <w:rPr/>
        <w:t> 常为</w:t>
      </w:r>
      <w:r>
        <w:rPr>
          <w:rFonts w:ascii="Times New Roman" w:hAnsi="Times New Roman" w:cs="Times New Roman" w:eastAsia="Times New Roman" w:hint="default"/>
        </w:rPr>
        <w:t>3</w:t>
      </w:r>
      <w:r>
        <w:rPr/>
        <w:t>个月）内很可能满足持有待售类别的其他划分条件的，在取得日将其划分为持有待售类别。在初始计量时，比较假定</w:t>
      </w:r>
      <w:r>
        <w:rPr>
          <w:spacing w:val="-84"/>
        </w:rPr>
        <w:t> </w:t>
      </w:r>
      <w:r>
        <w:rPr>
          <w:spacing w:val="-84"/>
        </w:rPr>
      </w:r>
      <w:r>
        <w:rPr>
          <w:spacing w:val="-2"/>
        </w:rPr>
        <w:t>其不划分为持有待售类别情况下的初始计量金额和公允价值减去出售费用后的净额，以两者孰低计量。除企业合并中取得的</w:t>
      </w:r>
      <w:r>
        <w:rPr>
          <w:spacing w:val="-64"/>
        </w:rPr>
        <w:t> </w:t>
      </w:r>
      <w:r>
        <w:rPr>
          <w:spacing w:val="-64"/>
        </w:rPr>
      </w:r>
      <w:r>
        <w:rPr>
          <w:spacing w:val="-2"/>
        </w:rPr>
        <w:t>非流动资产或处置组外，由非流动资产或处置组以公允价值减去出售费用后的净额作为初始计量金额而产生的差额，计入当</w:t>
      </w:r>
      <w:r>
        <w:rPr>
          <w:spacing w:val="-64"/>
        </w:rPr>
        <w:t> </w:t>
      </w:r>
      <w:r>
        <w:rPr>
          <w:spacing w:val="-64"/>
        </w:rPr>
      </w:r>
      <w:r>
        <w:rPr/>
        <w:t>期损益。</w:t>
      </w:r>
    </w:p>
    <w:p>
      <w:pPr>
        <w:pStyle w:val="BodyText"/>
        <w:spacing w:line="309" w:lineRule="auto" w:before="144"/>
        <w:ind w:right="1033" w:firstLine="216"/>
        <w:jc w:val="left"/>
      </w:pPr>
      <w:r>
        <w:rPr/>
        <w:t>（</w:t>
      </w:r>
      <w:r>
        <w:rPr>
          <w:rFonts w:ascii="Times New Roman" w:hAnsi="Times New Roman" w:cs="Times New Roman" w:eastAsia="Times New Roman" w:hint="default"/>
        </w:rPr>
        <w:t>3</w:t>
      </w:r>
      <w:r>
        <w:rPr/>
        <w:t>）本公司因出售对子公司的投资等原因导致丧失对子公司控制权的，无论出售后本公司是否保留部分权益性投资，在 拟出售的对子公司投资满足持有待售类别划分条件时，在母公司个别财务报表中将对子公司投资整体划分为持有待售类别， 在合并财务报表中将子公司所有资产和负债划分为持有待售类别。</w:t>
      </w:r>
    </w:p>
    <w:p>
      <w:pPr>
        <w:pStyle w:val="BodyText"/>
        <w:spacing w:line="309" w:lineRule="auto" w:before="144"/>
        <w:ind w:right="1103" w:firstLine="216"/>
        <w:jc w:val="both"/>
      </w:pPr>
      <w:r>
        <w:rPr/>
        <w:t>（</w:t>
      </w:r>
      <w:r>
        <w:rPr>
          <w:rFonts w:ascii="Times New Roman" w:hAnsi="Times New Roman" w:cs="Times New Roman" w:eastAsia="Times New Roman" w:hint="default"/>
        </w:rPr>
        <w:t>4</w:t>
      </w:r>
      <w:r>
        <w:rPr/>
        <w:t>）后续资产负债表日持有待售的非流动资产公允价值减去出售费用后的净额增加的，以前减记的金额应当予以恢复， </w:t>
      </w:r>
      <w:r>
        <w:rPr>
          <w:spacing w:val="-2"/>
        </w:rPr>
        <w:t>并在划分为持有待售类别后确认的资产减值损失金额内转回，转回金额计入当期损益。划分为持有待售类别前确认的资产减</w:t>
      </w:r>
      <w:r>
        <w:rPr>
          <w:spacing w:val="-64"/>
        </w:rPr>
        <w:t> </w:t>
      </w:r>
      <w:r>
        <w:rPr>
          <w:spacing w:val="-64"/>
        </w:rPr>
      </w:r>
      <w:r>
        <w:rPr/>
        <w:t>值损失不得转回。</w:t>
      </w:r>
    </w:p>
    <w:p>
      <w:pPr>
        <w:pStyle w:val="BodyText"/>
        <w:spacing w:line="300" w:lineRule="auto" w:before="144"/>
        <w:ind w:right="1132" w:firstLine="216"/>
        <w:jc w:val="both"/>
      </w:pPr>
      <w:r>
        <w:rPr>
          <w:spacing w:val="-1"/>
        </w:rPr>
        <w:t>（</w:t>
      </w:r>
      <w:r>
        <w:rPr>
          <w:rFonts w:ascii="Times New Roman" w:hAnsi="Times New Roman" w:cs="Times New Roman" w:eastAsia="Times New Roman" w:hint="default"/>
          <w:spacing w:val="-1"/>
        </w:rPr>
        <w:t>5</w:t>
      </w:r>
      <w:r>
        <w:rPr>
          <w:spacing w:val="-1"/>
        </w:rPr>
        <w:t>）对于持有待售的处置组确认的资产减值损失金额，先抵减处置组中商誉的账面价值，再根据各项非流动资产账面价</w:t>
      </w:r>
      <w:r>
        <w:rPr/>
        <w:t> 值所占比重，按比例抵减其账面价值。</w:t>
      </w:r>
    </w:p>
    <w:p>
      <w:pPr>
        <w:pStyle w:val="BodyText"/>
        <w:spacing w:line="316" w:lineRule="auto" w:before="151"/>
        <w:ind w:right="1132" w:firstLine="288"/>
        <w:jc w:val="both"/>
      </w:pPr>
      <w:r>
        <w:rPr>
          <w:spacing w:val="-1"/>
        </w:rPr>
        <w:t>后续资产负债表日持有待售的处置组公允价值减去出售费用后的净额增加的，以前减记的金额应当予以恢复，并在划分</w:t>
      </w:r>
      <w:r>
        <w:rPr/>
        <w:t> </w:t>
      </w:r>
      <w:r>
        <w:rPr>
          <w:spacing w:val="-2"/>
        </w:rPr>
        <w:t>为持有待售类别后适用相关计量规定的非流动资产确认的资产减值损失金额内转回，转回金额计入当期损益。已抵减的商誉</w:t>
      </w:r>
      <w:r>
        <w:rPr>
          <w:spacing w:val="-64"/>
        </w:rPr>
        <w:t> </w:t>
      </w:r>
      <w:r>
        <w:rPr>
          <w:spacing w:val="-64"/>
        </w:rPr>
      </w:r>
      <w:r>
        <w:rPr/>
        <w:t>账面价值，以及非流动资产在划分为持有待售类别前确认的资产减值损失不得转回。</w:t>
      </w:r>
    </w:p>
    <w:p>
      <w:pPr>
        <w:pStyle w:val="BodyText"/>
        <w:spacing w:line="319" w:lineRule="auto" w:before="139"/>
        <w:ind w:right="1129" w:firstLine="360"/>
        <w:jc w:val="both"/>
      </w:pPr>
      <w:r>
        <w:rPr>
          <w:spacing w:val="-2"/>
        </w:rPr>
        <w:t>持有待售的处置组确认的资产减值损失后续转回金额，根据处置组中除商誉外，各项非流动资产账面价值所占比重，按</w:t>
      </w:r>
      <w:r>
        <w:rPr/>
        <w:t> 比例增加其账面价值。</w:t>
      </w:r>
    </w:p>
    <w:p>
      <w:pPr>
        <w:pStyle w:val="BodyText"/>
        <w:spacing w:line="300" w:lineRule="auto" w:before="137"/>
        <w:ind w:right="1132" w:firstLine="216"/>
        <w:jc w:val="both"/>
      </w:pPr>
      <w:r>
        <w:rPr>
          <w:spacing w:val="-1"/>
        </w:rPr>
        <w:t>（</w:t>
      </w:r>
      <w:r>
        <w:rPr>
          <w:rFonts w:ascii="Times New Roman" w:hAnsi="Times New Roman" w:cs="Times New Roman" w:eastAsia="Times New Roman" w:hint="default"/>
          <w:spacing w:val="-1"/>
        </w:rPr>
        <w:t>6</w:t>
      </w:r>
      <w:r>
        <w:rPr>
          <w:spacing w:val="-1"/>
        </w:rPr>
        <w:t>）持有待售的非流动资产或处置组中的非流动资产不计提折旧或摊销，持有待售的处置组中负债的利息和其他费用继</w:t>
      </w:r>
      <w:r>
        <w:rPr/>
        <w:t> 续予以确认。</w:t>
      </w:r>
    </w:p>
    <w:p>
      <w:pPr>
        <w:pStyle w:val="BodyText"/>
        <w:spacing w:line="309" w:lineRule="auto" w:before="151"/>
        <w:ind w:right="1132" w:firstLine="216"/>
        <w:jc w:val="both"/>
      </w:pPr>
      <w:r>
        <w:rPr>
          <w:spacing w:val="-2"/>
        </w:rPr>
        <w:t>（</w:t>
      </w:r>
      <w:r>
        <w:rPr>
          <w:rFonts w:ascii="Times New Roman" w:hAnsi="Times New Roman" w:cs="Times New Roman" w:eastAsia="Times New Roman" w:hint="default"/>
          <w:spacing w:val="-2"/>
        </w:rPr>
        <w:t>7)</w:t>
      </w:r>
      <w:r>
        <w:rPr>
          <w:spacing w:val="-2"/>
        </w:rPr>
        <w:t>持有待售的非流动资产或处置组因不再满足持有待售类别的划分条件，而不再继续划分为持有待售类别或非流动资产</w:t>
      </w:r>
      <w:r>
        <w:rPr/>
        <w:t> </w:t>
      </w:r>
      <w:r>
        <w:rPr>
          <w:spacing w:val="-2"/>
        </w:rPr>
        <w:t>从持有待售的处置组中移除时，按照以下两者孰低计量：①划分为持有待售类别前的账面价值，按照假定不划分为持有待售</w:t>
      </w:r>
      <w:r>
        <w:rPr>
          <w:spacing w:val="-66"/>
        </w:rPr>
        <w:t> </w:t>
      </w:r>
      <w:r>
        <w:rPr>
          <w:spacing w:val="-66"/>
        </w:rPr>
      </w:r>
      <w:r>
        <w:rPr/>
        <w:t>类别情况下本应确认的折旧、摊销或减值等进行调整后的金额；②可收回金额。</w:t>
      </w:r>
    </w:p>
    <w:p>
      <w:pPr>
        <w:pStyle w:val="BodyText"/>
        <w:spacing w:line="240" w:lineRule="auto" w:before="144"/>
        <w:ind w:left="440" w:right="1128"/>
        <w:jc w:val="left"/>
      </w:pPr>
      <w:r>
        <w:rPr>
          <w:rFonts w:ascii="Times New Roman" w:hAnsi="Times New Roman" w:cs="Times New Roman" w:eastAsia="Times New Roman" w:hint="default"/>
        </w:rPr>
        <w:t>(8)</w:t>
      </w:r>
      <w:r>
        <w:rPr/>
        <w:t>终止确认持有待售的非流动资产或处置组时，将尚未确认的利得或损失计入当期损益。</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22</w:t>
      </w:r>
      <w:r>
        <w:rPr/>
        <w:t>、长期股权投资</w:t>
      </w:r>
      <w:r>
        <w:rPr>
          <w:b w:val="0"/>
          <w:bCs w:val="0"/>
        </w:rPr>
      </w:r>
    </w:p>
    <w:p>
      <w:pPr>
        <w:pStyle w:val="BodyText"/>
        <w:spacing w:line="410" w:lineRule="atLeast" w:before="167"/>
        <w:ind w:left="572" w:right="1128" w:firstLine="12"/>
        <w:jc w:val="left"/>
      </w:pPr>
      <w:r>
        <w:rPr/>
        <w:t>本公司长期股权投资主要是对子公司的投资、对联营企业的投资和对合营企业的投资。 本公司对共同控制的判断依据是所有参与方或参与方组合集体控制该安排，并且该安排相关活动的政策必须经过这些</w:t>
      </w:r>
    </w:p>
    <w:p>
      <w:pPr>
        <w:pStyle w:val="BodyText"/>
        <w:spacing w:line="240" w:lineRule="auto" w:before="76"/>
        <w:ind w:right="0"/>
        <w:jc w:val="both"/>
      </w:pPr>
      <w:r>
        <w:rPr/>
        <w:t>集体控制该安排的参与方一致同意。</w:t>
      </w:r>
    </w:p>
    <w:p>
      <w:pPr>
        <w:spacing w:line="240" w:lineRule="auto" w:before="7"/>
        <w:rPr>
          <w:rFonts w:ascii="宋体" w:hAnsi="宋体" w:cs="宋体" w:eastAsia="宋体" w:hint="default"/>
          <w:sz w:val="13"/>
          <w:szCs w:val="13"/>
        </w:rPr>
      </w:pPr>
    </w:p>
    <w:p>
      <w:pPr>
        <w:pStyle w:val="BodyText"/>
        <w:spacing w:line="304" w:lineRule="auto"/>
        <w:ind w:right="1129" w:firstLine="420"/>
        <w:jc w:val="both"/>
      </w:pPr>
      <w:r>
        <w:rPr>
          <w:spacing w:val="-2"/>
        </w:rPr>
        <w:t>本公司直接或通过子公司间接拥有被投资单位</w:t>
      </w:r>
      <w:r>
        <w:rPr>
          <w:rFonts w:ascii="Times New Roman" w:hAnsi="Times New Roman" w:cs="Times New Roman" w:eastAsia="Times New Roman" w:hint="default"/>
          <w:spacing w:val="-2"/>
        </w:rPr>
        <w:t>20%</w:t>
      </w:r>
      <w:r>
        <w:rPr>
          <w:spacing w:val="-2"/>
        </w:rPr>
        <w:t>（含）以上但低于</w:t>
      </w:r>
      <w:r>
        <w:rPr>
          <w:rFonts w:ascii="Times New Roman" w:hAnsi="Times New Roman" w:cs="Times New Roman" w:eastAsia="Times New Roman" w:hint="default"/>
          <w:spacing w:val="-2"/>
        </w:rPr>
        <w:t>50%</w:t>
      </w:r>
      <w:r>
        <w:rPr>
          <w:spacing w:val="-2"/>
        </w:rPr>
        <w:t>的表决权时，通常认为对被投资单位具有重大</w:t>
      </w:r>
      <w:r>
        <w:rPr/>
        <w:t> </w:t>
      </w:r>
      <w:r>
        <w:rPr>
          <w:spacing w:val="-1"/>
        </w:rPr>
        <w:t>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以下表决权的，还需要综合考虑在被投资单位的董事会或类似权力机构中派有代表、或参与被投</w:t>
      </w:r>
      <w:r>
        <w:rPr/>
        <w:t> </w:t>
      </w:r>
      <w:r>
        <w:rPr>
          <w:spacing w:val="-2"/>
        </w:rPr>
        <w:t>资单位财务和经营政策制定过程、或与被投资单位之间发生重要交易、或向被投资单位派出管理人员、或向被投资单位提供</w:t>
      </w:r>
      <w:r>
        <w:rPr>
          <w:spacing w:val="-63"/>
        </w:rPr>
        <w:t> </w:t>
      </w:r>
      <w:r>
        <w:rPr>
          <w:spacing w:val="-63"/>
        </w:rPr>
      </w:r>
      <w:r>
        <w:rPr/>
        <w:t>关键技术资料等事实和情况判断对被投资单位具有重大影响。</w:t>
      </w:r>
    </w:p>
    <w:p>
      <w:pPr>
        <w:pStyle w:val="BodyText"/>
        <w:spacing w:line="316" w:lineRule="auto" w:before="128"/>
        <w:ind w:right="1132" w:firstLine="420"/>
        <w:jc w:val="both"/>
      </w:pPr>
      <w:r>
        <w:rPr/>
        <w:t>对被投资单位形成控制的，为本公司的子公司。通过同一控制下的企业合并取得的长期股权投资，在合并日按照取得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4"/>
        </w:rPr>
        <w:t> </w:t>
      </w:r>
      <w:r>
        <w:rPr>
          <w:spacing w:val="-64"/>
        </w:rPr>
      </w:r>
      <w:r>
        <w:rPr/>
        <w:t>账面价值为负数的，长期股权投资成本按零确定。</w:t>
      </w:r>
    </w:p>
    <w:p>
      <w:pPr>
        <w:pStyle w:val="BodyText"/>
        <w:spacing w:line="316" w:lineRule="auto" w:before="119"/>
        <w:ind w:right="1132" w:firstLine="420"/>
        <w:jc w:val="both"/>
      </w:pPr>
      <w:r>
        <w:rPr/>
        <w:t>通过多次交易分步取得同一控制下被投资单位的股权，最终形成企业合并的，应在取得控制权的报告期，补充披露在 </w:t>
      </w:r>
      <w:r>
        <w:rPr>
          <w:spacing w:val="-2"/>
        </w:rPr>
        <w:t>母公司财务报表中的长期股权投资的处理方法。例如：通过多次交易分步取得同一控制下被投资单位的股权，最终形成企业</w:t>
      </w:r>
      <w:r>
        <w:rPr>
          <w:spacing w:val="-66"/>
        </w:rPr>
        <w:t> </w:t>
      </w:r>
      <w:r>
        <w:rPr>
          <w:spacing w:val="-66"/>
        </w:rPr>
      </w:r>
      <w:r>
        <w:rPr>
          <w:spacing w:val="-2"/>
        </w:rPr>
        <w:t>合并，属于一揽子交易的，本公司将各项交易作为一项取得控制权的交易进行会计处理。不属于一览交易的，在合并日，根</w:t>
      </w:r>
      <w:r>
        <w:rPr>
          <w:spacing w:val="-67"/>
        </w:rPr>
        <w:t> </w:t>
      </w:r>
      <w:r>
        <w:rPr>
          <w:spacing w:val="-67"/>
        </w:rPr>
      </w:r>
      <w:r>
        <w:rPr>
          <w:spacing w:val="-2"/>
        </w:rPr>
        <w:t>据合并后享有被合并方净资产在最终控制方合并财务报表中的账面价值的份额作为长期股权投资的的初始投资成本。初始投</w:t>
      </w:r>
      <w:r>
        <w:rPr>
          <w:spacing w:val="-64"/>
        </w:rPr>
        <w:t> </w:t>
      </w:r>
      <w:r>
        <w:rPr>
          <w:spacing w:val="-64"/>
        </w:rPr>
      </w:r>
      <w:r>
        <w:rPr/>
        <w:t>资成本与达到合并前的长期股权投资账面价值加上合并日进一步取得股份新支付对价的账面价值之和的差额，调整资本公</w:t>
      </w:r>
      <w:r>
        <w:rPr>
          <w:spacing w:val="-11"/>
        </w:rPr>
        <w:t> </w:t>
      </w:r>
      <w:r>
        <w:rPr>
          <w:spacing w:val="-11"/>
        </w:rPr>
      </w:r>
      <w:r>
        <w:rPr/>
        <w:t>积，资本公积不足冲减的，冲减留存收益。</w:t>
      </w:r>
    </w:p>
    <w:p>
      <w:pPr>
        <w:pStyle w:val="BodyText"/>
        <w:spacing w:line="410" w:lineRule="exact" w:before="2"/>
        <w:ind w:left="572" w:right="1128"/>
        <w:jc w:val="left"/>
      </w:pPr>
      <w:r>
        <w:rPr/>
        <w:t>通过非同一控制下的企业合并取得的长期股权投资，以合并成本作为初始投资成本。 通过多次交易分步取得非同一控制下被投资单位的股权，最终形成企业合并的，应在取得控制权的报告期，补充披露</w:t>
      </w:r>
    </w:p>
    <w:p>
      <w:pPr>
        <w:pStyle w:val="BodyText"/>
        <w:spacing w:line="316" w:lineRule="auto" w:before="19"/>
        <w:ind w:right="1129"/>
        <w:jc w:val="both"/>
      </w:pPr>
      <w:r>
        <w:rPr>
          <w:spacing w:val="-2"/>
        </w:rPr>
        <w:t>在母公司财务报表中的长期股权投资成本处理方法。例如：通过多次交易分步取得非同一控制下被投资单位的股权，最终形</w:t>
      </w:r>
      <w:r>
        <w:rPr>
          <w:spacing w:val="-65"/>
        </w:rPr>
        <w:t> </w:t>
      </w:r>
      <w:r>
        <w:rPr>
          <w:spacing w:val="-65"/>
        </w:rPr>
      </w:r>
      <w:r>
        <w:rPr>
          <w:spacing w:val="-2"/>
        </w:rPr>
        <w:t>成企业合并，属于一揽子交易的，本公司将各项交易作为一项取得控制权的交易进行会计处理。不属于一揽交易的，按照原</w:t>
      </w:r>
      <w:r>
        <w:rPr>
          <w:spacing w:val="-65"/>
        </w:rPr>
        <w:t> </w:t>
      </w:r>
      <w:r>
        <w:rPr>
          <w:spacing w:val="-65"/>
        </w:rPr>
      </w:r>
      <w:r>
        <w:rPr>
          <w:spacing w:val="-2"/>
        </w:rPr>
        <w:t>持有的股权投资账面价值加上新增投资成本之和，作为改按成本法核算的初始投资成本。购买日之前持有的股权采用权益法</w:t>
      </w:r>
      <w:r>
        <w:rPr>
          <w:spacing w:val="-64"/>
        </w:rPr>
        <w:t> </w:t>
      </w:r>
      <w:r>
        <w:rPr>
          <w:spacing w:val="-64"/>
        </w:rPr>
      </w:r>
      <w:r>
        <w:rPr>
          <w:spacing w:val="-2"/>
        </w:rPr>
        <w:t>核算的，原权益法核算的相关其他综合收益暂不做调整，在处置该项投资时采用与被投资单位直接处置相关资产或负债相同</w:t>
      </w:r>
      <w:r>
        <w:rPr>
          <w:spacing w:val="-64"/>
        </w:rPr>
        <w:t> </w:t>
      </w:r>
      <w:r>
        <w:rPr>
          <w:spacing w:val="-64"/>
        </w:rPr>
      </w:r>
      <w:r>
        <w:rPr>
          <w:spacing w:val="-2"/>
        </w:rPr>
        <w:t>的基础进行会计处理。购买日之前持有的股权在可供出售金融资产中采用公允价值核算的，原计入其他综合收益的累计公允</w:t>
      </w:r>
      <w:r>
        <w:rPr>
          <w:spacing w:val="-64"/>
        </w:rPr>
        <w:t> </w:t>
      </w:r>
      <w:r>
        <w:rPr>
          <w:spacing w:val="-64"/>
        </w:rPr>
      </w:r>
      <w:r>
        <w:rPr/>
        <w:t>价值变动在合并日转入当期投资损益。</w:t>
      </w:r>
    </w:p>
    <w:p>
      <w:pPr>
        <w:pStyle w:val="BodyText"/>
        <w:spacing w:line="312" w:lineRule="auto" w:before="119"/>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3"/>
        </w:rPr>
        <w:t> </w:t>
      </w:r>
      <w:r>
        <w:rPr>
          <w:spacing w:val="-63"/>
        </w:rPr>
      </w:r>
      <w:r>
        <w:rPr/>
        <w:t>投资合同或协议约定的价值作为投资成本；</w:t>
      </w:r>
      <w:r>
        <w:rPr>
          <w:rFonts w:ascii="Times New Roman" w:hAnsi="Times New Roman" w:cs="Times New Roman" w:eastAsia="Times New Roman" w:hint="default"/>
        </w:rPr>
        <w:t>[</w:t>
      </w:r>
      <w:r>
        <w:rPr/>
        <w:t>公司如有以债务重组、非货币性资产交换等方式取得的长期股权投资，应根据</w:t>
      </w:r>
      <w:r>
        <w:rPr>
          <w:spacing w:val="-60"/>
        </w:rPr>
        <w:t> </w:t>
      </w:r>
      <w:r>
        <w:rPr>
          <w:spacing w:val="-60"/>
        </w:rPr>
      </w:r>
      <w:r>
        <w:rPr/>
        <w:t>相关企业会计准则的规定并结合公司的实际情况披露确定投资成本的方法。</w:t>
      </w:r>
    </w:p>
    <w:p>
      <w:pPr>
        <w:pStyle w:val="BodyText"/>
        <w:spacing w:line="410" w:lineRule="exact" w:before="5"/>
        <w:ind w:left="512" w:right="1128"/>
        <w:jc w:val="left"/>
      </w:pPr>
      <w:r>
        <w:rPr/>
        <w:t>本公司对子公司投资采用成本法核算，对合营企业及联营企业投资采用权益法核算。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240" w:lineRule="auto" w:before="20"/>
        <w:ind w:right="0"/>
        <w:jc w:val="both"/>
      </w:pPr>
      <w:r>
        <w:rPr/>
        <w:t>增加长期股权投资成本的账面价值。被投资单位宣告分派的现金股利或利润，按照应享有的金额确认为当期投资收益。</w:t>
      </w:r>
    </w:p>
    <w:p>
      <w:pPr>
        <w:spacing w:line="240" w:lineRule="auto" w:before="7"/>
        <w:rPr>
          <w:rFonts w:ascii="宋体" w:hAnsi="宋体" w:cs="宋体" w:eastAsia="宋体" w:hint="default"/>
          <w:sz w:val="13"/>
          <w:szCs w:val="13"/>
        </w:rPr>
      </w:pPr>
    </w:p>
    <w:p>
      <w:pPr>
        <w:pStyle w:val="BodyText"/>
        <w:spacing w:line="316" w:lineRule="auto"/>
        <w:ind w:right="1129" w:firstLine="360"/>
        <w:jc w:val="both"/>
      </w:pPr>
      <w:r>
        <w:rPr>
          <w:spacing w:val="-2"/>
        </w:rPr>
        <w:t>后续计量采用权益法核算的长期股权投资，随着被他投资单位所有者权益的变动相应调整增加或减少长期股权投资的账</w:t>
      </w:r>
      <w:r>
        <w:rPr/>
        <w:t> </w:t>
      </w:r>
      <w:r>
        <w:rPr>
          <w:spacing w:val="-2"/>
        </w:rPr>
        <w:t>面价值。其中在确认应享有被投资单位净损益的份额时，以取得投资时被投资单位各项可辨认资产等的公允价值为基础，按</w:t>
      </w:r>
    </w:p>
    <w:p>
      <w:pPr>
        <w:spacing w:after="0" w:line="316"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8"/>
        <w:jc w:val="left"/>
      </w:pPr>
      <w:r>
        <w:rPr>
          <w:spacing w:val="-2"/>
        </w:rPr>
        <w:t>照本公司的会计政策及会计期间，并抵销与联营企业及合营企业之间发生的内部交易损益按照持股比例计算归属于投资企业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pStyle w:val="BodyText"/>
        <w:spacing w:line="316" w:lineRule="auto" w:before="119"/>
        <w:ind w:right="1132"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pStyle w:val="BodyText"/>
        <w:spacing w:line="316" w:lineRule="auto" w:before="119"/>
        <w:ind w:right="1050"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pStyle w:val="BodyText"/>
        <w:spacing w:line="314" w:lineRule="auto" w:before="119"/>
        <w:ind w:right="1128" w:firstLine="360"/>
        <w:jc w:val="left"/>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4"/>
        </w:rPr>
        <w:t> </w:t>
      </w:r>
      <w:r>
        <w:rPr>
          <w:spacing w:val="-64"/>
        </w:rPr>
      </w:r>
      <w:r>
        <w:rPr/>
        <w:t>入当期投资损益。 本公司对于分步处置股权至丧失控股权的各项交易不属于一揽子交易的，对每一项交易分别进行会计处理。属于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的，将各项交易作为一项处置子公司并丧失控制权的交易进行会计处理，但是，在丧失控制权之前每一次交易处置价款 </w:t>
      </w:r>
      <w:r>
        <w:rPr>
          <w:spacing w:val="-2"/>
        </w:rPr>
        <w:t>与所处置的股权对应的长期股权投资账面价值之间的差额，确认为其他综合收益，到丧失控制权时再一并转入丧失控制权的</w:t>
      </w:r>
      <w:r>
        <w:rPr>
          <w:spacing w:val="-64"/>
        </w:rPr>
        <w:t> </w:t>
      </w:r>
      <w:r>
        <w:rPr>
          <w:spacing w:val="-64"/>
        </w:rPr>
      </w:r>
      <w:r>
        <w:rPr/>
        <w:t>当期损益。</w:t>
      </w:r>
    </w:p>
    <w:p>
      <w:pPr>
        <w:spacing w:line="240" w:lineRule="auto" w:before="12"/>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3"/>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1128"/>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633"/>
        <w:jc w:val="left"/>
      </w:pPr>
      <w:r>
        <w:rPr>
          <w:spacing w:val="-2"/>
        </w:rPr>
        <w:t>本公司固定资产是指同时具有以下特征，即为生产商品、提供劳务、出租或经营管理而持有的，使用年限超过一年，</w:t>
      </w:r>
      <w:r>
        <w:rPr/>
        <w:t> </w:t>
      </w:r>
      <w:r>
        <w:rPr>
          <w:spacing w:val="-2"/>
        </w:rPr>
        <w:t>单位价值较大的有形资产。固定资产在与其有关的经济利益很可能流入本公司、且其成本能够可靠计量时予以确认。本公司</w:t>
      </w:r>
      <w:r>
        <w:rPr>
          <w:spacing w:val="-63"/>
        </w:rPr>
        <w:t> </w:t>
      </w:r>
      <w:r>
        <w:rPr>
          <w:spacing w:val="-63"/>
        </w:rPr>
      </w:r>
      <w:r>
        <w:rPr>
          <w:spacing w:val="-2"/>
        </w:rPr>
        <w:t>固定资产包括房屋及建筑物、机器设备、电子设备、运输设备、办公设备等。除已提足折旧仍继续使用的固定资产和单独计</w:t>
      </w:r>
      <w:r>
        <w:rPr>
          <w:spacing w:val="-67"/>
        </w:rPr>
        <w:t> </w:t>
      </w:r>
      <w:r>
        <w:rPr>
          <w:spacing w:val="-67"/>
        </w:rPr>
      </w:r>
      <w:r>
        <w:rPr>
          <w:spacing w:val="-2"/>
        </w:rPr>
        <w:t>价入账的土地外，本公司对所有固定资产计提折旧。计提折旧时采用平均年限法。本公司固定资产的分类折旧年限、预计净</w:t>
      </w:r>
      <w:r>
        <w:rPr>
          <w:spacing w:val="-67"/>
        </w:rPr>
        <w:t> </w:t>
      </w:r>
      <w:r>
        <w:rPr>
          <w:spacing w:val="-67"/>
        </w:rPr>
      </w:r>
      <w:r>
        <w:rPr/>
        <w:t>残值率、折旧率如下：</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4.75-3.17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交通运输工具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7"/>
        <w:rPr>
          <w:rFonts w:ascii="宋体" w:hAnsi="宋体" w:cs="宋体" w:eastAsia="宋体" w:hint="default"/>
          <w:b/>
          <w:bCs/>
          <w:sz w:val="15"/>
          <w:szCs w:val="15"/>
        </w:rPr>
      </w:pPr>
    </w:p>
    <w:p>
      <w:pPr>
        <w:pStyle w:val="BodyText"/>
        <w:spacing w:line="240" w:lineRule="auto" w:before="44"/>
        <w:ind w:left="544" w:right="1128"/>
        <w:jc w:val="left"/>
      </w:pPr>
      <w:r>
        <w:rPr/>
        <w:t>本公司于每年年度终了，对固定资产的预计使用寿命、预计净残值和折旧方法进行复核，如发生改变，则作为会计估</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计变更处理。</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633"/>
        <w:jc w:val="both"/>
      </w:pPr>
      <w:r>
        <w:rPr/>
        <w:t>融资租入固定资产以租赁资产的公允价值与最低租赁付款额的现值两者中的较低者作为租入资产的入账价值。租入 </w:t>
      </w:r>
      <w:r>
        <w:rPr>
          <w:spacing w:val="-2"/>
        </w:rPr>
        <w:t>资产的入账价值与最低租赁付款额之间的差额作为未确认融资费用。融资租入的固定资产采用与自有固定资产相一致的折旧</w:t>
      </w:r>
      <w:r>
        <w:rPr>
          <w:spacing w:val="-64"/>
        </w:rPr>
        <w:t> </w:t>
      </w:r>
      <w:r>
        <w:rPr>
          <w:spacing w:val="-64"/>
        </w:rPr>
      </w:r>
      <w:r>
        <w:rPr>
          <w:spacing w:val="-2"/>
        </w:rPr>
        <w:t>政策。能够合理确定租赁期届满时将取得租入资产所有权的，租入固定资产在其预计使用寿命内计提折旧；否则，租入固定</w:t>
      </w:r>
      <w:r>
        <w:rPr>
          <w:spacing w:val="-65"/>
        </w:rPr>
        <w:t> </w:t>
      </w:r>
      <w:r>
        <w:rPr>
          <w:spacing w:val="-65"/>
        </w:rPr>
      </w:r>
      <w:r>
        <w:rPr/>
        <w:t>资产在租赁期与该资产预计使用寿命两者中较短的期间内计提折旧。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2" w:firstLine="360"/>
        <w:jc w:val="both"/>
      </w:pPr>
      <w:r>
        <w:rPr>
          <w:spacing w:val="-2"/>
        </w:rPr>
        <w:t>在建工程在达到预定可使用状态之日起，根据工程预算、造价或工程实际成本等，按估计的价值结转固定资产，次月起</w:t>
      </w:r>
      <w:r>
        <w:rPr/>
        <w:t> 开始计提折旧，待办理了竣工决算手续后再对固定资产原值差异进行调整。</w:t>
      </w:r>
    </w:p>
    <w:p>
      <w:pPr>
        <w:spacing w:line="240" w:lineRule="auto" w:before="8"/>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033" w:firstLine="36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年以上的购建或者生产活动才能达到预定可使用或者可销售状态的固定资产、投资性房 </w:t>
      </w:r>
      <w:r>
        <w:rPr>
          <w:spacing w:val="-2"/>
        </w:rPr>
        <w:t>地产和存货等的借款费用，在资产支出已经发生、借款费用已经发生、为使资产达到预定可使用或可销售状态所必要的购建</w:t>
      </w:r>
      <w:r>
        <w:rPr>
          <w:spacing w:val="-63"/>
        </w:rPr>
        <w:t> </w:t>
      </w:r>
      <w:r>
        <w:rPr>
          <w:spacing w:val="-63"/>
        </w:rPr>
      </w:r>
      <w:r>
        <w:rPr/>
        <w:t>或生产活动已经开始时，开始资本化；当购建或生产符合资本化条件的资产达到预定可使用或可销售状态时，停止资本化， </w:t>
      </w:r>
      <w:r>
        <w:rPr>
          <w:spacing w:val="-2"/>
        </w:rPr>
        <w:t>其后发生的借款费用计入当期损益。如果符合资本化条件的资产在购建或者生产过程中发生非正常中断、且中断时间连续超</w:t>
      </w:r>
      <w:r>
        <w:rPr>
          <w:spacing w:val="-64"/>
        </w:rPr>
        <w:t> </w:t>
      </w:r>
      <w:r>
        <w:rPr>
          <w:spacing w:val="-64"/>
        </w:rPr>
      </w:r>
      <w:r>
        <w:rPr/>
        <w:t>过</w:t>
      </w:r>
      <w:r>
        <w:rPr>
          <w:rFonts w:ascii="Times New Roman" w:hAnsi="Times New Roman" w:cs="Times New Roman" w:eastAsia="Times New Roman" w:hint="default"/>
        </w:rPr>
        <w:t>3</w:t>
      </w:r>
      <w:r>
        <w:rPr/>
        <w:t>个月，暂停借款费用的资本化，直至资产的购建或生产活动重新开始。</w:t>
      </w:r>
    </w:p>
    <w:p>
      <w:pPr>
        <w:spacing w:line="240" w:lineRule="auto" w:before="6"/>
        <w:rPr>
          <w:rFonts w:ascii="宋体" w:hAnsi="宋体" w:cs="宋体" w:eastAsia="宋体" w:hint="default"/>
          <w:sz w:val="18"/>
          <w:szCs w:val="18"/>
        </w:rPr>
      </w:pPr>
    </w:p>
    <w:p>
      <w:pPr>
        <w:pStyle w:val="BodyText"/>
        <w:spacing w:line="316" w:lineRule="auto"/>
        <w:ind w:right="1132" w:firstLine="439"/>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化率，确定资本化金额。资本化率根据一般借款加权平均利率计算确定。</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91"/>
        <w:jc w:val="both"/>
      </w:pPr>
      <w:r>
        <w:rPr/>
        <w:t>本公司无形资产包括土地使用权、专利技术、非专利技术、客户关系等，按取得时的实际成本计量，其中，购入的无 </w:t>
      </w:r>
      <w:r>
        <w:rPr>
          <w:spacing w:val="-2"/>
        </w:rPr>
        <w:t>形资产，按实际支付的价款和相关的其他支出作为实际成本；投资者投入的无形资产，按投资合同或协议约定的价值确定实</w:t>
      </w:r>
      <w:r>
        <w:rPr>
          <w:spacing w:val="-66"/>
        </w:rPr>
        <w:t> </w:t>
      </w:r>
      <w:r>
        <w:rPr>
          <w:spacing w:val="-66"/>
        </w:rPr>
      </w:r>
      <w:r>
        <w:rPr>
          <w:spacing w:val="-2"/>
        </w:rPr>
        <w:t>际成本，但合同或协议约定价值不公允的，按公允价值确定实际成本；对非同一控制下合并中取得被购买方拥有的但在其财</w:t>
      </w:r>
      <w:r>
        <w:rPr>
          <w:spacing w:val="-63"/>
        </w:rPr>
        <w:t> </w:t>
      </w:r>
      <w:r>
        <w:rPr>
          <w:spacing w:val="-63"/>
        </w:rPr>
      </w:r>
      <w:r>
        <w:rPr/>
        <w:t>务报表中未确认的无形资产，在对被购买方资产进行初始确认时，按公允价值确认为无形资产。</w:t>
      </w:r>
    </w:p>
    <w:p>
      <w:pPr>
        <w:spacing w:line="240" w:lineRule="auto" w:before="10"/>
        <w:rPr>
          <w:rFonts w:ascii="宋体" w:hAnsi="宋体" w:cs="宋体" w:eastAsia="宋体" w:hint="default"/>
          <w:sz w:val="19"/>
          <w:szCs w:val="19"/>
        </w:rPr>
      </w:pPr>
    </w:p>
    <w:p>
      <w:pPr>
        <w:pStyle w:val="BodyText"/>
        <w:spacing w:line="316" w:lineRule="auto"/>
        <w:ind w:right="1132" w:firstLine="391"/>
        <w:jc w:val="both"/>
      </w:pPr>
      <w:r>
        <w:rPr/>
        <w:t>土地使用权从出让起始日起，按其出让年限平均摊销；无形资产按预计使用年限、合同规定的受益年限和法律规定的 </w:t>
      </w:r>
      <w:r>
        <w:rPr>
          <w:spacing w:val="-2"/>
        </w:rPr>
        <w:t>有效年限三者中最短者分期平均摊销。摊销金额按其受益对象计入相关资产成本和当期损益。对使用寿命有限的无形资产的</w:t>
      </w:r>
      <w:r>
        <w:rPr>
          <w:spacing w:val="-64"/>
        </w:rPr>
        <w:t> </w:t>
      </w:r>
      <w:r>
        <w:rPr>
          <w:spacing w:val="-64"/>
        </w:rPr>
      </w:r>
      <w:r>
        <w:rPr/>
        <w:t>预计使用寿命及摊销方法于每年年度终了进行复核，如发生改变，则作为会计估计变更处理。</w:t>
      </w:r>
    </w:p>
    <w:p>
      <w:pPr>
        <w:spacing w:after="0" w:line="316"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128" w:firstLine="391"/>
        <w:jc w:val="left"/>
      </w:pPr>
      <w:r>
        <w:rPr/>
        <w:t>无形资产由于无法预见其为本公司带来经济利益期限，因此其使用寿命不确定。在每个会计期间，本公司对使用寿命 不确定的无形资产的预计使用寿命进行复核。</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26"/>
        <w:jc w:val="both"/>
      </w:pPr>
      <w:r>
        <w:rPr>
          <w:spacing w:val="-1"/>
        </w:rPr>
        <w:t>本公司于每一资产负债表日对长期股权投资、采用成本模式计量的投资性房地产、固定资产、在建工程、使用寿命有限</w:t>
      </w:r>
      <w:r>
        <w:rPr/>
        <w:t> </w:t>
      </w:r>
      <w:r>
        <w:rPr>
          <w:spacing w:val="-2"/>
        </w:rPr>
        <w:t>的无形资产等项目进行检查，当存在减值迹象时，本公司进行减值测试。对商誉和使用寿命不确定的无形资产，无论是否存</w:t>
      </w:r>
      <w:r>
        <w:rPr>
          <w:spacing w:val="-66"/>
        </w:rPr>
        <w:t> </w:t>
      </w:r>
      <w:r>
        <w:rPr>
          <w:spacing w:val="-66"/>
        </w:rPr>
      </w:r>
      <w:r>
        <w:rPr/>
        <w:t>在减值迹象，每年末均进行减值测试。</w:t>
      </w:r>
    </w:p>
    <w:p>
      <w:pPr>
        <w:pStyle w:val="BodyText"/>
        <w:spacing w:line="316" w:lineRule="auto" w:before="119"/>
        <w:ind w:right="1128" w:firstLine="374"/>
        <w:jc w:val="left"/>
      </w:pPr>
      <w:r>
        <w:rPr/>
        <w:t>减值测试后，若该资产的账面价值超过其可收回金额，其差额确认为减值损失，上述资产的减值损失一经确认，在以 后会计期间不予转回。</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8" w:firstLine="288"/>
        <w:jc w:val="left"/>
      </w:pPr>
      <w:r>
        <w:rPr>
          <w:spacing w:val="-1"/>
        </w:rPr>
        <w:t>本公司的长期待摊费用包括厂房改造工程等费用。该等费用在受益期内平均摊销，如果长期待摊费用项目不能使以后会</w:t>
      </w:r>
      <w:r>
        <w:rPr/>
        <w:t> 计期间受益，则将尚未摊销的该项目的摊余价值全部转入当期损益。</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10" w:lineRule="atLeast" w:before="170"/>
        <w:ind w:left="512" w:right="1128"/>
        <w:jc w:val="left"/>
      </w:pPr>
      <w:r>
        <w:rPr/>
        <w:t>本公司职工薪酬包括短期薪酬、离职后福利、辞退福利和其他长期福利。 </w:t>
      </w:r>
      <w:r>
        <w:rPr>
          <w:spacing w:val="-2"/>
        </w:rPr>
        <w:t>短期薪酬主要包括职工工资、奖金、津贴和补贴、职工福利费、社会保险费及住房公积金、工会经费和职工教育经费等</w:t>
      </w:r>
    </w:p>
    <w:p>
      <w:pPr>
        <w:pStyle w:val="BodyText"/>
        <w:spacing w:line="240" w:lineRule="auto" w:before="76"/>
        <w:ind w:right="1128"/>
        <w:jc w:val="left"/>
      </w:pPr>
      <w:r>
        <w:rPr/>
        <w:t>等，在职工提供服务的会计期间，将实际发生的短期薪酬确认为负债，并按照受益对象计入当期损益或相关资产成本。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4"/>
        </w:rPr>
        <w:t>离职后福利主要包括基本养老保险费、失业保险等，按照公司承担的风险和义务，分类为设定提存计划、设定受益计划。</w:t>
      </w:r>
      <w:r>
        <w:rPr/>
        <w:t> </w:t>
      </w:r>
      <w:r>
        <w:rPr>
          <w:spacing w:val="-2"/>
        </w:rPr>
        <w:t>对于设定提存计划在根据在资产负债表日为换取职工在会计期间提供的服务而向单独主体缴存的提存金确认为负债，并按照</w:t>
      </w:r>
      <w:r>
        <w:rPr>
          <w:spacing w:val="-64"/>
        </w:rPr>
        <w:t> </w:t>
      </w:r>
      <w:r>
        <w:rPr>
          <w:spacing w:val="-64"/>
        </w:rPr>
      </w:r>
      <w:r>
        <w:rPr/>
        <w:t>受益对象计入当期损益或相关资产成本。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left"/>
      </w:pPr>
      <w:r>
        <w:rPr>
          <w:spacing w:val="-2"/>
        </w:rPr>
        <w:t>辞退福利是劳动合同到期之前解除与职工的劳动关系，或者为鼓励职工自动裁减产生，在资产负债表日确认辞退福利产</w:t>
      </w:r>
      <w:r>
        <w:rPr/>
        <w:t> 生的职工薪酬负债，并计入当期损益，其中对超过一年予以支付补偿款，按折现后计入当期损益。</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128"/>
        <w:jc w:val="left"/>
      </w:pPr>
      <w:r>
        <w:rPr/>
        <w:t>其他长期福利主指除短期薪酬、离职后福利、辞退福利之外所有的职工薪酬。</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firstLine="391"/>
        <w:jc w:val="both"/>
      </w:pPr>
      <w:r>
        <w:rPr/>
        <w:t>当与对外担保、商业承兑汇票贴现、未决诉讼或仲裁、产品质量保证等或有事项相关的业务同时符合以下条件时，本 </w:t>
      </w:r>
      <w:r>
        <w:rPr>
          <w:spacing w:val="-2"/>
        </w:rPr>
        <w:t>公司将其确认为负债：该义务是本公司承担的现时义务；该义务的履行很可能导致经济利益流出企业；该义务的金额能够可</w:t>
      </w:r>
      <w:r>
        <w:rPr>
          <w:spacing w:val="-63"/>
        </w:rPr>
        <w:t> </w:t>
      </w:r>
      <w:r>
        <w:rPr>
          <w:spacing w:val="-63"/>
        </w:rPr>
      </w:r>
      <w:r>
        <w:rPr/>
        <w:t>靠地计量。</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用以换取职工提供服务的以权益结算的股份支付，以授予职工权益工具在授予日的公允价值计量。该公允价值的金额在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spacing w:line="240" w:lineRule="auto" w:before="10"/>
        <w:rPr>
          <w:rFonts w:ascii="宋体" w:hAnsi="宋体" w:cs="宋体" w:eastAsia="宋体" w:hint="default"/>
          <w:sz w:val="19"/>
          <w:szCs w:val="19"/>
        </w:rPr>
      </w:pPr>
    </w:p>
    <w:p>
      <w:pPr>
        <w:pStyle w:val="BodyText"/>
        <w:spacing w:line="316" w:lineRule="auto"/>
        <w:ind w:right="1033" w:firstLine="360"/>
        <w:jc w:val="left"/>
      </w:pPr>
      <w:r>
        <w:rPr>
          <w:spacing w:val="-2"/>
        </w:rPr>
        <w:t>以现金结算的股份支付，按照本公司承担的以股份或其他权益工具为基础确定的负债的公允价值计量。如授予后立即可</w:t>
      </w:r>
      <w:r>
        <w:rPr/>
        <w:t> </w:t>
      </w:r>
      <w:r>
        <w:rPr>
          <w:spacing w:val="-2"/>
        </w:rPr>
        <w:t>行权，在授予日以承担负债的公允价值计入相关成本或费用，相应增加负债；如需完成等待期内的服务或达到规定业绩条件</w:t>
      </w:r>
      <w:r>
        <w:rPr>
          <w:spacing w:val="-66"/>
        </w:rPr>
        <w:t> </w:t>
      </w:r>
      <w:r>
        <w:rPr>
          <w:spacing w:val="-66"/>
        </w:rPr>
      </w:r>
      <w:r>
        <w:rPr/>
        <w:t>以后才可行权，在等待期的每个资产负债表日，以对可行权情况的最佳估计为基础，按照本公司承担负债的公允价值金额， 将当期取得的服务计入成本或费用，相应调整负债。 在相关负债结算前的每个资产负债表日以及结算日，对负债的公允价值重新计量，其变动计入当期损益。</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1128"/>
        <w:jc w:val="left"/>
      </w:pPr>
      <w:r>
        <w:rPr/>
        <w:t>是否已执行新收入准则</w:t>
      </w:r>
    </w:p>
    <w:p>
      <w:pPr>
        <w:pStyle w:val="BodyText"/>
        <w:spacing w:line="552" w:lineRule="exact" w:before="85"/>
        <w:ind w:left="512" w:right="39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本公司的营业收入主要包括销售商品收入、提供劳务收入、让渡资产使用权收入。 收入确认政策如下：</w:t>
      </w:r>
    </w:p>
    <w:p>
      <w:pPr>
        <w:pStyle w:val="BodyText"/>
        <w:spacing w:line="314" w:lineRule="auto" w:before="111"/>
        <w:ind w:right="1033" w:firstLine="271"/>
        <w:jc w:val="left"/>
      </w:pPr>
      <w:r>
        <w:rPr/>
        <w:t>（</w:t>
      </w:r>
      <w:r>
        <w:rPr>
          <w:rFonts w:ascii="Times New Roman" w:hAnsi="Times New Roman" w:cs="Times New Roman" w:eastAsia="Times New Roman" w:hint="default"/>
        </w:rPr>
        <w:t>1</w:t>
      </w:r>
      <w:r>
        <w:rPr/>
        <w:t>）销售商品收入确认原则</w:t>
      </w:r>
      <w:r>
        <w:rPr>
          <w:rFonts w:ascii="Times New Roman" w:hAnsi="Times New Roman" w:cs="Times New Roman" w:eastAsia="Times New Roman" w:hint="default"/>
        </w:rPr>
        <w:t>:</w:t>
      </w:r>
      <w:r>
        <w:rPr/>
        <w:t>包装印刷业务：采取自取货形式的，提货并取得收款凭证时间即为确认收入实现；采用发 货到对方指定地点方式的，以公司将商品发至对方单位指定地点并验收，取得收款凭证作为确认收入实现；跨境电商业务： </w:t>
      </w:r>
      <w:r>
        <w:rPr>
          <w:spacing w:val="-4"/>
        </w:rPr>
        <w:t>客户下订单后由公司委托物流公司将商品配送交付予客户且客户签收时确认收入；移动互联网：本公司在与客户订立合同后，</w:t>
      </w:r>
      <w:r>
        <w:rPr>
          <w:spacing w:val="-44"/>
        </w:rPr>
        <w:t> </w:t>
      </w:r>
      <w:r>
        <w:rPr>
          <w:spacing w:val="-44"/>
        </w:rPr>
      </w:r>
      <w:r>
        <w:rPr>
          <w:spacing w:val="-2"/>
        </w:rPr>
        <w:t>合同约定本公司在一定时期内为客户在移动互联网广告推广平台提供广告服务。公司根据合同、客户有效对账单、内部数据</w:t>
      </w:r>
      <w:r>
        <w:rPr>
          <w:spacing w:val="-66"/>
        </w:rPr>
        <w:t> </w:t>
      </w:r>
      <w:r>
        <w:rPr>
          <w:spacing w:val="-66"/>
        </w:rPr>
      </w:r>
      <w:r>
        <w:rPr/>
        <w:t>系统的有效记录确认收入。</w:t>
      </w:r>
    </w:p>
    <w:p>
      <w:pPr>
        <w:pStyle w:val="BodyText"/>
        <w:spacing w:line="300" w:lineRule="auto" w:before="92"/>
        <w:ind w:right="1128" w:firstLine="271"/>
        <w:jc w:val="left"/>
      </w:pPr>
      <w:r>
        <w:rPr/>
        <w:t>（</w:t>
      </w:r>
      <w:r>
        <w:rPr>
          <w:rFonts w:ascii="Times New Roman" w:hAnsi="Times New Roman" w:cs="Times New Roman" w:eastAsia="Times New Roman" w:hint="default"/>
        </w:rPr>
        <w:t>2</w:t>
      </w:r>
      <w:r>
        <w:rPr/>
        <w:t>）提供劳务收入确认原则</w:t>
      </w:r>
      <w:r>
        <w:rPr>
          <w:rFonts w:ascii="Times New Roman" w:hAnsi="Times New Roman" w:cs="Times New Roman" w:eastAsia="Times New Roman" w:hint="default"/>
        </w:rPr>
        <w:t>:</w:t>
      </w:r>
      <w:r>
        <w:rPr/>
        <w:t>公司在资产负债表日提供劳务交易的结果能够可靠估计的，采用完工百分比法确认提供劳 务收入。</w:t>
      </w:r>
    </w:p>
    <w:p>
      <w:pPr>
        <w:pStyle w:val="BodyText"/>
        <w:spacing w:line="240" w:lineRule="auto" w:before="103"/>
        <w:ind w:left="512" w:right="0"/>
        <w:jc w:val="left"/>
      </w:pPr>
      <w:r>
        <w:rPr/>
        <w:t>公司采用以下方法确定提供劳务交易的完工进度：①已完工作的测量；②己经提供的劳务占应提供的劳务总量的比例；</w:t>
      </w:r>
    </w:p>
    <w:p>
      <w:pPr>
        <w:pStyle w:val="BodyText"/>
        <w:spacing w:line="240" w:lineRule="auto" w:before="76"/>
        <w:ind w:right="1128"/>
        <w:jc w:val="left"/>
      </w:pPr>
      <w:r>
        <w:rPr/>
        <w:t>③已发生的成本占估计总成本的比例。</w:t>
      </w:r>
    </w:p>
    <w:p>
      <w:pPr>
        <w:spacing w:line="240" w:lineRule="auto" w:before="2"/>
        <w:rPr>
          <w:rFonts w:ascii="宋体" w:hAnsi="宋体" w:cs="宋体" w:eastAsia="宋体" w:hint="default"/>
          <w:sz w:val="24"/>
          <w:szCs w:val="24"/>
        </w:rPr>
      </w:pPr>
    </w:p>
    <w:p>
      <w:pPr>
        <w:pStyle w:val="BodyText"/>
        <w:spacing w:line="300" w:lineRule="auto"/>
        <w:ind w:right="1123" w:firstLine="360"/>
        <w:jc w:val="left"/>
      </w:pPr>
      <w:r>
        <w:rPr/>
        <w:t>（</w:t>
      </w:r>
      <w:r>
        <w:rPr>
          <w:rFonts w:ascii="Times New Roman" w:hAnsi="Times New Roman" w:cs="Times New Roman" w:eastAsia="Times New Roman" w:hint="default"/>
        </w:rPr>
        <w:t>3</w:t>
      </w:r>
      <w:r>
        <w:rPr/>
        <w:t>）让渡资产使用权收入确认：利息收入金额，按照他人使用本公司现金的时间和实际利率计算确定；使用费收入金 额，按照有关合同或协议约定的收费时间和方法计算确定。</w:t>
      </w:r>
    </w:p>
    <w:p>
      <w:pPr>
        <w:spacing w:after="0" w:line="30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91"/>
        <w:jc w:val="both"/>
      </w:pPr>
      <w:r>
        <w:rPr/>
        <w:t>本公司的政府补助包括技改、购置补贴等项目。其中，与资产相关的政府补助，是指本公司取得的、用于购建或以其 </w:t>
      </w:r>
      <w:r>
        <w:rPr>
          <w:spacing w:val="-2"/>
        </w:rPr>
        <w:t>他方式形成长期资产的政府补助；与收益相关的政府补助，是指除与资产相关的政府补助之外的政府补助。如果政府文件中</w:t>
      </w:r>
      <w:r>
        <w:rPr>
          <w:spacing w:val="-65"/>
        </w:rPr>
        <w:t> </w:t>
      </w:r>
      <w:r>
        <w:rPr>
          <w:spacing w:val="-65"/>
        </w:rPr>
      </w:r>
      <w:r>
        <w:rPr/>
        <w:t>未明确规定补助对象，本公司按照上述区分原则进行判断，难以区分的，整体归类为与收益相关的政府补助。</w:t>
      </w:r>
    </w:p>
    <w:p>
      <w:pPr>
        <w:spacing w:line="240" w:lineRule="auto" w:before="10"/>
        <w:rPr>
          <w:rFonts w:ascii="宋体" w:hAnsi="宋体" w:cs="宋体" w:eastAsia="宋体" w:hint="default"/>
          <w:sz w:val="19"/>
          <w:szCs w:val="19"/>
        </w:rPr>
      </w:pPr>
    </w:p>
    <w:p>
      <w:pPr>
        <w:pStyle w:val="BodyText"/>
        <w:spacing w:line="316" w:lineRule="auto"/>
        <w:ind w:right="1132" w:firstLine="391"/>
        <w:jc w:val="both"/>
      </w:pPr>
      <w:r>
        <w:rPr/>
        <w:t>政府补助为货币性资产的，按照实际收到的金额计量，对于按照固定的定额标准拨付的补助，或对年末有确凿证据表 </w:t>
      </w:r>
      <w:r>
        <w:rPr>
          <w:spacing w:val="-2"/>
        </w:rPr>
        <w:t>明能够符合财政扶持政策规定的相关条件且预计能够收到财政扶持资金时，按照应收的金额计量；政府补助为非货币性资产</w:t>
      </w:r>
      <w:r>
        <w:rPr>
          <w:spacing w:val="-64"/>
        </w:rPr>
        <w:t> </w:t>
      </w:r>
      <w:r>
        <w:rPr>
          <w:spacing w:val="-64"/>
        </w:rPr>
      </w:r>
      <w:r>
        <w:rPr/>
        <w:t>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4"/>
        <w:rPr>
          <w:rFonts w:ascii="宋体" w:hAnsi="宋体" w:cs="宋体" w:eastAsia="宋体" w:hint="default"/>
          <w:sz w:val="18"/>
          <w:szCs w:val="18"/>
        </w:rPr>
      </w:pPr>
    </w:p>
    <w:p>
      <w:pPr>
        <w:pStyle w:val="BodyText"/>
        <w:spacing w:line="300" w:lineRule="auto"/>
        <w:ind w:right="1128" w:firstLine="391"/>
        <w:jc w:val="left"/>
      </w:pPr>
      <w:r>
        <w:rPr/>
        <w:t>与资产相关的政府补助</w:t>
      </w:r>
      <w:r>
        <w:rPr>
          <w:rFonts w:ascii="Times New Roman" w:hAnsi="Times New Roman" w:cs="Times New Roman" w:eastAsia="Times New Roman" w:hint="default"/>
        </w:rPr>
        <w:t>,</w:t>
      </w:r>
      <w:r>
        <w:rPr/>
        <w:t>确认为递延收益，确认为递延收益的与资产相关的政府补助，在相关资产使用寿命内按照平均 分配计入当期损益。</w:t>
      </w:r>
    </w:p>
    <w:p>
      <w:pPr>
        <w:spacing w:line="240" w:lineRule="auto" w:before="10"/>
        <w:rPr>
          <w:rFonts w:ascii="宋体" w:hAnsi="宋体" w:cs="宋体" w:eastAsia="宋体" w:hint="default"/>
          <w:sz w:val="20"/>
          <w:szCs w:val="20"/>
        </w:rPr>
      </w:pPr>
    </w:p>
    <w:p>
      <w:pPr>
        <w:pStyle w:val="BodyText"/>
        <w:spacing w:line="316" w:lineRule="auto"/>
        <w:ind w:right="1128" w:firstLine="391"/>
        <w:jc w:val="left"/>
      </w:pPr>
      <w:r>
        <w:rPr/>
        <w:t>相关资产在使用寿命结束前被出售、转让、报废或发生毁损的，将尚未分配的相关递延收益余额转入资产处置当期的 损益。 </w:t>
      </w:r>
      <w:r>
        <w:rPr>
          <w:spacing w:val="-2"/>
        </w:rPr>
        <w:t>为与收益相关的政府补助，用于补偿以后期间的相关成本费用或损失的，确认为递延收益，并在确认相关成本费用或损失的</w:t>
      </w:r>
      <w:r>
        <w:rPr>
          <w:spacing w:val="-63"/>
        </w:rPr>
        <w:t> </w:t>
      </w:r>
      <w:r>
        <w:rPr>
          <w:spacing w:val="-63"/>
        </w:rPr>
      </w:r>
      <w:r>
        <w:rPr>
          <w:spacing w:val="-2"/>
        </w:rPr>
        <w:t>期间计入当期损益。与日常活动相关的政府补助，按照经济业务实质，计入其他收益或冲减相关成本费用。与日常活动无关</w:t>
      </w:r>
      <w:r>
        <w:rPr>
          <w:spacing w:val="-67"/>
        </w:rPr>
        <w:t> </w:t>
      </w:r>
      <w:r>
        <w:rPr>
          <w:spacing w:val="-67"/>
        </w:rPr>
      </w:r>
      <w:r>
        <w:rPr/>
        <w:t>的政府补助，计入营业外收支。</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033" w:firstLine="391"/>
        <w:jc w:val="left"/>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spacing w:line="240" w:lineRule="auto" w:before="10"/>
        <w:rPr>
          <w:rFonts w:ascii="宋体" w:hAnsi="宋体" w:cs="宋体" w:eastAsia="宋体" w:hint="default"/>
          <w:sz w:val="16"/>
          <w:szCs w:val="16"/>
        </w:rPr>
      </w:pPr>
    </w:p>
    <w:p>
      <w:pPr>
        <w:pStyle w:val="BodyText"/>
        <w:spacing w:line="240" w:lineRule="auto" w:before="44"/>
        <w:ind w:left="512" w:right="0"/>
        <w:jc w:val="left"/>
      </w:pPr>
      <w:r>
        <w:rPr/>
        <w:t>本公司以很可能取得用来抵扣可抵扣暂时性差异、可抵扣亏损和税款抵减的未来应纳税所得额为限，确认递延所得税资</w:t>
      </w:r>
    </w:p>
    <w:p>
      <w:pPr>
        <w:pStyle w:val="BodyText"/>
        <w:spacing w:line="240" w:lineRule="auto" w:before="76"/>
        <w:ind w:right="1128"/>
        <w:jc w:val="left"/>
      </w:pPr>
      <w:r>
        <w:rPr/>
        <w:t>产。</w:t>
      </w:r>
    </w:p>
    <w:p>
      <w:pPr>
        <w:spacing w:line="240" w:lineRule="auto" w:before="6"/>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561" w:lineRule="auto"/>
        <w:ind w:left="524" w:right="2641" w:firstLine="19"/>
        <w:jc w:val="left"/>
      </w:pPr>
      <w:r>
        <w:rPr/>
        <w:t>本公司在租赁开始日将租赁分为融资租赁和经营租赁。 本公司作为经营租赁承租方的租金在租赁期内的各个期间按直线法计入相关资产成本或当期损益。</w:t>
      </w:r>
    </w:p>
    <w:p>
      <w:pPr>
        <w:pStyle w:val="Heading3"/>
        <w:spacing w:line="240" w:lineRule="auto" w:before="114"/>
        <w:ind w:right="1128"/>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91"/>
        <w:jc w:val="both"/>
      </w:pPr>
      <w:r>
        <w:rPr/>
        <w:t>本公司作为融资租赁承租方时，在租赁开始日，按租赁开始日租赁资产的公允价值与最低租赁付款额的现值两者中较 </w:t>
      </w:r>
      <w:r>
        <w:rPr>
          <w:spacing w:val="-2"/>
        </w:rPr>
        <w:t>低者，作为融资租入固定资产的入账价值，将最低租赁付款额作为长期应付款的入账价值，将两者的差额记录为未确认融资</w:t>
      </w:r>
      <w:r>
        <w:rPr>
          <w:spacing w:val="-63"/>
        </w:rPr>
        <w:t> </w:t>
      </w:r>
      <w:r>
        <w:rPr>
          <w:spacing w:val="-63"/>
        </w:rPr>
      </w:r>
      <w:r>
        <w:rPr/>
        <w:t>费用。</w:t>
      </w:r>
    </w:p>
    <w:p>
      <w:pPr>
        <w:spacing w:after="0" w:line="316" w:lineRule="auto"/>
        <w:jc w:val="both"/>
        <w:sectPr>
          <w:footerReference w:type="default" r:id="rId27"/>
          <w:pgSz w:w="11910" w:h="16840"/>
          <w:pgMar w:footer="981" w:header="745" w:top="1060" w:bottom="118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41"/>
        <w:jc w:val="both"/>
      </w:pPr>
      <w:r>
        <w:rPr/>
        <w:t>编制财务报表时，本公司管理层需要运用估计和假设，这些估计和假设会对会计政策的应用及资产、负债、收入及费 </w:t>
      </w:r>
      <w:r>
        <w:rPr>
          <w:spacing w:val="-2"/>
        </w:rPr>
        <w:t>用的金额产生影响。实际情况可能与这些估计不同。本公司管理层对估计涉及的关键假设和不确定性因素的判断进行持续评</w:t>
      </w:r>
      <w:r>
        <w:rPr>
          <w:spacing w:val="-64"/>
        </w:rPr>
        <w:t> </w:t>
      </w:r>
      <w:r>
        <w:rPr>
          <w:spacing w:val="-64"/>
        </w:rPr>
      </w:r>
      <w:r>
        <w:rPr/>
        <w:t>估。会计估计变更的影响在变更当期和未来期间予以确认。</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实行新金融工具准则</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300" w:lineRule="auto" w:before="44"/>
        <w:ind w:right="1045" w:firstLine="439"/>
        <w:jc w:val="both"/>
      </w:pP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日起施行新金融工具准则。本公司将执行财政部于</w:t>
      </w:r>
      <w:r>
        <w:rPr>
          <w:rFonts w:ascii="Times New Roman" w:hAnsi="Times New Roman" w:cs="Times New Roman" w:eastAsia="Times New Roman" w:hint="default"/>
        </w:rPr>
        <w:t>2017</w:t>
      </w:r>
      <w:r>
        <w:rPr/>
        <w:t>年修订并发布的新金融工具相关准则， </w:t>
      </w:r>
      <w:r>
        <w:rPr>
          <w:spacing w:val="-3"/>
        </w:rPr>
        <w:t>其他未修改变更部分，仍按照财政部前期颁布的《企业会计准则</w:t>
      </w:r>
      <w:r>
        <w:rPr>
          <w:rFonts w:ascii="Times New Roman" w:hAnsi="Times New Roman" w:cs="Times New Roman" w:eastAsia="Times New Roman" w:hint="default"/>
          <w:spacing w:val="-3"/>
        </w:rPr>
        <w:t>--</w:t>
      </w:r>
      <w:r>
        <w:rPr>
          <w:spacing w:val="-3"/>
        </w:rPr>
        <w:t>基本准则》和各项具体会计准则、企业会计准则应用指南、</w:t>
      </w:r>
      <w:r>
        <w:rPr>
          <w:spacing w:val="-38"/>
        </w:rPr>
        <w:t> </w:t>
      </w:r>
      <w:r>
        <w:rPr>
          <w:spacing w:val="-38"/>
        </w:rPr>
      </w:r>
      <w:r>
        <w:rPr/>
        <w:t>企业会计准则解释公告以及其他相关规定执行。</w:t>
      </w:r>
    </w:p>
    <w:p>
      <w:pPr>
        <w:spacing w:line="240" w:lineRule="auto" w:before="10"/>
        <w:rPr>
          <w:rFonts w:ascii="宋体" w:hAnsi="宋体" w:cs="宋体" w:eastAsia="宋体" w:hint="default"/>
          <w:sz w:val="20"/>
          <w:szCs w:val="20"/>
        </w:rPr>
      </w:pPr>
    </w:p>
    <w:p>
      <w:pPr>
        <w:pStyle w:val="BodyText"/>
        <w:spacing w:line="316" w:lineRule="auto"/>
        <w:ind w:right="1134" w:firstLine="439"/>
        <w:jc w:val="both"/>
      </w:pPr>
      <w:r>
        <w:rPr/>
        <w:t>本次会计政策变更不涉及以前年度的追溯调整，对公司资产总额、负债总额、净资产、净利润、所有者权益等均不产 生影响。</w:t>
      </w:r>
    </w:p>
    <w:p>
      <w:pPr>
        <w:spacing w:line="240" w:lineRule="auto" w:before="10"/>
        <w:rPr>
          <w:rFonts w:ascii="宋体" w:hAnsi="宋体" w:cs="宋体" w:eastAsia="宋体" w:hint="default"/>
          <w:sz w:val="19"/>
          <w:szCs w:val="19"/>
        </w:rPr>
      </w:pPr>
    </w:p>
    <w:p>
      <w:pPr>
        <w:pStyle w:val="BodyText"/>
        <w:spacing w:line="300" w:lineRule="auto"/>
        <w:ind w:right="1132" w:firstLine="439"/>
        <w:jc w:val="both"/>
      </w:pP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月发布的《关于修订印发</w:t>
      </w:r>
      <w:r>
        <w:rPr>
          <w:rFonts w:ascii="Times New Roman" w:hAnsi="Times New Roman" w:cs="Times New Roman" w:eastAsia="Times New Roman" w:hint="default"/>
        </w:rPr>
        <w:t>2019</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[2019]6</w:t>
      </w:r>
      <w:r>
        <w:rPr/>
        <w:t>号</w:t>
      </w:r>
      <w:r>
        <w:rPr>
          <w:rFonts w:ascii="Times New Roman" w:hAnsi="Times New Roman" w:cs="Times New Roman" w:eastAsia="Times New Roman" w:hint="default"/>
        </w:rPr>
        <w:t>)</w:t>
      </w:r>
      <w:r>
        <w:rPr/>
        <w:t>，对一般企业 财务报表格式作出了修订以及整合了财政部发布的解读的相关规定，本公司已根据其要求按照一般企业财务报表格式</w:t>
      </w:r>
      <w:r>
        <w:rPr>
          <w:rFonts w:ascii="Times New Roman" w:hAnsi="Times New Roman" w:cs="Times New Roman" w:eastAsia="Times New Roman" w:hint="default"/>
        </w:rPr>
        <w:t>(</w:t>
      </w:r>
      <w:r>
        <w:rPr/>
        <w:t>适用</w:t>
      </w:r>
      <w:r>
        <w:rPr>
          <w:spacing w:val="-59"/>
        </w:rPr>
        <w:t> </w:t>
      </w:r>
      <w:r>
        <w:rPr>
          <w:spacing w:val="-59"/>
        </w:rPr>
      </w:r>
      <w:r>
        <w:rPr/>
        <w:t>于已执行新金融准则、新收入准则和新租货准则的企业</w:t>
      </w:r>
      <w:r>
        <w:rPr>
          <w:rFonts w:ascii="Times New Roman" w:hAnsi="Times New Roman" w:cs="Times New Roman" w:eastAsia="Times New Roman" w:hint="default"/>
        </w:rPr>
        <w:t>)</w:t>
      </w:r>
      <w:r>
        <w:rPr/>
        <w:t>编制财务报表。财务报表的列报项目名称和内容发生变更的，对可</w:t>
      </w:r>
      <w:r>
        <w:rPr>
          <w:spacing w:val="-59"/>
        </w:rPr>
        <w:t> </w:t>
      </w:r>
      <w:r>
        <w:rPr>
          <w:spacing w:val="-59"/>
        </w:rPr>
      </w:r>
      <w:r>
        <w:rPr/>
        <w:t>比期间的比较数据按照当期的列报要求进行调整，相关准则有特殊规定的除外。</w:t>
      </w:r>
    </w:p>
    <w:p>
      <w:pPr>
        <w:spacing w:line="240" w:lineRule="auto" w:before="3"/>
        <w:rPr>
          <w:rFonts w:ascii="宋体" w:hAnsi="宋体" w:cs="宋体" w:eastAsia="宋体" w:hint="default"/>
          <w:sz w:val="26"/>
          <w:szCs w:val="26"/>
        </w:rPr>
      </w:pPr>
    </w:p>
    <w:p>
      <w:pPr>
        <w:pStyle w:val="BodyText"/>
        <w:spacing w:line="300" w:lineRule="auto"/>
        <w:ind w:right="1128" w:firstLine="288"/>
        <w:jc w:val="left"/>
      </w:pPr>
      <w:r>
        <w:rPr>
          <w:spacing w:val="-1"/>
        </w:rPr>
        <w:t>本次会计政策变更，仅对财务报表项目列示产生影响，对本公司</w:t>
      </w:r>
      <w:r>
        <w:rPr>
          <w:rFonts w:ascii="Times New Roman" w:hAnsi="Times New Roman" w:cs="Times New Roman" w:eastAsia="Times New Roman" w:hint="default"/>
          <w:spacing w:val="-1"/>
        </w:rPr>
        <w:t>2018</w:t>
      </w:r>
      <w:r>
        <w:rPr>
          <w:spacing w:val="-1"/>
        </w:rPr>
        <w:t>年末资产总额、负债总额和净资产以及</w:t>
      </w:r>
      <w:r>
        <w:rPr>
          <w:rFonts w:ascii="Times New Roman" w:hAnsi="Times New Roman" w:cs="Times New Roman" w:eastAsia="Times New Roman" w:hint="default"/>
          <w:spacing w:val="-1"/>
        </w:rPr>
        <w:t>2018</w:t>
      </w:r>
      <w:r>
        <w:rPr>
          <w:spacing w:val="-1"/>
        </w:rPr>
        <w:t>年度净</w:t>
      </w:r>
      <w:r>
        <w:rPr/>
        <w:t> 利润未产生影响。</w:t>
      </w:r>
    </w:p>
    <w:p>
      <w:pPr>
        <w:spacing w:line="240" w:lineRule="auto" w:before="10"/>
        <w:rPr>
          <w:rFonts w:ascii="宋体" w:hAnsi="宋体" w:cs="宋体" w:eastAsia="宋体" w:hint="default"/>
          <w:sz w:val="23"/>
          <w:szCs w:val="23"/>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1533" w:space="7385"/>
            <w:col w:w="201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14"/>
              <w:jc w:val="right"/>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280,669,307.72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280,669,307.72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09"/>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1,880,288.00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1,880,288.00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343,892,254.10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343,892,254.10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34,425,547.06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34,425,547.06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24,446,625.06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24,446,625.06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11,074,659.91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11,074,659.91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206,239,279.77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206,239,279.77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30,604,185.33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30,604,185.33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922,157,487.04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922,157,487.04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37,349,681.63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37,349,681.63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369,296,773.07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369,296,773.07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4,929,599.88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4,929,599.88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89,608,113.37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89,608,113.37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144,880,622.88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144,880,622.88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7,797,891.63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7,797,891.63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3,884,796.21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3,884,796.21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8,499,692.93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8,499,692.93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666,247,171.60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666,247,171.60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1,588,404,658.64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1,588,404,658.64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259,967,000.00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259,967,000.00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46,565,501.11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46,565,501.11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295,613,381.81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295,613,381.81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11,396,505.79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11,396,505.79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26,544,745.28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26,544,745.28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32,356,170.08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32,356,170.08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118,538,313.17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118,538,313.17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625,447.54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625,447.54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3,500,000.00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21,637,500.93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21,637,500.93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812,619,118.17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812,619,118.17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45,536,886.32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45,536,886.32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4,434,353.31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4,434,353.31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8,581,167.42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8,581,167.42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58,552,407.05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58,552,407.05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871,171,525.22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871,171,525.22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197,200,000.00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197,200,000.00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50,001,501.74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50,001,501.74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579,015.09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579,015.09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31,496,237.40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31,496,237.40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408,497,974.02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408,497,974.02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687,774,728.25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687,774,728.25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4"/>
        <w:gridCol w:w="2453"/>
        <w:gridCol w:w="2455"/>
        <w:gridCol w:w="2453"/>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29,458,405.17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29,458,405.17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717,233,133.42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717,233,133.42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1,588,404,658.64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1,588,404,658.64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0"/>
          <w:cols w:num="2" w:equalWidth="0">
            <w:col w:w="1593" w:space="7325"/>
            <w:col w:w="2012"/>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99,517,502.22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99,517,502.22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1,356,288.00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1,356,288.00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106,884,113.53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106,884,113.53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4,163,352.16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4,163,352.16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178,483,581.84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178,483,581.84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57,574,659.91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57,574,659.91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78,331,416.63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78,331,416.63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6,483,955.18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6,483,955.18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475,220,209.56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475,220,209.56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69"/>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390,205,705.38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390,205,705.38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174,790,862.62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174,790,862.62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414,025.38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414,025.38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9,469,495.57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9,469,495.57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5,147,035.16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5,147,035.16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963,940.64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963,940.64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3,606,125.18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3,606,125.18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584,597,189.93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584,597,189.93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1,059,817,399.49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1,059,817,399.49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248,710,000.00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248,710,000.00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46,565,501.11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46,565,501.11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68,523,189.12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68,523,189.12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786,428.79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786,428.79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9,609,367.29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9,609,367.29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1,241,659.80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1,241,659.80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99,324,537.31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99,324,537.31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429,182.64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429,182.64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21,637,500.93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21,637,500.93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496,398,184.35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496,398,184.35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45,536,886.32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45,536,886.32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3,736,969.04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3,936,969.04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49,273,855.36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49,273,855.36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545,672,039.71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545,672,039.71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197,200,000.00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197,200,000.00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48,999,587.09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48,999,587.09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31,496,237.40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31,496,237.40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236,449,535.29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236,449,535.29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514,145,359.78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514,145,359.78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1,059,817,399.49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1,059,817,399.49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spacing w:line="487" w:lineRule="auto" w:before="36"/>
        <w:ind w:left="152" w:right="89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销售收入及应税劳务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28"/>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厦门吉宏科技股份有限公司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呼和浩特市吉宏印刷包装有限公司（简称呼市吉宏）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厦门市正奇信息技术有限公司（简称厦门正奇）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廊坊市吉宏包装有限公司（简称廊坊吉宏）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孝感市吉宏包装有限公司（简称孝感吉宏）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滦州吉宏包装有限公司（简称滦州吉宏）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厦门鑫泷悦环保纸袋有限公司（简称厦门鑫泷悦）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香港吉宏科技有限公司（简称香港吉宏）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厦门市吉客印电子商务有限公司（简称厦门吉客印）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西安吉客印电子商务有限公司（简称西安吉客印）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香港吉客印电子商务有限公司（简称香港吉客印）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西安金印客电子商务有限公司（简称西安金印客）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香港金印客电子商务有限公司（简称香港金印客）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郑州吉客印电子商务有限公司（简称郑州吉客印）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西安丹骏电子商务有限公司（简称西安丹骏）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思塔克纸业（上海）有限公司（简称思塔克）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北京龙域之星科技有限公司（简称北京龙域）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霍尔果斯金域网络科技有限公司（简称霍尔果斯金域）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霍尔果斯维斯塔科技有限公司（简称霍尔果斯维斯塔）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北京金域互动科技有限公司（简称北京金域互动）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重庆市阿欧艾网络科技有限公司（简称重庆阿欧艾）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厦门美晴网络科技有限公司（简称厦门美晴）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西藏泰戈科技有限公司（简称西藏泰戈）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厦门海格电子商务有限公司（简称厦门海格）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香港丹骏电子商务有限公司（简称香港丹骏）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芜湖禾邦电子商务有限公司（简称芜湖禾邦）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芜湖黑蚁电子商务有限公司（简称芜湖黑蚁）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宁夏吉宏环保包装科技有限公司（简称宁夏吉宏）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济南吉联包装有限公司（简称济南吉联）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黄冈市吉宏包装有限公司（简称黄冈吉宏）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安徽吉宏环保纸品有限公司（简称安徽吉宏）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成都渡佳电子商务有限公司（简称成都渡佳）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深圳吉链区块链技术有限公司（简称深圳吉链）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孝感市吉联食品包装有限公司（简称孝感吉联）</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江西吉宏供应链管理有限公司（简称江西吉宏）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江西维致供应链管理有限公司（简称江西维致）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山西火致供应链管理有限公司（简称山西火致）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w:t>
      </w: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日取得编号为</w:t>
      </w:r>
      <w:r>
        <w:rPr>
          <w:rFonts w:ascii="Times New Roman" w:hAnsi="Times New Roman" w:cs="Times New Roman" w:eastAsia="Times New Roman" w:hint="default"/>
        </w:rPr>
        <w:t>GR201735100011</w:t>
      </w:r>
      <w:r>
        <w:rPr/>
        <w:t>的《高新技术企业证书》，有效期为三年，本公司</w:t>
      </w:r>
      <w:r>
        <w:rPr>
          <w:rFonts w:ascii="Times New Roman" w:hAnsi="Times New Roman" w:cs="Times New Roman" w:eastAsia="Times New Roman" w:hint="default"/>
        </w:rPr>
        <w:t>2017</w:t>
      </w:r>
      <w:r>
        <w:rPr/>
        <w:t>年度至</w:t>
      </w:r>
    </w:p>
    <w:p>
      <w:pPr>
        <w:pStyle w:val="BodyText"/>
        <w:spacing w:line="240" w:lineRule="auto" w:before="62"/>
        <w:ind w:right="0"/>
        <w:jc w:val="both"/>
      </w:pP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的企业所得税优惠税率。</w:t>
      </w:r>
    </w:p>
    <w:p>
      <w:pPr>
        <w:spacing w:line="240" w:lineRule="auto" w:before="2"/>
        <w:rPr>
          <w:rFonts w:ascii="宋体" w:hAnsi="宋体" w:cs="宋体" w:eastAsia="宋体" w:hint="default"/>
          <w:sz w:val="23"/>
          <w:szCs w:val="23"/>
        </w:rPr>
      </w:pPr>
    </w:p>
    <w:p>
      <w:pPr>
        <w:pStyle w:val="BodyText"/>
        <w:spacing w:line="300" w:lineRule="auto"/>
        <w:ind w:right="112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日，呼市吉宏收到内蒙古自治区发展和改革委员会下发的《内蒙古自治区发展和改革委员会关于确认 呼和浩特市吉宏印刷包装有限公司为国家鼓励类产业企业的复函》（内发改西开函</w:t>
      </w:r>
      <w:r>
        <w:rPr>
          <w:rFonts w:ascii="Times New Roman" w:hAnsi="Times New Roman" w:cs="Times New Roman" w:eastAsia="Times New Roman" w:hint="default"/>
        </w:rPr>
        <w:t>[2013]118</w:t>
      </w:r>
      <w:r>
        <w:rPr/>
        <w:t>号），认定呼市吉宏符合财政</w:t>
      </w:r>
      <w:r>
        <w:rPr>
          <w:spacing w:val="-33"/>
        </w:rPr>
        <w:t> </w:t>
      </w:r>
      <w:r>
        <w:rPr>
          <w:spacing w:val="-33"/>
        </w:rPr>
      </w:r>
      <w:r>
        <w:rPr>
          <w:spacing w:val="-1"/>
        </w:rPr>
        <w:t>部、国家税务总局、海关总署《关于深入实施西部大开发战略有关税收政策问题的通知》（财税</w:t>
      </w:r>
      <w:r>
        <w:rPr>
          <w:rFonts w:ascii="Times New Roman" w:hAnsi="Times New Roman" w:cs="Times New Roman" w:eastAsia="Times New Roman" w:hint="default"/>
          <w:spacing w:val="-1"/>
        </w:rPr>
        <w:t>[2011]58</w:t>
      </w:r>
      <w:r>
        <w:rPr>
          <w:spacing w:val="-1"/>
        </w:rPr>
        <w:t>号）和《国家税务</w:t>
      </w:r>
      <w:r>
        <w:rPr>
          <w:spacing w:val="-59"/>
        </w:rPr>
        <w:t> </w:t>
      </w:r>
      <w:r>
        <w:rPr>
          <w:spacing w:val="-59"/>
        </w:rPr>
      </w:r>
      <w:r>
        <w:rPr>
          <w:spacing w:val="-1"/>
        </w:rPr>
        <w:t>总局关于深入实施西部大开发战略有关企业所得税问题的公告》（国家税务总局公告</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号）的相关规定，执行</w:t>
      </w:r>
      <w:r>
        <w:rPr>
          <w:rFonts w:ascii="Times New Roman" w:hAnsi="Times New Roman" w:cs="Times New Roman" w:eastAsia="Times New Roman" w:hint="default"/>
          <w:spacing w:val="-1"/>
        </w:rPr>
        <w:t>15%</w:t>
      </w:r>
      <w:r>
        <w:rPr>
          <w:spacing w:val="-1"/>
        </w:rPr>
        <w:t>企</w:t>
      </w:r>
      <w:r>
        <w:rPr/>
        <w:t> 业所得税税率。</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日，取得内蒙古自治区土默特左旗国家税务局核发的《西部大开发企业所得税优惠政策审核确</w:t>
      </w:r>
      <w:r>
        <w:rPr>
          <w:spacing w:val="-85"/>
        </w:rPr>
        <w:t> </w:t>
      </w:r>
      <w:r>
        <w:rPr>
          <w:spacing w:val="-85"/>
        </w:rPr>
      </w:r>
      <w:r>
        <w:rPr/>
        <w:t>认表》，自</w:t>
      </w:r>
      <w:r>
        <w:rPr>
          <w:rFonts w:ascii="Times New Roman" w:hAnsi="Times New Roman" w:cs="Times New Roman" w:eastAsia="Times New Roman" w:hint="default"/>
        </w:rPr>
        <w:t>2012</w:t>
      </w:r>
      <w:r>
        <w:rPr/>
        <w:t>年开始享受</w:t>
      </w:r>
      <w:r>
        <w:rPr>
          <w:rFonts w:ascii="Times New Roman" w:hAnsi="Times New Roman" w:cs="Times New Roman" w:eastAsia="Times New Roman" w:hint="default"/>
        </w:rPr>
        <w:t>15%</w:t>
      </w:r>
      <w:r>
        <w:rPr/>
        <w:t>企业所得税优惠税率。</w:t>
      </w:r>
    </w:p>
    <w:p>
      <w:pPr>
        <w:spacing w:line="240" w:lineRule="auto" w:before="4"/>
        <w:rPr>
          <w:rFonts w:ascii="宋体" w:hAnsi="宋体" w:cs="宋体" w:eastAsia="宋体" w:hint="default"/>
          <w:sz w:val="19"/>
          <w:szCs w:val="19"/>
        </w:rPr>
      </w:pPr>
    </w:p>
    <w:p>
      <w:pPr>
        <w:pStyle w:val="BodyText"/>
        <w:spacing w:line="300" w:lineRule="auto"/>
        <w:ind w:right="1127" w:firstLine="360"/>
        <w:jc w:val="both"/>
      </w:pPr>
      <w:r>
        <w:rPr/>
        <w:t>（</w:t>
      </w:r>
      <w:r>
        <w:rPr>
          <w:rFonts w:ascii="Times New Roman" w:hAnsi="Times New Roman" w:cs="Times New Roman" w:eastAsia="Times New Roman" w:hint="default"/>
        </w:rPr>
        <w:t>3</w:t>
      </w:r>
      <w:r>
        <w:rPr/>
        <w:t>）滦州吉宏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日取得编号为</w:t>
      </w:r>
      <w:r>
        <w:rPr>
          <w:rFonts w:ascii="Times New Roman" w:hAnsi="Times New Roman" w:cs="Times New Roman" w:eastAsia="Times New Roman" w:hint="default"/>
        </w:rPr>
        <w:t>GR201813000471</w:t>
      </w:r>
      <w:r>
        <w:rPr/>
        <w:t>的《高新技术企业证书》，有效期三年，</w:t>
      </w:r>
      <w:r>
        <w:rPr>
          <w:rFonts w:ascii="Times New Roman" w:hAnsi="Times New Roman" w:cs="Times New Roman" w:eastAsia="Times New Roman" w:hint="default"/>
        </w:rPr>
        <w:t>2018</w:t>
      </w:r>
      <w:r>
        <w:rPr/>
        <w:t>年度至</w:t>
      </w:r>
      <w:r>
        <w:rPr>
          <w:rFonts w:ascii="Times New Roman" w:hAnsi="Times New Roman" w:cs="Times New Roman" w:eastAsia="Times New Roman" w:hint="default"/>
        </w:rPr>
        <w:t>2020</w:t>
      </w:r>
      <w:r>
        <w:rPr/>
        <w:t>年 度享受</w:t>
      </w:r>
      <w:r>
        <w:rPr>
          <w:rFonts w:ascii="Times New Roman" w:hAnsi="Times New Roman" w:cs="Times New Roman" w:eastAsia="Times New Roman" w:hint="default"/>
        </w:rPr>
        <w:t>15%</w:t>
      </w:r>
      <w:r>
        <w:rPr/>
        <w:t>企业所得税优惠税率。</w:t>
      </w:r>
    </w:p>
    <w:p>
      <w:pPr>
        <w:spacing w:line="240" w:lineRule="auto" w:before="4"/>
        <w:rPr>
          <w:rFonts w:ascii="宋体" w:hAnsi="宋体" w:cs="宋体" w:eastAsia="宋体" w:hint="default"/>
          <w:sz w:val="19"/>
          <w:szCs w:val="19"/>
        </w:rPr>
      </w:pPr>
    </w:p>
    <w:p>
      <w:pPr>
        <w:pStyle w:val="BodyText"/>
        <w:spacing w:line="300" w:lineRule="auto"/>
        <w:ind w:right="1129" w:firstLine="360"/>
        <w:jc w:val="both"/>
      </w:pPr>
      <w:r>
        <w:rPr>
          <w:spacing w:val="-2"/>
        </w:rPr>
        <w:t>（</w:t>
      </w:r>
      <w:r>
        <w:rPr>
          <w:rFonts w:ascii="Times New Roman" w:hAnsi="Times New Roman" w:cs="Times New Roman" w:eastAsia="Times New Roman" w:hint="default"/>
          <w:spacing w:val="-2"/>
        </w:rPr>
        <w:t>4</w:t>
      </w:r>
      <w:r>
        <w:rPr>
          <w:spacing w:val="-2"/>
        </w:rPr>
        <w:t>）安徽吉宏</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日被安徽省科学技术厅、安徽省财政厅、安徽省国家税务局、安徽省地方税务局认定为高新</w:t>
      </w:r>
      <w:r>
        <w:rPr/>
        <w:t> 技术企业，取得编号为</w:t>
      </w:r>
      <w:r>
        <w:rPr>
          <w:rFonts w:ascii="Times New Roman" w:hAnsi="Times New Roman" w:cs="Times New Roman" w:eastAsia="Times New Roman" w:hint="default"/>
        </w:rPr>
        <w:t>GR201734001747</w:t>
      </w:r>
      <w:r>
        <w:rPr/>
        <w:t>的《高新技术企业证书》，有效期三年，</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w:t>
      </w:r>
      <w:r>
        <w:rPr>
          <w:rFonts w:ascii="Times New Roman" w:hAnsi="Times New Roman" w:cs="Times New Roman" w:eastAsia="Times New Roman" w:hint="default"/>
        </w:rPr>
        <w:t>15%</w:t>
      </w:r>
      <w:r>
        <w:rPr/>
        <w:t>的所得税优</w:t>
      </w:r>
      <w:r>
        <w:rPr>
          <w:spacing w:val="-43"/>
        </w:rPr>
        <w:t> </w:t>
      </w:r>
      <w:r>
        <w:rPr>
          <w:spacing w:val="-43"/>
        </w:rPr>
      </w:r>
      <w:r>
        <w:rPr/>
        <w:t>惠税率。</w:t>
      </w:r>
    </w:p>
    <w:p>
      <w:pPr>
        <w:spacing w:line="240" w:lineRule="auto" w:before="10"/>
        <w:rPr>
          <w:rFonts w:ascii="宋体" w:hAnsi="宋体" w:cs="宋体" w:eastAsia="宋体" w:hint="default"/>
          <w:sz w:val="20"/>
          <w:szCs w:val="20"/>
        </w:rPr>
      </w:pPr>
    </w:p>
    <w:p>
      <w:pPr>
        <w:pStyle w:val="BodyText"/>
        <w:spacing w:line="300" w:lineRule="auto"/>
        <w:ind w:right="1130" w:firstLine="360"/>
        <w:jc w:val="both"/>
      </w:pPr>
      <w:r>
        <w:rPr>
          <w:spacing w:val="-2"/>
        </w:rPr>
        <w:t>（</w:t>
      </w:r>
      <w:r>
        <w:rPr>
          <w:rFonts w:ascii="Times New Roman" w:hAnsi="Times New Roman" w:cs="Times New Roman" w:eastAsia="Times New Roman" w:hint="default"/>
          <w:spacing w:val="-2"/>
        </w:rPr>
        <w:t>5</w:t>
      </w:r>
      <w:r>
        <w:rPr>
          <w:spacing w:val="-2"/>
        </w:rPr>
        <w:t>）西安吉客印</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日取得陕西省科学技术厅、陕西省财政厅、国家税务总局陕西省税务局联合颁发的《高新</w:t>
      </w:r>
      <w:r>
        <w:rPr/>
        <w:t> </w:t>
      </w:r>
      <w:r>
        <w:rPr>
          <w:spacing w:val="-3"/>
        </w:rPr>
        <w:t>技术企业证书》，西安吉客印已通过高新技术企业的首次认定，证书编号：</w:t>
      </w:r>
      <w:r>
        <w:rPr>
          <w:rFonts w:ascii="Times New Roman" w:hAnsi="Times New Roman" w:cs="Times New Roman" w:eastAsia="Times New Roman" w:hint="default"/>
          <w:spacing w:val="-3"/>
        </w:rPr>
        <w:t>GR201961001345</w:t>
      </w:r>
      <w:r>
        <w:rPr>
          <w:spacing w:val="-3"/>
        </w:rPr>
        <w:t>，有效期三年。</w:t>
      </w:r>
      <w:r>
        <w:rPr>
          <w:rFonts w:ascii="Times New Roman" w:hAnsi="Times New Roman" w:cs="Times New Roman" w:eastAsia="Times New Roman" w:hint="default"/>
          <w:spacing w:val="-3"/>
        </w:rPr>
        <w:t>2019</w:t>
      </w:r>
      <w:r>
        <w:rPr>
          <w:spacing w:val="-3"/>
        </w:rPr>
        <w:t>年度至</w:t>
      </w:r>
      <w:r>
        <w:rPr>
          <w:rFonts w:ascii="Times New Roman" w:hAnsi="Times New Roman" w:cs="Times New Roman" w:eastAsia="Times New Roman" w:hint="default"/>
          <w:spacing w:val="-3"/>
        </w:rPr>
        <w:t>2021</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年度享受</w:t>
      </w:r>
      <w:r>
        <w:rPr>
          <w:rFonts w:ascii="Times New Roman" w:hAnsi="Times New Roman" w:cs="Times New Roman" w:eastAsia="Times New Roman" w:hint="default"/>
        </w:rPr>
        <w:t>15%</w:t>
      </w:r>
      <w:r>
        <w:rPr/>
        <w:t>企业所得税优惠税率。</w:t>
      </w:r>
    </w:p>
    <w:p>
      <w:pPr>
        <w:spacing w:line="240" w:lineRule="auto" w:before="4"/>
        <w:rPr>
          <w:rFonts w:ascii="宋体" w:hAnsi="宋体" w:cs="宋体" w:eastAsia="宋体" w:hint="default"/>
          <w:sz w:val="19"/>
          <w:szCs w:val="19"/>
        </w:rPr>
      </w:pPr>
    </w:p>
    <w:p>
      <w:pPr>
        <w:pStyle w:val="BodyText"/>
        <w:spacing w:line="240" w:lineRule="auto"/>
        <w:ind w:left="512"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日财政部、海关总署、国家税务总局发布《关于深入实施西部大开发战略有关税收政策问题的通知》</w:t>
      </w:r>
    </w:p>
    <w:p>
      <w:pPr>
        <w:pStyle w:val="BodyText"/>
        <w:spacing w:line="300" w:lineRule="auto" w:before="62"/>
        <w:ind w:right="1129"/>
        <w:jc w:val="both"/>
      </w:pPr>
      <w:r>
        <w:rPr>
          <w:spacing w:val="-2"/>
        </w:rPr>
        <w:t>（财税【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58</w:t>
      </w:r>
      <w:r>
        <w:rPr>
          <w:spacing w:val="-2"/>
        </w:rPr>
        <w:t>号），通知规定自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日，对设在西部地区以《西部地区鼓励类产业目录》中规</w:t>
      </w:r>
      <w:r>
        <w:rPr>
          <w:spacing w:val="-47"/>
        </w:rPr>
        <w:t> </w:t>
      </w:r>
      <w:r>
        <w:rPr>
          <w:spacing w:val="-47"/>
        </w:rPr>
      </w:r>
      <w:r>
        <w:rPr>
          <w:spacing w:val="-1"/>
        </w:rPr>
        <w:t>定的产业项目为主营业务，且其当年度主营业务收入占企业收入总额</w:t>
      </w:r>
      <w:r>
        <w:rPr>
          <w:rFonts w:ascii="Times New Roman" w:hAnsi="Times New Roman" w:cs="Times New Roman" w:eastAsia="Times New Roman" w:hint="default"/>
          <w:spacing w:val="-1"/>
        </w:rPr>
        <w:t>70%</w:t>
      </w:r>
      <w:r>
        <w:rPr>
          <w:spacing w:val="-1"/>
        </w:rPr>
        <w:t>以上的企业，经企业申请，主管税务机关审核确认</w:t>
      </w:r>
      <w:r>
        <w:rPr/>
        <w:t> </w:t>
      </w:r>
      <w:r>
        <w:rPr>
          <w:spacing w:val="-1"/>
        </w:rPr>
        <w:t>后，可减按</w:t>
      </w:r>
      <w:r>
        <w:rPr>
          <w:rFonts w:ascii="Times New Roman" w:hAnsi="Times New Roman" w:cs="Times New Roman" w:eastAsia="Times New Roman" w:hint="default"/>
          <w:spacing w:val="-1"/>
        </w:rPr>
        <w:t>15%</w:t>
      </w:r>
      <w:r>
        <w:rPr>
          <w:spacing w:val="-1"/>
        </w:rPr>
        <w:t>税率缴纳企业所得税。西安金印客、西安丹骏符合设在西部鼓励类产业，</w:t>
      </w:r>
      <w:r>
        <w:rPr>
          <w:rFonts w:ascii="Times New Roman" w:hAnsi="Times New Roman" w:cs="Times New Roman" w:eastAsia="Times New Roman" w:hint="default"/>
          <w:spacing w:val="-1"/>
        </w:rPr>
        <w:t>2017</w:t>
      </w:r>
      <w:r>
        <w:rPr>
          <w:spacing w:val="-1"/>
        </w:rPr>
        <w:t>年度完成相关的税收优惠备案</w:t>
      </w:r>
    </w:p>
    <w:p>
      <w:pPr>
        <w:spacing w:after="0" w:line="300" w:lineRule="auto"/>
        <w:jc w:val="both"/>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手续，自</w:t>
      </w:r>
      <w:r>
        <w:rPr>
          <w:rFonts w:ascii="Times New Roman" w:hAnsi="Times New Roman" w:cs="Times New Roman" w:eastAsia="Times New Roman" w:hint="default"/>
        </w:rPr>
        <w:t>2017</w:t>
      </w:r>
      <w:r>
        <w:rPr/>
        <w:t>年开始享受</w:t>
      </w:r>
      <w:r>
        <w:rPr>
          <w:rFonts w:ascii="Times New Roman" w:hAnsi="Times New Roman" w:cs="Times New Roman" w:eastAsia="Times New Roman" w:hint="default"/>
        </w:rPr>
        <w:t>15%</w:t>
      </w:r>
      <w:r>
        <w:rPr/>
        <w:t>企业所得税优惠税率。</w:t>
      </w:r>
    </w:p>
    <w:p>
      <w:pPr>
        <w:spacing w:line="240" w:lineRule="auto" w:before="2"/>
        <w:rPr>
          <w:rFonts w:ascii="宋体" w:hAnsi="宋体" w:cs="宋体" w:eastAsia="宋体" w:hint="default"/>
          <w:sz w:val="23"/>
          <w:szCs w:val="23"/>
        </w:rPr>
      </w:pPr>
    </w:p>
    <w:p>
      <w:pPr>
        <w:pStyle w:val="BodyText"/>
        <w:spacing w:line="300" w:lineRule="auto"/>
        <w:ind w:right="1132" w:firstLine="360"/>
        <w:jc w:val="both"/>
      </w:pPr>
      <w:r>
        <w:rPr/>
        <w:t>（</w:t>
      </w:r>
      <w:r>
        <w:rPr>
          <w:rFonts w:ascii="Times New Roman" w:hAnsi="Times New Roman" w:cs="Times New Roman" w:eastAsia="Times New Roman" w:hint="default"/>
        </w:rPr>
        <w:t>7</w:t>
      </w:r>
      <w:r>
        <w:rPr/>
        <w:t>）北京龙域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日被北京市科学技术委员会、北京市财政局、国家税务总局北京市税务局认定为高新技术 企业，取得了编号为</w:t>
      </w:r>
      <w:r>
        <w:rPr>
          <w:rFonts w:ascii="Times New Roman" w:hAnsi="Times New Roman" w:cs="Times New Roman" w:eastAsia="Times New Roman" w:hint="default"/>
        </w:rPr>
        <w:t>GR201811007347</w:t>
      </w:r>
      <w:r>
        <w:rPr/>
        <w:t>的《高新技术企业证书》，有效期为三年。</w:t>
      </w:r>
      <w:r>
        <w:rPr>
          <w:rFonts w:ascii="Times New Roman" w:hAnsi="Times New Roman" w:cs="Times New Roman" w:eastAsia="Times New Roman" w:hint="default"/>
        </w:rPr>
        <w:t>2018</w:t>
      </w:r>
      <w:r>
        <w:rPr/>
        <w:t>年度至</w:t>
      </w:r>
      <w:r>
        <w:rPr>
          <w:rFonts w:ascii="Times New Roman" w:hAnsi="Times New Roman" w:cs="Times New Roman" w:eastAsia="Times New Roman" w:hint="default"/>
        </w:rPr>
        <w:t>2020</w:t>
      </w:r>
      <w:r>
        <w:rPr/>
        <w:t>年度享受</w:t>
      </w:r>
      <w:r>
        <w:rPr>
          <w:rFonts w:ascii="Times New Roman" w:hAnsi="Times New Roman" w:cs="Times New Roman" w:eastAsia="Times New Roman" w:hint="default"/>
        </w:rPr>
        <w:t>15%</w:t>
      </w:r>
      <w:r>
        <w:rPr/>
        <w:t>企业所得税</w:t>
      </w:r>
      <w:r>
        <w:rPr>
          <w:spacing w:val="-47"/>
        </w:rPr>
        <w:t> </w:t>
      </w:r>
      <w:r>
        <w:rPr>
          <w:spacing w:val="-47"/>
        </w:rPr>
      </w:r>
      <w:r>
        <w:rPr/>
        <w:t>优惠税率。</w:t>
      </w:r>
    </w:p>
    <w:p>
      <w:pPr>
        <w:spacing w:line="240" w:lineRule="auto" w:before="10"/>
        <w:rPr>
          <w:rFonts w:ascii="宋体" w:hAnsi="宋体" w:cs="宋体" w:eastAsia="宋体" w:hint="default"/>
          <w:sz w:val="20"/>
          <w:szCs w:val="20"/>
        </w:rPr>
      </w:pPr>
    </w:p>
    <w:p>
      <w:pPr>
        <w:pStyle w:val="BodyText"/>
        <w:spacing w:line="307" w:lineRule="auto"/>
        <w:ind w:right="1132" w:firstLine="360"/>
        <w:jc w:val="both"/>
      </w:pPr>
      <w:r>
        <w:rPr/>
        <w:t>（</w:t>
      </w:r>
      <w:r>
        <w:rPr>
          <w:rFonts w:ascii="Times New Roman" w:hAnsi="Times New Roman" w:cs="Times New Roman" w:eastAsia="Times New Roman" w:hint="default"/>
        </w:rPr>
        <w:t>8</w:t>
      </w:r>
      <w:r>
        <w:rPr/>
        <w:t>）霍尔果斯金域、霍尔果斯维斯塔设立在霍尔果斯特殊经济开发区，根据财政部、国家税务总局《关于新疆喀什霍 尔果斯两个特殊经济开发区企业所得税优惠政策的通知》（财税</w:t>
      </w:r>
      <w:r>
        <w:rPr>
          <w:rFonts w:ascii="Times New Roman" w:hAnsi="Times New Roman" w:cs="Times New Roman" w:eastAsia="Times New Roman" w:hint="default"/>
        </w:rPr>
        <w:t>[2011]112</w:t>
      </w:r>
      <w:r>
        <w:rPr/>
        <w:t>号）</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日，对在新疆</w:t>
      </w:r>
      <w:r>
        <w:rPr>
          <w:spacing w:val="-37"/>
        </w:rPr>
        <w:t> </w:t>
      </w:r>
      <w:r>
        <w:rPr>
          <w:spacing w:val="-37"/>
        </w:rPr>
      </w:r>
      <w:r>
        <w:rPr>
          <w:spacing w:val="-2"/>
        </w:rPr>
        <w:t>喀什、霍尔果斯两个特殊经济开发区内新办的属于《新疆困难地区重点鼓励发展产业企业所得税优惠目录》（以下简称《目</w:t>
      </w:r>
      <w:r>
        <w:rPr>
          <w:spacing w:val="-68"/>
        </w:rPr>
        <w:t> </w:t>
      </w:r>
      <w:r>
        <w:rPr>
          <w:spacing w:val="-68"/>
        </w:rPr>
      </w:r>
      <w:r>
        <w:rPr>
          <w:spacing w:val="-2"/>
        </w:rPr>
        <w:t>录》）范围内的企业，自取得第一笔生产经营收入所属纳税年度起，五年内免征企业所得税。霍尔果斯金域已取得企业所得</w:t>
      </w:r>
      <w:r>
        <w:rPr>
          <w:spacing w:val="-66"/>
        </w:rPr>
        <w:t> </w:t>
      </w:r>
      <w:r>
        <w:rPr>
          <w:spacing w:val="-66"/>
        </w:rPr>
      </w:r>
      <w:r>
        <w:rPr>
          <w:spacing w:val="-2"/>
        </w:rPr>
        <w:t>税优惠备案表，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日免缴所得税；霍尔果斯维斯塔目前享受新办企业定期免征企业所得税优惠政</w:t>
      </w:r>
      <w:r>
        <w:rPr>
          <w:spacing w:val="-55"/>
        </w:rPr>
        <w:t> </w:t>
      </w:r>
      <w:r>
        <w:rPr>
          <w:spacing w:val="-55"/>
        </w:rPr>
      </w:r>
      <w:r>
        <w:rPr/>
        <w:t>策。</w:t>
      </w:r>
    </w:p>
    <w:p>
      <w:pPr>
        <w:spacing w:line="240" w:lineRule="auto" w:before="4"/>
        <w:rPr>
          <w:rFonts w:ascii="宋体" w:hAnsi="宋体" w:cs="宋体" w:eastAsia="宋体" w:hint="default"/>
          <w:sz w:val="20"/>
          <w:szCs w:val="20"/>
        </w:rPr>
      </w:pPr>
    </w:p>
    <w:p>
      <w:pPr>
        <w:pStyle w:val="BodyText"/>
        <w:spacing w:line="300" w:lineRule="auto"/>
        <w:ind w:right="1129" w:firstLine="360"/>
        <w:jc w:val="both"/>
      </w:pPr>
      <w:r>
        <w:rPr>
          <w:spacing w:val="-3"/>
        </w:rPr>
        <w:t>（</w:t>
      </w:r>
      <w:r>
        <w:rPr>
          <w:rFonts w:ascii="Times New Roman" w:hAnsi="Times New Roman" w:cs="Times New Roman" w:eastAsia="Times New Roman" w:hint="default"/>
          <w:spacing w:val="-3"/>
        </w:rPr>
        <w:t>9</w:t>
      </w:r>
      <w:r>
        <w:rPr>
          <w:spacing w:val="-3"/>
        </w:rPr>
        <w:t>）根据国家发展和改革委员会令（</w:t>
      </w:r>
      <w:r>
        <w:rPr>
          <w:rFonts w:ascii="Times New Roman" w:hAnsi="Times New Roman" w:cs="Times New Roman" w:eastAsia="Times New Roman" w:hint="default"/>
          <w:spacing w:val="-3"/>
        </w:rPr>
        <w:t>2014</w:t>
      </w:r>
      <w:r>
        <w:rPr>
          <w:spacing w:val="-3"/>
        </w:rPr>
        <w:t>年第</w:t>
      </w:r>
      <w:r>
        <w:rPr>
          <w:rFonts w:ascii="Times New Roman" w:hAnsi="Times New Roman" w:cs="Times New Roman" w:eastAsia="Times New Roman" w:hint="default"/>
          <w:spacing w:val="-3"/>
        </w:rPr>
        <w:t>15</w:t>
      </w:r>
      <w:r>
        <w:rPr>
          <w:spacing w:val="-3"/>
        </w:rPr>
        <w:t>号）规定，重庆阿欧艾主营业务</w:t>
      </w:r>
      <w:r>
        <w:rPr>
          <w:rFonts w:ascii="Times New Roman" w:hAnsi="Times New Roman" w:cs="Times New Roman" w:eastAsia="Times New Roman" w:hint="default"/>
          <w:spacing w:val="-3"/>
        </w:rPr>
        <w:t>“</w:t>
      </w:r>
      <w:r>
        <w:rPr>
          <w:spacing w:val="-3"/>
        </w:rPr>
        <w:t>计算机软件技术开发，网络推广服务</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spacing w:val="-2"/>
        </w:rPr>
        <w:t>项目符合《西部地区鼓励类产业目录》中《产业结构调整指导目录（</w:t>
      </w:r>
      <w:r>
        <w:rPr>
          <w:rFonts w:ascii="Times New Roman" w:hAnsi="Times New Roman" w:cs="Times New Roman" w:eastAsia="Times New Roman" w:hint="default"/>
          <w:spacing w:val="-2"/>
        </w:rPr>
        <w:t>2011</w:t>
      </w:r>
      <w:r>
        <w:rPr>
          <w:spacing w:val="-2"/>
        </w:rPr>
        <w:t>年本）（修正）》鼓励类第三十一类科技服务业第</w:t>
      </w:r>
      <w:r>
        <w:rPr>
          <w:spacing w:val="-60"/>
        </w:rPr>
        <w:t> </w:t>
      </w:r>
      <w:r>
        <w:rPr>
          <w:spacing w:val="-60"/>
        </w:rPr>
      </w:r>
      <w:r>
        <w:rPr>
          <w:rFonts w:ascii="Times New Roman" w:hAnsi="Times New Roman" w:cs="Times New Roman" w:eastAsia="Times New Roman" w:hint="default"/>
        </w:rPr>
        <w:t>3</w:t>
      </w:r>
      <w:r>
        <w:rPr/>
        <w:t>条之规定，并于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日取得重庆经济技术开发区经济发展局西部地区鼓励类产业项目确认书（【内】鼓励类确认</w:t>
      </w:r>
    </w:p>
    <w:p>
      <w:pPr>
        <w:pStyle w:val="BodyText"/>
        <w:spacing w:line="240" w:lineRule="auto" w:before="13"/>
        <w:ind w:right="1128"/>
        <w:jc w:val="left"/>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w:t>
      </w:r>
      <w:r>
        <w:rPr/>
        <w:t>号），享受</w:t>
      </w:r>
      <w:r>
        <w:rPr>
          <w:rFonts w:ascii="Times New Roman" w:hAnsi="Times New Roman" w:cs="Times New Roman" w:eastAsia="Times New Roman" w:hint="default"/>
        </w:rPr>
        <w:t>15%</w:t>
      </w:r>
      <w:r>
        <w:rPr/>
        <w:t>企业所得税优惠税率。</w:t>
      </w:r>
    </w:p>
    <w:p>
      <w:pPr>
        <w:spacing w:line="240" w:lineRule="auto" w:before="2"/>
        <w:rPr>
          <w:rFonts w:ascii="宋体" w:hAnsi="宋体" w:cs="宋体" w:eastAsia="宋体" w:hint="default"/>
          <w:sz w:val="23"/>
          <w:szCs w:val="23"/>
        </w:rPr>
      </w:pPr>
    </w:p>
    <w:p>
      <w:pPr>
        <w:pStyle w:val="BodyText"/>
        <w:spacing w:line="300" w:lineRule="auto"/>
        <w:ind w:right="1129" w:firstLine="360"/>
        <w:jc w:val="both"/>
      </w:pPr>
      <w:r>
        <w:rPr>
          <w:spacing w:val="-2"/>
        </w:rPr>
        <w:t>（</w:t>
      </w:r>
      <w:r>
        <w:rPr>
          <w:rFonts w:ascii="Times New Roman" w:hAnsi="Times New Roman" w:cs="Times New Roman" w:eastAsia="Times New Roman" w:hint="default"/>
          <w:spacing w:val="-2"/>
        </w:rPr>
        <w:t>10</w:t>
      </w:r>
      <w:r>
        <w:rPr>
          <w:spacing w:val="-2"/>
        </w:rPr>
        <w:t>）郑州吉客印</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日取得河南省科学技术厅、河南省财政厅、国家税务总局河南省税务局联合颁发的《高</w:t>
      </w:r>
      <w:r>
        <w:rPr/>
        <w:t> </w:t>
      </w:r>
      <w:r>
        <w:rPr>
          <w:spacing w:val="-3"/>
        </w:rPr>
        <w:t>新技术企业证书》，证书编号：</w:t>
      </w:r>
      <w:r>
        <w:rPr>
          <w:rFonts w:ascii="Times New Roman" w:hAnsi="Times New Roman" w:cs="Times New Roman" w:eastAsia="Times New Roman" w:hint="default"/>
          <w:spacing w:val="-3"/>
        </w:rPr>
        <w:t>GR201941000231</w:t>
      </w:r>
      <w:r>
        <w:rPr>
          <w:spacing w:val="-3"/>
        </w:rPr>
        <w:t>，郑州吉客印已通过高新技术企业的首次认定，有效期三年，</w:t>
      </w:r>
      <w:r>
        <w:rPr>
          <w:rFonts w:ascii="Times New Roman" w:hAnsi="Times New Roman" w:cs="Times New Roman" w:eastAsia="Times New Roman" w:hint="default"/>
          <w:spacing w:val="-3"/>
        </w:rPr>
        <w:t>2019</w:t>
      </w:r>
      <w:r>
        <w:rPr>
          <w:spacing w:val="-3"/>
        </w:rPr>
        <w:t>年至</w:t>
      </w:r>
      <w:r>
        <w:rPr>
          <w:rFonts w:ascii="Times New Roman" w:hAnsi="Times New Roman" w:cs="Times New Roman" w:eastAsia="Times New Roman" w:hint="default"/>
          <w:spacing w:val="-3"/>
        </w:rPr>
        <w:t>2021</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1"/>
        </w:rPr>
        <w:t>年享受</w:t>
      </w:r>
      <w:r>
        <w:rPr>
          <w:rFonts w:ascii="Times New Roman" w:hAnsi="Times New Roman" w:cs="Times New Roman" w:eastAsia="Times New Roman" w:hint="default"/>
          <w:spacing w:val="-1"/>
        </w:rPr>
        <w:t>15%</w:t>
      </w:r>
      <w:r>
        <w:rPr>
          <w:spacing w:val="-1"/>
        </w:rPr>
        <w:t>的企业所得税优惠税率。郑州吉客印</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13</w:t>
      </w:r>
      <w:r>
        <w:rPr>
          <w:spacing w:val="-1"/>
        </w:rPr>
        <w:t>日取得软件企业证书、软件产品证书，根据《财政部国家税务</w:t>
      </w:r>
      <w:r>
        <w:rPr/>
        <w:t> 总局关于进一步鼓励软件产业和集成电路产业发展企业所得税政策的通知》（财税【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号）自开始获利年度起</w:t>
      </w:r>
      <w:r>
        <w:rPr>
          <w:rFonts w:ascii="Times New Roman" w:hAnsi="Times New Roman" w:cs="Times New Roman" w:eastAsia="Times New Roman" w:hint="default"/>
        </w:rPr>
        <w:t>,</w:t>
      </w:r>
      <w:r>
        <w:rPr/>
        <w:t>第一</w:t>
      </w:r>
      <w:r>
        <w:rPr>
          <w:spacing w:val="-46"/>
        </w:rPr>
        <w:t> </w:t>
      </w:r>
      <w:r>
        <w:rPr>
          <w:spacing w:val="-46"/>
        </w:rPr>
      </w:r>
      <w:r>
        <w:rPr/>
        <w:t>年和第二年免征企业所得税</w:t>
      </w:r>
      <w:r>
        <w:rPr>
          <w:rFonts w:ascii="Times New Roman" w:hAnsi="Times New Roman" w:cs="Times New Roman" w:eastAsia="Times New Roman" w:hint="default"/>
        </w:rPr>
        <w:t>,</w:t>
      </w:r>
      <w:r>
        <w:rPr/>
        <w:t>第三年至第五年减半征收企业所得税，公司</w:t>
      </w:r>
      <w:r>
        <w:rPr>
          <w:rFonts w:ascii="Times New Roman" w:hAnsi="Times New Roman" w:cs="Times New Roman" w:eastAsia="Times New Roman" w:hint="default"/>
        </w:rPr>
        <w:t>2019</w:t>
      </w:r>
      <w:r>
        <w:rPr/>
        <w:t>年开始免征企业所得税。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3"/>
        <w:ind w:left="152" w:right="7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246,446.79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287,010.27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318,140,980.78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258,678,495.17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169,364,837.62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21,703,802.28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487,752,265.19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280,669,307.72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63,626,271.72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68,082,471.50</w:t>
            </w:r>
          </w:p>
        </w:tc>
      </w:tr>
    </w:tbl>
    <w:p>
      <w:pPr>
        <w:pStyle w:val="BodyText"/>
        <w:spacing w:line="240" w:lineRule="auto" w:before="49"/>
        <w:ind w:right="1128"/>
        <w:jc w:val="left"/>
      </w:pPr>
      <w:r>
        <w:rPr/>
        <w:t>其他说明</w:t>
      </w:r>
    </w:p>
    <w:p>
      <w:pPr>
        <w:pStyle w:val="BodyText"/>
        <w:spacing w:line="240" w:lineRule="auto" w:before="117"/>
        <w:ind w:left="440" w:right="1128"/>
        <w:jc w:val="left"/>
      </w:pPr>
      <w:r>
        <w:rPr/>
        <w:t>注：年末受限制银行存款为</w:t>
      </w:r>
      <w:r>
        <w:rPr>
          <w:rFonts w:ascii="Times New Roman" w:hAnsi="Times New Roman" w:cs="Times New Roman" w:eastAsia="Times New Roman" w:hint="default"/>
        </w:rPr>
        <w:t>138,854,060.30</w:t>
      </w:r>
      <w:r>
        <w:rPr/>
        <w:t>元，其中：银行定期存款</w:t>
      </w:r>
      <w:r>
        <w:rPr>
          <w:rFonts w:ascii="Times New Roman" w:hAnsi="Times New Roman" w:cs="Times New Roman" w:eastAsia="Times New Roman" w:hint="default"/>
        </w:rPr>
        <w:t>116,000,000.00</w:t>
      </w:r>
      <w:r>
        <w:rPr/>
        <w:t>元；涉及银行承兑汇票保证金</w:t>
      </w:r>
    </w:p>
    <w:p>
      <w:pPr>
        <w:pStyle w:val="BodyText"/>
        <w:spacing w:line="240" w:lineRule="auto" w:before="62"/>
        <w:ind w:right="1128"/>
        <w:jc w:val="left"/>
      </w:pPr>
      <w:r>
        <w:rPr>
          <w:rFonts w:ascii="Times New Roman" w:hAnsi="Times New Roman" w:cs="Times New Roman" w:eastAsia="Times New Roman" w:hint="default"/>
        </w:rPr>
        <w:t>22,852,322.34</w:t>
      </w:r>
      <w:r>
        <w:rPr/>
        <w:t>元；证券账户</w:t>
      </w:r>
      <w:r>
        <w:rPr>
          <w:rFonts w:ascii="Times New Roman" w:hAnsi="Times New Roman" w:cs="Times New Roman" w:eastAsia="Times New Roman" w:hint="default"/>
        </w:rPr>
        <w:t>1,147.17</w:t>
      </w:r>
      <w:r>
        <w:rPr/>
        <w:t>元</w:t>
      </w:r>
      <w:r>
        <w:rPr>
          <w:rFonts w:ascii="Times New Roman" w:hAnsi="Times New Roman" w:cs="Times New Roman" w:eastAsia="Times New Roman" w:hint="default"/>
        </w:rPr>
        <w:t>,</w:t>
      </w:r>
      <w:r>
        <w:rPr/>
        <w:t>农民工工资预储金</w:t>
      </w:r>
      <w:r>
        <w:rPr>
          <w:rFonts w:ascii="Times New Roman" w:hAnsi="Times New Roman" w:cs="Times New Roman" w:eastAsia="Times New Roman" w:hint="default"/>
        </w:rPr>
        <w:t>590.79</w:t>
      </w:r>
      <w:r>
        <w:rPr/>
        <w:t>元。</w:t>
      </w:r>
    </w:p>
    <w:p>
      <w:pPr>
        <w:spacing w:after="0" w:line="240" w:lineRule="auto"/>
        <w:jc w:val="left"/>
        <w:sectPr>
          <w:footerReference w:type="default" r:id="rId28"/>
          <w:pgSz w:w="11910" w:h="16840"/>
          <w:pgMar w:footer="981" w:header="745" w:top="1060" w:bottom="1180" w:left="980" w:right="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282,000,000.00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1"/>
              <w:jc w:val="right"/>
              <w:rPr>
                <w:rFonts w:ascii="宋体" w:hAnsi="宋体" w:cs="宋体" w:eastAsia="宋体" w:hint="default"/>
                <w:sz w:val="18"/>
                <w:szCs w:val="18"/>
              </w:rPr>
            </w:pPr>
            <w:r>
              <w:rPr>
                <w:rFonts w:ascii="宋体" w:hAnsi="宋体" w:cs="宋体" w:eastAsia="宋体" w:hint="default"/>
                <w:sz w:val="18"/>
                <w:szCs w:val="18"/>
              </w:rPr>
              <w:t>债务工具投资</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1"/>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5"/>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282,000,000.00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7"/>
        <w:ind w:right="1128"/>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624,000.00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1,256,288.00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1,880,288.00</w:t>
            </w:r>
          </w:p>
        </w:tc>
      </w:tr>
    </w:tbl>
    <w:p>
      <w:pPr>
        <w:pStyle w:val="BodyText"/>
        <w:spacing w:line="240" w:lineRule="auto" w:before="49"/>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3"/>
        <w:gridCol w:w="761"/>
        <w:gridCol w:w="763"/>
        <w:gridCol w:w="790"/>
        <w:gridCol w:w="775"/>
        <w:gridCol w:w="797"/>
        <w:gridCol w:w="931"/>
        <w:gridCol w:w="797"/>
        <w:gridCol w:w="792"/>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1128"/>
        <w:jc w:val="left"/>
      </w:pPr>
      <w:r>
        <w:rPr/>
        <w:t>按单项计提坏账准备：</w:t>
      </w:r>
    </w:p>
    <w:p>
      <w:pPr>
        <w:pStyle w:val="BodyText"/>
        <w:spacing w:line="240" w:lineRule="auto" w:before="117"/>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8"/>
        <w:jc w:val="left"/>
      </w:pPr>
      <w:r>
        <w:rPr/>
        <w:t>按组合计提坏账准备：</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3"/>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5"/>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本期计提坏账准备情况：</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1128"/>
        <w:jc w:val="left"/>
      </w:pPr>
      <w:r>
        <w:rPr/>
        <w:t>其中本期坏账准备收回或转回金额重要的：</w:t>
      </w:r>
    </w:p>
    <w:p>
      <w:pPr>
        <w:pStyle w:val="BodyText"/>
        <w:spacing w:line="240" w:lineRule="auto" w:before="117"/>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62;top:14;width:24;height:392" coordorigin="4762,14" coordsize="24,392">
              <v:shape style="position:absolute;left:4762;top:14;width:24;height:392" coordorigin="4762,14" coordsize="24,392" path="m4762,406l4786,406,4786,14,4762,14,4762,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4795;top:14;width:22;height:392" coordorigin="4795,14" coordsize="22,392">
              <v:shape style="position:absolute;left:4795;top:14;width:22;height:392" coordorigin="4795,14" coordsize="22,392" path="m4795,406l4817,406,4817,14,4795,14,4795,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7;top:14;width:4728;height:392" coordorigin="4817,14" coordsize="4728,392">
              <v:shape style="position:absolute;left:4817;top:14;width:4728;height:392" coordorigin="4817,14" coordsize="4728,392" path="m4817,14l9545,14,9545,406,4817,406,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8;top:10;width:4786;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12,838,065.51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7,934,744.25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12,838,065.51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7,934,744.25</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62;top:14;width:24;height:392" coordorigin="4762,14" coordsize="24,392">
              <v:shape style="position:absolute;left:4762;top:14;width:24;height:392" coordorigin="4762,14" coordsize="24,392" path="m4762,406l4786,406,4786,14,4762,14,4762,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4795;top:14;width:22;height:392" coordorigin="4795,14" coordsize="22,392">
              <v:shape style="position:absolute;left:4795;top:14;width:22;height:392" coordorigin="4795,14" coordsize="22,392" path="m4795,406l4817,406,4817,14,4795,14,4795,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7;top:14;width:4728;height:392" coordorigin="4817,14" coordsize="4728,392">
              <v:shape style="position:absolute;left:4817;top:14;width:4728;height:392" coordorigin="4817,14" coordsize="4728,392" path="m4817,14l9545,14,9545,406,4817,406,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8;top:10;width:4786;height:401" type="#_x0000_t202" filled="false" stroked="false">
                <v:textbox inset="0,0,0,0">
                  <w:txbxContent>
                    <w:p>
                      <w:pPr>
                        <w:spacing w:before="53"/>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2"/>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62;top:14;width:24;height:392" coordorigin="4762,14" coordsize="24,392">
              <v:shape style="position:absolute;left:4762;top:14;width:24;height:392" coordorigin="4762,14" coordsize="24,392" path="m4762,406l4786,406,4786,14,4762,14,4762,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4795;top:14;width:22;height:392" coordorigin="4795,14" coordsize="22,392">
              <v:shape style="position:absolute;left:4795;top:14;width:22;height:392" coordorigin="4795,14" coordsize="22,392" path="m4795,406l4817,406,4817,14,4795,14,4795,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7;top:14;width:4728;height:392" coordorigin="4817,14" coordsize="4728,392">
              <v:shape style="position:absolute;left:4817;top:14;width:4728;height:392" coordorigin="4817,14" coordsize="4728,392" path="m4817,14l9545,14,9545,406,4817,406,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8;top:10;width:4786;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其中重要的应收票据核销情况：</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23" w:right="6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8"/>
        <w:jc w:val="left"/>
      </w:pPr>
      <w:r>
        <w:rPr/>
        <w:t>应收票据核销说明：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单项计提坏账准备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481,580,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161.08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24,830,6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22.45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456,749,5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38.63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362,143,7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18,251,47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343,892,25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4.10</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481,580,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161.08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24,830,6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22.45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456,749,5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38.63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362,143,7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18,251,47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343,892,25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482,031,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069.18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25,281,5</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30.55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456,749,5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38.63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362,143,7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18,251,47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343,892,25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4.10</w:t>
            </w:r>
          </w:p>
        </w:tc>
      </w:tr>
    </w:tbl>
    <w:p>
      <w:pPr>
        <w:pStyle w:val="BodyText"/>
        <w:spacing w:line="240" w:lineRule="auto" w:before="49"/>
        <w:ind w:right="1128"/>
        <w:jc w:val="left"/>
      </w:pPr>
      <w:r>
        <w:rPr/>
        <w:t>按单项计提坏账准备：</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5" w:hRule="exact"/>
        </w:trPr>
        <w:tc>
          <w:tcPr>
            <w:tcW w:w="1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单项金额不重大但单项</w:t>
            </w: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vMerge w:val="restart"/>
            <w:tcBorders>
              <w:top w:val="single" w:sz="4" w:space="0" w:color="000000"/>
              <w:left w:val="single" w:sz="4" w:space="0" w:color="000000"/>
              <w:right w:val="single" w:sz="4" w:space="0" w:color="000000"/>
            </w:tcBorders>
          </w:tcPr>
          <w:p>
            <w:pPr/>
          </w:p>
        </w:tc>
      </w:tr>
      <w:tr>
        <w:trPr>
          <w:trHeight w:val="317"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计提坏账准备的应收账</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450,908.10</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450,908.10</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vMerge/>
            <w:tcBorders>
              <w:left w:val="single" w:sz="4" w:space="0" w:color="000000"/>
              <w:right w:val="single" w:sz="4" w:space="0" w:color="000000"/>
            </w:tcBorders>
          </w:tcPr>
          <w:p>
            <w:pPr/>
          </w:p>
        </w:tc>
      </w:tr>
      <w:tr>
        <w:trPr>
          <w:trHeight w:val="353" w:hRule="exact"/>
        </w:trPr>
        <w:tc>
          <w:tcPr>
            <w:tcW w:w="1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vMerge/>
            <w:tcBorders>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450,908.10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450,908.10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按单项计提坏账准备：</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8"/>
        <w:jc w:val="left"/>
      </w:pPr>
      <w:r>
        <w:rPr/>
        <w:t>按组合计提坏账准备：</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481,580,161.08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24,830,622.45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r>
    </w:tbl>
    <w:p>
      <w:pPr>
        <w:pStyle w:val="BodyText"/>
        <w:spacing w:line="240" w:lineRule="auto" w:before="49"/>
        <w:ind w:right="1128"/>
        <w:jc w:val="left"/>
      </w:pPr>
      <w:r>
        <w:rPr/>
        <w:t>确定该组合依据的说明：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3725"/>
        <w:gridCol w:w="1939"/>
        <w:gridCol w:w="1843"/>
        <w:gridCol w:w="2136"/>
      </w:tblGrid>
      <w:tr>
        <w:trPr>
          <w:trHeight w:val="403" w:hRule="exact"/>
        </w:trPr>
        <w:tc>
          <w:tcPr>
            <w:tcW w:w="37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9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01" w:hRule="exact"/>
        </w:trPr>
        <w:tc>
          <w:tcPr>
            <w:tcW w:w="3725" w:type="dxa"/>
            <w:vMerge/>
            <w:tcBorders>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470,837,827.39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23,541,893.32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10,256,126.85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1,025,612.69</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169,913.78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33,982.76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35,734.30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14,293.72</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164,297.00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98,578.20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60.00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116,261.76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116,261.76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481,580,161.08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24,830,622.45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1128"/>
        <w:jc w:val="left"/>
      </w:pPr>
      <w:r>
        <w:rPr/>
        <w:t>按组合计提坏账准备：</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9"/>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39"/>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471,288,735.49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10,256,126.85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169,913.78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316,293.06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35,734.30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89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164,297.00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389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116,261.76</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482,031,069.18</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8"/>
        <w:jc w:val="left"/>
      </w:pPr>
      <w:r>
        <w:rPr/>
        <w:t>本期计提坏账准备情况：</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按信用风险特征 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18,251,476.28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6,579,146.17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24,830,622.45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单项金额不重大 但单项计提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450,908.10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450,908.10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18,251,476.28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7,030,054.27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25,281,530.55</w:t>
            </w:r>
          </w:p>
        </w:tc>
      </w:tr>
    </w:tbl>
    <w:p>
      <w:pPr>
        <w:pStyle w:val="BodyText"/>
        <w:spacing w:line="240" w:lineRule="auto" w:before="49"/>
        <w:ind w:right="1128"/>
        <w:jc w:val="left"/>
      </w:pPr>
      <w:r>
        <w:rPr/>
        <w:t>其中本期坏账准备收回或转回金额重要的：</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其中重要的应收账款核销情况：</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23" w:right="6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8"/>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7"/>
        <w:ind w:right="112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7"/>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133,335,023.36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27.66%</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6,666,751.17</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37,457,591.55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1,872,879.58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19,975,708.05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1,043,523.02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7"/>
      </w:tblGrid>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19,726,610.28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986,330.51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14,248,296.60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2.96%</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712,414.83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224,743,229.84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46.62%</w:t>
            </w:r>
          </w:p>
        </w:tc>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953,086.98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953,086.98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应收款项融资本期增减变动及公允价值变动情况</w:t>
      </w:r>
    </w:p>
    <w:p>
      <w:pPr>
        <w:pStyle w:val="BodyText"/>
        <w:spacing w:line="340" w:lineRule="auto" w:before="114"/>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40" w:lineRule="auto" w:before="39"/>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52,038,965.10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33,550,845.31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97.45%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946,536.18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707,466.42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115,467.48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117,235.33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53,100,968.76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34,425,547.06</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793"/>
        <w:gridCol w:w="2618"/>
        <w:gridCol w:w="1654"/>
        <w:gridCol w:w="3031"/>
      </w:tblGrid>
      <w:tr>
        <w:trPr>
          <w:trHeight w:val="346"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占预付款项年末余额合计数的比例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793"/>
        <w:gridCol w:w="2618"/>
        <w:gridCol w:w="1654"/>
        <w:gridCol w:w="3031"/>
      </w:tblGrid>
      <w:tr>
        <w:trPr>
          <w:trHeight w:val="348"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7,780,476.53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14.65</w:t>
            </w:r>
          </w:p>
        </w:tc>
      </w:tr>
      <w:tr>
        <w:trPr>
          <w:trHeight w:val="346"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6,976,200.00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4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13.14</w:t>
            </w:r>
          </w:p>
        </w:tc>
      </w:tr>
      <w:tr>
        <w:trPr>
          <w:trHeight w:val="348"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6,691,000.00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12.6</w:t>
            </w:r>
          </w:p>
        </w:tc>
      </w:tr>
      <w:tr>
        <w:trPr>
          <w:trHeight w:val="346"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1,800,000.00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3.39</w:t>
            </w:r>
          </w:p>
        </w:tc>
      </w:tr>
      <w:tr>
        <w:trPr>
          <w:trHeight w:val="348"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1,594,072.00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w:t>
            </w:r>
          </w:p>
        </w:tc>
      </w:tr>
      <w:tr>
        <w:trPr>
          <w:trHeight w:val="348" w:hRule="exact"/>
        </w:trPr>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24,841,748.53</w:t>
            </w:r>
          </w:p>
        </w:tc>
        <w:tc>
          <w:tcPr>
            <w:tcW w:w="1654" w:type="dxa"/>
            <w:tcBorders>
              <w:top w:val="single" w:sz="6" w:space="0" w:color="000000"/>
              <w:left w:val="single" w:sz="6" w:space="0" w:color="000000"/>
              <w:bottom w:val="single" w:sz="6" w:space="0" w:color="000000"/>
              <w:right w:val="single" w:sz="6" w:space="0" w:color="000000"/>
            </w:tcBorders>
          </w:tcPr>
          <w:p>
            <w:pP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46.78</w:t>
            </w:r>
          </w:p>
        </w:tc>
      </w:tr>
    </w:tbl>
    <w:p>
      <w:pPr>
        <w:spacing w:line="240" w:lineRule="auto" w:before="2"/>
        <w:rPr>
          <w:rFonts w:ascii="宋体" w:hAnsi="宋体" w:cs="宋体" w:eastAsia="宋体" w:hint="default"/>
          <w:b/>
          <w:bCs/>
          <w:sz w:val="24"/>
          <w:szCs w:val="24"/>
        </w:rPr>
      </w:pPr>
    </w:p>
    <w:p>
      <w:pPr>
        <w:pStyle w:val="BodyText"/>
        <w:spacing w:line="240" w:lineRule="auto" w:before="44"/>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725,593.15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11,074,659.91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28,597,958.15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13,371,965.15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29,323,551.30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24,446,625.06</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725,593.15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725,593.15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7"/>
        <w:ind w:right="1128"/>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北京金印联国际供应链管理有限公司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11,074,659.91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11,074,659.91</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2,031,567.56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1,528,609.07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18,946,344.09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12,151,612.63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代收代交的保险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224,337.78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274,185.25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应收返还款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7,740,450.00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2,164,508.61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1,475,320.17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2,821,689.18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32,582,528.21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16,776,096.13</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651"/>
        <w:gridCol w:w="2098"/>
        <w:gridCol w:w="2100"/>
        <w:gridCol w:w="1805"/>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3,404,130.98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3,404,130.98</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580,439.08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580,439.08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3,984,570.06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3,984,570.06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4"/>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933" w:space="4894"/>
            <w:col w:w="210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12,974,953.34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4,406,657.44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736,510.95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3,731,480.34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2,772,822.34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369,750.00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588,908.00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21,849,602.07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本期计提坏账准备情况：</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3"/>
        <w:gridCol w:w="1277"/>
        <w:gridCol w:w="1133"/>
        <w:gridCol w:w="1277"/>
        <w:gridCol w:w="1133"/>
        <w:gridCol w:w="1176"/>
        <w:gridCol w:w="1730"/>
      </w:tblGrid>
      <w:tr>
        <w:trPr>
          <w:trHeight w:val="403"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账龄组合计提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2,118,647.69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1,037,954.84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3,156,602.53</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单项金额单独计提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1,285,483.29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457,515.76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827,967.53</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3,404,130.98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1,037,954.84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457,515.76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3,984,570.06</w:t>
            </w:r>
          </w:p>
        </w:tc>
      </w:tr>
    </w:tbl>
    <w:p>
      <w:pPr>
        <w:pStyle w:val="BodyText"/>
        <w:spacing w:line="240" w:lineRule="auto" w:before="49"/>
        <w:ind w:right="1128"/>
        <w:jc w:val="left"/>
      </w:pPr>
      <w:r>
        <w:rPr/>
        <w:t>其中本期坏账准备转回或收回金额重要的：</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57;top:14;width:24;height:392" coordorigin="4757,14" coordsize="24,392">
              <v:shape style="position:absolute;left:4757;top:14;width:24;height:392" coordorigin="4757,14" coordsize="24,392" path="m4757,406l4781,406,4781,14,4757,14,4757,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4;height:392" coordorigin="34,14" coordsize="4724,392">
              <v:shape style="position:absolute;left:34;top:14;width:4724;height:392" coordorigin="34,14" coordsize="4724,392" path="m34,14l4757,14,4757,406,34,406,34,14xe" filled="true" fillcolor="#d3d3d3" stroked="false">
                <v:path arrowok="t"/>
                <v:fill type="solid"/>
              </v:shape>
            </v:group>
            <v:group style="position:absolute;left:4790;top:14;width:24;height:392" coordorigin="4790,14" coordsize="24,392">
              <v:shape style="position:absolute;left:4790;top:14;width:24;height:392" coordorigin="4790,14" coordsize="24,392" path="m4790,406l4814,406,4814,14,4790,14,4790,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4;top:14;width:4731;height:392" coordorigin="4814,14" coordsize="4731,392">
              <v:shape style="position:absolute;left:4814;top:14;width:4731;height:392" coordorigin="4814,14" coordsize="4731,392" path="m4814,14l9545,14,9545,406,4814,406,4814,14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9;height:2" coordorigin="4790,10" coordsize="4779,2">
              <v:shape style="position:absolute;left:4790;top:10;width:4779;height:2" coordorigin="4790,10" coordsize="4779,0" path="m4790,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2;height:2" coordorigin="10,410" coordsize="4772,2">
              <v:shape style="position:absolute;left:10;top:410;width:4772;height:2" coordorigin="10,410" coordsize="4772,0" path="m10,410l4781,410e" filled="false" stroked="true" strokeweight=".48pt" strokecolor="#000000">
                <v:path arrowok="t"/>
              </v:shape>
            </v:group>
            <v:group style="position:absolute;left:4786;top:5;width:2;height:411" coordorigin="4786,5" coordsize="2,411">
              <v:shape style="position:absolute;left:4786;top:5;width:2;height:411" coordorigin="4786,5" coordsize="0,411" path="m4786,5l4786,415e" filled="false" stroked="true" strokeweight=".48pt" strokecolor="#000000">
                <v:path arrowok="t"/>
              </v:shape>
            </v:group>
            <v:group style="position:absolute;left:4790;top:410;width:4779;height:2" coordorigin="4790,410" coordsize="4779,2">
              <v:shape style="position:absolute;left:4790;top:410;width:4779;height:2" coordorigin="4790,410" coordsize="4779,0" path="m4790,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2215;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6;top:10;width:4788;height:401" type="#_x0000_t202" filled="false" stroked="false">
                <v:textbox inset="0,0,0,0">
                  <w:txbxContent>
                    <w:p>
                      <w:pPr>
                        <w:spacing w:before="54"/>
                        <w:ind w:left="2"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其中重要的其他应收款核销情况：</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8"/>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6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应收返还款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7,740,450.00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23.76%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3,902,553.19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2,700,435.19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1,202,118.00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750,890.72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2,164,508.61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天津长荣科技集团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globalpayments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1,796,547.02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1,536,976.64</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1-2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259,570.38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102,805.87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17,604,058.82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953,696.59</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5"/>
        <w:gridCol w:w="1771"/>
        <w:gridCol w:w="2059"/>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7" w:right="31" w:hanging="812"/>
              <w:jc w:val="left"/>
              <w:rPr>
                <w:rFonts w:ascii="宋体" w:hAnsi="宋体" w:cs="宋体" w:eastAsia="宋体" w:hint="default"/>
                <w:sz w:val="18"/>
                <w:szCs w:val="18"/>
              </w:rPr>
            </w:pPr>
            <w:r>
              <w:rPr>
                <w:rFonts w:ascii="宋体" w:hAnsi="宋体" w:cs="宋体" w:eastAsia="宋体" w:hint="default"/>
                <w:sz w:val="18"/>
                <w:szCs w:val="18"/>
              </w:rPr>
              <w:t>预计收取的时间、金额及 依据</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青铜峡市人民政府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基础设施补助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7,740,450.00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7740450</w:t>
            </w:r>
          </w:p>
          <w:p>
            <w:pPr>
              <w:pStyle w:val="TableParagraph"/>
              <w:spacing w:line="240" w:lineRule="auto" w:before="60"/>
              <w:ind w:left="5"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依据投资协议</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是否已执行新收入准则</w:t>
      </w:r>
    </w:p>
    <w:p>
      <w:pPr>
        <w:pStyle w:val="BodyText"/>
        <w:spacing w:line="240" w:lineRule="auto" w:before="117"/>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footerReference w:type="default" r:id="rId29"/>
          <w:pgSz w:w="11910" w:h="16840"/>
          <w:pgMar w:footer="981" w:header="745" w:top="1060" w:bottom="1180" w:left="980" w:right="0"/>
          <w:pgNumType w:start="13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131,851,755.51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131,851,755.51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96,722,474.14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96,722,474.14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7,905,798.00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7,905,798.00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11,918,599.48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11,918,599.48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99,111,611.20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4,416,830.76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94,694,780.44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77,371,949.54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3,496,839.38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73,875,110.16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185,105.43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185,105.43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389,529.33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389,529.33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9,250,192.63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9,250,192.63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22,991,111.93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22,991,111.93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346,687.15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346,687.15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342,454.73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342,454.73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248,651,149.92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4,416,830.76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244,234,319.16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209,736,119.15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3,496,839.38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206,239,279.77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3,496,839.38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4,372,136.33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3,452,144.95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4,416,830.76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3,496,839.38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4,372,136.33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3,452,144.95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4,416,830.76</w:t>
            </w:r>
          </w:p>
        </w:tc>
      </w:tr>
    </w:tbl>
    <w:p>
      <w:pPr>
        <w:spacing w:line="240" w:lineRule="auto" w:before="7"/>
        <w:rPr>
          <w:rFonts w:ascii="宋体" w:hAnsi="宋体" w:cs="宋体" w:eastAsia="宋体" w:hint="default"/>
          <w:sz w:val="15"/>
          <w:szCs w:val="15"/>
        </w:rPr>
      </w:pPr>
    </w:p>
    <w:p>
      <w:pPr>
        <w:pStyle w:val="BodyText"/>
        <w:spacing w:line="240" w:lineRule="auto" w:before="44"/>
        <w:ind w:left="212" w:right="1128"/>
        <w:jc w:val="left"/>
      </w:pPr>
      <w:r>
        <w:rPr/>
        <w:t>1.</w:t>
      </w:r>
      <w:r>
        <w:rPr>
          <w:spacing w:val="89"/>
        </w:rPr>
        <w:t> </w:t>
      </w:r>
      <w:r>
        <w:rPr/>
        <w:t>存货跌价准备计提</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55"/>
        <w:gridCol w:w="3262"/>
        <w:gridCol w:w="3542"/>
      </w:tblGrid>
      <w:tr>
        <w:trPr>
          <w:trHeight w:val="348" w:hRule="exact"/>
        </w:trPr>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348" w:hRule="exact"/>
        </w:trPr>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年末可变现净值</w:t>
            </w:r>
          </w:p>
        </w:tc>
        <w:tc>
          <w:tcPr>
            <w:tcW w:w="3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库存商品已处置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62;top:17;width:22;height:392" coordorigin="4762,17" coordsize="22,392">
              <v:shape style="position:absolute;left:4762;top:17;width:22;height:392" coordorigin="4762,17" coordsize="22,392" path="m4762,408l4783,408,4783,17,4762,17,4762,408xe" filled="true" fillcolor="#d3d3d3"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3d3d3" stroked="false">
                <v:path arrowok="t"/>
                <v:fill type="solid"/>
              </v:shape>
            </v:group>
            <v:group style="position:absolute;left:34;top:17;width:4728;height:392" coordorigin="34,17" coordsize="4728,392">
              <v:shape style="position:absolute;left:34;top:17;width:4728;height:392" coordorigin="34,17" coordsize="4728,392" path="m34,17l4762,17,4762,408,34,408,34,17xe" filled="true" fillcolor="#d3d3d3" stroked="false">
                <v:path arrowok="t"/>
                <v:fill type="solid"/>
              </v:shape>
            </v:group>
            <v:group style="position:absolute;left:4793;top:17;width:24;height:392" coordorigin="4793,17" coordsize="24,392">
              <v:shape style="position:absolute;left:4793;top:17;width:24;height:392" coordorigin="4793,17" coordsize="24,392" path="m4793,408l4817,408,4817,17,4793,17,4793,408xe" filled="true" fillcolor="#d3d3d3" stroked="false">
                <v:path arrowok="t"/>
                <v:fill type="solid"/>
              </v:shape>
            </v:group>
            <v:group style="position:absolute;left:9545;top:17;width:24;height:392" coordorigin="9545,17" coordsize="24,392">
              <v:shape style="position:absolute;left:9545;top:17;width:24;height:392" coordorigin="9545,17" coordsize="24,392" path="m9545,408l9569,408,9569,17,9545,17,9545,408xe" filled="true" fillcolor="#d3d3d3" stroked="false">
                <v:path arrowok="t"/>
                <v:fill type="solid"/>
              </v:shape>
            </v:group>
            <v:group style="position:absolute;left:4817;top:17;width:4728;height:392" coordorigin="4817,17" coordsize="4728,392">
              <v:shape style="position:absolute;left:4817;top:17;width:4728;height:392" coordorigin="4817,17" coordsize="4728,392" path="m4817,17l9545,17,9545,408,4817,408,4817,17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8;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5"/>
        <w:gridCol w:w="1198"/>
        <w:gridCol w:w="1195"/>
        <w:gridCol w:w="132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3D3D3"/>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合同资产的账面价值在本期内发生的重大变动金额和原因：</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4"/>
        <w:gridCol w:w="2419"/>
        <w:gridCol w:w="4944"/>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right="1128"/>
        <w:jc w:val="left"/>
      </w:pPr>
      <w:r>
        <w:rPr/>
        <w:t>如是按照预期信用损失一般模型计提合同资产坏账准备，请参照其他应收款的披露方式披露坏账准备的相关信息：</w:t>
      </w:r>
    </w:p>
    <w:p>
      <w:pPr>
        <w:pStyle w:val="BodyText"/>
        <w:spacing w:line="340" w:lineRule="auto" w:before="114"/>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41"/>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right="1128"/>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6"/>
        <w:gridCol w:w="1368"/>
        <w:gridCol w:w="1366"/>
        <w:gridCol w:w="1368"/>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22,707,410.91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8,449,939.60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1,765,764.03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2,024,698.71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1,038,937.71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待摊广告费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14,503,111.97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15,341,196.69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融资中介机构费用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3,584,905.65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400,979.06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423,441.65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39,636,273.01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30,604,185.33</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28"/>
        <w:jc w:val="left"/>
      </w:pPr>
      <w:r>
        <w:rPr/>
        <w:t>重要的债权投资</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1128"/>
        <w:jc w:val="left"/>
      </w:pPr>
      <w:r>
        <w:rPr/>
        <w:t>减值准备计提情况</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0"/>
        <w:ind w:right="1128"/>
        <w:jc w:val="left"/>
      </w:pPr>
      <w:r>
        <w:rPr/>
        <w:t>损失准备本期变动金额重大的账面余额变动情况</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4"/>
        <w:gridCol w:w="1034"/>
        <w:gridCol w:w="1034"/>
        <w:gridCol w:w="1034"/>
        <w:gridCol w:w="1032"/>
        <w:gridCol w:w="1034"/>
        <w:gridCol w:w="1037"/>
      </w:tblGrid>
      <w:tr>
        <w:trPr>
          <w:trHeight w:val="355" w:hRule="exact"/>
        </w:trPr>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累计在其他</w:t>
            </w:r>
          </w:p>
        </w:tc>
        <w:tc>
          <w:tcPr>
            <w:tcW w:w="10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1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42" w:right="57"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5" w:right="57"/>
              <w:jc w:val="left"/>
              <w:rPr>
                <w:rFonts w:ascii="宋体" w:hAnsi="宋体" w:cs="宋体" w:eastAsia="宋体" w:hint="default"/>
                <w:sz w:val="18"/>
                <w:szCs w:val="18"/>
              </w:rPr>
            </w:pPr>
            <w:r>
              <w:rPr>
                <w:rFonts w:ascii="宋体" w:hAnsi="宋体" w:cs="宋体" w:eastAsia="宋体" w:hint="default"/>
                <w:sz w:val="18"/>
                <w:szCs w:val="18"/>
              </w:rPr>
              <w:t>综合收益中 确认的损失</w:t>
            </w:r>
          </w:p>
        </w:tc>
        <w:tc>
          <w:tcPr>
            <w:tcW w:w="10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03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1128"/>
        <w:jc w:val="left"/>
      </w:pPr>
      <w:r>
        <w:rPr/>
        <w:t>重要的其他债权投资</w:t>
      </w:r>
    </w:p>
    <w:p>
      <w:pPr>
        <w:pStyle w:val="BodyText"/>
        <w:spacing w:line="240" w:lineRule="auto" w:before="117"/>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5"/>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1128"/>
        <w:jc w:val="left"/>
      </w:pPr>
      <w:r>
        <w:rPr/>
        <w:t>减值准备计提情况</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28"/>
        <w:jc w:val="left"/>
      </w:pPr>
      <w:r>
        <w:rPr/>
        <w:t>损失准备本期变动金额重大的账面余额变动情况</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1128"/>
        <w:jc w:val="left"/>
      </w:pPr>
      <w:r>
        <w:rPr/>
        <w:t>坏账准备减值情况</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28"/>
        <w:jc w:val="left"/>
      </w:pPr>
      <w:r>
        <w:rPr/>
        <w:t>损失准备本期变动金额重大的账面余额变动情况</w:t>
      </w:r>
    </w:p>
    <w:p>
      <w:pPr>
        <w:pStyle w:val="BodyText"/>
        <w:spacing w:line="240" w:lineRule="auto" w:before="115"/>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陕西永鑫 纸业包装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12,471,25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1,323,805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13,795,05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安徽吉宏 环保纸品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24,878,42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53,968,50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1,790,091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-80,637,0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19.75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中港包装 制品江苏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-1,154,63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1,154,632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53,968,50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1,959,264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-79,482,3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87.07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13,795,05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53,968,50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-79,482,3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13,795,05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分项披露本期非交易性权益工具投资</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8" w:right="45"/>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448,336,953.86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369,296,773.07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448,336,953.86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369,296,773.07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180,130,360.72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393,098,660.32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4,927,236.83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21,565,852.26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599,722,110.13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56,896,922.85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114,646,207.30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3,672,647.54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8,117,628.21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183,333,405.90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44,035,526.76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1,710,408.42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4,295,181.82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50,041,117.00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4,413,261.09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12,446,085.31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2,477.88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1,430,062.98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18,291,887.26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52,483,661.76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58,164,595.23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1,959,761.24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2,392,383.41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115,000,401.64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32,540,681.73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849,992.99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348,251.15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33,738,925.87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32,540,681.73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849,992.99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348,251.15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33,738,925.87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237,027,283.57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475,204,185.89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7,749,891.38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29,335,229.32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749,316,590.16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34,150,718.67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180,385,299.34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2,935,572.80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11,428,312.18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228,899,902.99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16,884,710.03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61,313,297.35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1,776,199.18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4,871,368.72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84,845,575.28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8,826,149.15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41,260,941.73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722,909.49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3,757,735.18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54,567,735.55</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8,058,560.88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20,052,355.62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1,053,289.69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1,113,633.54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30,277,839.73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14,958,149.92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707,716.03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255,536.95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15,921,402.90</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14,958,149.92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707,716.03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255,536.95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15,921,402.90</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51,035,428.70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226,740,446.77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4,004,055.95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16,044,143.95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297,824,075.37</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1,525,434.07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1,525,434.07</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3,155,560.93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3,155,560.93</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3,155,560.93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3,155,560.93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1,525,434.07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1,525,434.07</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1,525,434.07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1,525,434.07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3,155,560.93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3,155,560.93</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185,991,854.87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245,308,178.19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3,745,835.43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13,291,085.37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448,336,953.86</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145,979,642.05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211,187,926.91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1,991,664.03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10,137,540.08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369,296,773.07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96,776,924.22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41,055,906.15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55,721,018.07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96,776,924.22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41,055,906.15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55,721,018.07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2"/>
        <w:rPr>
          <w:rFonts w:ascii="宋体" w:hAnsi="宋体" w:cs="宋体" w:eastAsia="宋体" w:hint="default"/>
          <w:sz w:val="28"/>
          <w:szCs w:val="28"/>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57;top:14;width:24;height:392" coordorigin="4757,14" coordsize="24,392">
              <v:shape style="position:absolute;left:4757;top:14;width:24;height:392" coordorigin="4757,14" coordsize="24,392" path="m4757,406l4781,406,4781,14,4757,14,4757,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4;height:392" coordorigin="34,14" coordsize="4724,392">
              <v:shape style="position:absolute;left:34;top:14;width:4724;height:392" coordorigin="34,14" coordsize="4724,392" path="m34,14l4757,14,4757,406,34,406,34,14xe" filled="true" fillcolor="#d3d3d3" stroked="false">
                <v:path arrowok="t"/>
                <v:fill type="solid"/>
              </v:shape>
            </v:group>
            <v:group style="position:absolute;left:4790;top:14;width:24;height:392" coordorigin="4790,14" coordsize="24,392">
              <v:shape style="position:absolute;left:4790;top:14;width:24;height:392" coordorigin="4790,14" coordsize="24,392" path="m4790,406l4814,406,4814,14,4790,14,4790,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4;top:14;width:4731;height:392" coordorigin="4814,14" coordsize="4731,392">
              <v:shape style="position:absolute;left:4814;top:14;width:4731;height:392" coordorigin="4814,14" coordsize="4731,392" path="m4814,14l9545,14,9545,406,4814,406,4814,14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9;height:2" coordorigin="4790,10" coordsize="4779,2">
              <v:shape style="position:absolute;left:4790;top:10;width:4779;height:2" coordorigin="4790,10" coordsize="4779,0" path="m4790,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9;height:2" coordorigin="4790,413" coordsize="4779,2">
              <v:shape style="position:absolute;left:4790;top:413;width:4779;height:2" coordorigin="4790,413" coordsize="4779,0" path="m4790,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5;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6;top:10;width:4788;height:402"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呼市吉宏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4,270,434.00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120,381,641.88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4,929,599.88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120,381,641.88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4,929,599.88</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宁夏年产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 平方米环保包装 智能工厂项目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90,700,477.60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90,700,477.60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廊坊年产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 平方米包装盒 </w:t>
            </w:r>
            <w:r>
              <w:rPr>
                <w:rFonts w:ascii="Times New Roman" w:hAnsi="Times New Roman" w:cs="Times New Roman" w:eastAsia="Times New Roman" w:hint="default"/>
                <w:sz w:val="18"/>
                <w:szCs w:val="18"/>
              </w:rPr>
              <w:t>(</w:t>
            </w:r>
            <w:r>
              <w:rPr>
                <w:rFonts w:ascii="宋体" w:hAnsi="宋体" w:cs="宋体" w:eastAsia="宋体" w:hint="default"/>
                <w:sz w:val="18"/>
                <w:szCs w:val="18"/>
              </w:rPr>
              <w:t>箱</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亿个 环保纸杯项目工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19,462,817.71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19,462,817.71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236,783.02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236,783.02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9,853,906.24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9,853,906.24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4,408,298.86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4,408,298.86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孝感吉宏厂房设 计勘察费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284,518.00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284,518.00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284,518.00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284,518.00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消防水池工程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79,922.33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79,922.33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120,381,641.88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120,381,641.88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4,929,599.88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4,929,599.88</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1"/>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宁夏年</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56"/>
              <w:jc w:val="both"/>
              <w:rPr>
                <w:rFonts w:ascii="宋体" w:hAnsi="宋体" w:cs="宋体" w:eastAsia="宋体" w:hint="default"/>
                <w:sz w:val="18"/>
                <w:szCs w:val="18"/>
              </w:rPr>
            </w:pPr>
            <w:r>
              <w:rPr>
                <w:rFonts w:ascii="宋体" w:hAnsi="宋体" w:cs="宋体" w:eastAsia="宋体" w:hint="default"/>
                <w:sz w:val="18"/>
                <w:szCs w:val="18"/>
              </w:rPr>
              <w:t>平方米 环保包 装智能</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186" w:right="0"/>
              <w:jc w:val="center"/>
              <w:rPr>
                <w:rFonts w:ascii="Times New Roman" w:hAnsi="Times New Roman" w:cs="Times New Roman" w:eastAsia="Times New Roman" w:hint="default"/>
                <w:sz w:val="18"/>
                <w:szCs w:val="18"/>
              </w:rPr>
            </w:pPr>
            <w:r>
              <w:rPr>
                <w:rFonts w:ascii="Times New Roman"/>
                <w:sz w:val="18"/>
              </w:rPr>
              <w:t>000.00</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90,700,4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77.60</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90,700,4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77.60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Times New Roman" w:hAnsi="Times New Roman" w:cs="Times New Roman" w:eastAsia="Times New Roman" w:hint="default"/>
                <w:sz w:val="18"/>
                <w:szCs w:val="18"/>
              </w:rPr>
            </w:pPr>
            <w:r>
              <w:rPr>
                <w:rFonts w:ascii="Times New Roman"/>
                <w:sz w:val="18"/>
              </w:rPr>
              <w:t>71.86%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工厂项</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廊坊年</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8500</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万平方</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36"/>
              <w:jc w:val="left"/>
              <w:rPr>
                <w:rFonts w:ascii="宋体" w:hAnsi="宋体" w:cs="宋体" w:eastAsia="宋体" w:hint="default"/>
                <w:sz w:val="18"/>
                <w:szCs w:val="18"/>
              </w:rPr>
            </w:pPr>
            <w:r>
              <w:rPr>
                <w:rFonts w:ascii="宋体" w:hAnsi="宋体" w:cs="宋体" w:eastAsia="宋体" w:hint="default"/>
                <w:sz w:val="18"/>
                <w:szCs w:val="18"/>
              </w:rPr>
              <w:t>米包装 盒</w:t>
            </w:r>
            <w:r>
              <w:rPr>
                <w:rFonts w:ascii="Times New Roman" w:hAnsi="Times New Roman" w:cs="Times New Roman" w:eastAsia="Times New Roman" w:hint="default"/>
                <w:sz w:val="18"/>
                <w:szCs w:val="18"/>
              </w:rPr>
              <w:t>(</w:t>
            </w:r>
            <w:r>
              <w:rPr>
                <w:rFonts w:ascii="宋体" w:hAnsi="宋体" w:cs="宋体" w:eastAsia="宋体" w:hint="default"/>
                <w:sz w:val="18"/>
                <w:szCs w:val="18"/>
              </w:rPr>
              <w:t>箱</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273,938,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236,783.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19,226,0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34.69</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19,462,8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7.10%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未完工</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个环保</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纸杯项</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目工程</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423,938,</w:t>
            </w:r>
          </w:p>
          <w:p>
            <w:pPr>
              <w:pStyle w:val="TableParagraph"/>
              <w:spacing w:line="240" w:lineRule="auto" w:before="102"/>
              <w:ind w:left="186"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236,783.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109,926,</w:t>
            </w:r>
          </w:p>
          <w:p>
            <w:pPr>
              <w:pStyle w:val="TableParagraph"/>
              <w:spacing w:line="240" w:lineRule="auto" w:before="102"/>
              <w:ind w:left="186" w:right="0"/>
              <w:jc w:val="center"/>
              <w:rPr>
                <w:rFonts w:ascii="Times New Roman" w:hAnsi="Times New Roman" w:cs="Times New Roman" w:eastAsia="Times New Roman" w:hint="default"/>
                <w:sz w:val="18"/>
                <w:szCs w:val="18"/>
              </w:rPr>
            </w:pPr>
            <w:r>
              <w:rPr>
                <w:rFonts w:ascii="Times New Roman"/>
                <w:sz w:val="18"/>
              </w:rPr>
              <w:t>512.29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110,163,</w:t>
            </w:r>
          </w:p>
          <w:p>
            <w:pPr>
              <w:pStyle w:val="TableParagraph"/>
              <w:spacing w:line="240" w:lineRule="auto" w:before="102"/>
              <w:ind w:left="186" w:right="0"/>
              <w:jc w:val="center"/>
              <w:rPr>
                <w:rFonts w:ascii="Times New Roman" w:hAnsi="Times New Roman" w:cs="Times New Roman" w:eastAsia="Times New Roman" w:hint="default"/>
                <w:sz w:val="18"/>
                <w:szCs w:val="18"/>
              </w:rPr>
            </w:pPr>
            <w:r>
              <w:rPr>
                <w:rFonts w:ascii="Times New Roman"/>
                <w:sz w:val="18"/>
              </w:rPr>
              <w:t>295.31</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5"/>
        <w:gridCol w:w="1193"/>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3D3D3"/>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28"/>
        <w:jc w:val="left"/>
      </w:pPr>
      <w:r>
        <w:rPr/>
        <w:t>其他说明：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7"/>
        <w:ind w:right="1128"/>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70,699,925.97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253,089.85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2,452,883.23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99,905,899.05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23,298,961.22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6,104,500.00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2,791,131.82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32,194,593.04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15,480,900.00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2,683,373.20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18,164,273.20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7,818,061.22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6,104,500.00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107,758.62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14,030,319.84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282,857.60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282,857.60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282,857.60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282,857.60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93,998,887.19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6,357,589.85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4,961,157.45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131,817,634.49</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81" w:header="745" w:top="1060" w:bottom="1180" w:left="980" w:right="0"/>
          <w:pgNumType w:start="1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6,746,576.08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85,348.58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1,257,527.68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2,208,333.34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10,297,785.68</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3,915,891.09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257,786.04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537,982.88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12,513,888.88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17,225,548.89</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3,273,428.25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257,786.04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523,016.38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12,513,888.88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16,568,119.55</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企</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642,462.84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14,966.50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657,429.34</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125,692.23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125,692.23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125,692.23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125,692.23</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10,662,467.17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343,134.62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1,669,818.33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14,722,222.22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27,397,642.34</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83,336,420.02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6,014,455.23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3,291,339.12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11,777,777.78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104,419,992.15</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63,953,349.89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167,741.27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1,195,355.55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24,291,666.66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89,608,113.37</w:t>
            </w:r>
          </w:p>
        </w:tc>
      </w:tr>
    </w:tbl>
    <w:p>
      <w:pPr>
        <w:pStyle w:val="BodyText"/>
        <w:spacing w:line="240" w:lineRule="auto" w:before="49"/>
        <w:ind w:right="1128"/>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孝感吉宏土地使用权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8,842,709.20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1128"/>
        <w:jc w:val="left"/>
      </w:pPr>
      <w:r>
        <w:rPr/>
        <w:t>其他说明：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3"/>
        <w:gridCol w:w="1063"/>
        <w:gridCol w:w="1063"/>
        <w:gridCol w:w="1063"/>
        <w:gridCol w:w="1061"/>
        <w:gridCol w:w="1063"/>
        <w:gridCol w:w="1063"/>
      </w:tblGrid>
      <w:tr>
        <w:trPr>
          <w:trHeight w:val="403"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8"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7"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hanging="1"/>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北京龙域之星科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143,215,304.72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143,215,304.72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济南吉联包装有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1,665,318.16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1,665,318.16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成都渡佳电子商 务有限公司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4,055.00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144,880,622.88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144,884,677.88</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1128"/>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spacing w:line="240" w:lineRule="auto" w:before="7"/>
        <w:rPr>
          <w:rFonts w:ascii="宋体" w:hAnsi="宋体" w:cs="宋体" w:eastAsia="宋体" w:hint="default"/>
          <w:sz w:val="18"/>
          <w:szCs w:val="18"/>
        </w:rPr>
      </w:pPr>
    </w:p>
    <w:p>
      <w:pPr>
        <w:pStyle w:val="BodyText"/>
        <w:spacing w:line="316" w:lineRule="auto"/>
        <w:ind w:right="0" w:firstLine="360"/>
        <w:jc w:val="left"/>
      </w:pPr>
      <w:r>
        <w:rPr/>
        <w:t>本公司年末对北京龙域的商誉相关的各项资产组进行了减值测试，首先将该商誉及归属于少数股东权益的商誉包括在 </w:t>
      </w:r>
      <w:r>
        <w:rPr>
          <w:spacing w:val="-2"/>
        </w:rPr>
        <w:t>内，调整各资产组的账面价值，然后将调整后的各资产组账面价值与可回收金额进行比较，以确认各资产组（包括商誉）是</w:t>
      </w:r>
    </w:p>
    <w:p>
      <w:pPr>
        <w:spacing w:after="0" w:line="316"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否发生了减值。具体计算如下：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5808"/>
        <w:gridCol w:w="2981"/>
      </w:tblGrid>
      <w:tr>
        <w:trPr>
          <w:trHeight w:val="355" w:hRule="exact"/>
        </w:trPr>
        <w:tc>
          <w:tcPr>
            <w:tcW w:w="5808" w:type="dxa"/>
            <w:tcBorders>
              <w:top w:val="single" w:sz="6" w:space="0" w:color="000000"/>
              <w:left w:val="single" w:sz="8" w:space="0" w:color="000000"/>
              <w:bottom w:val="single" w:sz="12"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981" w:type="dxa"/>
            <w:tcBorders>
              <w:top w:val="single" w:sz="6" w:space="0" w:color="000000"/>
              <w:left w:val="single" w:sz="8" w:space="0" w:color="000000"/>
              <w:bottom w:val="single" w:sz="12"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b/>
                <w:bCs/>
                <w:sz w:val="18"/>
                <w:szCs w:val="18"/>
              </w:rPr>
              <w:t>北京龙域</w:t>
            </w:r>
            <w:r>
              <w:rPr>
                <w:rFonts w:ascii="宋体" w:hAnsi="宋体" w:cs="宋体" w:eastAsia="宋体" w:hint="default"/>
                <w:sz w:val="18"/>
                <w:szCs w:val="18"/>
              </w:rPr>
            </w:r>
          </w:p>
        </w:tc>
      </w:tr>
      <w:tr>
        <w:trPr>
          <w:trHeight w:val="350"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2981" w:type="dxa"/>
            <w:tcBorders>
              <w:top w:val="single" w:sz="12" w:space="0" w:color="000000"/>
              <w:left w:val="single" w:sz="8" w:space="0" w:color="000000"/>
              <w:bottom w:val="single" w:sz="12" w:space="0" w:color="000000"/>
              <w:right w:val="nil" w:sz="6" w:space="0" w:color="auto"/>
            </w:tcBorders>
          </w:tcPr>
          <w:p>
            <w:pPr/>
          </w:p>
        </w:tc>
      </w:tr>
      <w:tr>
        <w:trPr>
          <w:trHeight w:val="353"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2981"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w w:val="95"/>
                <w:sz w:val="18"/>
              </w:rPr>
              <w:t>143,215,304.72</w:t>
            </w:r>
          </w:p>
        </w:tc>
      </w:tr>
      <w:tr>
        <w:trPr>
          <w:trHeight w:val="353"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2981" w:type="dxa"/>
            <w:tcBorders>
              <w:top w:val="single" w:sz="12" w:space="0" w:color="000000"/>
              <w:left w:val="single" w:sz="8" w:space="0" w:color="000000"/>
              <w:bottom w:val="single" w:sz="12" w:space="0" w:color="000000"/>
              <w:right w:val="nil" w:sz="6" w:space="0" w:color="auto"/>
            </w:tcBorders>
          </w:tcPr>
          <w:p>
            <w:pPr/>
          </w:p>
        </w:tc>
      </w:tr>
      <w:tr>
        <w:trPr>
          <w:trHeight w:val="350"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2981"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5"/>
                <w:sz w:val="18"/>
              </w:rPr>
              <w:t>143,215,304.72</w:t>
            </w:r>
          </w:p>
        </w:tc>
      </w:tr>
      <w:tr>
        <w:trPr>
          <w:trHeight w:val="353"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未确认归属少数股东权益的商誉价值④</w:t>
            </w:r>
          </w:p>
        </w:tc>
        <w:tc>
          <w:tcPr>
            <w:tcW w:w="2981" w:type="dxa"/>
            <w:tcBorders>
              <w:top w:val="single" w:sz="12" w:space="0" w:color="000000"/>
              <w:left w:val="single" w:sz="8" w:space="0" w:color="000000"/>
              <w:bottom w:val="single" w:sz="12" w:space="0" w:color="000000"/>
              <w:right w:val="nil" w:sz="6" w:space="0" w:color="auto"/>
            </w:tcBorders>
          </w:tcPr>
          <w:p>
            <w:pPr/>
          </w:p>
        </w:tc>
      </w:tr>
      <w:tr>
        <w:trPr>
          <w:trHeight w:val="353"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包含未确认归属少数股权权益的商誉价值⑤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p>
        </w:tc>
        <w:tc>
          <w:tcPr>
            <w:tcW w:w="2981"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5"/>
                <w:sz w:val="18"/>
              </w:rPr>
              <w:t>143,215,304.72</w:t>
            </w:r>
          </w:p>
        </w:tc>
      </w:tr>
      <w:tr>
        <w:trPr>
          <w:trHeight w:val="350"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p>
        </w:tc>
        <w:tc>
          <w:tcPr>
            <w:tcW w:w="2981"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69,697,186.44</w:t>
            </w:r>
          </w:p>
        </w:tc>
      </w:tr>
      <w:tr>
        <w:trPr>
          <w:trHeight w:val="353"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包含整体商誉的资产组的公允价值⑦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2981"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3"/>
              <w:ind w:right="6"/>
              <w:jc w:val="right"/>
              <w:rPr>
                <w:rFonts w:ascii="Times New Roman" w:hAnsi="Times New Roman" w:cs="Times New Roman" w:eastAsia="Times New Roman" w:hint="default"/>
                <w:sz w:val="18"/>
                <w:szCs w:val="18"/>
              </w:rPr>
            </w:pPr>
            <w:r>
              <w:rPr>
                <w:rFonts w:ascii="Times New Roman"/>
                <w:w w:val="95"/>
                <w:sz w:val="18"/>
              </w:rPr>
              <w:t>212,912,491.16</w:t>
            </w:r>
          </w:p>
        </w:tc>
      </w:tr>
      <w:tr>
        <w:trPr>
          <w:trHeight w:val="353"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资产组预计可回收金额⑧</w:t>
            </w:r>
          </w:p>
        </w:tc>
        <w:tc>
          <w:tcPr>
            <w:tcW w:w="2981"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w w:val="95"/>
                <w:sz w:val="18"/>
              </w:rPr>
              <w:t>380,669,600.00</w:t>
            </w:r>
          </w:p>
        </w:tc>
      </w:tr>
      <w:tr>
        <w:trPr>
          <w:trHeight w:val="350"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时）⑨</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tc>
        <w:tc>
          <w:tcPr>
            <w:tcW w:w="2981" w:type="dxa"/>
            <w:tcBorders>
              <w:top w:val="single" w:sz="12" w:space="0" w:color="000000"/>
              <w:left w:val="single" w:sz="8" w:space="0" w:color="000000"/>
              <w:bottom w:val="single" w:sz="12" w:space="0" w:color="000000"/>
              <w:right w:val="nil" w:sz="6" w:space="0" w:color="auto"/>
            </w:tcBorders>
          </w:tcPr>
          <w:p>
            <w:pPr/>
          </w:p>
        </w:tc>
      </w:tr>
      <w:tr>
        <w:trPr>
          <w:trHeight w:val="353" w:hRule="exact"/>
        </w:trPr>
        <w:tc>
          <w:tcPr>
            <w:tcW w:w="580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不包含归属少数股东权益的商誉减值损失</w:t>
            </w:r>
          </w:p>
        </w:tc>
        <w:tc>
          <w:tcPr>
            <w:tcW w:w="2981" w:type="dxa"/>
            <w:tcBorders>
              <w:top w:val="single" w:sz="12" w:space="0" w:color="000000"/>
              <w:left w:val="single" w:sz="8"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532" w:lineRule="auto" w:before="44"/>
        <w:ind w:left="512" w:right="6703"/>
        <w:jc w:val="left"/>
      </w:pPr>
      <w:r>
        <w:rPr/>
        <w:t>（</w:t>
      </w:r>
      <w:r>
        <w:rPr>
          <w:rFonts w:ascii="Times New Roman" w:hAnsi="Times New Roman" w:cs="Times New Roman" w:eastAsia="Times New Roman" w:hint="default"/>
        </w:rPr>
        <w:t>3</w:t>
      </w:r>
      <w:r>
        <w:rPr/>
        <w:t>）商誉所在资产组或资产组组合的相关信息 经营性资产。</w:t>
      </w:r>
    </w:p>
    <w:p>
      <w:pPr>
        <w:pStyle w:val="BodyText"/>
        <w:spacing w:line="240" w:lineRule="auto" w:before="97"/>
        <w:ind w:left="512" w:right="1128"/>
        <w:jc w:val="left"/>
      </w:pPr>
      <w:r>
        <w:rPr/>
        <w:t>（</w:t>
      </w:r>
      <w:r>
        <w:rPr>
          <w:rFonts w:ascii="Times New Roman" w:hAnsi="Times New Roman" w:cs="Times New Roman" w:eastAsia="Times New Roman" w:hint="default"/>
        </w:rPr>
        <w:t>4</w:t>
      </w:r>
      <w:r>
        <w:rPr/>
        <w:t>）商誉减值测试过程、参数及商誉减值损失的确认方法</w:t>
      </w:r>
    </w:p>
    <w:p>
      <w:pPr>
        <w:spacing w:line="240" w:lineRule="auto" w:before="13"/>
        <w:rPr>
          <w:rFonts w:ascii="宋体" w:hAnsi="宋体" w:cs="宋体" w:eastAsia="宋体" w:hint="default"/>
          <w:sz w:val="13"/>
          <w:szCs w:val="13"/>
        </w:rPr>
      </w:pPr>
    </w:p>
    <w:p>
      <w:pPr>
        <w:pStyle w:val="BodyText"/>
        <w:spacing w:line="240" w:lineRule="auto"/>
        <w:ind w:left="512" w:right="1128"/>
        <w:jc w:val="left"/>
      </w:pPr>
      <w:r>
        <w:rPr>
          <w:rFonts w:ascii="Times New Roman" w:hAnsi="Times New Roman" w:cs="Times New Roman" w:eastAsia="Times New Roman" w:hint="default"/>
        </w:rPr>
        <w:t>1</w:t>
      </w:r>
      <w:r>
        <w:rPr/>
        <w:t>）重要假设及依据</w:t>
      </w:r>
    </w:p>
    <w:p>
      <w:pPr>
        <w:spacing w:line="240" w:lineRule="auto" w:before="13"/>
        <w:rPr>
          <w:rFonts w:ascii="宋体" w:hAnsi="宋体" w:cs="宋体" w:eastAsia="宋体" w:hint="default"/>
          <w:sz w:val="13"/>
          <w:szCs w:val="13"/>
        </w:rPr>
      </w:pPr>
    </w:p>
    <w:p>
      <w:pPr>
        <w:pStyle w:val="BodyText"/>
        <w:spacing w:line="316" w:lineRule="auto"/>
        <w:ind w:right="1128" w:firstLine="360"/>
        <w:jc w:val="left"/>
      </w:pPr>
      <w:r>
        <w:rPr>
          <w:spacing w:val="-2"/>
        </w:rPr>
        <w:t>①假设被评估单位持续性经营，并在经营范围、销售模式和渠道、管理层等影响到生产和经营的关键方面与目前情况无</w:t>
      </w:r>
      <w:r>
        <w:rPr/>
        <w:t> 重大变化；</w:t>
      </w:r>
    </w:p>
    <w:p>
      <w:pPr>
        <w:pStyle w:val="BodyText"/>
        <w:spacing w:line="300" w:lineRule="auto" w:before="139"/>
        <w:ind w:right="1128" w:firstLine="360"/>
        <w:jc w:val="left"/>
      </w:pPr>
      <w:r>
        <w:rPr/>
        <w:t>②假设被评估单位所处的社会经济环境不产生较大的变化</w:t>
      </w:r>
      <w:r>
        <w:rPr>
          <w:rFonts w:ascii="Times New Roman" w:hAnsi="Times New Roman" w:cs="Times New Roman" w:eastAsia="Times New Roman" w:hint="default"/>
        </w:rPr>
        <w:t>,</w:t>
      </w:r>
      <w:r>
        <w:rPr/>
        <w:t>国家及公司所在的地区有关法律、法规、政策与现时无重大 变化；</w:t>
      </w:r>
    </w:p>
    <w:p>
      <w:pPr>
        <w:pStyle w:val="BodyText"/>
        <w:spacing w:line="319" w:lineRule="auto" w:before="151"/>
        <w:ind w:right="1033" w:firstLine="360"/>
        <w:jc w:val="left"/>
      </w:pPr>
      <w:r>
        <w:rPr/>
        <w:t>③假设被评估单位经营范围、经营方式、管理模式等在保持一贯性的基础上不断改进、不断完善，能随着经济的发展， 进行适时调整和创新；</w:t>
      </w:r>
    </w:p>
    <w:p>
      <w:pPr>
        <w:pStyle w:val="BodyText"/>
        <w:spacing w:line="316" w:lineRule="auto" w:before="137"/>
        <w:ind w:right="1128" w:firstLine="360"/>
        <w:jc w:val="left"/>
      </w:pPr>
      <w:r>
        <w:rPr>
          <w:spacing w:val="-2"/>
        </w:rPr>
        <w:t>④假设被评估单位所提供的各种产品能适应市场需求，制定的目标和措施能按预定的时间和进度如期实现，并取得预期</w:t>
      </w:r>
      <w:r>
        <w:rPr/>
        <w:t> 效益；</w:t>
      </w:r>
    </w:p>
    <w:p>
      <w:pPr>
        <w:pStyle w:val="BodyText"/>
        <w:spacing w:line="240" w:lineRule="auto" w:before="139"/>
        <w:ind w:left="512" w:right="1128"/>
        <w:jc w:val="left"/>
      </w:pPr>
      <w:r>
        <w:rPr/>
        <w:t>⑤假设利率、汇率、赋税基准及税率，在国家规定的正常范围内无重大变化等。</w:t>
      </w:r>
    </w:p>
    <w:p>
      <w:pPr>
        <w:spacing w:line="240" w:lineRule="auto" w:before="0"/>
        <w:rPr>
          <w:rFonts w:ascii="宋体" w:hAnsi="宋体" w:cs="宋体" w:eastAsia="宋体" w:hint="default"/>
          <w:sz w:val="15"/>
          <w:szCs w:val="15"/>
        </w:rPr>
      </w:pPr>
    </w:p>
    <w:p>
      <w:pPr>
        <w:pStyle w:val="BodyText"/>
        <w:spacing w:line="240" w:lineRule="auto"/>
        <w:ind w:left="512" w:right="1128"/>
        <w:jc w:val="left"/>
      </w:pPr>
      <w:r>
        <w:rPr/>
        <w:t>（</w:t>
      </w:r>
      <w:r>
        <w:rPr>
          <w:rFonts w:ascii="Times New Roman" w:hAnsi="Times New Roman" w:cs="Times New Roman" w:eastAsia="Times New Roman" w:hint="default"/>
        </w:rPr>
        <w:t>5</w:t>
      </w:r>
      <w:r>
        <w:rPr/>
        <w:t>）收益法评估采用的关键参数</w:t>
      </w:r>
    </w:p>
    <w:p>
      <w:pPr>
        <w:spacing w:line="240" w:lineRule="auto" w:before="13"/>
        <w:rPr>
          <w:rFonts w:ascii="宋体" w:hAnsi="宋体" w:cs="宋体" w:eastAsia="宋体" w:hint="default"/>
          <w:sz w:val="13"/>
          <w:szCs w:val="13"/>
        </w:rPr>
      </w:pPr>
    </w:p>
    <w:p>
      <w:pPr>
        <w:pStyle w:val="BodyText"/>
        <w:spacing w:line="240" w:lineRule="auto"/>
        <w:ind w:left="512" w:right="1128"/>
        <w:jc w:val="left"/>
      </w:pPr>
      <w:r>
        <w:rPr>
          <w:rFonts w:ascii="Times New Roman" w:hAnsi="Times New Roman" w:cs="Times New Roman" w:eastAsia="Times New Roman" w:hint="default"/>
        </w:rPr>
        <w:t>1</w:t>
      </w:r>
      <w:r>
        <w:rPr/>
        <w:t>）收入综合增长率</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1224"/>
        <w:gridCol w:w="991"/>
        <w:gridCol w:w="922"/>
        <w:gridCol w:w="924"/>
        <w:gridCol w:w="922"/>
        <w:gridCol w:w="1039"/>
        <w:gridCol w:w="986"/>
        <w:gridCol w:w="986"/>
        <w:gridCol w:w="730"/>
      </w:tblGrid>
      <w:tr>
        <w:trPr>
          <w:trHeight w:val="662" w:hRule="exact"/>
        </w:trPr>
        <w:tc>
          <w:tcPr>
            <w:tcW w:w="1224"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0"/>
              <w:ind w:left="424" w:right="329" w:hanging="89"/>
              <w:jc w:val="left"/>
              <w:rPr>
                <w:rFonts w:ascii="宋体" w:hAnsi="宋体" w:cs="宋体" w:eastAsia="宋体" w:hint="default"/>
                <w:sz w:val="18"/>
                <w:szCs w:val="18"/>
              </w:rPr>
            </w:pPr>
            <w:r>
              <w:rPr>
                <w:rFonts w:ascii="宋体" w:hAnsi="宋体" w:cs="宋体" w:eastAsia="宋体" w:hint="default"/>
                <w:b/>
                <w:bCs/>
                <w:sz w:val="18"/>
                <w:szCs w:val="18"/>
              </w:rPr>
              <w:t>资产组</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99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2020</w:t>
            </w:r>
            <w:r>
              <w:rPr>
                <w:rFonts w:ascii="宋体" w:hAnsi="宋体" w:cs="宋体" w:eastAsia="宋体" w:hint="default"/>
                <w:b/>
                <w:bCs/>
                <w:sz w:val="18"/>
                <w:szCs w:val="18"/>
              </w:rPr>
              <w:t>年</w:t>
            </w:r>
            <w:r>
              <w:rPr>
                <w:rFonts w:ascii="宋体" w:hAnsi="宋体" w:cs="宋体" w:eastAsia="宋体" w:hint="default"/>
                <w:sz w:val="18"/>
                <w:szCs w:val="18"/>
              </w:rPr>
            </w:r>
          </w:p>
        </w:tc>
        <w:tc>
          <w:tcPr>
            <w:tcW w:w="9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2021</w:t>
            </w:r>
            <w:r>
              <w:rPr>
                <w:rFonts w:ascii="宋体" w:hAnsi="宋体" w:cs="宋体" w:eastAsia="宋体" w:hint="default"/>
                <w:b/>
                <w:bCs/>
                <w:sz w:val="18"/>
                <w:szCs w:val="18"/>
              </w:rPr>
              <w:t>年</w:t>
            </w:r>
            <w:r>
              <w:rPr>
                <w:rFonts w:ascii="宋体" w:hAnsi="宋体" w:cs="宋体" w:eastAsia="宋体" w:hint="default"/>
                <w:sz w:val="18"/>
                <w:szCs w:val="18"/>
              </w:rPr>
            </w:r>
          </w:p>
        </w:tc>
        <w:tc>
          <w:tcPr>
            <w:tcW w:w="9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2022</w:t>
            </w:r>
            <w:r>
              <w:rPr>
                <w:rFonts w:ascii="宋体" w:hAnsi="宋体" w:cs="宋体" w:eastAsia="宋体" w:hint="default"/>
                <w:b/>
                <w:bCs/>
                <w:sz w:val="18"/>
                <w:szCs w:val="18"/>
              </w:rPr>
              <w:t>年</w:t>
            </w:r>
            <w:r>
              <w:rPr>
                <w:rFonts w:ascii="宋体" w:hAnsi="宋体" w:cs="宋体" w:eastAsia="宋体" w:hint="default"/>
                <w:sz w:val="18"/>
                <w:szCs w:val="18"/>
              </w:rPr>
            </w:r>
          </w:p>
        </w:tc>
        <w:tc>
          <w:tcPr>
            <w:tcW w:w="9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2023</w:t>
            </w:r>
            <w:r>
              <w:rPr>
                <w:rFonts w:ascii="宋体" w:hAnsi="宋体" w:cs="宋体" w:eastAsia="宋体" w:hint="default"/>
                <w:b/>
                <w:bCs/>
                <w:sz w:val="18"/>
                <w:szCs w:val="18"/>
              </w:rPr>
              <w:t>年</w:t>
            </w:r>
            <w:r>
              <w:rPr>
                <w:rFonts w:ascii="宋体" w:hAnsi="宋体" w:cs="宋体" w:eastAsia="宋体" w:hint="default"/>
                <w:sz w:val="18"/>
                <w:szCs w:val="18"/>
              </w:rPr>
            </w:r>
          </w:p>
        </w:tc>
        <w:tc>
          <w:tcPr>
            <w:tcW w:w="103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right="240"/>
              <w:jc w:val="righ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2024</w:t>
            </w:r>
            <w:r>
              <w:rPr>
                <w:rFonts w:ascii="宋体" w:hAnsi="宋体" w:cs="宋体" w:eastAsia="宋体" w:hint="default"/>
                <w:b/>
                <w:bCs/>
                <w:spacing w:val="-1"/>
                <w:sz w:val="18"/>
                <w:szCs w:val="18"/>
              </w:rPr>
              <w:t>年</w:t>
            </w:r>
            <w:r>
              <w:rPr>
                <w:rFonts w:ascii="宋体" w:hAnsi="宋体" w:cs="宋体" w:eastAsia="宋体" w:hint="default"/>
                <w:spacing w:val="-1"/>
                <w:sz w:val="18"/>
                <w:szCs w:val="18"/>
              </w:rPr>
            </w:r>
          </w:p>
        </w:tc>
        <w:tc>
          <w:tcPr>
            <w:tcW w:w="9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2025</w:t>
            </w:r>
            <w:r>
              <w:rPr>
                <w:rFonts w:ascii="宋体" w:hAnsi="宋体" w:cs="宋体" w:eastAsia="宋体" w:hint="default"/>
                <w:b/>
                <w:bCs/>
                <w:sz w:val="18"/>
                <w:szCs w:val="18"/>
              </w:rPr>
              <w:t>年</w:t>
            </w:r>
            <w:r>
              <w:rPr>
                <w:rFonts w:ascii="宋体" w:hAnsi="宋体" w:cs="宋体" w:eastAsia="宋体" w:hint="default"/>
                <w:sz w:val="18"/>
                <w:szCs w:val="18"/>
              </w:rPr>
            </w:r>
          </w:p>
        </w:tc>
        <w:tc>
          <w:tcPr>
            <w:tcW w:w="9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2026</w:t>
            </w:r>
            <w:r>
              <w:rPr>
                <w:rFonts w:ascii="宋体" w:hAnsi="宋体" w:cs="宋体" w:eastAsia="宋体" w:hint="default"/>
                <w:b/>
                <w:bCs/>
                <w:sz w:val="18"/>
                <w:szCs w:val="18"/>
              </w:rPr>
              <w:t>年</w:t>
            </w:r>
            <w:r>
              <w:rPr>
                <w:rFonts w:ascii="宋体" w:hAnsi="宋体" w:cs="宋体" w:eastAsia="宋体" w:hint="default"/>
                <w:sz w:val="18"/>
                <w:szCs w:val="18"/>
              </w:rPr>
            </w:r>
          </w:p>
        </w:tc>
        <w:tc>
          <w:tcPr>
            <w:tcW w:w="730" w:type="dxa"/>
            <w:tcBorders>
              <w:top w:val="single" w:sz="6" w:space="0" w:color="000000"/>
              <w:left w:val="single" w:sz="6" w:space="0" w:color="000000"/>
              <w:bottom w:val="single" w:sz="8" w:space="0" w:color="000000"/>
              <w:right w:val="nil" w:sz="6" w:space="0" w:color="auto"/>
            </w:tcBorders>
          </w:tcPr>
          <w:p>
            <w:pPr>
              <w:pStyle w:val="TableParagraph"/>
              <w:spacing w:line="316" w:lineRule="auto" w:before="20"/>
              <w:ind w:left="268" w:right="91" w:hanging="183"/>
              <w:jc w:val="left"/>
              <w:rPr>
                <w:rFonts w:ascii="宋体" w:hAnsi="宋体" w:cs="宋体" w:eastAsia="宋体" w:hint="default"/>
                <w:sz w:val="18"/>
                <w:szCs w:val="18"/>
              </w:rPr>
            </w:pPr>
            <w:r>
              <w:rPr>
                <w:rFonts w:ascii="宋体" w:hAnsi="宋体" w:cs="宋体" w:eastAsia="宋体" w:hint="default"/>
                <w:b/>
                <w:bCs/>
                <w:sz w:val="18"/>
                <w:szCs w:val="18"/>
              </w:rPr>
              <w:t>永续年</w:t>
            </w:r>
            <w:r>
              <w:rPr>
                <w:rFonts w:ascii="宋体" w:hAnsi="宋体" w:cs="宋体" w:eastAsia="宋体" w:hint="default"/>
                <w:b/>
                <w:bCs/>
                <w:w w:val="99"/>
                <w:sz w:val="18"/>
                <w:szCs w:val="18"/>
              </w:rPr>
              <w:t> </w:t>
            </w:r>
            <w:r>
              <w:rPr>
                <w:rFonts w:ascii="宋体" w:hAnsi="宋体" w:cs="宋体" w:eastAsia="宋体" w:hint="default"/>
                <w:b/>
                <w:bCs/>
                <w:sz w:val="18"/>
                <w:szCs w:val="18"/>
              </w:rPr>
              <w:t>度</w:t>
            </w:r>
            <w:r>
              <w:rPr>
                <w:rFonts w:ascii="宋体" w:hAnsi="宋体" w:cs="宋体" w:eastAsia="宋体" w:hint="default"/>
                <w:sz w:val="18"/>
                <w:szCs w:val="18"/>
              </w:rPr>
            </w:r>
          </w:p>
        </w:tc>
      </w:tr>
      <w:tr>
        <w:trPr>
          <w:trHeight w:val="660" w:hRule="exact"/>
        </w:trPr>
        <w:tc>
          <w:tcPr>
            <w:tcW w:w="1224"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22"/>
              <w:jc w:val="left"/>
              <w:rPr>
                <w:rFonts w:ascii="宋体" w:hAnsi="宋体" w:cs="宋体" w:eastAsia="宋体" w:hint="default"/>
                <w:sz w:val="18"/>
                <w:szCs w:val="18"/>
              </w:rPr>
            </w:pPr>
            <w:r>
              <w:rPr>
                <w:rFonts w:ascii="宋体" w:hAnsi="宋体" w:cs="宋体" w:eastAsia="宋体" w:hint="default"/>
                <w:sz w:val="18"/>
                <w:szCs w:val="18"/>
              </w:rPr>
              <w:t>北京龙域之星 科技有限公司</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13.75%</w:t>
            </w:r>
          </w:p>
        </w:tc>
        <w:tc>
          <w:tcPr>
            <w:tcW w:w="9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5.50%</w:t>
            </w:r>
          </w:p>
        </w:tc>
        <w:tc>
          <w:tcPr>
            <w:tcW w:w="9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0.00%</w:t>
            </w:r>
          </w:p>
        </w:tc>
        <w:tc>
          <w:tcPr>
            <w:tcW w:w="9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0.00%</w:t>
            </w:r>
          </w:p>
        </w:tc>
        <w:tc>
          <w:tcPr>
            <w:tcW w:w="10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275"/>
              <w:jc w:val="right"/>
              <w:rPr>
                <w:rFonts w:ascii="Times New Roman" w:hAnsi="Times New Roman" w:cs="Times New Roman" w:eastAsia="Times New Roman" w:hint="default"/>
                <w:sz w:val="18"/>
                <w:szCs w:val="18"/>
              </w:rPr>
            </w:pPr>
            <w:r>
              <w:rPr>
                <w:rFonts w:ascii="Times New Roman"/>
                <w:sz w:val="18"/>
              </w:rPr>
              <w:t>0.00%</w:t>
            </w:r>
          </w:p>
        </w:tc>
        <w:tc>
          <w:tcPr>
            <w:tcW w:w="9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52" w:right="0"/>
              <w:jc w:val="left"/>
              <w:rPr>
                <w:rFonts w:ascii="Times New Roman" w:hAnsi="Times New Roman" w:cs="Times New Roman" w:eastAsia="Times New Roman" w:hint="default"/>
                <w:sz w:val="18"/>
                <w:szCs w:val="18"/>
              </w:rPr>
            </w:pPr>
            <w:r>
              <w:rPr>
                <w:rFonts w:ascii="Times New Roman"/>
                <w:sz w:val="18"/>
              </w:rPr>
              <w:t>0.00%</w:t>
            </w:r>
          </w:p>
        </w:tc>
        <w:tc>
          <w:tcPr>
            <w:tcW w:w="9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0.00%</w:t>
            </w:r>
          </w:p>
        </w:tc>
        <w:tc>
          <w:tcPr>
            <w:tcW w:w="7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124"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5"/>
        <w:rPr>
          <w:rFonts w:ascii="宋体" w:hAnsi="宋体" w:cs="宋体" w:eastAsia="宋体" w:hint="default"/>
          <w:sz w:val="6"/>
          <w:szCs w:val="6"/>
        </w:rPr>
      </w:pPr>
    </w:p>
    <w:p>
      <w:pPr>
        <w:pStyle w:val="BodyText"/>
        <w:spacing w:line="240" w:lineRule="auto" w:before="44"/>
        <w:ind w:left="512" w:right="1128"/>
        <w:jc w:val="left"/>
      </w:pPr>
      <w:r>
        <w:rPr>
          <w:rFonts w:ascii="Times New Roman" w:hAnsi="Times New Roman" w:cs="Times New Roman" w:eastAsia="Times New Roman" w:hint="default"/>
        </w:rPr>
        <w:t>2</w:t>
      </w:r>
      <w:r>
        <w:rPr/>
        <w:t>）预测期综合毛利率</w:t>
      </w:r>
    </w:p>
    <w:p>
      <w:pPr>
        <w:spacing w:line="240" w:lineRule="auto" w:before="4"/>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1178"/>
        <w:gridCol w:w="979"/>
        <w:gridCol w:w="917"/>
        <w:gridCol w:w="917"/>
        <w:gridCol w:w="919"/>
        <w:gridCol w:w="1025"/>
        <w:gridCol w:w="979"/>
        <w:gridCol w:w="982"/>
        <w:gridCol w:w="828"/>
      </w:tblGrid>
      <w:tr>
        <w:trPr>
          <w:trHeight w:val="350" w:hRule="exact"/>
        </w:trPr>
        <w:tc>
          <w:tcPr>
            <w:tcW w:w="117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12" w:right="0"/>
              <w:jc w:val="left"/>
              <w:rPr>
                <w:rFonts w:ascii="宋体" w:hAnsi="宋体" w:cs="宋体" w:eastAsia="宋体" w:hint="default"/>
                <w:sz w:val="18"/>
                <w:szCs w:val="18"/>
              </w:rPr>
            </w:pPr>
            <w:r>
              <w:rPr>
                <w:rFonts w:ascii="宋体" w:hAnsi="宋体" w:cs="宋体" w:eastAsia="宋体" w:hint="default"/>
                <w:b/>
                <w:bCs/>
                <w:sz w:val="18"/>
                <w:szCs w:val="18"/>
              </w:rPr>
              <w:t>资产组</w:t>
            </w:r>
            <w:r>
              <w:rPr>
                <w:rFonts w:ascii="宋体" w:hAnsi="宋体" w:cs="宋体" w:eastAsia="宋体" w:hint="default"/>
                <w:sz w:val="18"/>
                <w:szCs w:val="18"/>
              </w:rPr>
            </w:r>
          </w:p>
        </w:tc>
        <w:tc>
          <w:tcPr>
            <w:tcW w:w="97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2020</w:t>
            </w:r>
            <w:r>
              <w:rPr>
                <w:rFonts w:ascii="宋体" w:hAnsi="宋体" w:cs="宋体" w:eastAsia="宋体" w:hint="default"/>
                <w:b/>
                <w:bCs/>
                <w:sz w:val="18"/>
                <w:szCs w:val="18"/>
              </w:rPr>
              <w:t>年</w:t>
            </w:r>
            <w:r>
              <w:rPr>
                <w:rFonts w:ascii="宋体" w:hAnsi="宋体" w:cs="宋体" w:eastAsia="宋体" w:hint="default"/>
                <w:sz w:val="18"/>
                <w:szCs w:val="18"/>
              </w:rPr>
            </w:r>
          </w:p>
        </w:tc>
        <w:tc>
          <w:tcPr>
            <w:tcW w:w="91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2021</w:t>
            </w:r>
            <w:r>
              <w:rPr>
                <w:rFonts w:ascii="宋体" w:hAnsi="宋体" w:cs="宋体" w:eastAsia="宋体" w:hint="default"/>
                <w:b/>
                <w:bCs/>
                <w:sz w:val="18"/>
                <w:szCs w:val="18"/>
              </w:rPr>
              <w:t>年</w:t>
            </w:r>
            <w:r>
              <w:rPr>
                <w:rFonts w:ascii="宋体" w:hAnsi="宋体" w:cs="宋体" w:eastAsia="宋体" w:hint="default"/>
                <w:sz w:val="18"/>
                <w:szCs w:val="18"/>
              </w:rPr>
            </w:r>
          </w:p>
        </w:tc>
        <w:tc>
          <w:tcPr>
            <w:tcW w:w="91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2022</w:t>
            </w:r>
            <w:r>
              <w:rPr>
                <w:rFonts w:ascii="宋体" w:hAnsi="宋体" w:cs="宋体" w:eastAsia="宋体" w:hint="default"/>
                <w:b/>
                <w:bCs/>
                <w:sz w:val="18"/>
                <w:szCs w:val="18"/>
              </w:rPr>
              <w:t>年</w:t>
            </w:r>
            <w:r>
              <w:rPr>
                <w:rFonts w:ascii="宋体" w:hAnsi="宋体" w:cs="宋体" w:eastAsia="宋体" w:hint="default"/>
                <w:sz w:val="18"/>
                <w:szCs w:val="18"/>
              </w:rPr>
            </w:r>
          </w:p>
        </w:tc>
        <w:tc>
          <w:tcPr>
            <w:tcW w:w="9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8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2023</w:t>
            </w:r>
            <w:r>
              <w:rPr>
                <w:rFonts w:ascii="宋体" w:hAnsi="宋体" w:cs="宋体" w:eastAsia="宋体" w:hint="default"/>
                <w:b/>
                <w:bCs/>
                <w:sz w:val="18"/>
                <w:szCs w:val="18"/>
              </w:rPr>
              <w:t>年</w:t>
            </w:r>
            <w:r>
              <w:rPr>
                <w:rFonts w:ascii="宋体" w:hAnsi="宋体" w:cs="宋体" w:eastAsia="宋体" w:hint="default"/>
                <w:sz w:val="18"/>
                <w:szCs w:val="18"/>
              </w:rPr>
            </w:r>
          </w:p>
        </w:tc>
        <w:tc>
          <w:tcPr>
            <w:tcW w:w="102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3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2024</w:t>
            </w:r>
            <w:r>
              <w:rPr>
                <w:rFonts w:ascii="宋体" w:hAnsi="宋体" w:cs="宋体" w:eastAsia="宋体" w:hint="default"/>
                <w:b/>
                <w:bCs/>
                <w:sz w:val="18"/>
                <w:szCs w:val="18"/>
              </w:rPr>
              <w:t>年</w:t>
            </w:r>
            <w:r>
              <w:rPr>
                <w:rFonts w:ascii="宋体" w:hAnsi="宋体" w:cs="宋体" w:eastAsia="宋体" w:hint="default"/>
                <w:sz w:val="18"/>
                <w:szCs w:val="18"/>
              </w:rPr>
            </w:r>
          </w:p>
        </w:tc>
        <w:tc>
          <w:tcPr>
            <w:tcW w:w="97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1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2025</w:t>
            </w:r>
            <w:r>
              <w:rPr>
                <w:rFonts w:ascii="宋体" w:hAnsi="宋体" w:cs="宋体" w:eastAsia="宋体" w:hint="default"/>
                <w:b/>
                <w:bCs/>
                <w:sz w:val="18"/>
                <w:szCs w:val="18"/>
              </w:rPr>
              <w:t>年</w:t>
            </w:r>
            <w:r>
              <w:rPr>
                <w:rFonts w:ascii="宋体" w:hAnsi="宋体" w:cs="宋体" w:eastAsia="宋体" w:hint="default"/>
                <w:sz w:val="18"/>
                <w:szCs w:val="18"/>
              </w:rPr>
            </w:r>
          </w:p>
        </w:tc>
        <w:tc>
          <w:tcPr>
            <w:tcW w:w="9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1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2026</w:t>
            </w:r>
            <w:r>
              <w:rPr>
                <w:rFonts w:ascii="宋体" w:hAnsi="宋体" w:cs="宋体" w:eastAsia="宋体" w:hint="default"/>
                <w:b/>
                <w:bCs/>
                <w:sz w:val="18"/>
                <w:szCs w:val="18"/>
              </w:rPr>
              <w:t>年</w:t>
            </w:r>
            <w:r>
              <w:rPr>
                <w:rFonts w:ascii="宋体" w:hAnsi="宋体" w:cs="宋体" w:eastAsia="宋体" w:hint="default"/>
                <w:sz w:val="18"/>
                <w:szCs w:val="18"/>
              </w:rPr>
            </w:r>
          </w:p>
        </w:tc>
        <w:tc>
          <w:tcPr>
            <w:tcW w:w="82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b/>
                <w:bCs/>
                <w:sz w:val="18"/>
                <w:szCs w:val="18"/>
              </w:rPr>
              <w:t>永续年度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178"/>
        <w:gridCol w:w="979"/>
        <w:gridCol w:w="917"/>
        <w:gridCol w:w="917"/>
        <w:gridCol w:w="919"/>
        <w:gridCol w:w="1025"/>
        <w:gridCol w:w="979"/>
        <w:gridCol w:w="982"/>
        <w:gridCol w:w="828"/>
      </w:tblGrid>
      <w:tr>
        <w:trPr>
          <w:trHeight w:val="350" w:hRule="exact"/>
        </w:trPr>
        <w:tc>
          <w:tcPr>
            <w:tcW w:w="117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979" w:type="dxa"/>
            <w:tcBorders>
              <w:top w:val="single" w:sz="6" w:space="0" w:color="000000"/>
              <w:left w:val="single" w:sz="6" w:space="0" w:color="000000"/>
              <w:bottom w:val="single" w:sz="8" w:space="0" w:color="000000"/>
              <w:right w:val="single" w:sz="6" w:space="0" w:color="000000"/>
            </w:tcBorders>
          </w:tcPr>
          <w:p>
            <w:pPr/>
          </w:p>
        </w:tc>
        <w:tc>
          <w:tcPr>
            <w:tcW w:w="917" w:type="dxa"/>
            <w:tcBorders>
              <w:top w:val="single" w:sz="6" w:space="0" w:color="000000"/>
              <w:left w:val="single" w:sz="6" w:space="0" w:color="000000"/>
              <w:bottom w:val="single" w:sz="8" w:space="0" w:color="000000"/>
              <w:right w:val="single" w:sz="6" w:space="0" w:color="000000"/>
            </w:tcBorders>
          </w:tcPr>
          <w:p>
            <w:pPr/>
          </w:p>
        </w:tc>
        <w:tc>
          <w:tcPr>
            <w:tcW w:w="917" w:type="dxa"/>
            <w:tcBorders>
              <w:top w:val="single" w:sz="6" w:space="0" w:color="000000"/>
              <w:left w:val="single" w:sz="6" w:space="0" w:color="000000"/>
              <w:bottom w:val="single" w:sz="8" w:space="0" w:color="000000"/>
              <w:right w:val="single" w:sz="6" w:space="0" w:color="000000"/>
            </w:tcBorders>
          </w:tcPr>
          <w:p>
            <w:pPr/>
          </w:p>
        </w:tc>
        <w:tc>
          <w:tcPr>
            <w:tcW w:w="919" w:type="dxa"/>
            <w:tcBorders>
              <w:top w:val="single" w:sz="6" w:space="0" w:color="000000"/>
              <w:left w:val="single" w:sz="6" w:space="0" w:color="000000"/>
              <w:bottom w:val="single" w:sz="8" w:space="0" w:color="000000"/>
              <w:right w:val="single" w:sz="6" w:space="0" w:color="000000"/>
            </w:tcBorders>
          </w:tcPr>
          <w:p>
            <w:pPr/>
          </w:p>
        </w:tc>
        <w:tc>
          <w:tcPr>
            <w:tcW w:w="1025" w:type="dxa"/>
            <w:tcBorders>
              <w:top w:val="single" w:sz="6" w:space="0" w:color="000000"/>
              <w:left w:val="single" w:sz="6" w:space="0" w:color="000000"/>
              <w:bottom w:val="single" w:sz="8" w:space="0" w:color="000000"/>
              <w:right w:val="single" w:sz="6" w:space="0" w:color="000000"/>
            </w:tcBorders>
          </w:tcPr>
          <w:p>
            <w:pPr/>
          </w:p>
        </w:tc>
        <w:tc>
          <w:tcPr>
            <w:tcW w:w="979" w:type="dxa"/>
            <w:tcBorders>
              <w:top w:val="single" w:sz="6" w:space="0" w:color="000000"/>
              <w:left w:val="single" w:sz="6" w:space="0" w:color="000000"/>
              <w:bottom w:val="single" w:sz="8" w:space="0" w:color="000000"/>
              <w:right w:val="single" w:sz="6" w:space="0" w:color="000000"/>
            </w:tcBorders>
          </w:tcPr>
          <w:p>
            <w:pPr/>
          </w:p>
        </w:tc>
        <w:tc>
          <w:tcPr>
            <w:tcW w:w="982" w:type="dxa"/>
            <w:tcBorders>
              <w:top w:val="single" w:sz="6" w:space="0" w:color="000000"/>
              <w:left w:val="single" w:sz="6" w:space="0" w:color="000000"/>
              <w:bottom w:val="single" w:sz="8" w:space="0" w:color="000000"/>
              <w:right w:val="single" w:sz="6" w:space="0" w:color="000000"/>
            </w:tcBorders>
          </w:tcPr>
          <w:p>
            <w:pPr/>
          </w:p>
        </w:tc>
        <w:tc>
          <w:tcPr>
            <w:tcW w:w="828" w:type="dxa"/>
            <w:tcBorders>
              <w:top w:val="single" w:sz="6" w:space="0" w:color="000000"/>
              <w:left w:val="single" w:sz="6" w:space="0" w:color="000000"/>
              <w:bottom w:val="single" w:sz="8" w:space="0" w:color="000000"/>
              <w:right w:val="nil" w:sz="6" w:space="0" w:color="auto"/>
            </w:tcBorders>
          </w:tcPr>
          <w:p>
            <w:pPr/>
          </w:p>
        </w:tc>
      </w:tr>
      <w:tr>
        <w:trPr>
          <w:trHeight w:val="658" w:hRule="exact"/>
        </w:trPr>
        <w:tc>
          <w:tcPr>
            <w:tcW w:w="117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77"/>
              <w:jc w:val="left"/>
              <w:rPr>
                <w:rFonts w:ascii="宋体" w:hAnsi="宋体" w:cs="宋体" w:eastAsia="宋体" w:hint="default"/>
                <w:sz w:val="18"/>
                <w:szCs w:val="18"/>
              </w:rPr>
            </w:pPr>
            <w:r>
              <w:rPr>
                <w:rFonts w:ascii="宋体" w:hAnsi="宋体" w:cs="宋体" w:eastAsia="宋体" w:hint="default"/>
                <w:sz w:val="18"/>
                <w:szCs w:val="18"/>
              </w:rPr>
              <w:t>北京龙域之星 科技有限公司</w:t>
            </w:r>
          </w:p>
        </w:tc>
        <w:tc>
          <w:tcPr>
            <w:tcW w:w="9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04" w:right="0"/>
              <w:jc w:val="left"/>
              <w:rPr>
                <w:rFonts w:ascii="Times New Roman" w:hAnsi="Times New Roman" w:cs="Times New Roman" w:eastAsia="Times New Roman" w:hint="default"/>
                <w:sz w:val="18"/>
                <w:szCs w:val="18"/>
              </w:rPr>
            </w:pPr>
            <w:r>
              <w:rPr>
                <w:rFonts w:ascii="Times New Roman"/>
                <w:sz w:val="18"/>
              </w:rPr>
              <w:t>25.44%</w:t>
            </w:r>
          </w:p>
        </w:tc>
        <w:tc>
          <w:tcPr>
            <w:tcW w:w="9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172" w:right="0"/>
              <w:jc w:val="left"/>
              <w:rPr>
                <w:rFonts w:ascii="Times New Roman" w:hAnsi="Times New Roman" w:cs="Times New Roman" w:eastAsia="Times New Roman" w:hint="default"/>
                <w:sz w:val="18"/>
                <w:szCs w:val="18"/>
              </w:rPr>
            </w:pPr>
            <w:r>
              <w:rPr>
                <w:rFonts w:ascii="Times New Roman"/>
                <w:sz w:val="18"/>
              </w:rPr>
              <w:t>23.53%</w:t>
            </w:r>
          </w:p>
        </w:tc>
        <w:tc>
          <w:tcPr>
            <w:tcW w:w="9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172" w:right="0"/>
              <w:jc w:val="left"/>
              <w:rPr>
                <w:rFonts w:ascii="Times New Roman" w:hAnsi="Times New Roman" w:cs="Times New Roman" w:eastAsia="Times New Roman" w:hint="default"/>
                <w:sz w:val="18"/>
                <w:szCs w:val="18"/>
              </w:rPr>
            </w:pPr>
            <w:r>
              <w:rPr>
                <w:rFonts w:ascii="Times New Roman"/>
                <w:sz w:val="18"/>
              </w:rPr>
              <w:t>22.35%</w:t>
            </w:r>
          </w:p>
        </w:tc>
        <w:tc>
          <w:tcPr>
            <w:tcW w:w="9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175" w:right="0"/>
              <w:jc w:val="left"/>
              <w:rPr>
                <w:rFonts w:ascii="Times New Roman" w:hAnsi="Times New Roman" w:cs="Times New Roman" w:eastAsia="Times New Roman" w:hint="default"/>
                <w:sz w:val="18"/>
                <w:szCs w:val="18"/>
              </w:rPr>
            </w:pPr>
            <w:r>
              <w:rPr>
                <w:rFonts w:ascii="Times New Roman"/>
                <w:sz w:val="18"/>
              </w:rPr>
              <w:t>21.79%</w:t>
            </w:r>
          </w:p>
        </w:tc>
        <w:tc>
          <w:tcPr>
            <w:tcW w:w="10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28" w:right="0"/>
              <w:jc w:val="left"/>
              <w:rPr>
                <w:rFonts w:ascii="Times New Roman" w:hAnsi="Times New Roman" w:cs="Times New Roman" w:eastAsia="Times New Roman" w:hint="default"/>
                <w:sz w:val="18"/>
                <w:szCs w:val="18"/>
              </w:rPr>
            </w:pPr>
            <w:r>
              <w:rPr>
                <w:rFonts w:ascii="Times New Roman"/>
                <w:sz w:val="18"/>
              </w:rPr>
              <w:t>21.79%</w:t>
            </w:r>
          </w:p>
        </w:tc>
        <w:tc>
          <w:tcPr>
            <w:tcW w:w="9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06" w:right="0"/>
              <w:jc w:val="left"/>
              <w:rPr>
                <w:rFonts w:ascii="Times New Roman" w:hAnsi="Times New Roman" w:cs="Times New Roman" w:eastAsia="Times New Roman" w:hint="default"/>
                <w:sz w:val="18"/>
                <w:szCs w:val="18"/>
              </w:rPr>
            </w:pPr>
            <w:r>
              <w:rPr>
                <w:rFonts w:ascii="Times New Roman"/>
                <w:sz w:val="18"/>
              </w:rPr>
              <w:t>21.79%</w:t>
            </w:r>
          </w:p>
        </w:tc>
        <w:tc>
          <w:tcPr>
            <w:tcW w:w="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06" w:right="0"/>
              <w:jc w:val="left"/>
              <w:rPr>
                <w:rFonts w:ascii="Times New Roman" w:hAnsi="Times New Roman" w:cs="Times New Roman" w:eastAsia="Times New Roman" w:hint="default"/>
                <w:sz w:val="18"/>
                <w:szCs w:val="18"/>
              </w:rPr>
            </w:pPr>
            <w:r>
              <w:rPr>
                <w:rFonts w:ascii="Times New Roman"/>
                <w:sz w:val="18"/>
              </w:rPr>
              <w:t>21.79%</w:t>
            </w:r>
          </w:p>
        </w:tc>
        <w:tc>
          <w:tcPr>
            <w:tcW w:w="82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129" w:right="0"/>
              <w:jc w:val="left"/>
              <w:rPr>
                <w:rFonts w:ascii="Times New Roman" w:hAnsi="Times New Roman" w:cs="Times New Roman" w:eastAsia="Times New Roman" w:hint="default"/>
                <w:sz w:val="18"/>
                <w:szCs w:val="18"/>
              </w:rPr>
            </w:pPr>
            <w:r>
              <w:rPr>
                <w:rFonts w:ascii="Times New Roman"/>
                <w:sz w:val="18"/>
              </w:rPr>
              <w:t>21.79%</w:t>
            </w:r>
          </w:p>
        </w:tc>
      </w:tr>
    </w:tbl>
    <w:p>
      <w:pPr>
        <w:spacing w:line="240" w:lineRule="auto" w:before="5"/>
        <w:rPr>
          <w:rFonts w:ascii="宋体" w:hAnsi="宋体" w:cs="宋体" w:eastAsia="宋体" w:hint="default"/>
          <w:sz w:val="6"/>
          <w:szCs w:val="6"/>
        </w:rPr>
      </w:pPr>
    </w:p>
    <w:p>
      <w:pPr>
        <w:pStyle w:val="BodyText"/>
        <w:spacing w:line="240" w:lineRule="auto" w:before="44"/>
        <w:ind w:left="512" w:right="1128"/>
        <w:jc w:val="left"/>
      </w:pPr>
      <w:r>
        <w:rPr/>
        <w:t>（</w:t>
      </w:r>
      <w:r>
        <w:rPr>
          <w:rFonts w:ascii="Times New Roman" w:hAnsi="Times New Roman" w:cs="Times New Roman" w:eastAsia="Times New Roman" w:hint="default"/>
        </w:rPr>
        <w:t>6</w:t>
      </w:r>
      <w:r>
        <w:rPr/>
        <w:t>）折现率说明</w:t>
      </w:r>
    </w:p>
    <w:p>
      <w:pPr>
        <w:spacing w:line="240" w:lineRule="auto" w:before="13"/>
        <w:rPr>
          <w:rFonts w:ascii="宋体" w:hAnsi="宋体" w:cs="宋体" w:eastAsia="宋体" w:hint="default"/>
          <w:sz w:val="13"/>
          <w:szCs w:val="13"/>
        </w:rPr>
      </w:pPr>
    </w:p>
    <w:p>
      <w:pPr>
        <w:pStyle w:val="BodyText"/>
        <w:spacing w:line="240" w:lineRule="auto"/>
        <w:ind w:left="512" w:right="1128"/>
        <w:jc w:val="left"/>
      </w:pPr>
      <w:r>
        <w:rPr/>
        <w:t>（6）折现率说明</w:t>
      </w:r>
    </w:p>
    <w:p>
      <w:pPr>
        <w:pStyle w:val="BodyText"/>
        <w:spacing w:line="300" w:lineRule="auto" w:before="117"/>
        <w:ind w:right="1134" w:firstLine="360"/>
        <w:jc w:val="left"/>
      </w:pPr>
      <w:r>
        <w:rPr/>
        <w:t>北京龙域商誉评估首先运用资本资产定价模型</w:t>
      </w:r>
      <w:r>
        <w:rPr>
          <w:rFonts w:ascii="Times New Roman" w:hAnsi="Times New Roman" w:cs="Times New Roman" w:eastAsia="Times New Roman" w:hint="default"/>
        </w:rPr>
        <w:t>(CAPM)</w:t>
      </w:r>
      <w:r>
        <w:rPr/>
        <w:t>来计算股权资本成本，在此基础上运用</w:t>
      </w:r>
      <w:r>
        <w:rPr>
          <w:spacing w:val="-72"/>
        </w:rPr>
        <w:t> </w:t>
      </w:r>
      <w:r>
        <w:rPr>
          <w:rFonts w:ascii="Times New Roman" w:hAnsi="Times New Roman" w:cs="Times New Roman" w:eastAsia="Times New Roman" w:hint="default"/>
          <w:spacing w:val="-7"/>
        </w:rPr>
        <w:t>WACC</w:t>
      </w:r>
      <w:r>
        <w:rPr>
          <w:rFonts w:ascii="Times New Roman" w:hAnsi="Times New Roman" w:cs="Times New Roman" w:eastAsia="Times New Roman" w:hint="default"/>
          <w:spacing w:val="-27"/>
        </w:rPr>
        <w:t> </w:t>
      </w:r>
      <w:r>
        <w:rPr/>
        <w:t>模型计算加权平均</w:t>
      </w:r>
      <w:r>
        <w:rPr>
          <w:w w:val="100"/>
        </w:rPr>
        <w:t> 资本成本，剔除所得税因素后确定本次评估的折现率（税前</w:t>
      </w:r>
      <w:r>
        <w:rPr>
          <w:spacing w:val="-45"/>
          <w:w w:val="100"/>
        </w:rPr>
        <w:t> </w:t>
      </w:r>
      <w:r>
        <w:rPr>
          <w:rFonts w:ascii="Times New Roman" w:hAnsi="Times New Roman" w:cs="Times New Roman" w:eastAsia="Times New Roman" w:hint="default"/>
          <w:spacing w:val="-6"/>
        </w:rPr>
        <w:t>WACC</w:t>
      </w:r>
      <w:r>
        <w:rPr>
          <w:spacing w:val="-6"/>
        </w:rPr>
        <w:t>），评估采用的折现率：北京龙域</w:t>
      </w:r>
      <w:r>
        <w:rPr>
          <w:spacing w:val="-45"/>
        </w:rPr>
        <w:t> </w:t>
      </w:r>
      <w:r>
        <w:rPr>
          <w:rFonts w:ascii="Times New Roman" w:hAnsi="Times New Roman" w:cs="Times New Roman" w:eastAsia="Times New Roman" w:hint="default"/>
          <w:w w:val="100"/>
        </w:rPr>
        <w:t>2020</w:t>
      </w:r>
      <w:r>
        <w:rPr>
          <w:rFonts w:ascii="Times New Roman" w:hAnsi="Times New Roman" w:cs="Times New Roman" w:eastAsia="Times New Roman" w:hint="default"/>
          <w:spacing w:val="1"/>
          <w:w w:val="100"/>
        </w:rPr>
        <w:t> </w:t>
      </w:r>
      <w:r>
        <w:rPr>
          <w:w w:val="100"/>
        </w:rPr>
        <w:t>年税前加权平均 </w:t>
      </w:r>
      <w:r>
        <w:rPr/>
        <w:t>资本成本为</w:t>
      </w:r>
      <w:r>
        <w:rPr>
          <w:spacing w:val="-46"/>
        </w:rPr>
        <w:t> </w:t>
      </w:r>
      <w:r>
        <w:rPr>
          <w:rFonts w:ascii="Times New Roman" w:hAnsi="Times New Roman" w:cs="Times New Roman" w:eastAsia="Times New Roman" w:hint="default"/>
        </w:rPr>
        <w:t>17.05%</w:t>
      </w:r>
      <w:r>
        <w:rPr/>
        <w:t>，</w:t>
      </w:r>
      <w:r>
        <w:rPr>
          <w:rFonts w:ascii="Times New Roman" w:hAnsi="Times New Roman" w:cs="Times New Roman" w:eastAsia="Times New Roman" w:hint="default"/>
        </w:rPr>
        <w:t>2020-2026</w:t>
      </w:r>
      <w:r>
        <w:rPr>
          <w:rFonts w:ascii="Times New Roman" w:hAnsi="Times New Roman" w:cs="Times New Roman" w:eastAsia="Times New Roman" w:hint="default"/>
          <w:spacing w:val="-1"/>
        </w:rPr>
        <w:t> </w:t>
      </w:r>
      <w:r>
        <w:rPr/>
        <w:t>年税前加权平均资本成本为</w:t>
      </w:r>
      <w:r>
        <w:rPr>
          <w:spacing w:val="-46"/>
        </w:rPr>
        <w:t> </w:t>
      </w:r>
      <w:r>
        <w:rPr>
          <w:rFonts w:ascii="Times New Roman" w:hAnsi="Times New Roman" w:cs="Times New Roman" w:eastAsia="Times New Roman" w:hint="default"/>
        </w:rPr>
        <w:t>19.12%</w:t>
      </w:r>
      <w:r>
        <w:rPr/>
        <w:t>。霍尔果斯金域</w:t>
      </w:r>
      <w:r>
        <w:rPr>
          <w:spacing w:val="-46"/>
        </w:rPr>
        <w:t> </w:t>
      </w:r>
      <w:r>
        <w:rPr>
          <w:rFonts w:ascii="Times New Roman" w:hAnsi="Times New Roman" w:cs="Times New Roman" w:eastAsia="Times New Roman" w:hint="default"/>
        </w:rPr>
        <w:t>2020-2022 </w:t>
      </w:r>
      <w:r>
        <w:rPr/>
        <w:t>年税前加权平均资本成本为</w:t>
      </w:r>
      <w:r>
        <w:rPr>
          <w:w w:val="100"/>
        </w:rPr>
        <w:t> </w:t>
      </w:r>
      <w:r>
        <w:rPr>
          <w:rFonts w:ascii="Times New Roman" w:hAnsi="Times New Roman" w:cs="Times New Roman" w:eastAsia="Times New Roman" w:hint="default"/>
        </w:rPr>
        <w:t>14.67%</w:t>
      </w:r>
      <w:r>
        <w:rPr/>
        <w:t>，</w:t>
      </w:r>
      <w:r>
        <w:rPr>
          <w:rFonts w:ascii="Times New Roman" w:hAnsi="Times New Roman" w:cs="Times New Roman" w:eastAsia="Times New Roman" w:hint="default"/>
        </w:rPr>
        <w:t>2022-2026</w:t>
      </w:r>
      <w:r>
        <w:rPr>
          <w:rFonts w:ascii="Times New Roman" w:hAnsi="Times New Roman" w:cs="Times New Roman" w:eastAsia="Times New Roman" w:hint="default"/>
          <w:spacing w:val="-2"/>
        </w:rPr>
        <w:t> </w:t>
      </w:r>
      <w:r>
        <w:rPr/>
        <w:t>年税前加权平均资本成本为</w:t>
      </w:r>
      <w:r>
        <w:rPr>
          <w:spacing w:val="-47"/>
        </w:rPr>
        <w:t> </w:t>
      </w:r>
      <w:r>
        <w:rPr>
          <w:rFonts w:ascii="Times New Roman" w:hAnsi="Times New Roman" w:cs="Times New Roman" w:eastAsia="Times New Roman" w:hint="default"/>
        </w:rPr>
        <w:t>16.57%</w:t>
      </w:r>
      <w:r>
        <w:rPr/>
        <w:t>，</w:t>
      </w:r>
      <w:r>
        <w:rPr>
          <w:rFonts w:ascii="Times New Roman" w:hAnsi="Times New Roman" w:cs="Times New Roman" w:eastAsia="Times New Roman" w:hint="default"/>
        </w:rPr>
        <w:t>2027</w:t>
      </w:r>
      <w:r>
        <w:rPr>
          <w:rFonts w:ascii="Times New Roman" w:hAnsi="Times New Roman" w:cs="Times New Roman" w:eastAsia="Times New Roman" w:hint="default"/>
          <w:spacing w:val="-1"/>
        </w:rPr>
        <w:t> </w:t>
      </w:r>
      <w:r>
        <w:rPr/>
        <w:t>及以后为</w:t>
      </w:r>
      <w:r>
        <w:rPr>
          <w:spacing w:val="-49"/>
        </w:rPr>
        <w:t> </w:t>
      </w:r>
      <w:r>
        <w:rPr>
          <w:rFonts w:ascii="Times New Roman" w:hAnsi="Times New Roman" w:cs="Times New Roman" w:eastAsia="Times New Roman" w:hint="default"/>
        </w:rPr>
        <w:t>19.12%</w:t>
      </w:r>
      <w:r>
        <w:rPr/>
        <w:t>。</w:t>
      </w:r>
    </w:p>
    <w:p>
      <w:pPr>
        <w:pStyle w:val="BodyText"/>
        <w:spacing w:line="360" w:lineRule="auto" w:before="53"/>
        <w:ind w:right="4273"/>
        <w:jc w:val="left"/>
      </w:pPr>
      <w:r>
        <w:rPr/>
        <w:t>公司每期年末对商誉进行减值测试，并依据减值测试的结果调整商誉的账面价值。 商誉减值测试的影响</w:t>
      </w:r>
    </w:p>
    <w:p>
      <w:pPr>
        <w:pStyle w:val="BodyText"/>
        <w:spacing w:line="240" w:lineRule="auto" w:before="25"/>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租赁厂房改造工程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5,312,760.26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1,065,680.44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4,747,079.82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租赁车间保温工程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332,083.42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40,707.00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291,376.42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1,402,040.75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304,258.85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836,765.65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869,533.95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751,007.20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302,293.59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214,702.52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838,598.27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7,797,891.63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1,106,552.44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2,157,855.61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6,746,588.46</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31,063,959.37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5,195,518.73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22,994,545.71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3,884,796.21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1,413,871.55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212,080.73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32,477,830.92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5,407,599.46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22,994,545.71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3,884,796.21</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2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评估增值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35,158,928.27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5,273,839.24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33,441,336.34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8,581,167.42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35,158,928.27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5,273,839.24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33,441,336.34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8,581,167.42</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5,407,599.46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3,884,796.21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5,273,839.24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8,581,167.42</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5,774,532.93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3,683,335.00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40,453,749.05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40,176,952.25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46,228,281.98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43,860,287.25</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10,908,942.25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3,363,108.65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11,548,705.75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10,908,942.25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14,356,195.60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11,548,705.75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3,639,905.45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14,356,195.60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40,453,749.05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40,176,952.25</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1,534,144.56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8,499,692.93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1,534,144.56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8,499,692.93</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9,980,000.00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11,257,000.00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227,050,000.00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29,710,000.00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69,930,000.00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349,510,000.00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259,967,000.00</w:t>
            </w:r>
          </w:p>
        </w:tc>
      </w:tr>
    </w:tbl>
    <w:p>
      <w:pPr>
        <w:pStyle w:val="BodyText"/>
        <w:spacing w:line="240" w:lineRule="auto" w:before="49"/>
        <w:ind w:right="1128"/>
        <w:jc w:val="left"/>
      </w:pPr>
      <w:r>
        <w:rPr/>
        <w:t>短期借款分类的说明：</w:t>
      </w:r>
    </w:p>
    <w:p>
      <w:pPr>
        <w:spacing w:line="240" w:lineRule="auto" w:before="3"/>
        <w:rPr>
          <w:rFonts w:ascii="宋体" w:hAnsi="宋体" w:cs="宋体" w:eastAsia="宋体" w:hint="default"/>
          <w:sz w:val="15"/>
          <w:szCs w:val="15"/>
        </w:rPr>
      </w:pPr>
    </w:p>
    <w:p>
      <w:pPr>
        <w:pStyle w:val="BodyText"/>
        <w:spacing w:line="300" w:lineRule="auto"/>
        <w:ind w:right="1127" w:firstLine="360"/>
        <w:jc w:val="both"/>
      </w:pPr>
      <w:r>
        <w:rPr>
          <w:rFonts w:ascii="Times New Roman" w:hAnsi="Times New Roman" w:cs="Times New Roman" w:eastAsia="Times New Roman" w:hint="default"/>
          <w:spacing w:val="-1"/>
        </w:rPr>
        <w:t>1</w:t>
      </w:r>
      <w:r>
        <w:rPr>
          <w:spacing w:val="-1"/>
        </w:rPr>
        <w:t>）本公司向农业银行厦门东孚支行借款</w:t>
      </w:r>
      <w:r>
        <w:rPr>
          <w:rFonts w:ascii="Times New Roman" w:hAnsi="Times New Roman" w:cs="Times New Roman" w:eastAsia="Times New Roman" w:hint="default"/>
          <w:spacing w:val="-1"/>
        </w:rPr>
        <w:t>130,000,000.00</w:t>
      </w:r>
      <w:r>
        <w:rPr>
          <w:spacing w:val="-1"/>
        </w:rPr>
        <w:t>元，本公司与呼市吉宏以房屋构筑物、土地使用权向其提供了抵</w:t>
      </w:r>
      <w:r>
        <w:rPr/>
        <w:t> 押担保。抵押固定资产原值</w:t>
      </w:r>
      <w:r>
        <w:rPr>
          <w:rFonts w:ascii="Times New Roman" w:hAnsi="Times New Roman" w:cs="Times New Roman" w:eastAsia="Times New Roman" w:hint="default"/>
        </w:rPr>
        <w:t>56,979,682.65</w:t>
      </w:r>
      <w:r>
        <w:rPr/>
        <w:t>元，累计折旧</w:t>
      </w:r>
      <w:r>
        <w:rPr>
          <w:rFonts w:ascii="Times New Roman" w:hAnsi="Times New Roman" w:cs="Times New Roman" w:eastAsia="Times New Roman" w:hint="default"/>
        </w:rPr>
        <w:t>15,884,114.43</w:t>
      </w:r>
      <w:r>
        <w:rPr/>
        <w:t>元，账面净值</w:t>
      </w:r>
      <w:r>
        <w:rPr>
          <w:rFonts w:ascii="Times New Roman" w:hAnsi="Times New Roman" w:cs="Times New Roman" w:eastAsia="Times New Roman" w:hint="default"/>
        </w:rPr>
        <w:t>41,095,568.22</w:t>
      </w:r>
      <w:r>
        <w:rPr/>
        <w:t>元；抵押的土地使用权账面</w:t>
      </w:r>
      <w:r>
        <w:rPr>
          <w:spacing w:val="-46"/>
        </w:rPr>
        <w:t> </w:t>
      </w:r>
      <w:r>
        <w:rPr>
          <w:spacing w:val="-46"/>
        </w:rPr>
      </w:r>
      <w:r>
        <w:rPr/>
        <w:t>余额</w:t>
      </w:r>
      <w:r>
        <w:rPr>
          <w:rFonts w:ascii="Times New Roman" w:hAnsi="Times New Roman" w:cs="Times New Roman" w:eastAsia="Times New Roman" w:hint="default"/>
        </w:rPr>
        <w:t>6,772,186.74</w:t>
      </w:r>
      <w:r>
        <w:rPr/>
        <w:t>元。</w:t>
      </w:r>
    </w:p>
    <w:p>
      <w:pPr>
        <w:pStyle w:val="BodyText"/>
        <w:spacing w:line="300" w:lineRule="auto" w:before="133"/>
        <w:ind w:right="1134" w:firstLine="360"/>
        <w:jc w:val="both"/>
      </w:pPr>
      <w:r>
        <w:rPr>
          <w:rFonts w:ascii="Times New Roman" w:hAnsi="Times New Roman" w:cs="Times New Roman" w:eastAsia="Times New Roman" w:hint="default"/>
        </w:rPr>
        <w:t>2</w:t>
      </w:r>
      <w:r>
        <w:rPr/>
        <w:t>）本公司向厦门银行莲前支行借款</w:t>
      </w:r>
      <w:r>
        <w:rPr>
          <w:rFonts w:ascii="Times New Roman" w:hAnsi="Times New Roman" w:cs="Times New Roman" w:eastAsia="Times New Roman" w:hint="default"/>
        </w:rPr>
        <w:t>40,000,000.00</w:t>
      </w:r>
      <w:r>
        <w:rPr/>
        <w:t>元，本公司以房屋构筑物、土地使用权向其提供了抵押担保，呼市吉 </w:t>
      </w:r>
      <w:r>
        <w:rPr>
          <w:spacing w:val="-1"/>
        </w:rPr>
        <w:t>宏向其提供了保证担保。抵押固定资产原值</w:t>
      </w:r>
      <w:r>
        <w:rPr>
          <w:rFonts w:ascii="Times New Roman" w:hAnsi="Times New Roman" w:cs="Times New Roman" w:eastAsia="Times New Roman" w:hint="default"/>
          <w:spacing w:val="-1"/>
        </w:rPr>
        <w:t>25,196,162.55</w:t>
      </w:r>
      <w:r>
        <w:rPr>
          <w:spacing w:val="-1"/>
        </w:rPr>
        <w:t>元，累计折旧</w:t>
      </w:r>
      <w:r>
        <w:rPr>
          <w:rFonts w:ascii="Times New Roman" w:hAnsi="Times New Roman" w:cs="Times New Roman" w:eastAsia="Times New Roman" w:hint="default"/>
          <w:spacing w:val="-1"/>
        </w:rPr>
        <w:t>4,388,033.56</w:t>
      </w:r>
      <w:r>
        <w:rPr>
          <w:spacing w:val="-1"/>
        </w:rPr>
        <w:t>元，账面净值</w:t>
      </w:r>
      <w:r>
        <w:rPr>
          <w:rFonts w:ascii="Times New Roman" w:hAnsi="Times New Roman" w:cs="Times New Roman" w:eastAsia="Times New Roman" w:hint="default"/>
          <w:spacing w:val="-1"/>
        </w:rPr>
        <w:t>20,808,128.99</w:t>
      </w:r>
      <w:r>
        <w:rPr>
          <w:spacing w:val="-1"/>
        </w:rPr>
        <w:t>元；抵押的土</w:t>
      </w:r>
      <w:r>
        <w:rPr>
          <w:spacing w:val="-62"/>
        </w:rPr>
        <w:t> </w:t>
      </w:r>
      <w:r>
        <w:rPr>
          <w:spacing w:val="-62"/>
        </w:rPr>
      </w:r>
      <w:r>
        <w:rPr/>
        <w:t>地使用权账面余额</w:t>
      </w:r>
      <w:r>
        <w:rPr>
          <w:rFonts w:ascii="Times New Roman" w:hAnsi="Times New Roman" w:cs="Times New Roman" w:eastAsia="Times New Roman" w:hint="default"/>
        </w:rPr>
        <w:t>7,794,673.99</w:t>
      </w:r>
      <w:r>
        <w:rPr/>
        <w:t>元。</w:t>
      </w:r>
    </w:p>
    <w:p>
      <w:pPr>
        <w:pStyle w:val="BodyText"/>
        <w:spacing w:line="300" w:lineRule="auto" w:before="133"/>
        <w:ind w:right="1136" w:firstLine="360"/>
        <w:jc w:val="both"/>
      </w:pPr>
      <w:r>
        <w:rPr>
          <w:rFonts w:ascii="Times New Roman" w:hAnsi="Times New Roman" w:cs="Times New Roman" w:eastAsia="Times New Roman" w:hint="default"/>
        </w:rPr>
        <w:t>3</w:t>
      </w:r>
      <w:r>
        <w:rPr/>
        <w:t>）本公司向光大银行厦门分行借款</w:t>
      </w:r>
      <w:r>
        <w:rPr>
          <w:rFonts w:ascii="Times New Roman" w:hAnsi="Times New Roman" w:cs="Times New Roman" w:eastAsia="Times New Roman" w:hint="default"/>
        </w:rPr>
        <w:t>30,000,000.00</w:t>
      </w:r>
      <w:r>
        <w:rPr/>
        <w:t>元，廊坊吉宏以土地使用权向其提供了抵押担保，抵押的土地使用权 账面余额</w:t>
      </w:r>
      <w:r>
        <w:rPr>
          <w:rFonts w:ascii="Times New Roman" w:hAnsi="Times New Roman" w:cs="Times New Roman" w:eastAsia="Times New Roman" w:hint="default"/>
        </w:rPr>
        <w:t>14,311,635.00</w:t>
      </w:r>
      <w:r>
        <w:rPr/>
        <w:t>元。</w:t>
      </w:r>
    </w:p>
    <w:p>
      <w:pPr>
        <w:pStyle w:val="BodyText"/>
        <w:spacing w:line="300" w:lineRule="auto" w:before="133"/>
        <w:ind w:right="1129" w:firstLine="360"/>
        <w:jc w:val="both"/>
      </w:pPr>
      <w:r>
        <w:rPr>
          <w:rFonts w:ascii="Times New Roman" w:hAnsi="Times New Roman" w:cs="Times New Roman" w:eastAsia="Times New Roman" w:hint="default"/>
        </w:rPr>
        <w:t>4</w:t>
      </w:r>
      <w:r>
        <w:rPr/>
        <w:t>）本公司向中国银行厦门集美支行借款</w:t>
      </w:r>
      <w:r>
        <w:rPr>
          <w:rFonts w:ascii="Times New Roman" w:hAnsi="Times New Roman" w:cs="Times New Roman" w:eastAsia="Times New Roman" w:hint="default"/>
        </w:rPr>
        <w:t>19,980,000.00</w:t>
      </w:r>
      <w:r>
        <w:rPr/>
        <w:t>元，廊坊吉宏以房屋构筑物、土地使用权向其提供了抵押担保， </w:t>
      </w:r>
      <w:r>
        <w:rPr>
          <w:spacing w:val="-1"/>
        </w:rPr>
        <w:t>呼市吉宏向其提供了保证担保。抵押固定资产原值</w:t>
      </w:r>
      <w:r>
        <w:rPr>
          <w:rFonts w:ascii="Times New Roman" w:hAnsi="Times New Roman" w:cs="Times New Roman" w:eastAsia="Times New Roman" w:hint="default"/>
          <w:spacing w:val="-1"/>
        </w:rPr>
        <w:t>38,983,358.40</w:t>
      </w:r>
      <w:r>
        <w:rPr>
          <w:spacing w:val="-1"/>
        </w:rPr>
        <w:t>元，累计折旧</w:t>
      </w:r>
      <w:r>
        <w:rPr>
          <w:rFonts w:ascii="Times New Roman" w:hAnsi="Times New Roman" w:cs="Times New Roman" w:eastAsia="Times New Roman" w:hint="default"/>
          <w:spacing w:val="-1"/>
        </w:rPr>
        <w:t>3,210,855.08</w:t>
      </w:r>
      <w:r>
        <w:rPr>
          <w:spacing w:val="-1"/>
        </w:rPr>
        <w:t>元，账面净值</w:t>
      </w:r>
      <w:r>
        <w:rPr>
          <w:rFonts w:ascii="Times New Roman" w:hAnsi="Times New Roman" w:cs="Times New Roman" w:eastAsia="Times New Roman" w:hint="default"/>
          <w:spacing w:val="-1"/>
        </w:rPr>
        <w:t>35,772,503.32</w:t>
      </w:r>
      <w:r>
        <w:rPr>
          <w:spacing w:val="-1"/>
        </w:rPr>
        <w:t>元；抵</w:t>
      </w:r>
      <w:r>
        <w:rPr>
          <w:spacing w:val="-55"/>
        </w:rPr>
        <w:t> </w:t>
      </w:r>
      <w:r>
        <w:rPr>
          <w:spacing w:val="-55"/>
        </w:rPr>
      </w:r>
      <w:r>
        <w:rPr/>
        <w:t>押的土地使用权账面余额</w:t>
      </w:r>
      <w:r>
        <w:rPr>
          <w:rFonts w:ascii="Times New Roman" w:hAnsi="Times New Roman" w:cs="Times New Roman" w:eastAsia="Times New Roman" w:hint="default"/>
        </w:rPr>
        <w:t>12,116,000.00</w:t>
      </w:r>
      <w:r>
        <w:rPr/>
        <w:t>元。</w:t>
      </w:r>
    </w:p>
    <w:p>
      <w:pPr>
        <w:spacing w:line="240" w:lineRule="auto" w:before="4"/>
        <w:rPr>
          <w:rFonts w:ascii="宋体" w:hAnsi="宋体" w:cs="宋体" w:eastAsia="宋体" w:hint="default"/>
          <w:sz w:val="19"/>
          <w:szCs w:val="19"/>
        </w:rPr>
      </w:pPr>
    </w:p>
    <w:p>
      <w:pPr>
        <w:pStyle w:val="BodyText"/>
        <w:spacing w:line="300" w:lineRule="auto"/>
        <w:ind w:right="1132" w:firstLine="360"/>
        <w:jc w:val="both"/>
      </w:pPr>
      <w:r>
        <w:rPr>
          <w:rFonts w:ascii="Times New Roman" w:hAnsi="Times New Roman" w:cs="Times New Roman" w:eastAsia="Times New Roman" w:hint="default"/>
          <w:spacing w:val="-1"/>
        </w:rPr>
        <w:t>5</w:t>
      </w:r>
      <w:r>
        <w:rPr>
          <w:spacing w:val="-1"/>
        </w:rPr>
        <w:t>）济南吉联向厦门银行莲前支行借款</w:t>
      </w:r>
      <w:r>
        <w:rPr>
          <w:rFonts w:ascii="Times New Roman" w:hAnsi="Times New Roman" w:cs="Times New Roman" w:eastAsia="Times New Roman" w:hint="default"/>
          <w:spacing w:val="-1"/>
        </w:rPr>
        <w:t>7,070,000.00</w:t>
      </w:r>
      <w:r>
        <w:rPr>
          <w:spacing w:val="-1"/>
        </w:rPr>
        <w:t>元，以房屋构筑物、土地使用权向其提供了抵押担保。抵押固定资产</w:t>
      </w:r>
      <w:r>
        <w:rPr/>
        <w:t> 原值</w:t>
      </w:r>
      <w:r>
        <w:rPr>
          <w:rFonts w:ascii="Times New Roman" w:hAnsi="Times New Roman" w:cs="Times New Roman" w:eastAsia="Times New Roman" w:hint="default"/>
        </w:rPr>
        <w:t>39,822,994.98</w:t>
      </w:r>
      <w:r>
        <w:rPr/>
        <w:t>元，累计折旧</w:t>
      </w:r>
      <w:r>
        <w:rPr>
          <w:rFonts w:ascii="Times New Roman" w:hAnsi="Times New Roman" w:cs="Times New Roman" w:eastAsia="Times New Roman" w:hint="default"/>
        </w:rPr>
        <w:t>13,380,526.32</w:t>
      </w:r>
      <w:r>
        <w:rPr/>
        <w:t>元，账面净值</w:t>
      </w:r>
      <w:r>
        <w:rPr>
          <w:rFonts w:ascii="Times New Roman" w:hAnsi="Times New Roman" w:cs="Times New Roman" w:eastAsia="Times New Roman" w:hint="default"/>
        </w:rPr>
        <w:t>26,442,468.66</w:t>
      </w:r>
      <w:r>
        <w:rPr/>
        <w:t>元；抵押的土地使用权账面余额</w:t>
      </w:r>
      <w:r>
        <w:rPr>
          <w:rFonts w:ascii="Times New Roman" w:hAnsi="Times New Roman" w:cs="Times New Roman" w:eastAsia="Times New Roman" w:hint="default"/>
        </w:rPr>
        <w:t>11,500,510.00</w:t>
      </w:r>
      <w:r>
        <w:rPr/>
        <w:t>元。</w:t>
      </w:r>
    </w:p>
    <w:p>
      <w:pPr>
        <w:spacing w:line="240" w:lineRule="auto" w:before="4"/>
        <w:rPr>
          <w:rFonts w:ascii="宋体" w:hAnsi="宋体" w:cs="宋体" w:eastAsia="宋体" w:hint="default"/>
          <w:sz w:val="19"/>
          <w:szCs w:val="19"/>
        </w:rPr>
      </w:pPr>
    </w:p>
    <w:p>
      <w:pPr>
        <w:pStyle w:val="BodyText"/>
        <w:spacing w:line="240" w:lineRule="auto"/>
        <w:ind w:left="512" w:right="1128"/>
        <w:jc w:val="left"/>
      </w:pPr>
      <w:r>
        <w:rPr>
          <w:rFonts w:ascii="Times New Roman" w:hAnsi="Times New Roman" w:cs="Times New Roman" w:eastAsia="Times New Roman" w:hint="default"/>
        </w:rPr>
        <w:t>6</w:t>
      </w:r>
      <w:r>
        <w:rPr/>
        <w:t>）本公司向兴业银行厦门文滨支行借款</w:t>
      </w:r>
      <w:r>
        <w:rPr>
          <w:rFonts w:ascii="Times New Roman" w:hAnsi="Times New Roman" w:cs="Times New Roman" w:eastAsia="Times New Roman" w:hint="default"/>
        </w:rPr>
        <w:t>35,000,000.00</w:t>
      </w:r>
      <w:r>
        <w:rPr/>
        <w:t>元，呼市吉宏向其提供了保证担保。</w:t>
      </w:r>
    </w:p>
    <w:p>
      <w:pPr>
        <w:spacing w:line="240" w:lineRule="auto" w:before="2"/>
        <w:rPr>
          <w:rFonts w:ascii="宋体" w:hAnsi="宋体" w:cs="宋体" w:eastAsia="宋体" w:hint="default"/>
          <w:sz w:val="23"/>
          <w:szCs w:val="23"/>
        </w:rPr>
      </w:pPr>
    </w:p>
    <w:p>
      <w:pPr>
        <w:pStyle w:val="BodyText"/>
        <w:spacing w:line="240" w:lineRule="auto"/>
        <w:ind w:left="512" w:right="1128"/>
        <w:jc w:val="left"/>
      </w:pPr>
      <w:r>
        <w:rPr>
          <w:rFonts w:ascii="Times New Roman" w:hAnsi="Times New Roman" w:cs="Times New Roman" w:eastAsia="Times New Roman" w:hint="default"/>
        </w:rPr>
        <w:t>7</w:t>
      </w:r>
      <w:r>
        <w:rPr/>
        <w:t>）本公司向华夏银行厦门分行借款</w:t>
      </w:r>
      <w:r>
        <w:rPr>
          <w:rFonts w:ascii="Times New Roman" w:hAnsi="Times New Roman" w:cs="Times New Roman" w:eastAsia="Times New Roman" w:hint="default"/>
        </w:rPr>
        <w:t>7,550,000.00</w:t>
      </w:r>
      <w:r>
        <w:rPr/>
        <w:t>元，呼市吉宏向其提供了保证担保。</w:t>
      </w:r>
    </w:p>
    <w:p>
      <w:pPr>
        <w:spacing w:line="240" w:lineRule="auto" w:before="2"/>
        <w:rPr>
          <w:rFonts w:ascii="宋体" w:hAnsi="宋体" w:cs="宋体" w:eastAsia="宋体" w:hint="default"/>
          <w:sz w:val="23"/>
          <w:szCs w:val="23"/>
        </w:rPr>
      </w:pPr>
    </w:p>
    <w:p>
      <w:pPr>
        <w:pStyle w:val="BodyText"/>
        <w:spacing w:line="240" w:lineRule="auto"/>
        <w:ind w:left="512" w:right="0"/>
        <w:jc w:val="left"/>
      </w:pPr>
      <w:r>
        <w:rPr>
          <w:rFonts w:ascii="Times New Roman" w:hAnsi="Times New Roman" w:cs="Times New Roman" w:eastAsia="Times New Roman" w:hint="default"/>
        </w:rPr>
        <w:t>8</w:t>
      </w:r>
      <w:r>
        <w:rPr/>
        <w:t>）本公司向建行厦门自贸试验区分行借款</w:t>
      </w:r>
      <w:r>
        <w:rPr>
          <w:rFonts w:ascii="Times New Roman" w:hAnsi="Times New Roman" w:cs="Times New Roman" w:eastAsia="Times New Roman" w:hint="default"/>
        </w:rPr>
        <w:t>9,980,000.00</w:t>
      </w:r>
      <w:r>
        <w:rPr/>
        <w:t>元，以无形资产专利权向其提供了质押。质押的专利权账面余额</w:t>
      </w:r>
    </w:p>
    <w:p>
      <w:pPr>
        <w:pStyle w:val="BodyText"/>
        <w:spacing w:line="240" w:lineRule="auto" w:before="63"/>
        <w:ind w:right="1128"/>
        <w:jc w:val="left"/>
      </w:pPr>
      <w:r>
        <w:rPr>
          <w:rFonts w:ascii="Times New Roman" w:hAnsi="Times New Roman" w:cs="Times New Roman" w:eastAsia="Times New Roman" w:hint="default"/>
        </w:rPr>
        <w:t>178,720.00</w:t>
      </w:r>
      <w:r>
        <w:rPr/>
        <w:t>元，累计摊销</w:t>
      </w:r>
      <w:r>
        <w:rPr>
          <w:rFonts w:ascii="Times New Roman" w:hAnsi="Times New Roman" w:cs="Times New Roman" w:eastAsia="Times New Roman" w:hint="default"/>
        </w:rPr>
        <w:t>104,408.35</w:t>
      </w:r>
      <w:r>
        <w:rPr/>
        <w:t>元，账面净额</w:t>
      </w:r>
      <w:r>
        <w:rPr>
          <w:rFonts w:ascii="Times New Roman" w:hAnsi="Times New Roman" w:cs="Times New Roman" w:eastAsia="Times New Roman" w:hint="default"/>
        </w:rPr>
        <w:t>74,311.65</w:t>
      </w:r>
      <w:r>
        <w:rPr/>
        <w:t>元。</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8"/>
        <w:jc w:val="left"/>
      </w:pPr>
      <w:r>
        <w:rPr/>
        <w:t>本期末已逾期未偿还的短期借款总额为元，其中重要的已逾期未偿还的短期借款情况如下：</w:t>
      </w:r>
    </w:p>
    <w:p>
      <w:pPr>
        <w:pStyle w:val="BodyText"/>
        <w:spacing w:line="240" w:lineRule="auto" w:before="117"/>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89,004,436.64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46,565,501.11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89,004,436.64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46,565,501.11</w:t>
            </w:r>
          </w:p>
        </w:tc>
      </w:tr>
    </w:tbl>
    <w:p>
      <w:pPr>
        <w:pStyle w:val="BodyText"/>
        <w:spacing w:line="240" w:lineRule="auto" w:before="49"/>
        <w:ind w:right="1128"/>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159,197,567.92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191,687,543.74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19,471,102.65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7,497,010.69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2,680,543.78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2,779,233.02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115,054,484.30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83,848,466.67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10,415,885.59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9,801,127.69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306,819,584.24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295,613,381.81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3,936,684.00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1,027,800.70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1,146,976.37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446,566.71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7,047,267.78</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是否已执行新收入准则</w:t>
      </w:r>
    </w:p>
    <w:p>
      <w:pPr>
        <w:pStyle w:val="BodyText"/>
        <w:spacing w:line="240" w:lineRule="auto" w:before="117"/>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2,637,350.04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11,389,598.58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6,907.21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2,637,462.47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11,396,505.79</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57;top:14;width:24;height:394" coordorigin="4757,14" coordsize="24,394">
              <v:shape style="position:absolute;left:4757;top:14;width:24;height:394" coordorigin="4757,14" coordsize="24,394" path="m4757,408l4781,408,4781,14,4757,14,4757,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724;height:394" coordorigin="34,14" coordsize="4724,394">
              <v:shape style="position:absolute;left:34;top:14;width:4724;height:394" coordorigin="34,14" coordsize="4724,394" path="m34,14l4757,14,4757,408,34,408,34,14xe" filled="true" fillcolor="#d3d3d3" stroked="false">
                <v:path arrowok="t"/>
                <v:fill type="solid"/>
              </v:shape>
            </v:group>
            <v:group style="position:absolute;left:4790;top:14;width:22;height:394" coordorigin="4790,14" coordsize="22,394">
              <v:shape style="position:absolute;left:4790;top:14;width:22;height:394" coordorigin="4790,14" coordsize="22,394" path="m4790,408l4812,408,4812,14,4790,14,4790,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4812;top:14;width:4733;height:394" coordorigin="4812,14" coordsize="4733,394">
              <v:shape style="position:absolute;left:4812;top:14;width:4733;height:394" coordorigin="4812,14" coordsize="4733,394" path="m4812,14l9545,14,9545,408,4812,408,4812,14xe" filled="true" fillcolor="#d3d3d3" stroked="false">
                <v:path arrowok="t"/>
                <v:fill type="solid"/>
              </v:shape>
            </v:group>
            <v:group style="position:absolute;left:10;top:10;width:4769;height:2" coordorigin="10,10" coordsize="4769,2">
              <v:shape style="position:absolute;left:10;top:10;width:4769;height:2" coordorigin="10,10" coordsize="4769,0" path="m10,10l4778,10e" filled="false" stroked="true" strokeweight=".48pt" strokecolor="#000000">
                <v:path arrowok="t"/>
              </v:shape>
            </v:group>
            <v:group style="position:absolute;left:4788;top:10;width:4781;height:2" coordorigin="4788,10" coordsize="4781,2">
              <v:shape style="position:absolute;left:4788;top:10;width:4781;height:2" coordorigin="4788,10" coordsize="4781,0" path="m4788,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69;height:2" coordorigin="10,413" coordsize="4769,2">
              <v:shape style="position:absolute;left:10;top:413;width:4769;height:2" coordorigin="10,413" coordsize="4769,0" path="m10,413l4778,413e" filled="false" stroked="true" strokeweight=".48pt" strokecolor="#000000">
                <v:path arrowok="t"/>
              </v:shape>
            </v:group>
            <v:group style="position:absolute;left:4783;top:5;width:2;height:413" coordorigin="4783,5" coordsize="2,413">
              <v:shape style="position:absolute;left:4783;top:5;width:2;height:413" coordorigin="4783,5" coordsize="0,413" path="m4783,5l4783,418e" filled="false" stroked="true" strokeweight=".48pt" strokecolor="#000000">
                <v:path arrowok="t"/>
              </v:shape>
            </v:group>
            <v:group style="position:absolute;left:4788;top:413;width:4781;height:2" coordorigin="4788,413" coordsize="4781,2">
              <v:shape style="position:absolute;left:4788;top:413;width:4781;height:2" coordorigin="4788,413" coordsize="4781,0" path="m4788,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5;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99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28"/>
        <w:jc w:val="left"/>
      </w:pPr>
      <w:r>
        <w:rPr/>
        <w:t>报告期内账面价值发生重大变动的金额和原因</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4"/>
        <w:gridCol w:w="2419"/>
        <w:gridCol w:w="4944"/>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25,923,041.36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219,249,928.07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214,980,768.97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30,192,200.46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621,703.92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13,048,896.51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13,079,923.48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590,676.95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26,544,745.28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232,298,824.58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228,060,692.45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30,782,877.41</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13,368,656.43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198,023,136.21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193,039,058.52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18,352,734.12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15,368.00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9,805,701.53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9,784,605.88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36,463.65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247,945.16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7,305,878.55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7,282,194.06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271,629.65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214,229.70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5,287,208.50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5,283,482.16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217,956.04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9,312.12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578,926.29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570,307.74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17,930.67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24,403.34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1,439,743.76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1,428,404.16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35,742.94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165,640.00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4,411,034.16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4,378,860.92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197,813.24</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12,125,431.77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-295,822.38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496,049.59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11,333,559.80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25,923,041.36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219,249,928.07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214,980,768.97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30,192,200.46</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600,597.01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12,555,230.63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12,587,074.90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568,752.74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21,106.91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493,665.88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492,848.58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21,924.21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621,703.92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13,048,896.51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13,079,923.48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590,676.95</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6,990,762.74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5,449,085.57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29,384,403.16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25,438,477.07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193,605.59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135,998.64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291,231.61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322,566.01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561,272.66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441,768.32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308,999.39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231,905.19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137,595.10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202,719.41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127,522.00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58,650.61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31,641.50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29,734.92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86,475.14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44,516.02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748.32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38,114,132.14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32,356,170.08</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904,975.23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625,447.54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2,105,263.16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61,370,900.86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114,412,865.63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64,381,139.25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118,538,313.17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858,775.23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625,447.54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904,975.23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625,447.54</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81" w:header="745" w:top="1060" w:bottom="1180" w:left="980" w:right="0"/>
          <w:pgNumType w:start="15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重要的已逾期未支付的利息情况：</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2,105,263.16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宁波鹤超信息技术合伙企业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2,105,263.16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3,500,000.00</w:t>
            </w:r>
          </w:p>
        </w:tc>
      </w:tr>
    </w:tbl>
    <w:p>
      <w:pPr>
        <w:pStyle w:val="BodyText"/>
        <w:spacing w:line="240" w:lineRule="auto" w:before="49"/>
        <w:ind w:right="1128"/>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5,851,200.63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54,942,599.60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44,625,340.09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55,700,000.00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6,407,454.18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1,100.50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服务器租赁费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343,262.18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342,508.20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225,192.00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3,918,451.78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3,286,657.33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61,370,900.86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114,412,865.63</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宁波梅山保税港区云域股权投资管理合 伙企业（有限合伙）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北京金印联国际供应链管理有限公司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7,025,340.09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骆伟民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厦门班班纸业有限公司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2,000,000.40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尚未结清</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廊坊市宏福建设工程有限公司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1,779,746.72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尚未结清</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3"/>
        <w:gridCol w:w="3188"/>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52,255,087.21</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32,467,252.13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21,637,500.93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38,867,252.13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21,637,500.93</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短期应付债券的增减变动：</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799"/>
        <w:gridCol w:w="797"/>
        <w:gridCol w:w="799"/>
        <w:gridCol w:w="797"/>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304"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8"/>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长期借款分类的说明：</w:t>
      </w:r>
    </w:p>
    <w:p>
      <w:pPr>
        <w:spacing w:after="0" w:line="240" w:lineRule="auto"/>
        <w:jc w:val="left"/>
        <w:sectPr>
          <w:type w:val="continuous"/>
          <w:pgSz w:w="11910" w:h="16840"/>
          <w:pgMar w:top="1060" w:bottom="1180" w:left="980" w:right="0"/>
        </w:sectPr>
      </w:pPr>
    </w:p>
    <w:p>
      <w:pPr>
        <w:spacing w:line="240" w:lineRule="auto" w:before="12"/>
        <w:rPr>
          <w:rFonts w:ascii="宋体" w:hAnsi="宋体" w:cs="宋体" w:eastAsia="宋体" w:hint="default"/>
          <w:sz w:val="25"/>
          <w:szCs w:val="25"/>
        </w:rPr>
      </w:pPr>
    </w:p>
    <w:p>
      <w:pPr>
        <w:pStyle w:val="BodyText"/>
        <w:spacing w:line="297" w:lineRule="auto" w:before="44"/>
        <w:ind w:right="1128" w:firstLine="360"/>
        <w:jc w:val="left"/>
      </w:pPr>
      <w:r>
        <w:rPr>
          <w:spacing w:val="-1"/>
        </w:rPr>
        <w:t>注：本公司向招商银行厦门分行营业部借款</w:t>
      </w:r>
      <w:r>
        <w:rPr>
          <w:rFonts w:ascii="Times New Roman" w:hAnsi="Times New Roman" w:cs="Times New Roman" w:eastAsia="Times New Roman" w:hint="default"/>
          <w:spacing w:val="-1"/>
        </w:rPr>
        <w:t>32,000,000.00</w:t>
      </w:r>
      <w:r>
        <w:rPr>
          <w:spacing w:val="-1"/>
        </w:rPr>
        <w:t>元，以其全资子公司安徽吉宏股权进行质押。年末重分类入一</w:t>
      </w:r>
      <w:r>
        <w:rPr/>
        <w:t> 年内到期的长期借款</w:t>
      </w:r>
      <w:r>
        <w:rPr>
          <w:rFonts w:ascii="Times New Roman" w:hAnsi="Times New Roman" w:cs="Times New Roman" w:eastAsia="Times New Roman" w:hint="default"/>
        </w:rPr>
        <w:t>6,400,000.00</w:t>
      </w:r>
      <w:r>
        <w:rPr/>
        <w:t>元。</w:t>
      </w:r>
    </w:p>
    <w:p>
      <w:pPr>
        <w:pStyle w:val="BodyText"/>
        <w:spacing w:line="240" w:lineRule="auto" w:before="55"/>
        <w:ind w:right="1128"/>
        <w:jc w:val="left"/>
      </w:pPr>
      <w:r>
        <w:rPr/>
        <w:t>其他说明，包括利率区间：</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9"/>
        <w:gridCol w:w="797"/>
        <w:gridCol w:w="799"/>
        <w:gridCol w:w="797"/>
        <w:gridCol w:w="799"/>
        <w:gridCol w:w="797"/>
        <w:gridCol w:w="799"/>
        <w:gridCol w:w="797"/>
        <w:gridCol w:w="799"/>
        <w:gridCol w:w="797"/>
      </w:tblGrid>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304"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4653" w:space="417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3"/>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1128"/>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24,774,753.92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45,536,886.32</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24,774,753.92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45,536,886.32</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24,774,753.92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45,536,886.32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24,774,753.92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45,536,886.32</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0"/>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1128"/>
        <w:jc w:val="left"/>
      </w:pPr>
      <w:r>
        <w:rPr/>
        <w:t>设定受益计划义务现值：</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8"/>
        <w:jc w:val="left"/>
      </w:pPr>
      <w:r>
        <w:rPr/>
        <w:t>计划资产：</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8"/>
        <w:jc w:val="left"/>
      </w:pPr>
      <w:r>
        <w:rPr/>
        <w:t>设定受益计划净负债（净资产）</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28"/>
        <w:jc w:val="left"/>
      </w:pPr>
      <w:r>
        <w:rPr/>
        <w:t>其他说明：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28"/>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4,434,353.31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9,237,845.83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1,213,873.56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12,458,325.58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4,434,353.31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9,237,845.83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1,213,873.56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12,458,325.58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涉及政府补助的项目：</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5"/>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印刷绿色环</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保数字化生 产线项目</w:t>
            </w:r>
            <w:r>
              <w:rPr>
                <w:rFonts w:ascii="Times New Roman" w:hAnsi="Times New Roman" w:cs="Times New Roman" w:eastAsia="Times New Roman" w:hint="default"/>
                <w:sz w:val="18"/>
                <w:szCs w:val="18"/>
              </w:rPr>
              <w:t>-</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150,252.53</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128,787.88</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21,464.65</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印刷绿色环</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保数字化生 产线项目</w:t>
            </w:r>
            <w:r>
              <w:rPr>
                <w:rFonts w:ascii="Times New Roman" w:hAnsi="Times New Roman" w:cs="Times New Roman" w:eastAsia="Times New Roman" w:hint="default"/>
                <w:sz w:val="18"/>
                <w:szCs w:val="18"/>
              </w:rPr>
              <w:t>-</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249,999.99</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125,000.00</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124,999.99</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环保型软包</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77"/>
              <w:jc w:val="left"/>
              <w:rPr>
                <w:rFonts w:ascii="宋体" w:hAnsi="宋体" w:cs="宋体" w:eastAsia="宋体" w:hint="default"/>
                <w:sz w:val="18"/>
                <w:szCs w:val="18"/>
              </w:rPr>
            </w:pPr>
            <w:r>
              <w:rPr>
                <w:rFonts w:ascii="宋体" w:hAnsi="宋体" w:cs="宋体" w:eastAsia="宋体" w:hint="default"/>
                <w:sz w:val="18"/>
                <w:szCs w:val="18"/>
              </w:rPr>
              <w:t>装数字化印 刷机生产线</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759,878.06</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264,322.32</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495,555.74</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0"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业技改设备</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74,121.56</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21,694.12</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52,427.44</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购置补贴</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业技改设备</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193,246.64</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42,943.68</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150,302.96</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5"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购置补贴</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0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w:t>
            </w: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业技改设备</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63,242.93</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11,327.12</w:t>
            </w:r>
          </w:p>
        </w:tc>
        <w:tc>
          <w:tcPr>
            <w:tcW w:w="1008"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51,915.81</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购置补贴</w:t>
            </w: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业技改设备 购置补贴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163,579.24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25,166.04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138,413.20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挥发性有机 物污染防治 专项资金补 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697,435.86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82,051.32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615,384.54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企业技术改 造补助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1,071,366.07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139,743.36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931,622.71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业技改设备 购置补贴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313,846.16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36,923.04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276,923.12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技术改造补 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1,262.14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128,737.86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年厦门 市工业企业 技改项目补 助</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130,000.00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1,262.14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128,737.86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 纸容器项目</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（三期）</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958,333.33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900,833.33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购置研发设 备补助款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279,062.50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255,562.50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五色水印绿 色环保箱生 产线专项资 金支持项目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92,783.58</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18,556.68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74,226.90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 件环保纸箱 生产线技改 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426,067.34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213,033.72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213,033.62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大气污染防 治政府补贴 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178,533.35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157,733.35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亿平方 米环保包装 智能箱工厂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基础 设施奖励金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7,740,450.00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7,740,450.00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0"/>
        <w:gridCol w:w="1010"/>
        <w:gridCol w:w="1010"/>
        <w:gridCol w:w="1008"/>
        <w:gridCol w:w="1010"/>
        <w:gridCol w:w="1248"/>
        <w:gridCol w:w="1010"/>
      </w:tblGrid>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4,434,353.31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9,237,845.83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1,213,873.56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12,458,325.58</w:t>
            </w:r>
          </w:p>
        </w:tc>
        <w:tc>
          <w:tcPr>
            <w:tcW w:w="10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28" w:hanging="1"/>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197,200,000.00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25,393,699.00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25,393,699.00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222,593,699.00</w:t>
            </w:r>
          </w:p>
        </w:tc>
      </w:tr>
    </w:tbl>
    <w:p>
      <w:pPr>
        <w:pStyle w:val="BodyText"/>
        <w:spacing w:line="240" w:lineRule="auto" w:before="49"/>
        <w:ind w:right="1128"/>
        <w:jc w:val="left"/>
      </w:pPr>
      <w:r>
        <w:rPr/>
        <w:t>其他说明：</w:t>
      </w:r>
    </w:p>
    <w:p>
      <w:pPr>
        <w:pStyle w:val="BodyText"/>
        <w:spacing w:line="300" w:lineRule="auto" w:before="115"/>
        <w:ind w:right="1128"/>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日，公司取得中国证监会出具的《关于核准厦门吉宏包装科技股份有限公司非公开发行股票的批复》（证监许</w:t>
      </w:r>
      <w:r>
        <w:rPr>
          <w:spacing w:val="-56"/>
        </w:rPr>
        <w:t> </w:t>
      </w:r>
      <w:r>
        <w:rPr>
          <w:spacing w:val="-56"/>
        </w:rPr>
      </w:r>
      <w:r>
        <w:rPr/>
        <w:t>可</w:t>
      </w:r>
      <w:r>
        <w:rPr>
          <w:rFonts w:ascii="Times New Roman" w:hAnsi="Times New Roman" w:cs="Times New Roman" w:eastAsia="Times New Roman" w:hint="default"/>
        </w:rPr>
        <w:t>[2018]2099</w:t>
      </w:r>
      <w:r>
        <w:rPr/>
        <w:t>号）。公司股本总额因非公开发行股票新增股份</w:t>
      </w:r>
      <w:r>
        <w:rPr>
          <w:rFonts w:ascii="Times New Roman" w:hAnsi="Times New Roman" w:cs="Times New Roman" w:eastAsia="Times New Roman" w:hint="default"/>
        </w:rPr>
        <w:t>25,393,699</w:t>
      </w:r>
      <w:r>
        <w:rPr/>
        <w:t>股，总股本由</w:t>
      </w:r>
      <w:r>
        <w:rPr>
          <w:rFonts w:ascii="Times New Roman" w:hAnsi="Times New Roman" w:cs="Times New Roman" w:eastAsia="Times New Roman" w:hint="default"/>
        </w:rPr>
        <w:t>197,200,000</w:t>
      </w:r>
      <w:r>
        <w:rPr/>
        <w:t>股变更为</w:t>
      </w:r>
      <w:r>
        <w:rPr>
          <w:rFonts w:ascii="Times New Roman" w:hAnsi="Times New Roman" w:cs="Times New Roman" w:eastAsia="Times New Roman" w:hint="default"/>
        </w:rPr>
        <w:t>222,593,699</w:t>
      </w:r>
      <w:r>
        <w:rPr/>
        <w:t>股。 本次非公开发行股票新增注册资本（股本）为人民币</w:t>
      </w:r>
      <w:r>
        <w:rPr>
          <w:rFonts w:ascii="Times New Roman" w:hAnsi="Times New Roman" w:cs="Times New Roman" w:eastAsia="Times New Roman" w:hint="default"/>
        </w:rPr>
        <w:t>25,393,699.00</w:t>
      </w:r>
      <w:r>
        <w:rPr/>
        <w:t>元，新增资本公积为人民币</w:t>
      </w:r>
      <w:r>
        <w:rPr>
          <w:rFonts w:ascii="Times New Roman" w:hAnsi="Times New Roman" w:cs="Times New Roman" w:eastAsia="Times New Roman" w:hint="default"/>
        </w:rPr>
        <w:t>474,855,893.27</w:t>
      </w:r>
      <w:r>
        <w:rPr/>
        <w:t>元。</w:t>
      </w:r>
    </w:p>
    <w:p>
      <w:pPr>
        <w:spacing w:line="240" w:lineRule="auto" w:before="4"/>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4633"/>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3"/>
        <w:spacing w:line="240" w:lineRule="auto"/>
        <w:ind w:right="1128"/>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50,001,501.74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474,856,116.51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3,176,461.72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521,681,156.53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50,001,501.74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474,856,116.51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3,176,461.72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521,681,156.53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28"/>
        <w:jc w:val="left"/>
      </w:pPr>
      <w:r>
        <w:rPr/>
        <w:t>其他说明，包括本期增减变动情况、变动原因说明：</w:t>
      </w:r>
    </w:p>
    <w:p>
      <w:pPr>
        <w:spacing w:line="240" w:lineRule="auto" w:before="5"/>
        <w:rPr>
          <w:rFonts w:ascii="宋体" w:hAnsi="宋体" w:cs="宋体" w:eastAsia="宋体" w:hint="default"/>
          <w:sz w:val="24"/>
          <w:szCs w:val="24"/>
        </w:rPr>
      </w:pPr>
    </w:p>
    <w:p>
      <w:pPr>
        <w:pStyle w:val="BodyText"/>
        <w:spacing w:line="297" w:lineRule="auto"/>
        <w:ind w:right="1128" w:firstLine="360"/>
        <w:jc w:val="left"/>
      </w:pPr>
      <w:r>
        <w:rPr/>
        <w:t>注：本年资本公积增加</w:t>
      </w:r>
      <w:r>
        <w:rPr>
          <w:rFonts w:ascii="Times New Roman" w:hAnsi="Times New Roman" w:cs="Times New Roman" w:eastAsia="Times New Roman" w:hint="default"/>
        </w:rPr>
        <w:t>471,679,654.79</w:t>
      </w:r>
      <w:r>
        <w:rPr/>
        <w:t>元，其中：非公开发行股票增加资本公积</w:t>
      </w:r>
      <w:r>
        <w:rPr>
          <w:rFonts w:ascii="Times New Roman" w:hAnsi="Times New Roman" w:cs="Times New Roman" w:eastAsia="Times New Roman" w:hint="default"/>
        </w:rPr>
        <w:t>474,855,893.27</w:t>
      </w:r>
      <w:r>
        <w:rPr/>
        <w:t>元，详见本附注</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 公司以人民币</w:t>
      </w:r>
      <w:r>
        <w:rPr>
          <w:rFonts w:ascii="Times New Roman" w:hAnsi="Times New Roman" w:cs="Times New Roman" w:eastAsia="Times New Roman" w:hint="default"/>
        </w:rPr>
        <w:t>499</w:t>
      </w:r>
      <w:r>
        <w:rPr/>
        <w:t>万元的价格收购强申包装技术（上海）有限公司持有的思塔克</w:t>
      </w:r>
      <w:r>
        <w:rPr>
          <w:rFonts w:ascii="Times New Roman" w:hAnsi="Times New Roman" w:cs="Times New Roman" w:eastAsia="Times New Roman" w:hint="default"/>
        </w:rPr>
        <w:t>49%</w:t>
      </w:r>
      <w:r>
        <w:rPr/>
        <w:t>股权减少资本公积</w:t>
      </w:r>
      <w:r>
        <w:rPr>
          <w:rFonts w:ascii="Times New Roman" w:hAnsi="Times New Roman" w:cs="Times New Roman" w:eastAsia="Times New Roman" w:hint="default"/>
        </w:rPr>
        <w:t>3,176,461.72</w:t>
      </w:r>
      <w:r>
        <w:rPr/>
        <w:t>元。</w:t>
      </w:r>
    </w:p>
    <w:p>
      <w:pPr>
        <w:spacing w:line="240" w:lineRule="auto" w:before="7"/>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回购股票</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5,998,852.83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5,998,852.83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5,998,852.83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5,998,852.83</w:t>
            </w:r>
          </w:p>
        </w:tc>
      </w:tr>
    </w:tbl>
    <w:p>
      <w:pPr>
        <w:pStyle w:val="BodyText"/>
        <w:spacing w:line="240" w:lineRule="auto" w:before="49"/>
        <w:ind w:right="1128"/>
        <w:jc w:val="left"/>
      </w:pPr>
      <w:r>
        <w:rPr/>
        <w:t>其他说明，包括本期增减变动情况、变动原因说明：</w:t>
      </w:r>
    </w:p>
    <w:p>
      <w:pPr>
        <w:spacing w:line="240" w:lineRule="auto" w:before="2"/>
        <w:rPr>
          <w:rFonts w:ascii="宋体" w:hAnsi="宋体" w:cs="宋体" w:eastAsia="宋体" w:hint="default"/>
          <w:sz w:val="24"/>
          <w:szCs w:val="24"/>
        </w:rPr>
      </w:pPr>
    </w:p>
    <w:p>
      <w:pPr>
        <w:pStyle w:val="BodyText"/>
        <w:spacing w:line="309" w:lineRule="auto"/>
        <w:ind w:right="1128" w:firstLine="360"/>
        <w:jc w:val="left"/>
      </w:pPr>
      <w:r>
        <w:rPr>
          <w:spacing w:val="-2"/>
        </w:rPr>
        <w:t>公司第四届董事会第三次会议审议通过，公司以自有资金通过二级市场以集中竞价交易方式回购部分公司发行的人民币</w:t>
      </w:r>
      <w:r>
        <w:rPr/>
        <w:t> 普通股（</w:t>
      </w:r>
      <w:r>
        <w:rPr>
          <w:rFonts w:ascii="Times New Roman" w:hAnsi="Times New Roman" w:cs="Times New Roman" w:eastAsia="Times New Roman" w:hint="default"/>
        </w:rPr>
        <w:t>A</w:t>
      </w:r>
      <w:r>
        <w:rPr/>
        <w:t>股）股票，用于后期实施员工持股计划或股权激励计划。本次回购股数</w:t>
      </w:r>
      <w:r>
        <w:rPr>
          <w:rFonts w:ascii="Times New Roman" w:hAnsi="Times New Roman" w:cs="Times New Roman" w:eastAsia="Times New Roman" w:hint="default"/>
        </w:rPr>
        <w:t>255,600</w:t>
      </w:r>
      <w:r>
        <w:rPr/>
        <w:t>股，交易费用</w:t>
      </w:r>
      <w:r>
        <w:rPr>
          <w:rFonts w:ascii="Times New Roman" w:hAnsi="Times New Roman" w:cs="Times New Roman" w:eastAsia="Times New Roman" w:hint="default"/>
        </w:rPr>
        <w:t>734.63</w:t>
      </w:r>
      <w:r>
        <w:rPr/>
        <w:t>元，成本 </w:t>
      </w:r>
      <w:r>
        <w:rPr>
          <w:rFonts w:ascii="Times New Roman" w:hAnsi="Times New Roman" w:cs="Times New Roman" w:eastAsia="Times New Roman" w:hint="default"/>
        </w:rPr>
        <w:t>5,998,118.20</w:t>
      </w:r>
      <w:r>
        <w:rPr/>
        <w:t>元。</w:t>
      </w:r>
    </w:p>
    <w:p>
      <w:pPr>
        <w:spacing w:line="240" w:lineRule="auto" w:before="10"/>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4"/>
        <w:gridCol w:w="852"/>
        <w:gridCol w:w="1051"/>
        <w:gridCol w:w="852"/>
        <w:gridCol w:w="852"/>
        <w:gridCol w:w="852"/>
        <w:gridCol w:w="852"/>
        <w:gridCol w:w="727"/>
      </w:tblGrid>
      <w:tr>
        <w:trPr>
          <w:trHeight w:val="401" w:hRule="exact"/>
        </w:trPr>
        <w:tc>
          <w:tcPr>
            <w:tcW w:w="2556" w:type="dxa"/>
            <w:vMerge w:val="restart"/>
            <w:tcBorders>
              <w:top w:val="single" w:sz="4" w:space="0" w:color="000000"/>
              <w:left w:val="single" w:sz="4" w:space="0" w:color="000000"/>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30" w:hRule="exact"/>
        </w:trPr>
        <w:tc>
          <w:tcPr>
            <w:tcW w:w="2556" w:type="dxa"/>
            <w:vMerge/>
            <w:tcBorders>
              <w:left w:val="single" w:sz="4" w:space="0" w:color="000000"/>
              <w:bottom w:val="nil" w:sz="6" w:space="0" w:color="auto"/>
              <w:right w:val="single" w:sz="4" w:space="0" w:color="000000"/>
            </w:tcBorders>
            <w:shd w:val="clear" w:color="auto" w:fill="D3D3D3"/>
          </w:tcPr>
          <w:p>
            <w:pPr/>
          </w:p>
        </w:tc>
        <w:tc>
          <w:tcPr>
            <w:tcW w:w="974" w:type="dxa"/>
            <w:vMerge/>
            <w:tcBorders>
              <w:left w:val="single" w:sz="4" w:space="0" w:color="000000"/>
              <w:right w:val="single" w:sz="4" w:space="0" w:color="000000"/>
            </w:tcBorders>
            <w:shd w:val="clear" w:color="auto" w:fill="D3D3D3"/>
          </w:tcPr>
          <w:p>
            <w:pP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7"/>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2" w:right="57"/>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57"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57"/>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7"/>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3D3D3"/>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4"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727" w:type="dxa"/>
            <w:vMerge/>
            <w:tcBorders>
              <w:left w:val="single" w:sz="4" w:space="0" w:color="000000"/>
              <w:right w:val="single" w:sz="4" w:space="0" w:color="000000"/>
            </w:tcBorders>
            <w:shd w:val="clear" w:color="auto" w:fill="D3D3D3"/>
          </w:tcPr>
          <w:p>
            <w:pPr/>
          </w:p>
        </w:tc>
      </w:tr>
      <w:tr>
        <w:trPr>
          <w:trHeight w:val="830"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579,015.09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406,110.1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375,294.9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30,815.22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579,015.09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406,110.1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375,294.9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30,815.22</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394"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3D3D3"/>
          </w:tcPr>
          <w:p>
            <w:pP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579,015.09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406,110.1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375,294.9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30,815.22</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3D3D3"/>
          </w:tcPr>
          <w:p>
            <w:pPr/>
          </w:p>
        </w:tc>
        <w:tc>
          <w:tcPr>
            <w:tcW w:w="97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8"/>
        <w:jc w:val="left"/>
      </w:pPr>
      <w:r>
        <w:rPr/>
        <w:t>其他说明，包括本期增减变动情况、变动原因说明：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31,496,237.40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14,366,579.25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45,862,816.65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31,496,237.40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14,366,579.25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45,862,816.65</w:t>
            </w:r>
          </w:p>
        </w:tc>
      </w:tr>
    </w:tbl>
    <w:p>
      <w:pPr>
        <w:pStyle w:val="BodyText"/>
        <w:spacing w:line="240" w:lineRule="auto" w:before="49"/>
        <w:ind w:right="1128"/>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7"/>
        <w:ind w:right="1128"/>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408,497,974.02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221,122,210.12</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408,497,974.02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221,122,210.12</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326,257,025.14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213,169,745.48</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14,366,579.25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10,970,331.57</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98,599,938.09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14,823,650.01</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621,788,481.82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408,497,974.02</w:t>
            </w:r>
          </w:p>
        </w:tc>
      </w:tr>
    </w:tbl>
    <w:p>
      <w:pPr>
        <w:pStyle w:val="BodyText"/>
        <w:spacing w:line="240" w:lineRule="auto" w:before="49"/>
        <w:ind w:right="1128"/>
        <w:jc w:val="left"/>
      </w:pPr>
      <w:r>
        <w:rPr/>
        <w:t>调整期初未分配利润明细：</w:t>
      </w:r>
    </w:p>
    <w:p>
      <w:pPr>
        <w:pStyle w:val="BodyText"/>
        <w:spacing w:line="240" w:lineRule="auto" w:before="117"/>
        <w:ind w:right="1128"/>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1128"/>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1128"/>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1128"/>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1128"/>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2,947,380,597.26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1,666,290,559.21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2,218,792,690.30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1,253,534,453.93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61,872,129.48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36,416,261.62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50,252,782.16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38,505,630.53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3,009,252,726.74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1,702,706,820.83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2,269,045,472.46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1,292,040,084.46</w:t>
            </w:r>
          </w:p>
        </w:tc>
      </w:tr>
    </w:tbl>
    <w:p>
      <w:pPr>
        <w:pStyle w:val="BodyText"/>
        <w:spacing w:line="240" w:lineRule="auto" w:before="49"/>
        <w:ind w:right="1128"/>
        <w:jc w:val="left"/>
      </w:pPr>
      <w:r>
        <w:rPr/>
        <w:t>是否已执行新收入准则</w:t>
      </w:r>
    </w:p>
    <w:p>
      <w:pPr>
        <w:pStyle w:val="BodyText"/>
        <w:spacing w:line="338" w:lineRule="auto" w:before="117"/>
        <w:ind w:right="94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after="0" w:line="338"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2,741,715.52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2,817,143.78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2,154,429.59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2,222,385.94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2,345,167.95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1,498,225.52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2,374,171.94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1,634,574.56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18,921.07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5,907.00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1,371,659.64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766,326.04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421,058.69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341,809.61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环保税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2,684.14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6,382.25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49,413.75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11,445,644.43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9,342,168.45</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11,045,328.12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10,173,747.21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189,038.74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431,157.32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运杂费用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192,786,902.22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170,463,329.95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926,244.57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2,976,206.02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452,558,781.10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357,608,327.63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864,866.58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410,478.70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510,827.70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632,442.82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1,734,346.29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1,445,802.89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18,205,287.63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15,721,764.89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2,207,732.85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1,568,953.08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佣金及手续费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2,431,143.55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1,168,227.86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7,191,607.42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6,810,060.69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39,248,129.73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27,079,350.65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3,494,751.01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3,257,443.74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733,394,987.51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599,747,293.45</w:t>
            </w:r>
          </w:p>
        </w:tc>
      </w:tr>
    </w:tbl>
    <w:p>
      <w:pPr>
        <w:pStyle w:val="BodyText"/>
        <w:spacing w:line="240" w:lineRule="auto" w:before="49"/>
        <w:ind w:right="1128"/>
        <w:jc w:val="left"/>
      </w:pPr>
      <w:r>
        <w:rPr/>
        <w:t>其他说明：</w:t>
      </w:r>
    </w:p>
    <w:p>
      <w:pPr>
        <w:spacing w:after="0" w:line="240" w:lineRule="auto"/>
        <w:jc w:val="left"/>
        <w:sectPr>
          <w:footerReference w:type="default" r:id="rId32"/>
          <w:pgSz w:w="11910" w:h="16840"/>
          <w:pgMar w:footer="981" w:header="745" w:top="1060" w:bottom="1180" w:left="980" w:right="0"/>
          <w:pgNumType w:start="16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43,761,867.08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31,178,426.15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5,427,898.30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1,455,647.70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16,574,711.79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3,551,707.64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651,204.41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526,493.29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水电费用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1,835,687.93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1,390,225.62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2,390,601.00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1,971,711.26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4,442,235.68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2,815,327.77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2,498,099.59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1,482,994.75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3,738,750.58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2,311,765.97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10,109,275.37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6,378,880.85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6,978,444.07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6,152,855.48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98,408,775.80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59,216,036.48</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28,643,800.76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9,783,126.94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30,907,227.02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22,729,917.77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2,747,092.76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1,660,975.98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628,960.99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464,960.21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776,456.97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63,703,538.50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34,638,980.90</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22,790,105.87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29,253,537.75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7,785,200.32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6,690,337.36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2,969,391.34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-3,736,668.24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1,247,796.87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3,105,986.73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加：融资租赁利息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4,629,173.11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738,173.65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加：现金折扣</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537.37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23,851,266.87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22,671,229.90</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外贸发展专项资金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322,500.00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环保型软包装数字化印刷机生产线项目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264,322.32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264,322.32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万件环保纸箱生产线技改项目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213,033.72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213,033.72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企业技术改造补助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139,743.36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139,743.36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印刷绿色环保数字化生产线项目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128,787.88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128,787.88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印刷绿色环保数字化生产线项目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设备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挥发性有机物污染防治专项资金补助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82,051.32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82,051.32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56,084.19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42,943.68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42,943.68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25,166.04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25,166.04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21,694.12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21,694.12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大气污染防治政府补贴资金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五色水印绿色环保箱生产线专项资金支 持项目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18,556.68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18,556.68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11,327.12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年度企业技改设备购置补贴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36,923.04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6,153.84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税收扶持金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2,567,460.84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企业研发补助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2,349,100.00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企业上市扶持资金</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年度厦门市高新技术成果转化项目 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1,149,400.00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年第八批科技计划项目</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849,060.00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怀远经济开发区纳税奖励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488,089.86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年省级数字化车间奖励资金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年新认定高新技术企业奖金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项目补助（贷款贴息）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198,400.00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省级工业企业结构调整专项奖励金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184,460.00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融资担保费补助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172,500.00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年度福建省最具成长性文化企业奖 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怀远财政局纳税奖励款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怀远县人力资源社保局新录用人员岗前 培训补贴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亿只纸容器项目（三期）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企业稳岗返还资金款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40,883.40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年上半年出口信用保险补助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33,667.50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企业招收退役军人抵减增值税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购置研发设备补助款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市场监督局扶持资金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年社保补差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19,664.76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年授权专利补贴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年度科技型中小企业奖金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年第三季度社保自主招工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年引进发明专利奖金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年第三季度社会保险差额补助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3,350.61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怀远税务局代扣代缴手续费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2,435.90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年企业技术改造补助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1,262.14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年厦门市工业企业技改项目补助</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1,262.14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年第四季度劳务协作奖励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11,898,952.80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1,478,164.27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402"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1,959,264.17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2,431,138.40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508,319.55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362,335.18</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7,786,250.00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120,833.33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2,588,417.05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10,579,723.58</w:t>
            </w:r>
          </w:p>
        </w:tc>
      </w:tr>
    </w:tbl>
    <w:p>
      <w:pPr>
        <w:pStyle w:val="BodyText"/>
        <w:spacing w:line="240" w:lineRule="auto" w:before="49"/>
        <w:ind w:right="1128"/>
        <w:jc w:val="left"/>
      </w:pPr>
      <w:r>
        <w:rPr/>
        <w:t>其他说明：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317,116.71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-3,849,635.64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-3,532,518.93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1953" w:space="687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-7,219,451.59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-4,372,136.33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-3,141,941.80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-3,155,560.93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-7,527,697.26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-10,361,393.39</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持有待售处置组处置收益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137,173.23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-141,701.97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划分为持有待售的非流动资产处置 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137,173.23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-141,701.97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137,173.23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-141,701.97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 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非货币性资产交换收益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债务重组中因处置非流动资产收益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137,173.23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-141,701.97</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2"/>
                <w:sz w:val="18"/>
              </w:rPr>
              <w:t>1,111,444.97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3,484,380.41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1,111,444.97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1,837,231.28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1,269,647.14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1,837,231.28</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2"/>
              <w:jc w:val="left"/>
              <w:rPr>
                <w:rFonts w:ascii="宋体" w:hAnsi="宋体" w:cs="宋体" w:eastAsia="宋体" w:hint="default"/>
                <w:sz w:val="18"/>
                <w:szCs w:val="18"/>
              </w:rPr>
            </w:pPr>
            <w:r>
              <w:rPr>
                <w:rFonts w:ascii="宋体" w:hAnsi="宋体" w:cs="宋体" w:eastAsia="宋体" w:hint="default"/>
                <w:sz w:val="18"/>
                <w:szCs w:val="18"/>
              </w:rPr>
              <w:t>初始投资成本小于投资时可 辨认净资产公允价值的份额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2,702,081.65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2,755,494.03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2,702,081.65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5,650,757.90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7,509,521.58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5,650,757.90</w:t>
            </w:r>
          </w:p>
        </w:tc>
      </w:tr>
    </w:tbl>
    <w:p>
      <w:pPr>
        <w:pStyle w:val="BodyText"/>
        <w:spacing w:line="240" w:lineRule="auto" w:before="49"/>
        <w:ind w:right="1128"/>
        <w:jc w:val="left"/>
      </w:pPr>
      <w:r>
        <w:rPr/>
        <w:t>计入当期损益的政府补助：</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规模以上企 业入库奖励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厦门工信局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500,000.00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5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3" w:right="129"/>
              <w:jc w:val="left"/>
              <w:rPr>
                <w:rFonts w:ascii="宋体" w:hAnsi="宋体" w:cs="宋体" w:eastAsia="宋体" w:hint="default"/>
                <w:sz w:val="18"/>
                <w:szCs w:val="18"/>
              </w:rPr>
            </w:pPr>
            <w:r>
              <w:rPr>
                <w:rFonts w:ascii="宋体" w:hAnsi="宋体" w:cs="宋体" w:eastAsia="宋体" w:hint="default"/>
                <w:sz w:val="18"/>
                <w:szCs w:val="18"/>
              </w:rPr>
              <w:t>文化产业专 项补贴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4"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西安市市宣 发</w:t>
            </w:r>
            <w:r>
              <w:rPr>
                <w:rFonts w:ascii="Times New Roman" w:hAnsi="Times New Roman" w:cs="Times New Roman" w:eastAsia="Times New Roman" w:hint="default"/>
                <w:sz w:val="18"/>
                <w:szCs w:val="18"/>
              </w:rPr>
              <w:t>[2018]37</w:t>
            </w:r>
          </w:p>
          <w:p>
            <w:pPr>
              <w:pStyle w:val="TableParagraph"/>
              <w:spacing w:line="316" w:lineRule="auto" w:before="1"/>
              <w:ind w:left="24" w:right="127"/>
              <w:jc w:val="left"/>
              <w:rPr>
                <w:rFonts w:ascii="宋体" w:hAnsi="宋体" w:cs="宋体" w:eastAsia="宋体" w:hint="default"/>
                <w:sz w:val="18"/>
                <w:szCs w:val="18"/>
              </w:rPr>
            </w:pPr>
            <w:r>
              <w:rPr>
                <w:rFonts w:ascii="宋体" w:hAnsi="宋体" w:cs="宋体" w:eastAsia="宋体" w:hint="default"/>
                <w:sz w:val="18"/>
                <w:szCs w:val="18"/>
              </w:rPr>
              <w:t>号文件并取 得申请文件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9"/>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40015pt;margin-top:527.279785pt;width:52.7pt;height:66.4pt;mso-position-horizontal-relative:page;mso-position-vertical-relative:page;z-index:-1281616" coordorigin="5393,10546" coordsize="1054,1328">
            <v:group style="position:absolute;left:5393;top:10546;width:1054;height:1328" coordorigin="5393,10546" coordsize="1054,1328">
              <v:shape style="position:absolute;left:5393;top:10546;width:1054;height:1328" coordorigin="5393,10546" coordsize="1054,1328" path="m5393,10546l6446,10546,6446,11873,5393,11873,5393,10546xe" filled="true" fillcolor="#ffffff" stroked="false">
                <v:path arrowok="t"/>
                <v:fill type="solid"/>
              </v:shape>
            </v:group>
            <v:group style="position:absolute;left:5417;top:11014;width:1006;height:392" coordorigin="5417,11014" coordsize="1006,392">
              <v:shape style="position:absolute;left:5417;top:11014;width:1006;height:392" coordorigin="5417,11014" coordsize="1006,392" path="m5417,11014l6422,11014,6422,11405,5417,11405,5417,1101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高新区十佳 企业表彰奖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西安市高新 区管委会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300,000.00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因承担国家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为保障某种</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社保补差</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sz w:val="18"/>
                <w:szCs w:val="18"/>
              </w:rPr>
              <w:t>厦门市海沧 区劳动就业 中心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公用事业或 社会必要产 品供应或价 格控制职能</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5,584.35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z w:val="18"/>
              </w:rPr>
              <w:t>14,598.25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而获得的补</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因承担国家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为保障某种</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劳务协作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sz w:val="18"/>
                <w:szCs w:val="18"/>
              </w:rPr>
              <w:t>厦门市海沧 区劳动就业 中心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公用事业或 社会必要产 品供应或价 格控制职能</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3,500.00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31,063.23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而获得的补</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宋体" w:hAnsi="宋体" w:cs="宋体" w:eastAsia="宋体" w:hint="default"/>
                <w:sz w:val="18"/>
                <w:szCs w:val="18"/>
              </w:rPr>
              <w:t>国家税务总</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2"/>
                <w:sz w:val="18"/>
                <w:szCs w:val="18"/>
              </w:rPr>
              <w:t>特定行业、产</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个税补贴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局厦门市沧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业而获得的</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8"/>
                <w:szCs w:val="18"/>
              </w:rPr>
            </w:pPr>
            <w:r>
              <w:rPr>
                <w:rFonts w:ascii="Times New Roman"/>
                <w:sz w:val="18"/>
              </w:rPr>
              <w:t>2,360.62</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海区税务局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30"/>
              <w:jc w:val="left"/>
              <w:rPr>
                <w:rFonts w:ascii="宋体" w:hAnsi="宋体" w:cs="宋体" w:eastAsia="宋体" w:hint="default"/>
                <w:sz w:val="18"/>
                <w:szCs w:val="18"/>
              </w:rPr>
            </w:pPr>
            <w:r>
              <w:rPr>
                <w:rFonts w:ascii="宋体" w:hAnsi="宋体" w:cs="宋体" w:eastAsia="宋体" w:hint="default"/>
                <w:sz w:val="18"/>
                <w:szCs w:val="18"/>
              </w:rPr>
              <w:t>研发经费补 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left"/>
              <w:rPr>
                <w:rFonts w:ascii="宋体" w:hAnsi="宋体" w:cs="宋体" w:eastAsia="宋体" w:hint="default"/>
                <w:sz w:val="18"/>
                <w:szCs w:val="18"/>
              </w:rPr>
            </w:pPr>
            <w:r>
              <w:rPr>
                <w:rFonts w:ascii="宋体" w:hAnsi="宋体" w:cs="宋体" w:eastAsia="宋体" w:hint="default"/>
                <w:sz w:val="18"/>
                <w:szCs w:val="18"/>
              </w:rPr>
              <w:t>厦门市科技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1"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1,992,000.00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30"/>
              <w:jc w:val="both"/>
              <w:rPr>
                <w:rFonts w:ascii="宋体" w:hAnsi="宋体" w:cs="宋体" w:eastAsia="宋体" w:hint="default"/>
                <w:sz w:val="18"/>
                <w:szCs w:val="18"/>
              </w:rPr>
            </w:pPr>
            <w:r>
              <w:rPr>
                <w:rFonts w:ascii="宋体" w:hAnsi="宋体" w:cs="宋体" w:eastAsia="宋体" w:hint="default"/>
                <w:sz w:val="18"/>
                <w:szCs w:val="18"/>
              </w:rPr>
              <w:t>房产税和土 地使用税奖 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厦门市经济 和信息化局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27"/>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8"/>
              <w:jc w:val="right"/>
              <w:rPr>
                <w:rFonts w:ascii="Times New Roman" w:hAnsi="Times New Roman" w:cs="Times New Roman" w:eastAsia="Times New Roman" w:hint="default"/>
                <w:sz w:val="18"/>
                <w:szCs w:val="18"/>
              </w:rPr>
            </w:pPr>
            <w:r>
              <w:rPr>
                <w:rFonts w:ascii="Times New Roman"/>
                <w:sz w:val="18"/>
              </w:rPr>
              <w:t>371,237.12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40015pt;margin-top:299.879761pt;width:52.7pt;height:148.950pt;mso-position-horizontal-relative:page;mso-position-vertical-relative:page;z-index:-1281592" coordorigin="5393,5998" coordsize="1054,2979">
            <v:group style="position:absolute;left:5393;top:5998;width:1054;height:1328" coordorigin="5393,5998" coordsize="1054,1328">
              <v:shape style="position:absolute;left:5393;top:5998;width:1054;height:1328" coordorigin="5393,5998" coordsize="1054,1328" path="m5393,5998l6446,5998,6446,7325,5393,7325,5393,5998xe" filled="true" fillcolor="#ffffff" stroked="false">
                <v:path arrowok="t"/>
                <v:fill type="solid"/>
              </v:shape>
            </v:group>
            <v:group style="position:absolute;left:5417;top:6466;width:1006;height:392" coordorigin="5417,6466" coordsize="1006,392">
              <v:shape style="position:absolute;left:5417;top:6466;width:1006;height:392" coordorigin="5417,6466" coordsize="1006,392" path="m5417,6466l6422,6466,6422,6857,5417,6857,5417,6466xe" filled="true" fillcolor="#ffffff" stroked="false">
                <v:path arrowok="t"/>
                <v:fill type="solid"/>
              </v:shape>
            </v:group>
            <v:group style="position:absolute;left:5393;top:7337;width:1054;height:1640" coordorigin="5393,7337" coordsize="1054,1640">
              <v:shape style="position:absolute;left:5393;top:7337;width:1054;height:1640" coordorigin="5393,7337" coordsize="1054,1640" path="m5393,7337l6446,7337,6446,8976,5393,8976,5393,7337xe" filled="true" fillcolor="#ffffff" stroked="false">
                <v:path arrowok="t"/>
                <v:fill type="solid"/>
              </v:shape>
            </v:group>
            <v:group style="position:absolute;left:5417;top:7961;width:1006;height:392" coordorigin="5417,7961" coordsize="1006,392">
              <v:shape style="position:absolute;left:5417;top:7961;width:1006;height:392" coordorigin="5417,7961" coordsize="1006,392" path="m5417,7961l6422,7961,6422,8352,5417,8352,5417,796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30"/>
              <w:jc w:val="left"/>
              <w:rPr>
                <w:rFonts w:ascii="宋体" w:hAnsi="宋体" w:cs="宋体" w:eastAsia="宋体" w:hint="default"/>
                <w:sz w:val="18"/>
                <w:szCs w:val="18"/>
              </w:rPr>
            </w:pPr>
            <w:r>
              <w:rPr>
                <w:rFonts w:ascii="宋体" w:hAnsi="宋体" w:cs="宋体" w:eastAsia="宋体" w:hint="default"/>
                <w:sz w:val="18"/>
                <w:szCs w:val="18"/>
              </w:rPr>
              <w:t>科技贷款利 息补贴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254,842.00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《厦门市海</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23" w:right="130"/>
              <w:jc w:val="left"/>
              <w:rPr>
                <w:rFonts w:ascii="宋体" w:hAnsi="宋体" w:cs="宋体" w:eastAsia="宋体" w:hint="default"/>
                <w:sz w:val="18"/>
                <w:szCs w:val="18"/>
              </w:rPr>
            </w:pPr>
            <w:r>
              <w:rPr>
                <w:rFonts w:ascii="宋体" w:hAnsi="宋体" w:cs="宋体" w:eastAsia="宋体" w:hint="default"/>
                <w:sz w:val="18"/>
                <w:szCs w:val="18"/>
              </w:rPr>
              <w:t>产业转型升 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09" w:lineRule="auto" w:before="9"/>
              <w:ind w:left="24" w:right="19"/>
              <w:jc w:val="left"/>
              <w:rPr>
                <w:rFonts w:ascii="宋体" w:hAnsi="宋体" w:cs="宋体" w:eastAsia="宋体" w:hint="default"/>
                <w:sz w:val="18"/>
                <w:szCs w:val="18"/>
              </w:rPr>
            </w:pPr>
            <w:r>
              <w:rPr>
                <w:rFonts w:ascii="宋体" w:hAnsi="宋体" w:cs="宋体" w:eastAsia="宋体" w:hint="default"/>
                <w:sz w:val="18"/>
                <w:szCs w:val="18"/>
              </w:rPr>
              <w:t>沧区科学技 </w:t>
            </w:r>
            <w:r>
              <w:rPr>
                <w:rFonts w:ascii="宋体" w:hAnsi="宋体" w:cs="宋体" w:eastAsia="宋体" w:hint="default"/>
                <w:spacing w:val="-2"/>
                <w:sz w:val="18"/>
                <w:szCs w:val="18"/>
              </w:rPr>
              <w:t>术局文件》</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厦海科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8"/>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30"/>
              <w:jc w:val="left"/>
              <w:rPr>
                <w:rFonts w:ascii="宋体" w:hAnsi="宋体" w:cs="宋体" w:eastAsia="宋体" w:hint="default"/>
                <w:sz w:val="18"/>
                <w:szCs w:val="18"/>
              </w:rPr>
            </w:pPr>
            <w:r>
              <w:rPr>
                <w:rFonts w:ascii="宋体" w:hAnsi="宋体" w:cs="宋体" w:eastAsia="宋体" w:hint="default"/>
                <w:sz w:val="18"/>
                <w:szCs w:val="18"/>
              </w:rPr>
              <w:t>高新技术补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sz w:val="18"/>
                <w:szCs w:val="18"/>
              </w:rPr>
              <w:t>厦门市海沧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0"/>
              <w:jc w:val="both"/>
              <w:rPr>
                <w:rFonts w:ascii="宋体" w:hAnsi="宋体" w:cs="宋体" w:eastAsia="宋体" w:hint="default"/>
                <w:sz w:val="18"/>
                <w:szCs w:val="18"/>
              </w:rPr>
            </w:pPr>
            <w:r>
              <w:rPr>
                <w:rFonts w:ascii="宋体" w:hAnsi="宋体" w:cs="宋体" w:eastAsia="宋体" w:hint="default"/>
                <w:sz w:val="18"/>
                <w:szCs w:val="18"/>
              </w:rPr>
              <w:t>第二批科技 项目市级高 企奖励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《厦门市海 沧区科学技 </w:t>
            </w:r>
            <w:r>
              <w:rPr>
                <w:rFonts w:ascii="宋体" w:hAnsi="宋体" w:cs="宋体" w:eastAsia="宋体" w:hint="default"/>
                <w:spacing w:val="-2"/>
                <w:sz w:val="18"/>
                <w:szCs w:val="18"/>
              </w:rPr>
              <w:t>术局文件》</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厦海科 </w:t>
            </w:r>
            <w:r>
              <w:rPr>
                <w:rFonts w:ascii="Times New Roman" w:hAnsi="Times New Roman" w:cs="Times New Roman" w:eastAsia="Times New Roman" w:hint="default"/>
                <w:sz w:val="18"/>
                <w:szCs w:val="18"/>
              </w:rPr>
              <w:t>[2018]5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30"/>
              <w:jc w:val="left"/>
              <w:rPr>
                <w:rFonts w:ascii="宋体" w:hAnsi="宋体" w:cs="宋体" w:eastAsia="宋体" w:hint="default"/>
                <w:sz w:val="18"/>
                <w:szCs w:val="18"/>
              </w:rPr>
            </w:pPr>
            <w:r>
              <w:rPr>
                <w:rFonts w:ascii="宋体" w:hAnsi="宋体" w:cs="宋体" w:eastAsia="宋体" w:hint="default"/>
                <w:sz w:val="18"/>
                <w:szCs w:val="18"/>
              </w:rPr>
              <w:t>融资担保费 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厦门市海沧 区经济和信 息化局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75,000.00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3" w:right="130"/>
              <w:jc w:val="left"/>
              <w:rPr>
                <w:rFonts w:ascii="宋体" w:hAnsi="宋体" w:cs="宋体" w:eastAsia="宋体" w:hint="default"/>
                <w:sz w:val="18"/>
                <w:szCs w:val="18"/>
              </w:rPr>
            </w:pPr>
            <w:r>
              <w:rPr>
                <w:rFonts w:ascii="宋体" w:hAnsi="宋体" w:cs="宋体" w:eastAsia="宋体" w:hint="default"/>
                <w:sz w:val="18"/>
                <w:szCs w:val="18"/>
              </w:rPr>
              <w:t>优质品牌奖 励金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厦门市质量 技术监督局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
              <w:jc w:val="left"/>
              <w:rPr>
                <w:rFonts w:ascii="宋体" w:hAnsi="宋体" w:cs="宋体" w:eastAsia="宋体" w:hint="default"/>
                <w:sz w:val="18"/>
                <w:szCs w:val="18"/>
              </w:rPr>
            </w:pP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因承担国家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为保障某种</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sz w:val="18"/>
                <w:szCs w:val="18"/>
              </w:rPr>
              <w:t>厦门市社会 保险管理中 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27"/>
              <w:jc w:val="both"/>
              <w:rPr>
                <w:rFonts w:ascii="宋体" w:hAnsi="宋体" w:cs="宋体" w:eastAsia="宋体" w:hint="default"/>
                <w:sz w:val="18"/>
                <w:szCs w:val="18"/>
              </w:rPr>
            </w:pPr>
            <w:r>
              <w:rPr>
                <w:rFonts w:ascii="宋体" w:hAnsi="宋体" w:cs="宋体" w:eastAsia="宋体" w:hint="default"/>
                <w:sz w:val="18"/>
                <w:szCs w:val="18"/>
              </w:rPr>
              <w:t>公用事业或 社会必要产 品供应或价 格控制职能</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z w:val="18"/>
              </w:rPr>
              <w:t>8,568.02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而获得的补</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厦门市社会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保险管理中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6,100.00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6"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心</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因承担国家</w:t>
            </w: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为保障某种</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公用事业或</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30"/>
              <w:jc w:val="left"/>
              <w:rPr>
                <w:rFonts w:ascii="宋体" w:hAnsi="宋体" w:cs="宋体" w:eastAsia="宋体" w:hint="default"/>
                <w:sz w:val="18"/>
                <w:szCs w:val="18"/>
              </w:rPr>
            </w:pPr>
            <w:r>
              <w:rPr>
                <w:rFonts w:ascii="宋体" w:hAnsi="宋体" w:cs="宋体" w:eastAsia="宋体" w:hint="default"/>
                <w:sz w:val="18"/>
                <w:szCs w:val="18"/>
              </w:rPr>
              <w:t>农村社保补 差</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27"/>
              <w:jc w:val="left"/>
              <w:rPr>
                <w:rFonts w:ascii="宋体" w:hAnsi="宋体" w:cs="宋体" w:eastAsia="宋体" w:hint="default"/>
                <w:sz w:val="18"/>
                <w:szCs w:val="18"/>
              </w:rPr>
            </w:pPr>
            <w:r>
              <w:rPr>
                <w:rFonts w:ascii="宋体" w:hAnsi="宋体" w:cs="宋体" w:eastAsia="宋体" w:hint="default"/>
                <w:sz w:val="18"/>
                <w:szCs w:val="18"/>
              </w:rPr>
              <w:t>厦门市湖里 区就业中心</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27"/>
              <w:jc w:val="left"/>
              <w:rPr>
                <w:rFonts w:ascii="宋体" w:hAnsi="宋体" w:cs="宋体" w:eastAsia="宋体" w:hint="default"/>
                <w:sz w:val="18"/>
                <w:szCs w:val="18"/>
              </w:rPr>
            </w:pPr>
            <w:r>
              <w:rPr>
                <w:rFonts w:ascii="宋体" w:hAnsi="宋体" w:cs="宋体" w:eastAsia="宋体" w:hint="default"/>
                <w:sz w:val="18"/>
                <w:szCs w:val="18"/>
              </w:rPr>
              <w:t>社会必要产 品供应或价</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971.79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格控制职能</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而获得的补</w:t>
            </w:r>
          </w:p>
        </w:tc>
        <w:tc>
          <w:tcPr>
            <w:tcW w:w="1061"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1,842,800.00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140,184.76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140,184.76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3,230,434.23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1,201,685.38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3,230,434.23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3,438,618.99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3,044,485.38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3,438,618.99</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42,208,246.81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31,291,808.30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-6,991,166.01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-2,234,335.74</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35,217,080.80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29,057,472.56</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8"/>
        <w:gridCol w:w="4790"/>
      </w:tblGrid>
      <w:tr>
        <w:trPr>
          <w:trHeight w:val="397"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381,518,158.60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57,227,723.79</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-24,318,692.68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11,452,008.72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-6,991,166.01</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3" w:right="6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1,443,633.23</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-3,596,426.25</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35,217,080.80</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86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2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9,871,645.59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4,185,638.70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7,060,372.41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2,222,264.32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保险理赔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1,828,857.32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348,655.47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5,882,937.59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1,627,885.58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3,774,961.06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3,918,631.45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1,893,837.61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30,312,611.58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12,303,075.52</w:t>
            </w:r>
          </w:p>
        </w:tc>
      </w:tr>
    </w:tbl>
    <w:p>
      <w:pPr>
        <w:pStyle w:val="BodyText"/>
        <w:spacing w:line="240" w:lineRule="auto" w:before="49"/>
        <w:ind w:right="1128"/>
        <w:jc w:val="left"/>
      </w:pPr>
      <w:r>
        <w:rPr/>
        <w:t>收到的其他与经营活动有关的现金说明：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89,271,869.03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65,315,540.41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10,686,307.93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1,914,800.33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18,112,769.29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7,793,936.19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4,566,850.26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6,629,100.84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2,276,828.29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2,434,354.51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3,216,005.12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9,275,874.43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18,840,931.96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10,008,179.23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1,018,500.63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1,242,521.77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2,105,071.45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2,087,866.10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451,042,047.53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329,162,827.28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849,346.43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1,137,210.54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15,285,457.30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14,332,766.76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26,550,124.84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18,055,242.95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643,822,110.06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469,390,221.34</w:t>
            </w:r>
          </w:p>
        </w:tc>
      </w:tr>
    </w:tbl>
    <w:p>
      <w:pPr>
        <w:pStyle w:val="BodyText"/>
        <w:spacing w:line="240" w:lineRule="auto" w:before="49"/>
        <w:ind w:right="1128"/>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银行理财到期收回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90,000,000.00</w:t>
            </w:r>
          </w:p>
        </w:tc>
      </w:tr>
    </w:tbl>
    <w:p>
      <w:pPr>
        <w:pStyle w:val="BodyText"/>
        <w:spacing w:line="240" w:lineRule="auto" w:before="49"/>
        <w:ind w:right="1128"/>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2,221,500.00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银行理财款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360,000,000.00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2,221,500.00</w:t>
            </w:r>
          </w:p>
        </w:tc>
      </w:tr>
    </w:tbl>
    <w:p>
      <w:pPr>
        <w:pStyle w:val="BodyText"/>
        <w:spacing w:line="240" w:lineRule="auto" w:before="49"/>
        <w:ind w:right="1128"/>
        <w:jc w:val="left"/>
      </w:pPr>
      <w:r>
        <w:rPr/>
        <w:t>支付的其他与投资活动有关的现金说明：</w:t>
      </w:r>
    </w:p>
    <w:p>
      <w:pPr>
        <w:spacing w:after="0" w:line="240" w:lineRule="auto"/>
        <w:jc w:val="left"/>
        <w:sectPr>
          <w:footerReference w:type="default" r:id="rId33"/>
          <w:pgSz w:w="11910" w:h="16840"/>
          <w:pgMar w:footer="981" w:header="745" w:top="1060" w:bottom="1180" w:left="980" w:right="0"/>
          <w:pgNumType w:start="17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13,821,622.87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售后租回融资款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回购股票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83,207,871.10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20,321,622.87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140,207,871.10</w:t>
            </w:r>
          </w:p>
        </w:tc>
      </w:tr>
    </w:tbl>
    <w:p>
      <w:pPr>
        <w:pStyle w:val="BodyText"/>
        <w:spacing w:line="240" w:lineRule="auto" w:before="49"/>
        <w:ind w:right="1128"/>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27,385,850.22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支付的融资租赁费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34,538,690.60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10,229,807.16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2,169,811.31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回购股票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5,998,852.83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98,507,536.53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67,993,393.65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110,907,155.00</w:t>
            </w:r>
          </w:p>
        </w:tc>
      </w:tr>
    </w:tbl>
    <w:p>
      <w:pPr>
        <w:pStyle w:val="BodyText"/>
        <w:spacing w:line="240" w:lineRule="auto" w:before="49"/>
        <w:ind w:right="1128"/>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346,301,077.80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228,352,034.95</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11,060,216.19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10,361,393.39</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54,567,735.55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44,355,440.19</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16,568,119.55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1,585,689.81</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2,157,855.61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1,502,734.47</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-137,173.23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141,701.97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27,419,278.98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29,991,711.40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-2,588,417.05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-10,579,723.58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r>
        <w:rPr/>
        <w:pict>
          <v:group style="position:absolute;margin-left:223.320007pt;margin-top:143.879776pt;width:152.3pt;height:19.6pt;mso-position-horizontal-relative:page;mso-position-vertical-relative:page;z-index:-1281520" coordorigin="4466,2878" coordsize="3046,392">
            <v:group style="position:absolute;left:7490;top:2878;width:22;height:392" coordorigin="7490,2878" coordsize="22,392">
              <v:shape style="position:absolute;left:7490;top:2878;width:22;height:392" coordorigin="7490,2878" coordsize="22,392" path="m7490,3269l7512,3269,7512,2878,7490,2878,7490,3269xe" filled="true" fillcolor="#ffffff" stroked="false">
                <v:path arrowok="t"/>
                <v:fill type="solid"/>
              </v:shape>
            </v:group>
            <v:group style="position:absolute;left:4466;top:2878;width:22;height:392" coordorigin="4466,2878" coordsize="22,392">
              <v:shape style="position:absolute;left:4466;top:2878;width:22;height:392" coordorigin="4466,2878" coordsize="22,392" path="m4466,3269l4488,3269,4488,2878,4466,2878,4466,3269xe" filled="true" fillcolor="#ffffff" stroked="false">
                <v:path arrowok="t"/>
                <v:fill type="solid"/>
              </v:shape>
            </v:group>
            <v:group style="position:absolute;left:4488;top:2878;width:3003;height:392" coordorigin="4488,2878" coordsize="3003,392">
              <v:shape style="position:absolute;left:4488;top:2878;width:3003;height:392" coordorigin="4488,2878" coordsize="3003,392" path="m4488,2878l7490,2878,7490,3269,4488,3269,4488,287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-1,522,803.25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-2,047,234.92</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-5,468,362.76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7,829,571.48</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tabs>
                <w:tab w:pos="1929" w:val="left" w:leader="none"/>
              </w:tabs>
              <w:spacing w:line="240" w:lineRule="auto" w:before="49"/>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-38,915,030.77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-37,165,205.35</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-151,171,925.50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-74,847,169.06</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58,901,570.12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57,505,209.06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317,172,141.24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256,986,153.81</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49"/>
              <w:ind w:left="23"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348,898,204.89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261,433,972.56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261,433,972.56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120,621,376.14</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87,464,232.33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140,812,596.42</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55,724,630.77</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其中：安徽吉宏</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55,724,630.77</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成都渡佳</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29,868,366.65</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其中：安徽吉宏</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29,861,921.65</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成都渡佳</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6,445.00</w:t>
            </w:r>
          </w:p>
        </w:tc>
      </w:tr>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25,856,264.12</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966;top:17;width:24;height:392" coordorigin="4966,17" coordsize="24,392">
              <v:shape style="position:absolute;left:4966;top:17;width:24;height:392" coordorigin="4966,17" coordsize="24,392" path="m4966,408l4990,408,4990,17,4966,17,4966,408xe" filled="true" fillcolor="#d3d3d3"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3d3d3" stroked="false">
                <v:path arrowok="t"/>
                <v:fill type="solid"/>
              </v:shape>
            </v:group>
            <v:group style="position:absolute;left:34;top:17;width:4932;height:392" coordorigin="34,17" coordsize="4932,392">
              <v:shape style="position:absolute;left:34;top:17;width:4932;height:392" coordorigin="34,17" coordsize="4932,392" path="m34,17l4966,17,4966,408,34,408,34,17xe" filled="true" fillcolor="#d3d3d3" stroked="false">
                <v:path arrowok="t"/>
                <v:fill type="solid"/>
              </v:shape>
            </v:group>
            <v:group style="position:absolute;left:4999;top:17;width:22;height:392" coordorigin="4999,17" coordsize="22,392">
              <v:shape style="position:absolute;left:4999;top:17;width:22;height:392" coordorigin="4999,17" coordsize="22,392" path="m4999,408l5021,408,5021,17,4999,17,4999,408xe" filled="true" fillcolor="#d3d3d3" stroked="false">
                <v:path arrowok="t"/>
                <v:fill type="solid"/>
              </v:shape>
            </v:group>
            <v:group style="position:absolute;left:9545;top:17;width:24;height:392" coordorigin="9545,17" coordsize="24,392">
              <v:shape style="position:absolute;left:9545;top:17;width:24;height:392" coordorigin="9545,17" coordsize="24,392" path="m9545,408l9569,408,9569,17,9545,17,9545,408xe" filled="true" fillcolor="#d3d3d3" stroked="false">
                <v:path arrowok="t"/>
                <v:fill type="solid"/>
              </v:shape>
            </v:group>
            <v:group style="position:absolute;left:5021;top:17;width:4524;height:392" coordorigin="5021,17" coordsize="4524,392">
              <v:shape style="position:absolute;left:5021;top:17;width:4524;height:392" coordorigin="5021,17" coordsize="4524,392" path="m5021,17l9545,17,9545,408,5021,408,5021,17xe" filled="true" fillcolor="#d3d3d3" stroked="false">
                <v:path arrowok="t"/>
                <v:fill type="solid"/>
              </v:shape>
            </v:group>
            <v:group style="position:absolute;left:10;top:10;width:4978;height:2" coordorigin="10,10" coordsize="4978,2">
              <v:shape style="position:absolute;left:10;top:10;width:4978;height:2" coordorigin="10,10" coordsize="4978,0" path="m10,10l4987,10e" filled="false" stroked="true" strokeweight=".48pt" strokecolor="#000000">
                <v:path arrowok="t"/>
              </v:shape>
            </v:group>
            <v:group style="position:absolute;left:4997;top:10;width:4572;height:2" coordorigin="4997,10" coordsize="4572,2">
              <v:shape style="position:absolute;left:4997;top:10;width:4572;height:2" coordorigin="4997,10" coordsize="4572,0" path="m4997,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8;height:2" coordorigin="10,413" coordsize="4978,2">
              <v:shape style="position:absolute;left:10;top:413;width:4978;height:2" coordorigin="10,413" coordsize="4978,0" path="m10,413l4987,413e" filled="false" stroked="true" strokeweight=".48pt" strokecolor="#000000">
                <v:path arrowok="t"/>
              </v:shape>
            </v:group>
            <v:group style="position:absolute;left:4992;top:5;width:2;height:413" coordorigin="4992,5" coordsize="2,413">
              <v:shape style="position:absolute;left:4992;top:5;width:2;height:413" coordorigin="4992,5" coordsize="0,413" path="m4992,5l4992,418e" filled="false" stroked="true" strokeweight=".48pt" strokecolor="#000000">
                <v:path arrowok="t"/>
              </v:shape>
            </v:group>
            <v:group style="position:absolute;left:4997;top:413;width:4572;height:2" coordorigin="4997,413" coordsize="4572,2">
              <v:shape style="position:absolute;left:4997;top:413;width:4572;height:2" coordorigin="4997,413" coordsize="4572,0" path="m4997,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710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348,898,204.89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261,433,972.56</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246,446.79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287,010.27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348,651,758.10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261,146,962.29</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348,898,204.89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261,433,972.56</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138,854,060.30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19,235,335.16</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138,854,060.30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银行定期存款、汇票保证金</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124,118,669.19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45,512,769.36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作为借款的抵押、质押物</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308,485,498.85</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6" w:right="0"/>
              <w:jc w:val="left"/>
              <w:rPr>
                <w:rFonts w:ascii="Times New Roman" w:hAnsi="Times New Roman" w:cs="Times New Roman" w:eastAsia="Times New Roman" w:hint="default"/>
                <w:sz w:val="18"/>
                <w:szCs w:val="18"/>
              </w:rPr>
            </w:pPr>
            <w:r>
              <w:rPr>
                <w:rFonts w:ascii="Times New Roman"/>
                <w:sz w:val="18"/>
              </w:rPr>
              <w:t>13,282,370.70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92,660,474.47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4,848,128.11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4,342,856.21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澳元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4.8843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95,243.85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1"/>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162,889,021.00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10,438,905.80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1"/>
              <w:jc w:val="center"/>
              <w:rPr>
                <w:rFonts w:ascii="宋体" w:hAnsi="宋体" w:cs="宋体" w:eastAsia="宋体" w:hint="default"/>
                <w:sz w:val="18"/>
                <w:szCs w:val="18"/>
              </w:rPr>
            </w:pP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0.2336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574,309.72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5.1739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2,971,421.06</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印度尼西亚卢比</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1,476,339.00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740.13</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128"/>
              <w:jc w:val="righ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38,405.14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267,921.93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26,355,788.17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23,608,987.93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阿联酋迪拉姆</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1,746,042.68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3,316,068.45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670,500.00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4,044.27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马来西亚林吉特</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3,059,046.00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1.6986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5,196,096.62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94,628,625.06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6,064,370.06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沙特里亚尔</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2,816,759.32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1.8597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5,238,338.39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台湾元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68,119,078.88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0.2323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15,821,951.66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67,509,560.01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0.2328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15,715,247.45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641,790.90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3,320,561.94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越南盾</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2,014,075,000.00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0.0003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606,347.61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179,156.00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76,533.31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533,911.67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512,688.00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台湾元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0.2323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1,161,345.10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9,339,385.07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8,366,034.36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马来西亚林吉特</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7,784.80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1.6986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13,223.26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456,081.62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3,181,716.60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2,675,057.50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171,433.73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台湾元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162,685.42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0.2323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37,786.78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泰铢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11,733.30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0.2328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2,731.34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5.1739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1,034.78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11,473,908.17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80,044,278.17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1,573.11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1,409.16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1,191,076.85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8,309,190.32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1,435.87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10,016.92</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28"/>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794"/>
        <w:gridCol w:w="1558"/>
        <w:gridCol w:w="1560"/>
        <w:gridCol w:w="1812"/>
      </w:tblGrid>
      <w:tr>
        <w:trPr>
          <w:trHeight w:val="348"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境外经营实体</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19"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香港吉宏科技有限公司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8"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香港吉客印电子商务有限公司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香港金印客电子商务有限公司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8"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香港丹骏电子商务有限公司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8"/>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2,567,460.84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2,567,460.84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2,349,100.00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2,349,100.00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1,149,400.00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1,149,400.00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849,060.00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849,060.00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488,089.86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488,089.86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184,460.00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184,460.00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64,800.00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40,883.40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40,883.40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33,667.50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33,667.50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29,250.00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19,664.76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19,664.76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3,350.61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3,350.61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2,435.90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1,262.14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1,262.14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1,262.14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5,584.35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5,584.35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2,360.62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2,360.62</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38"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spacing w:line="487" w:lineRule="auto" w:before="36"/>
        <w:ind w:left="152" w:right="8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28"/>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安徽吉宏环 保纸品有限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136,602,234.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3,961,800.00</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成都渡佳电 子商务有限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工商变更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180,648.43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-266,700.00</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安徽吉宏环保纸品有限公司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成都渡佳电子商务有限公司</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80,637,019.75</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80,637,019.75</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83,339,101.40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-2,702,081.65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4,055.00</w:t>
            </w:r>
          </w:p>
        </w:tc>
      </w:tr>
    </w:tbl>
    <w:p>
      <w:pPr>
        <w:pStyle w:val="BodyText"/>
        <w:spacing w:line="357" w:lineRule="auto" w:before="49"/>
        <w:ind w:right="6073"/>
        <w:jc w:val="left"/>
      </w:pPr>
      <w:r>
        <w:rPr/>
        <w:t>合并成本公允价值的确定方法、或有对价及其变动的说明： 大额商誉形成的主要原因：</w:t>
      </w:r>
    </w:p>
    <w:p>
      <w:pPr>
        <w:pStyle w:val="BodyText"/>
        <w:spacing w:line="240" w:lineRule="auto" w:before="2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安徽吉宏环保纸品有限公司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成都渡佳电子商务有限公司</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237,527,945.58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218,594,636.53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6,445.00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36,744,421.65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36,744,421.65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6,445.00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45,613,811.52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45,613,811.52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43,266,069.53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41,010,527.49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84,722,561.91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77,857,298.84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13,372,890.50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3,019,567.08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154,188,844.18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151,985,037.40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5,950,000.00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5,950,000.00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35,893,190.98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35,893,190.98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2,952,265.11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83,339,101.40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66,609,599.13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-4,055.00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83,339,101.40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66,609,599.13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-4,055.00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-4,055.00</w:t>
            </w:r>
          </w:p>
        </w:tc>
      </w:tr>
    </w:tbl>
    <w:p>
      <w:pPr>
        <w:pStyle w:val="BodyText"/>
        <w:spacing w:line="357" w:lineRule="auto" w:before="49"/>
        <w:ind w:right="7530"/>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62;top:14;width:24;height:392" coordorigin="4762,14" coordsize="24,392">
              <v:shape style="position:absolute;left:4762;top:14;width:24;height:392" coordorigin="4762,14" coordsize="24,392" path="m4762,406l4786,406,4786,14,4762,14,4762,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4795;top:14;width:22;height:392" coordorigin="4795,14" coordsize="22,392">
              <v:shape style="position:absolute;left:4795;top:14;width:22;height:392" coordorigin="4795,14" coordsize="22,392" path="m4795,406l4817,406,4817,14,4795,14,4795,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7;top:14;width:4728;height:392" coordorigin="4817,14" coordsize="4728,392">
              <v:shape style="position:absolute;left:4817;top:14;width:4728;height:392" coordorigin="4817,14" coordsize="4728,392" path="m4817,14l9545,14,9545,406,4817,406,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6;top:10;width:4782;height:401"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8593"/>
        <w:jc w:val="left"/>
      </w:pPr>
      <w:r>
        <w:rPr/>
        <w:t>或有对价及其变动的说明： 其他说明：</w:t>
      </w:r>
    </w:p>
    <w:p>
      <w:pPr>
        <w:spacing w:after="0" w:line="36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3168;top:14;width:24;height:394" coordorigin="3168,14" coordsize="24,394">
              <v:shape style="position:absolute;left:3168;top:14;width:24;height:394" coordorigin="3168,14" coordsize="24,394" path="m3168,408l3192,408,3192,14,3168,14,3168,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3135;height:394" coordorigin="34,14" coordsize="3135,394">
              <v:shape style="position:absolute;left:34;top:14;width:3135;height:394" coordorigin="34,14" coordsize="3135,394" path="m34,14l3168,14,3168,408,34,408,34,14xe" filled="true" fillcolor="#d3d3d3" stroked="false">
                <v:path arrowok="t"/>
                <v:fill type="solid"/>
              </v:shape>
            </v:group>
            <v:group style="position:absolute;left:3202;top:14;width:22;height:394" coordorigin="3202,14" coordsize="22,394">
              <v:shape style="position:absolute;left:3202;top:14;width:22;height:394" coordorigin="3202,14" coordsize="22,394" path="m3202,408l3223,408,3223,14,3202,14,3202,408xe" filled="true" fillcolor="#d3d3d3"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d3d3d3" stroked="false">
                <v:path arrowok="t"/>
                <v:fill type="solid"/>
              </v:shape>
            </v:group>
            <v:group style="position:absolute;left:3223;top:14;width:6324;height:394" coordorigin="3223,14" coordsize="6324,394">
              <v:shape style="position:absolute;left:3223;top:14;width:6324;height:394" coordorigin="3223,14" coordsize="6324,394" path="m3223,14l9547,14,9547,408,3223,408,3223,14xe" filled="true" fillcolor="#d3d3d3"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3168;top:418;width:24;height:392" coordorigin="3168,418" coordsize="24,392">
              <v:shape style="position:absolute;left:3168;top:418;width:24;height:392" coordorigin="3168,418" coordsize="24,392" path="m3168,809l3192,809,3192,418,3168,418,3168,809xe" filled="true" fillcolor="#d3d3d3" stroked="false">
                <v:path arrowok="t"/>
                <v:fill type="solid"/>
              </v:shape>
            </v:group>
            <v:group style="position:absolute;left:12;top:418;width:22;height:392" coordorigin="12,418" coordsize="22,392">
              <v:shape style="position:absolute;left:12;top:418;width:22;height:392" coordorigin="12,418" coordsize="22,392" path="m12,809l34,809,34,418,12,418,12,809xe" filled="true" fillcolor="#d3d3d3" stroked="false">
                <v:path arrowok="t"/>
                <v:fill type="solid"/>
              </v:shape>
            </v:group>
            <v:group style="position:absolute;left:34;top:418;width:3135;height:392" coordorigin="34,418" coordsize="3135,392">
              <v:shape style="position:absolute;left:34;top:418;width:3135;height:392" coordorigin="34,418" coordsize="3135,392" path="m34,418l3168,418,3168,809,34,809,34,418xe" filled="true" fillcolor="#d3d3d3" stroked="false">
                <v:path arrowok="t"/>
                <v:fill type="solid"/>
              </v:shape>
            </v:group>
            <v:group style="position:absolute;left:6358;top:418;width:24;height:392" coordorigin="6358,418" coordsize="24,392">
              <v:shape style="position:absolute;left:6358;top:418;width:24;height:392" coordorigin="6358,418" coordsize="24,392" path="m6358,809l6382,809,6382,418,6358,418,6358,809xe" filled="true" fillcolor="#d3d3d3" stroked="false">
                <v:path arrowok="t"/>
                <v:fill type="solid"/>
              </v:shape>
            </v:group>
            <v:group style="position:absolute;left:3202;top:418;width:22;height:392" coordorigin="3202,418" coordsize="22,392">
              <v:shape style="position:absolute;left:3202;top:418;width:22;height:392" coordorigin="3202,418" coordsize="22,392" path="m3202,809l3223,809,3223,418,3202,418,3202,809xe" filled="true" fillcolor="#d3d3d3" stroked="false">
                <v:path arrowok="t"/>
                <v:fill type="solid"/>
              </v:shape>
            </v:group>
            <v:group style="position:absolute;left:3223;top:418;width:3135;height:392" coordorigin="3223,418" coordsize="3135,392">
              <v:shape style="position:absolute;left:3223;top:418;width:3135;height:392" coordorigin="3223,418" coordsize="3135,392" path="m3223,418l6358,418,6358,809,3223,809,3223,418xe" filled="true" fillcolor="#d3d3d3" stroked="false">
                <v:path arrowok="t"/>
                <v:fill type="solid"/>
              </v:shape>
            </v:group>
            <v:group style="position:absolute;left:9547;top:418;width:24;height:392" coordorigin="9547,418" coordsize="24,392">
              <v:shape style="position:absolute;left:9547;top:418;width:24;height:392" coordorigin="9547,418" coordsize="24,392" path="m9547,809l9571,809,9571,418,9547,418,9547,809xe" filled="true" fillcolor="#d3d3d3" stroked="false">
                <v:path arrowok="t"/>
                <v:fill type="solid"/>
              </v:shape>
            </v:group>
            <v:group style="position:absolute;left:6391;top:418;width:22;height:392" coordorigin="6391,418" coordsize="22,392">
              <v:shape style="position:absolute;left:6391;top:418;width:22;height:392" coordorigin="6391,418" coordsize="22,392" path="m6391,809l6413,809,6413,418,6391,418,6391,809xe" filled="true" fillcolor="#d3d3d3" stroked="false">
                <v:path arrowok="t"/>
                <v:fill type="solid"/>
              </v:shape>
            </v:group>
            <v:group style="position:absolute;left:6413;top:418;width:3135;height:392" coordorigin="6413,418" coordsize="3135,392">
              <v:shape style="position:absolute;left:6413;top:418;width:3135;height:392" coordorigin="6413,418" coordsize="3135,392" path="m6413,418l9547,418,9547,809,6413,809,6413,418xe" filled="true" fillcolor="#d3d3d3" stroked="false">
                <v:path arrowok="t"/>
                <v:fill type="solid"/>
              </v:shape>
            </v:group>
            <v:group style="position:absolute;left:10;top:413;width:3180;height:2" coordorigin="10,413" coordsize="3180,2">
              <v:shape style="position:absolute;left:10;top:413;width:3180;height:2" coordorigin="10,413" coordsize="3180,0" path="m10,413l3190,413e" filled="false" stroked="true" strokeweight=".48pt" strokecolor="#000000">
                <v:path arrowok="t"/>
              </v:shape>
            </v:group>
            <v:group style="position:absolute;left:3199;top:413;width:3180;height:2" coordorigin="3199,413" coordsize="3180,2">
              <v:shape style="position:absolute;left:3199;top:413;width:3180;height:2" coordorigin="3199,413" coordsize="3180,0" path="m3199,413l6379,413e" filled="false" stroked="true" strokeweight=".48pt" strokecolor="#000000">
                <v:path arrowok="t"/>
              </v:shape>
            </v:group>
            <v:group style="position:absolute;left:6389;top:413;width:3183;height:2" coordorigin="6389,413" coordsize="3183,2">
              <v:shape style="position:absolute;left:6389;top:413;width:3183;height:2" coordorigin="6389,413" coordsize="3183,0" path="m6389,413l9571,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8;width:2;height:411" coordorigin="6384,408" coordsize="2,411">
              <v:shape style="position:absolute;left:6384;top:408;width:2;height:411" coordorigin="6384,408" coordsize="0,411" path="m6384,408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94;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4;top:413;width:3192;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7513"/>
        <w:jc w:val="left"/>
      </w:pPr>
      <w:r>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是否存在单次处置对子公司投资即丧失控制权的情形</w:t>
      </w:r>
    </w:p>
    <w:p>
      <w:pPr>
        <w:pStyle w:val="BodyText"/>
        <w:spacing w:line="340" w:lineRule="auto" w:before="115"/>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2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28"/>
        <w:jc w:val="left"/>
      </w:pPr>
      <w:r>
        <w:rPr/>
        <w:t>说明其他原因导致的合并范围变动（如，新设子公司、清算子公司等）及其相关情况： </w:t>
      </w:r>
      <w:r>
        <w:rPr>
          <w:spacing w:val="-2"/>
        </w:rPr>
        <w:t>本年合并范围增加：黄冈市吉宏包装有限公司、安徽吉宏环保纸品有限公司、成都渡佳电子商务有限公司、深圳吉链区块链</w:t>
      </w:r>
      <w:r>
        <w:rPr>
          <w:spacing w:val="-67"/>
        </w:rPr>
        <w:t> </w:t>
      </w:r>
      <w:r>
        <w:rPr>
          <w:spacing w:val="-67"/>
        </w:rPr>
      </w:r>
      <w:r>
        <w:rPr>
          <w:spacing w:val="-2"/>
        </w:rPr>
        <w:t>技术有限公司、孝感市吉联食品包装有限公司、江西吉宏供应链管理有限公司、江西维致供应链管理有限公司、山西火致供</w:t>
      </w:r>
    </w:p>
    <w:p>
      <w:pPr>
        <w:pStyle w:val="BodyText"/>
        <w:spacing w:line="240" w:lineRule="auto" w:before="2"/>
        <w:ind w:right="1128"/>
        <w:jc w:val="left"/>
      </w:pPr>
      <w:r>
        <w:rPr/>
        <w:t>应链管理有限公司。本年合并范围减少：香港百泽惠科技有限公司、西安超斯塔科技有限公司、</w:t>
      </w:r>
    </w:p>
    <w:p>
      <w:pPr>
        <w:pStyle w:val="BodyText"/>
        <w:spacing w:line="240" w:lineRule="auto" w:before="76"/>
        <w:ind w:right="1128"/>
        <w:jc w:val="left"/>
      </w:pPr>
      <w:r>
        <w:rPr>
          <w:rFonts w:ascii="Times New Roman" w:hAnsi="Times New Roman" w:cs="Times New Roman" w:eastAsia="Times New Roman" w:hint="default"/>
        </w:rPr>
        <w:t>NOVABEYONDTECHNOLOGY(SD)PTE.LTD.</w:t>
      </w:r>
      <w:r>
        <w:rPr/>
        <w:t>。</w:t>
      </w:r>
    </w:p>
    <w:p>
      <w:pPr>
        <w:spacing w:line="240" w:lineRule="auto" w:before="2"/>
        <w:rPr>
          <w:rFonts w:ascii="宋体" w:hAnsi="宋体" w:cs="宋体" w:eastAsia="宋体" w:hint="default"/>
          <w:sz w:val="26"/>
          <w:szCs w:val="26"/>
        </w:rPr>
      </w:pPr>
    </w:p>
    <w:p>
      <w:pPr>
        <w:spacing w:line="487" w:lineRule="auto" w:before="0"/>
        <w:ind w:left="152" w:right="8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28"/>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274"/>
        <w:gridCol w:w="1987"/>
        <w:gridCol w:w="1699"/>
        <w:gridCol w:w="994"/>
        <w:gridCol w:w="991"/>
        <w:gridCol w:w="924"/>
      </w:tblGrid>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9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c>
          <w:tcPr>
            <w:tcW w:w="1987" w:type="dxa"/>
            <w:vMerge/>
            <w:tcBorders>
              <w:left w:val="single" w:sz="4" w:space="0" w:color="000000"/>
              <w:bottom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24"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呼和浩特市吉宏印刷 包装有限公司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内蒙古呼和浩 特市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内蒙古呼和浩特市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廊坊市吉宏包装有限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河北省廊坊市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河北省廊坊市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274"/>
        <w:gridCol w:w="1987"/>
        <w:gridCol w:w="1699"/>
        <w:gridCol w:w="994"/>
        <w:gridCol w:w="991"/>
        <w:gridCol w:w="924"/>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孝感市吉宏包装有限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湖北省孝感市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湖北省孝感市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滦州吉宏包装有限公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河北省滦县</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河北省滦县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厦门鑫泷悦环保纸袋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厦门市正奇信息技术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香港吉宏科技有限公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厦门市吉客印电子商 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6"/>
              <w:jc w:val="left"/>
              <w:rPr>
                <w:rFonts w:ascii="宋体" w:hAnsi="宋体" w:cs="宋体" w:eastAsia="宋体" w:hint="default"/>
                <w:sz w:val="18"/>
                <w:szCs w:val="18"/>
              </w:rPr>
            </w:pPr>
            <w:r>
              <w:rPr>
                <w:rFonts w:ascii="宋体" w:hAnsi="宋体" w:cs="宋体" w:eastAsia="宋体" w:hint="default"/>
                <w:sz w:val="18"/>
                <w:szCs w:val="18"/>
              </w:rPr>
              <w:t>西安吉客印电子商务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香港吉客印电子商务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西安金印客电子商务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香港金印客电子商务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郑州吉客印电子商务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西安丹骏电子商务有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left"/>
              <w:rPr>
                <w:rFonts w:ascii="宋体" w:hAnsi="宋体" w:cs="宋体" w:eastAsia="宋体" w:hint="default"/>
                <w:sz w:val="18"/>
                <w:szCs w:val="18"/>
              </w:rPr>
            </w:pPr>
            <w:r>
              <w:rPr>
                <w:rFonts w:ascii="宋体" w:hAnsi="宋体" w:cs="宋体" w:eastAsia="宋体" w:hint="default"/>
                <w:sz w:val="18"/>
                <w:szCs w:val="18"/>
              </w:rPr>
              <w:t>思塔克纸业（上海）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北京龙域之星科技有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6"/>
              <w:jc w:val="left"/>
              <w:rPr>
                <w:rFonts w:ascii="宋体" w:hAnsi="宋体" w:cs="宋体" w:eastAsia="宋体" w:hint="default"/>
                <w:sz w:val="18"/>
                <w:szCs w:val="18"/>
              </w:rPr>
            </w:pPr>
            <w:r>
              <w:rPr>
                <w:rFonts w:ascii="宋体" w:hAnsi="宋体" w:cs="宋体" w:eastAsia="宋体" w:hint="default"/>
                <w:sz w:val="18"/>
                <w:szCs w:val="18"/>
              </w:rPr>
              <w:t>霍尔果斯金域网络科 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新疆省伊犁州</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新疆省伊犁州</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霍尔果斯维斯塔科技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新疆省伊犁州</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新疆省伊犁州</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bl>
    <w:p>
      <w:pPr>
        <w:spacing w:after="0" w:line="316" w:lineRule="auto"/>
        <w:jc w:val="both"/>
        <w:rPr>
          <w:rFonts w:ascii="宋体" w:hAnsi="宋体" w:cs="宋体" w:eastAsia="宋体" w:hint="default"/>
          <w:sz w:val="18"/>
          <w:szCs w:val="18"/>
        </w:rPr>
        <w:sectPr>
          <w:footerReference w:type="default" r:id="rId34"/>
          <w:pgSz w:w="11910" w:h="16840"/>
          <w:pgMar w:footer="981" w:header="745" w:top="1060" w:bottom="1180" w:left="980" w:right="0"/>
          <w:pgNumType w:start="1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274"/>
        <w:gridCol w:w="1987"/>
        <w:gridCol w:w="1699"/>
        <w:gridCol w:w="994"/>
        <w:gridCol w:w="991"/>
        <w:gridCol w:w="924"/>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北京金域互动科技有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重庆市阿欧艾网络科 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厦门美晴网络科技有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西藏泰戈科技有限公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西藏自治区拉 萨市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西藏自治区拉萨市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厦门海格电子商务有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福建省厦门市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香港丹骏电子商务有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46"/>
              <w:jc w:val="left"/>
              <w:rPr>
                <w:rFonts w:ascii="宋体" w:hAnsi="宋体" w:cs="宋体" w:eastAsia="宋体" w:hint="default"/>
                <w:sz w:val="18"/>
                <w:szCs w:val="18"/>
              </w:rPr>
            </w:pPr>
            <w:r>
              <w:rPr>
                <w:rFonts w:ascii="宋体" w:hAnsi="宋体" w:cs="宋体" w:eastAsia="宋体" w:hint="default"/>
                <w:sz w:val="18"/>
                <w:szCs w:val="18"/>
              </w:rPr>
              <w:t>芜湖禾邦电子商务有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安徽省芜湖市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安徽省芜湖市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芜湖黑蚁电子商务有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安徽省芜湖市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安徽省芜湖市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宁夏吉宏环保包装科 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宁夏自治区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宁夏自治区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济南吉联包装有限公 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山东省济南市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山东省济南市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安徽吉宏环保纸品有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安徽省蚌埠市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安徽省蚌埠市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成都渡佳电子商务有 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四川省成都市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8"/>
              <w:jc w:val="both"/>
              <w:rPr>
                <w:rFonts w:ascii="宋体" w:hAnsi="宋体" w:cs="宋体" w:eastAsia="宋体" w:hint="default"/>
                <w:sz w:val="18"/>
                <w:szCs w:val="18"/>
              </w:rPr>
            </w:pPr>
            <w:r>
              <w:rPr>
                <w:rFonts w:ascii="宋体" w:hAnsi="宋体" w:cs="宋体" w:eastAsia="宋体" w:hint="default"/>
                <w:sz w:val="18"/>
                <w:szCs w:val="18"/>
              </w:rPr>
              <w:t>非同一控 制下企业 合并</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深圳吉链区块链技术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广东省深圳市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黄冈市吉宏包装有限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湖北省黄冈市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湖北省黄冈市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孝感市吉联食品包装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湖北省孝感市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湖北省孝感市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江西吉宏供应链管理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274"/>
        <w:gridCol w:w="1987"/>
        <w:gridCol w:w="1699"/>
        <w:gridCol w:w="994"/>
        <w:gridCol w:w="991"/>
        <w:gridCol w:w="924"/>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江西维致供应链管理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山西火致供应链管理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山西省太原市</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3"/>
        <w:jc w:val="left"/>
      </w:pPr>
      <w:r>
        <w:rPr/>
        <w:t>确定公司是代理人还是委托人的依据： 其他说明：</w:t>
      </w:r>
    </w:p>
    <w:p>
      <w:pPr>
        <w:spacing w:line="240" w:lineRule="auto" w:before="6"/>
        <w:rPr>
          <w:rFonts w:ascii="宋体" w:hAnsi="宋体" w:cs="宋体" w:eastAsia="宋体" w:hint="default"/>
          <w:sz w:val="20"/>
          <w:szCs w:val="20"/>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滦州吉宏包装有限公司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6,567,764.63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26,631,191.93</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厦门鑫泷悦环保纸袋有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-1,861,241.68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-7,424,720.83</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思塔克纸业（上海）有 限公司</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-702,387.50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厦门市吉客印电子商务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10,718,429.90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4,403,225.80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16,030,857.27</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霍尔果斯金域网络科技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3,297,482.20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2,105,263.16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3,726,501.13</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西安丹骏电子商务有限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2,433,896.20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4,703,008.79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江西维致供应链管理有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-5,592.48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484,407.52</w:t>
            </w:r>
          </w:p>
        </w:tc>
      </w:tr>
    </w:tbl>
    <w:p>
      <w:pPr>
        <w:pStyle w:val="BodyText"/>
        <w:spacing w:line="357" w:lineRule="auto" w:before="49"/>
        <w:ind w:right="5713"/>
        <w:jc w:val="left"/>
      </w:pPr>
      <w:r>
        <w:rPr/>
        <w:t>子公司少数股东的持股比例不同于表决权比例的说明： 其他说明： 公司本年收购了思塔克纸业（上海）有限公司少数股东的股权。</w:t>
      </w:r>
    </w:p>
    <w:p>
      <w:pPr>
        <w:spacing w:line="240" w:lineRule="auto" w:before="3"/>
        <w:rPr>
          <w:rFonts w:ascii="宋体" w:hAnsi="宋体" w:cs="宋体" w:eastAsia="宋体" w:hint="default"/>
          <w:sz w:val="20"/>
          <w:szCs w:val="20"/>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4"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滦州吉</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宏包装</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63,691,7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27,617,1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91,308,9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24,730,9</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24,730,9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48,311,9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23,818,1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72,130,1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21,971,5</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21,971,5</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60.41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91.49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51.90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72.08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72.08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98.88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30.88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29.76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61.52</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61.52</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厦门鑫</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61"/>
              <w:jc w:val="both"/>
              <w:rPr>
                <w:rFonts w:ascii="宋体" w:hAnsi="宋体" w:cs="宋体" w:eastAsia="宋体" w:hint="default"/>
                <w:sz w:val="18"/>
                <w:szCs w:val="18"/>
              </w:rPr>
            </w:pPr>
            <w:r>
              <w:rPr>
                <w:rFonts w:ascii="宋体" w:hAnsi="宋体" w:cs="宋体" w:eastAsia="宋体" w:hint="default"/>
                <w:sz w:val="18"/>
                <w:szCs w:val="18"/>
              </w:rPr>
              <w:t>泷悦环 保纸袋 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686,080.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22,277,5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28.79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22,963,6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08.98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22,607,9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37.21</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22,607,9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37.21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33,516,6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71.52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29,531,3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03.02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63,047,9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74.54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58,893,8</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50.37</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58,893,8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50.37</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1"/>
              <w:jc w:val="both"/>
              <w:rPr>
                <w:rFonts w:ascii="宋体" w:hAnsi="宋体" w:cs="宋体" w:eastAsia="宋体" w:hint="default"/>
                <w:sz w:val="18"/>
                <w:szCs w:val="18"/>
              </w:rPr>
            </w:pPr>
            <w:r>
              <w:rPr>
                <w:rFonts w:ascii="宋体" w:hAnsi="宋体" w:cs="宋体" w:eastAsia="宋体" w:hint="default"/>
                <w:sz w:val="18"/>
                <w:szCs w:val="18"/>
              </w:rPr>
              <w:t>吉客印 电子商 务有限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346,398,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545.91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6,251,26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352,649,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810.91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116,369,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373.60</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116,369,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373.60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302,499,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884.81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6,961,78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309,461,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672.18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166,239,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692.91</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166,239,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692.91</w:t>
            </w:r>
          </w:p>
        </w:tc>
      </w:tr>
      <w:tr>
        <w:trPr>
          <w:trHeight w:val="358"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霍尔果</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61"/>
              <w:jc w:val="both"/>
              <w:rPr>
                <w:rFonts w:ascii="宋体" w:hAnsi="宋体" w:cs="宋体" w:eastAsia="宋体" w:hint="default"/>
                <w:sz w:val="18"/>
                <w:szCs w:val="18"/>
              </w:rPr>
            </w:pPr>
            <w:r>
              <w:rPr>
                <w:rFonts w:ascii="宋体" w:hAnsi="宋体" w:cs="宋体" w:eastAsia="宋体" w:hint="default"/>
                <w:sz w:val="18"/>
                <w:szCs w:val="18"/>
              </w:rPr>
              <w:t>斯金域 网络科 技有限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103,293,</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930.35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1,451,93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2.50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104,745,</w:t>
            </w:r>
          </w:p>
          <w:p>
            <w:pPr>
              <w:pStyle w:val="TableParagraph"/>
              <w:spacing w:line="240" w:lineRule="auto" w:before="102"/>
              <w:ind w:left="186" w:right="0"/>
              <w:jc w:val="center"/>
              <w:rPr>
                <w:rFonts w:ascii="Times New Roman" w:hAnsi="Times New Roman" w:cs="Times New Roman" w:eastAsia="Times New Roman" w:hint="default"/>
                <w:sz w:val="18"/>
                <w:szCs w:val="18"/>
              </w:rPr>
            </w:pPr>
            <w:r>
              <w:rPr>
                <w:rFonts w:ascii="Times New Roman"/>
                <w:sz w:val="18"/>
              </w:rPr>
              <w:t>862.85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45,310,7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60.16</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45,310,7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60.16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76,411,2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41.12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1,527,75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77,938,9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92.12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42,348,2</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70.35</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42,348,2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70.35</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西安丹</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骏电子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21,628,9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235,428.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21,864,3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10,106,8</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10,106,8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12,101,2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236,532.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12,337,8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6,671,20</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6,671,20</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商务有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38.34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66.62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44.65</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44.65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72.86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04.96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6.20</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6.20</w:t>
            </w:r>
          </w:p>
        </w:tc>
      </w:tr>
      <w:tr>
        <w:trPr>
          <w:trHeight w:val="353"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江西维</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5"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61"/>
              <w:jc w:val="both"/>
              <w:rPr>
                <w:rFonts w:ascii="宋体" w:hAnsi="宋体" w:cs="宋体" w:eastAsia="宋体" w:hint="default"/>
                <w:sz w:val="18"/>
                <w:szCs w:val="18"/>
              </w:rPr>
            </w:pPr>
            <w:r>
              <w:rPr>
                <w:rFonts w:ascii="宋体" w:hAnsi="宋体" w:cs="宋体" w:eastAsia="宋体" w:hint="default"/>
                <w:sz w:val="18"/>
                <w:szCs w:val="18"/>
              </w:rPr>
              <w:t>致供应 链管理 有限公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501,086.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78</w:t>
            </w: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37"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思塔克</w:t>
            </w: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1"/>
                <w:sz w:val="18"/>
                <w:szCs w:val="18"/>
              </w:rPr>
              <w:t>纸业（上</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11,131,5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2"/>
                <w:sz w:val="18"/>
              </w:rPr>
              <w:t>111,490.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11,243,0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8,558,54</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8,558,54</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1"/>
                <w:sz w:val="18"/>
                <w:szCs w:val="18"/>
              </w:rPr>
              <w:t>海）有限</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99.40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63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90.03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7.63</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7.63</w:t>
            </w:r>
          </w:p>
        </w:tc>
      </w:tr>
      <w:tr>
        <w:trPr>
          <w:trHeight w:val="355"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436"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60"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1"/>
              <w:jc w:val="center"/>
              <w:rPr>
                <w:rFonts w:ascii="宋体" w:hAnsi="宋体" w:cs="宋体" w:eastAsia="宋体" w:hint="default"/>
                <w:sz w:val="18"/>
                <w:szCs w:val="18"/>
              </w:rPr>
            </w:pPr>
            <w:r>
              <w:rPr>
                <w:rFonts w:ascii="宋体" w:hAnsi="宋体" w:cs="宋体" w:eastAsia="宋体" w:hint="default"/>
                <w:sz w:val="18"/>
                <w:szCs w:val="18"/>
              </w:rPr>
              <w:t>滦州吉宏包</w:t>
            </w: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170,391,420.</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16,419,411.5</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16,419,411.5</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20,692,568.5</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177,671,462.</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11,909,396.2</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11,909,396.2</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16,886,804.4</w:t>
            </w: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01"/>
              <w:jc w:val="center"/>
              <w:rPr>
                <w:rFonts w:ascii="宋体" w:hAnsi="宋体" w:cs="宋体" w:eastAsia="宋体" w:hint="default"/>
                <w:sz w:val="18"/>
                <w:szCs w:val="18"/>
              </w:rPr>
            </w:pPr>
            <w:r>
              <w:rPr>
                <w:rFonts w:ascii="宋体" w:hAnsi="宋体" w:cs="宋体" w:eastAsia="宋体" w:hint="default"/>
                <w:sz w:val="18"/>
                <w:szCs w:val="18"/>
              </w:rPr>
              <w:t>装有限公司</w:t>
            </w: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3"/>
                <w:w w:val="95"/>
                <w:sz w:val="18"/>
              </w:rPr>
              <w:t>11</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厦门鑫泷悦 环保纸袋有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24,126,226.3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-3,798,452.40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-3,798,452.40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-9,013,120.59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73,621,797.2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219,204.97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219,204.97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-10,134,114.1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厦门市吉客 印电子商务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1,190,329,94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155,554,323.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155,930,868.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141,119,559.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933,205,172.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104,750,027.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105,823,387.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56,223,900.3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思塔克纸业</w:t>
            </w:r>
          </w:p>
          <w:p>
            <w:pPr>
              <w:pStyle w:val="TableParagraph"/>
              <w:spacing w:line="316" w:lineRule="auto" w:before="74"/>
              <w:ind w:left="23" w:right="19"/>
              <w:jc w:val="left"/>
              <w:rPr>
                <w:rFonts w:ascii="宋体" w:hAnsi="宋体" w:cs="宋体" w:eastAsia="宋体" w:hint="default"/>
                <w:sz w:val="18"/>
                <w:szCs w:val="18"/>
              </w:rPr>
            </w:pPr>
            <w:r>
              <w:rPr>
                <w:rFonts w:ascii="宋体" w:hAnsi="宋体" w:cs="宋体" w:eastAsia="宋体" w:hint="default"/>
                <w:spacing w:val="-13"/>
                <w:sz w:val="18"/>
                <w:szCs w:val="18"/>
              </w:rPr>
              <w:t>（上海）有限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19,039,285.8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134,542.40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134,542.40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-5,325,198.25</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both"/>
              <w:rPr>
                <w:rFonts w:ascii="宋体" w:hAnsi="宋体" w:cs="宋体" w:eastAsia="宋体" w:hint="default"/>
                <w:sz w:val="18"/>
                <w:szCs w:val="18"/>
              </w:rPr>
            </w:pPr>
            <w:r>
              <w:rPr>
                <w:rFonts w:ascii="宋体" w:hAnsi="宋体" w:cs="宋体" w:eastAsia="宋体" w:hint="default"/>
                <w:sz w:val="18"/>
                <w:szCs w:val="18"/>
              </w:rPr>
              <w:t>霍尔果斯金 域网络科技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217,637,575.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65,949,644.0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65,949,644.0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54,463,686.7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151,748,712.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55,108,606.0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55,108,606.0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37,992,222.0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西安丹骏电 子商务有限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100,738,336.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6,084,740.51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6,088,450.12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8,127,002.28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32,949,096.9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661,716.13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666,598.76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5,873,958.54</w:t>
            </w: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江西维致供</w:t>
            </w:r>
          </w:p>
        </w:tc>
        <w:tc>
          <w:tcPr>
            <w:tcW w:w="1061"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应链管理有</w:t>
            </w:r>
          </w:p>
        </w:tc>
        <w:tc>
          <w:tcPr>
            <w:tcW w:w="1061"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-11,413.22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-11,413.22</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w w:val="95"/>
                <w:sz w:val="18"/>
              </w:rPr>
              <w:t>-28,413.22</w:t>
            </w:r>
            <w:r>
              <w:rPr>
                <w:rFonts w:ascii="Times New Roman"/>
                <w:sz w:val="18"/>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1"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8"/>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62;top:14;width:24;height:392" coordorigin="4762,14" coordsize="24,392">
              <v:shape style="position:absolute;left:4762;top:14;width:24;height:392" coordorigin="4762,14" coordsize="24,392" path="m4762,406l4786,406,4786,14,4762,14,4762,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4795;top:14;width:22;height:392" coordorigin="4795,14" coordsize="22,392">
              <v:shape style="position:absolute;left:4795;top:14;width:22;height:392" coordorigin="4795,14" coordsize="22,392" path="m4795,406l4817,406,4817,14,4795,14,4795,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7;top:14;width:4728;height:392" coordorigin="4817,14" coordsize="4728,392">
              <v:shape style="position:absolute;left:4817;top:14;width:4728;height:392" coordorigin="4817,14" coordsize="4728,392" path="m4817,14l9545,14,9545,406,4817,406,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陕西永鑫纸业包 装有限公司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陕西省西安市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right="1128"/>
        <w:jc w:val="left"/>
      </w:pPr>
      <w:r>
        <w:rPr/>
        <w:t>在合营企业或联营企业的持股比例不同于表决权比例的说明：</w:t>
      </w:r>
    </w:p>
    <w:p>
      <w:pPr>
        <w:pStyle w:val="BodyText"/>
        <w:spacing w:line="240" w:lineRule="auto" w:before="117"/>
        <w:ind w:right="1128"/>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1128"/>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陕西永鑫纸业包装</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陕西永鑫纸业包装</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48,630,164.87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36,462,909.38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36,183,846.79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33,683,999.62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84,814,011.66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70,146,909.00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41,914,190.86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33,251,121.21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1,710,125.00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43,624,315.86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33,367,121.21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41,189,695.80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36,779,787.79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12,356,908.74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11,033,936.34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13,795,058.73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12,471,253.48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109,029,572.03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71,137,044.92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4,409,908.01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1,761,604.48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4,409,908.01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1,761,604.48</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28"/>
        <w:jc w:val="left"/>
      </w:pPr>
      <w:r>
        <w:rPr/>
        <w:t>其他说明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8"/>
        <w:jc w:val="left"/>
        <w:rPr>
          <w:b w:val="0"/>
          <w:bCs w:val="0"/>
        </w:rPr>
      </w:pP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129" w:firstLine="360"/>
        <w:jc w:val="both"/>
      </w:pPr>
      <w:r>
        <w:rPr>
          <w:spacing w:val="-2"/>
        </w:rPr>
        <w:t>本公司的主要金融工具包括借款、应收款项、应付款项、交易性金融资产、交易性金融负债等，各项金融工具的详细情</w:t>
      </w:r>
      <w:r>
        <w:rPr/>
        <w:t> </w:t>
      </w:r>
      <w:r>
        <w:rPr>
          <w:spacing w:val="-2"/>
        </w:rPr>
        <w:t>况说明见本附注七。与这些金融工具有关的风险，以及本公司为降低这些风险所采取的风险管理政策如下所述。本公司管理</w:t>
      </w:r>
      <w:r>
        <w:rPr>
          <w:spacing w:val="-63"/>
        </w:rPr>
        <w:t> </w:t>
      </w:r>
      <w:r>
        <w:rPr>
          <w:spacing w:val="-63"/>
        </w:rPr>
      </w:r>
      <w:r>
        <w:rPr/>
        <w:t>层对这些风险敞口进行管理和监控以确保将上述风险控制在限定的范围之内。</w:t>
      </w:r>
    </w:p>
    <w:p>
      <w:pPr>
        <w:pStyle w:val="BodyText"/>
        <w:spacing w:line="624" w:lineRule="exact" w:before="42"/>
        <w:ind w:left="512" w:right="1128" w:hanging="361"/>
        <w:jc w:val="left"/>
      </w:pPr>
      <w:r>
        <w:rPr/>
        <w:t>1.</w:t>
      </w:r>
      <w:r>
        <w:rPr>
          <w:spacing w:val="88"/>
        </w:rPr>
        <w:t> </w:t>
      </w:r>
      <w:r>
        <w:rPr/>
        <w:t>各类风险管理目标和政策</w:t>
      </w:r>
      <w:r>
        <w:rPr/>
        <w:t> 本公司从事风险管理的目标是在风险和收益之间取得适当的平衡，将风险对本公司经营业绩的负面影响降低到最低水</w:t>
      </w:r>
    </w:p>
    <w:p>
      <w:pPr>
        <w:pStyle w:val="BodyText"/>
        <w:spacing w:line="213" w:lineRule="exact"/>
        <w:ind w:right="0"/>
        <w:jc w:val="left"/>
      </w:pPr>
      <w:r>
        <w:rPr/>
        <w:t>平，使股东及其它权益投资者的利益最大化。基于该风险管理目标，本公司风险管理的基本策略是确定和分析本公司所面临</w:t>
      </w:r>
    </w:p>
    <w:p>
      <w:pPr>
        <w:pStyle w:val="BodyText"/>
        <w:spacing w:line="240" w:lineRule="auto" w:before="76"/>
        <w:ind w:right="0"/>
        <w:jc w:val="left"/>
      </w:pPr>
      <w:r>
        <w:rPr>
          <w:spacing w:val="-4"/>
        </w:rPr>
        <w:t>的各种风险，建立适当的风险承受底线并进行风险管理，并及时可靠地对各种风险进行监督，将风险控制在限定的范围之内。</w:t>
      </w:r>
    </w:p>
    <w:p>
      <w:pPr>
        <w:spacing w:line="240" w:lineRule="auto" w:before="0"/>
        <w:rPr>
          <w:rFonts w:ascii="宋体" w:hAnsi="宋体" w:cs="宋体" w:eastAsia="宋体" w:hint="default"/>
          <w:sz w:val="18"/>
          <w:szCs w:val="18"/>
        </w:rPr>
      </w:pPr>
    </w:p>
    <w:p>
      <w:pPr>
        <w:pStyle w:val="BodyText"/>
        <w:spacing w:line="600" w:lineRule="auto" w:before="153"/>
        <w:ind w:left="512" w:right="9403"/>
        <w:jc w:val="left"/>
      </w:pPr>
      <w:r>
        <w:rPr>
          <w:rFonts w:ascii="Times New Roman" w:hAnsi="Times New Roman" w:cs="Times New Roman" w:eastAsia="Times New Roman" w:hint="default"/>
        </w:rPr>
        <w:t>(1)</w:t>
      </w:r>
      <w:r>
        <w:rPr/>
        <w:t>市场风险</w:t>
      </w:r>
      <w:r>
        <w:rPr>
          <w:w w:val="99"/>
        </w:rPr>
        <w:t> </w:t>
      </w:r>
      <w:r>
        <w:rPr>
          <w:rFonts w:ascii="Times New Roman" w:hAnsi="Times New Roman" w:cs="Times New Roman" w:eastAsia="Times New Roman" w:hint="default"/>
        </w:rPr>
        <w:t>1</w:t>
      </w:r>
      <w:r>
        <w:rPr/>
        <w:t>）汇率风险</w:t>
      </w:r>
    </w:p>
    <w:p>
      <w:pPr>
        <w:spacing w:after="0" w:line="6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2" w:firstLine="360"/>
        <w:jc w:val="both"/>
      </w:pPr>
      <w:r>
        <w:rPr>
          <w:spacing w:val="-2"/>
        </w:rPr>
        <w:t>本公司承受汇率风险主要与美元、港币和欧元有关，除本公司的几个下属子公司以美元进行采购和销售外，本公司的其</w:t>
      </w:r>
      <w:r>
        <w:rPr/>
        <w:t> </w:t>
      </w:r>
      <w:r>
        <w:rPr>
          <w:spacing w:val="-2"/>
        </w:rPr>
        <w:t>它主要业务活动以人民币计价结算。于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日，除下表所述资产及负债的美元余额和零星的欧元及港币余额外，本</w:t>
      </w:r>
      <w:r>
        <w:rPr>
          <w:spacing w:val="-61"/>
        </w:rPr>
        <w:t> </w:t>
      </w:r>
      <w:r>
        <w:rPr>
          <w:spacing w:val="-61"/>
        </w:rPr>
      </w:r>
      <w:r>
        <w:rPr/>
        <w:t>公司的资产及负债均为人民币余额。该等美元余额的资产和负债产生的汇率风险可能对本公司的经营业绩产生影响。</w:t>
      </w:r>
    </w:p>
    <w:p>
      <w:pPr>
        <w:spacing w:line="240" w:lineRule="auto" w:before="1"/>
        <w:rPr>
          <w:rFonts w:ascii="宋体" w:hAnsi="宋体" w:cs="宋体" w:eastAsia="宋体" w:hint="default"/>
          <w:sz w:val="25"/>
          <w:szCs w:val="25"/>
        </w:rPr>
      </w:pPr>
    </w:p>
    <w:tbl>
      <w:tblPr>
        <w:tblW w:w="0" w:type="auto"/>
        <w:jc w:val="left"/>
        <w:tblInd w:w="150" w:type="dxa"/>
        <w:tblLayout w:type="fixed"/>
        <w:tblCellMar>
          <w:top w:w="0" w:type="dxa"/>
          <w:left w:w="0" w:type="dxa"/>
          <w:bottom w:w="0" w:type="dxa"/>
          <w:right w:w="0" w:type="dxa"/>
        </w:tblCellMar>
        <w:tblLook w:val="01E0"/>
      </w:tblPr>
      <w:tblGrid>
        <w:gridCol w:w="3708"/>
        <w:gridCol w:w="2501"/>
        <w:gridCol w:w="2434"/>
      </w:tblGrid>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澳元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95,243.85</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4,342,856.21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37,751,301.69</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92,660,474.47</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12,767,497.09</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10,438,905.80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21,361,742.00</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泰铢</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0.32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1,195,518.90</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2,971,421.06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2,360,795.84</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印度尼西亚卢比</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740.13</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179,156.00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68,642.20</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533,911.67</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982,487.42</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512,688.00</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台湾元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1,161,345.10</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8,366,034.36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9,319,953.56</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马来西亚林吉特</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13,223.26</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3,181,716.60</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171,433.73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950.00</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台湾元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37,786.78</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泰铢</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2,731.34</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3,902.00</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1,034.78</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1"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4,032,523.87</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80,044,278.17</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23,806,155.41</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阿联酋迪拉姆</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3,316,068.45</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4,731,830.58</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23,608,987.93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35,634,471.39</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4,044.27</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马来西亚林吉特</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5,196,096.62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3,208,274.36</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267,921.93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1,967,413.26</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6,064,370.06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72,792,940.38</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沙特里亚尔</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5,238,338.39</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312,438.00</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台湾元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15,821,951.66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48,917,454.53</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泰铢</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15,715,247.45</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28,344,067.29</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3,320,561.94</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557,230.54</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越南盾</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606,347.61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新西兰元</w:t>
            </w:r>
          </w:p>
        </w:tc>
        <w:tc>
          <w:tcPr>
            <w:tcW w:w="2501"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198,000.00</w:t>
            </w: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印度尼西亚卢比</w:t>
            </w:r>
          </w:p>
        </w:tc>
        <w:tc>
          <w:tcPr>
            <w:tcW w:w="2501"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138,693,759.63</w:t>
            </w: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1,409.16</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8,309,190.32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753,883.29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3708"/>
        <w:gridCol w:w="2501"/>
        <w:gridCol w:w="2434"/>
      </w:tblGrid>
      <w:tr>
        <w:trPr>
          <w:trHeight w:val="348"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港元</w:t>
            </w:r>
          </w:p>
        </w:tc>
        <w:tc>
          <w:tcPr>
            <w:tcW w:w="2501"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10,016.92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78,749.61</w:t>
            </w:r>
          </w:p>
        </w:tc>
      </w:tr>
    </w:tbl>
    <w:p>
      <w:pPr>
        <w:spacing w:line="240" w:lineRule="auto" w:before="1"/>
        <w:rPr>
          <w:rFonts w:ascii="宋体" w:hAnsi="宋体" w:cs="宋体" w:eastAsia="宋体" w:hint="default"/>
          <w:sz w:val="21"/>
          <w:szCs w:val="21"/>
        </w:rPr>
      </w:pPr>
    </w:p>
    <w:p>
      <w:pPr>
        <w:pStyle w:val="BodyText"/>
        <w:spacing w:line="240" w:lineRule="auto" w:before="44"/>
        <w:ind w:left="512" w:right="1128"/>
        <w:jc w:val="left"/>
      </w:pPr>
      <w:r>
        <w:rPr/>
        <w:t>本公司密切关注汇率变动对本公司的影响。</w:t>
      </w:r>
    </w:p>
    <w:p>
      <w:pPr>
        <w:pStyle w:val="BodyText"/>
        <w:spacing w:line="610" w:lineRule="atLeast" w:before="27"/>
        <w:ind w:left="512" w:right="1128"/>
        <w:jc w:val="left"/>
      </w:pPr>
      <w:r>
        <w:rPr>
          <w:rFonts w:ascii="Times New Roman" w:hAnsi="Times New Roman" w:cs="Times New Roman" w:eastAsia="Times New Roman" w:hint="default"/>
        </w:rPr>
        <w:t>2)</w:t>
      </w:r>
      <w:r>
        <w:rPr/>
        <w:t>利率风险 </w:t>
      </w:r>
      <w:r>
        <w:rPr>
          <w:spacing w:val="-2"/>
        </w:rPr>
        <w:t>本公司的利率风险产生于银行借款及应付债券等带息债务。浮动利率的金融负债使本公司面临现金流量利率风险，固定</w:t>
      </w:r>
    </w:p>
    <w:p>
      <w:pPr>
        <w:pStyle w:val="BodyText"/>
        <w:spacing w:line="309" w:lineRule="auto" w:before="76"/>
        <w:ind w:right="1033"/>
        <w:jc w:val="left"/>
      </w:pPr>
      <w:r>
        <w:rPr/>
        <w:t>利率的金融负债使本公司面临公允价值利率风险。本公司根据当时的市场环境来决定固定利率及浮动利率合同的相对比例。 </w:t>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日，本公司的带息债务主要为人民币计价的固定利率合同，金额为</w:t>
      </w:r>
      <w:r>
        <w:rPr>
          <w:rFonts w:ascii="Times New Roman" w:hAnsi="Times New Roman" w:cs="Times New Roman" w:eastAsia="Times New Roman" w:hint="default"/>
          <w:spacing w:val="3"/>
        </w:rPr>
        <w:t>381,510,000.00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spacing w:val="-88"/>
        </w:rPr>
        <w:t> </w:t>
      </w:r>
      <w:r>
        <w:rPr>
          <w:spacing w:val="-88"/>
        </w:rPr>
      </w:r>
      <w:r>
        <w:rPr>
          <w:rFonts w:ascii="Times New Roman" w:hAnsi="Times New Roman" w:cs="Times New Roman" w:eastAsia="Times New Roman" w:hint="default"/>
        </w:rPr>
        <w:t>259,967,000.00</w:t>
      </w:r>
      <w:r>
        <w:rPr/>
        <w:t>元）</w:t>
      </w:r>
    </w:p>
    <w:p>
      <w:pPr>
        <w:spacing w:line="240" w:lineRule="auto" w:before="3"/>
        <w:rPr>
          <w:rFonts w:ascii="宋体" w:hAnsi="宋体" w:cs="宋体" w:eastAsia="宋体" w:hint="default"/>
          <w:sz w:val="24"/>
          <w:szCs w:val="24"/>
        </w:rPr>
      </w:pPr>
    </w:p>
    <w:p>
      <w:pPr>
        <w:pStyle w:val="BodyText"/>
        <w:spacing w:line="316" w:lineRule="auto"/>
        <w:ind w:right="1128" w:firstLine="360"/>
        <w:jc w:val="left"/>
      </w:pPr>
      <w:r>
        <w:rPr>
          <w:spacing w:val="-2"/>
        </w:rPr>
        <w:t>本公司因利率变动引起金融工具公允价值变动的风险主要与固定利率银行借款有关。对于固定利率借款，本公司的目标</w:t>
      </w:r>
      <w:r>
        <w:rPr/>
        <w:t> 是保持其浮动利率。</w:t>
      </w:r>
    </w:p>
    <w:p>
      <w:pPr>
        <w:spacing w:line="240" w:lineRule="auto" w:before="4"/>
        <w:rPr>
          <w:rFonts w:ascii="宋体" w:hAnsi="宋体" w:cs="宋体" w:eastAsia="宋体" w:hint="default"/>
          <w:sz w:val="25"/>
          <w:szCs w:val="25"/>
        </w:rPr>
      </w:pPr>
    </w:p>
    <w:p>
      <w:pPr>
        <w:pStyle w:val="BodyText"/>
        <w:spacing w:line="316" w:lineRule="auto"/>
        <w:ind w:right="1128" w:firstLine="360"/>
        <w:jc w:val="left"/>
      </w:pPr>
      <w:r>
        <w:rPr>
          <w:spacing w:val="-2"/>
        </w:rPr>
        <w:t>本公司因利率变动引起金融工具现金流量变动的风险主要与浮动利率银行借款有关。本公司的政策是保持这些借款的浮</w:t>
      </w:r>
      <w:r>
        <w:rPr/>
        <w:t> 动利率，以消除利率变动的公允价值风险。</w:t>
      </w:r>
    </w:p>
    <w:p>
      <w:pPr>
        <w:spacing w:line="240" w:lineRule="auto" w:before="4"/>
        <w:rPr>
          <w:rFonts w:ascii="宋体" w:hAnsi="宋体" w:cs="宋体" w:eastAsia="宋体" w:hint="default"/>
          <w:sz w:val="25"/>
          <w:szCs w:val="25"/>
        </w:rPr>
      </w:pPr>
    </w:p>
    <w:p>
      <w:pPr>
        <w:pStyle w:val="BodyText"/>
        <w:spacing w:line="619" w:lineRule="auto"/>
        <w:ind w:left="512" w:right="5353"/>
        <w:jc w:val="left"/>
      </w:pPr>
      <w:r>
        <w:rPr>
          <w:rFonts w:ascii="Times New Roman" w:hAnsi="Times New Roman" w:cs="Times New Roman" w:eastAsia="Times New Roman" w:hint="default"/>
        </w:rPr>
        <w:t>3</w:t>
      </w:r>
      <w:r>
        <w:rPr/>
        <w:t>）价格风险 本公司以市场价格销售纸包装，因此受到此等价格波动的影响。 </w:t>
      </w:r>
      <w:r>
        <w:rPr>
          <w:rFonts w:ascii="Times New Roman" w:hAnsi="Times New Roman" w:cs="Times New Roman" w:eastAsia="Times New Roman" w:hint="default"/>
        </w:rPr>
        <w:t>(2)</w:t>
      </w:r>
      <w:r>
        <w:rPr/>
        <w:t>信用风险</w:t>
      </w:r>
    </w:p>
    <w:p>
      <w:pPr>
        <w:pStyle w:val="BodyText"/>
        <w:spacing w:line="300" w:lineRule="auto" w:before="60"/>
        <w:ind w:right="1128" w:firstLine="360"/>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w:t>
      </w:r>
      <w:r>
        <w:rPr/>
        <w:t> 融资产产生的损失以及本公司承担的财务担保，具体包括：</w:t>
      </w:r>
    </w:p>
    <w:p>
      <w:pPr>
        <w:spacing w:line="240" w:lineRule="auto" w:before="3"/>
        <w:rPr>
          <w:rFonts w:ascii="宋体" w:hAnsi="宋体" w:cs="宋体" w:eastAsia="宋体" w:hint="default"/>
          <w:sz w:val="26"/>
          <w:szCs w:val="26"/>
        </w:rPr>
      </w:pPr>
    </w:p>
    <w:p>
      <w:pPr>
        <w:pStyle w:val="BodyText"/>
        <w:spacing w:line="316" w:lineRule="auto"/>
        <w:ind w:right="1033" w:firstLine="360"/>
        <w:jc w:val="left"/>
      </w:pPr>
      <w:r>
        <w:rPr/>
        <w:t>合并资产负债表中已确认的金融资产的账面金额；对于以公允价值计量的金融工具而言，账面价值反映了其风险敞口， 但并非最大风险敞口，其最大风险敞口将随着未来公允价值的变化而改变。</w:t>
      </w:r>
    </w:p>
    <w:p>
      <w:pPr>
        <w:spacing w:line="240" w:lineRule="auto" w:before="4"/>
        <w:rPr>
          <w:rFonts w:ascii="宋体" w:hAnsi="宋体" w:cs="宋体" w:eastAsia="宋体" w:hint="default"/>
          <w:sz w:val="25"/>
          <w:szCs w:val="25"/>
        </w:rPr>
      </w:pPr>
    </w:p>
    <w:p>
      <w:pPr>
        <w:pStyle w:val="BodyText"/>
        <w:spacing w:line="316" w:lineRule="auto"/>
        <w:ind w:right="1129" w:firstLine="360"/>
        <w:jc w:val="both"/>
      </w:pPr>
      <w:r>
        <w:rPr>
          <w:spacing w:val="-2"/>
        </w:rPr>
        <w:t>为降低信用风险，本公司成立专门部门确定信用额度、进行信用审批，并执行其它监控程序以确保采取必要的措施回收</w:t>
      </w:r>
      <w:r>
        <w:rPr/>
        <w:t> </w:t>
      </w:r>
      <w:r>
        <w:rPr>
          <w:spacing w:val="-2"/>
        </w:rPr>
        <w:t>过期债权。此外，本公司于每个资产负债表日审核每一单项应收款的回收情况，以确保就无法回收的款项计提充分的坏账准</w:t>
      </w:r>
      <w:r>
        <w:rPr>
          <w:spacing w:val="-66"/>
        </w:rPr>
        <w:t> </w:t>
      </w:r>
      <w:r>
        <w:rPr>
          <w:spacing w:val="-66"/>
        </w:rPr>
      </w:r>
      <w:r>
        <w:rPr/>
        <w:t>备。因此，本公司管理层认为本公司所承担的信用风险已经大为降低。</w:t>
      </w:r>
    </w:p>
    <w:p>
      <w:pPr>
        <w:pStyle w:val="BodyText"/>
        <w:spacing w:line="624" w:lineRule="exact" w:before="42"/>
        <w:ind w:left="512" w:right="1128"/>
        <w:jc w:val="left"/>
      </w:pPr>
      <w:r>
        <w:rPr/>
        <w:t>本公司的流动资金存放在信用评级较高的银行，故流动资金的信用风险较低。 </w:t>
      </w:r>
      <w:r>
        <w:rPr>
          <w:spacing w:val="-2"/>
        </w:rPr>
        <w:t>本公司采用了必要的政策确保所有销售客户均具有良好的信用记录。除应收账款金额前五名外，本公司无其他重大信用</w:t>
      </w:r>
    </w:p>
    <w:p>
      <w:pPr>
        <w:pStyle w:val="BodyText"/>
        <w:spacing w:line="212" w:lineRule="exact"/>
        <w:ind w:right="1128"/>
        <w:jc w:val="left"/>
      </w:pPr>
      <w:r>
        <w:rPr/>
        <w:t>集中风险。</w:t>
      </w:r>
    </w:p>
    <w:p>
      <w:pPr>
        <w:spacing w:line="240" w:lineRule="auto" w:before="0"/>
        <w:rPr>
          <w:rFonts w:ascii="宋体" w:hAnsi="宋体" w:cs="宋体" w:eastAsia="宋体" w:hint="default"/>
          <w:sz w:val="18"/>
          <w:szCs w:val="18"/>
        </w:rPr>
      </w:pPr>
    </w:p>
    <w:p>
      <w:pPr>
        <w:pStyle w:val="BodyText"/>
        <w:spacing w:line="240" w:lineRule="auto" w:before="153"/>
        <w:ind w:left="512" w:right="1128"/>
        <w:jc w:val="left"/>
      </w:pPr>
      <w:r>
        <w:rPr/>
        <w:t>应收账款前五名金额合计：</w:t>
      </w:r>
      <w:r>
        <w:rPr>
          <w:rFonts w:ascii="Times New Roman" w:hAnsi="Times New Roman" w:cs="Times New Roman" w:eastAsia="Times New Roman" w:hint="default"/>
        </w:rPr>
        <w:t>224,743,229.84</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left="512" w:right="1128"/>
        <w:jc w:val="left"/>
      </w:pPr>
      <w:r>
        <w:rPr>
          <w:rFonts w:ascii="Times New Roman" w:hAnsi="Times New Roman" w:cs="Times New Roman" w:eastAsia="Times New Roman" w:hint="default"/>
        </w:rPr>
        <w:t>(3)</w:t>
      </w:r>
      <w:r>
        <w:rPr/>
        <w:t>流动风险</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0" w:firstLine="360"/>
        <w:jc w:val="left"/>
      </w:pPr>
      <w:r>
        <w:rPr>
          <w:spacing w:val="-2"/>
        </w:rPr>
        <w:t>流动风险为本公司在到期日无法履行其财务义务的风险。本公司管理流动性风险的方法是确保有足够的资金流动性来履</w:t>
      </w:r>
      <w:r>
        <w:rPr/>
        <w:t> </w:t>
      </w:r>
      <w:r>
        <w:rPr>
          <w:spacing w:val="-4"/>
        </w:rPr>
        <w:t>行到期债务，而不至于造成不可接受的损失或对企业信誉造成损害。本公司定期分析负债结构和期限，以确保有充裕的资金。</w:t>
      </w:r>
      <w:r>
        <w:rPr>
          <w:spacing w:val="-44"/>
        </w:rPr>
        <w:t> </w:t>
      </w:r>
      <w:r>
        <w:rPr>
          <w:spacing w:val="-44"/>
        </w:rPr>
      </w:r>
      <w:r>
        <w:rPr>
          <w:spacing w:val="-4"/>
        </w:rPr>
        <w:t>本公司管理层对银行借款的使用情况进行监控并确保遵守借款协议。同时与金融机构进行融资磋商，以保持一定的授信额度，</w:t>
      </w:r>
      <w:r>
        <w:rPr>
          <w:spacing w:val="-44"/>
        </w:rPr>
        <w:t> </w:t>
      </w:r>
      <w:r>
        <w:rPr>
          <w:spacing w:val="-44"/>
        </w:rPr>
      </w:r>
      <w:r>
        <w:rPr/>
        <w:t>减低流动性风险。</w:t>
      </w:r>
    </w:p>
    <w:p>
      <w:pPr>
        <w:spacing w:line="240" w:lineRule="auto" w:before="4"/>
        <w:rPr>
          <w:rFonts w:ascii="宋体" w:hAnsi="宋体" w:cs="宋体" w:eastAsia="宋体" w:hint="default"/>
          <w:sz w:val="25"/>
          <w:szCs w:val="25"/>
        </w:rPr>
      </w:pPr>
    </w:p>
    <w:p>
      <w:pPr>
        <w:pStyle w:val="BodyText"/>
        <w:spacing w:line="240" w:lineRule="auto"/>
        <w:ind w:left="512" w:right="1128"/>
        <w:jc w:val="left"/>
      </w:pPr>
      <w:r>
        <w:rPr/>
        <w:t>本公司持有的金融资产和金融负债按未折现剩余合同义务的到期期限分析如下：</w:t>
      </w:r>
    </w:p>
    <w:p>
      <w:pPr>
        <w:spacing w:line="240" w:lineRule="auto" w:before="0"/>
        <w:rPr>
          <w:rFonts w:ascii="宋体" w:hAnsi="宋体" w:cs="宋体" w:eastAsia="宋体" w:hint="default"/>
          <w:sz w:val="18"/>
          <w:szCs w:val="18"/>
        </w:rPr>
      </w:pPr>
    </w:p>
    <w:p>
      <w:pPr>
        <w:pStyle w:val="BodyText"/>
        <w:spacing w:line="240" w:lineRule="auto" w:before="155"/>
        <w:ind w:left="512" w:right="112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日金额：</w:t>
      </w:r>
    </w:p>
    <w:p>
      <w:pPr>
        <w:spacing w:line="240" w:lineRule="auto" w:before="11"/>
        <w:rPr>
          <w:rFonts w:ascii="宋体" w:hAnsi="宋体" w:cs="宋体" w:eastAsia="宋体" w:hint="default"/>
          <w:sz w:val="27"/>
          <w:szCs w:val="27"/>
        </w:rPr>
      </w:pPr>
    </w:p>
    <w:tbl>
      <w:tblPr>
        <w:tblW w:w="0" w:type="auto"/>
        <w:jc w:val="left"/>
        <w:tblInd w:w="150" w:type="dxa"/>
        <w:tblLayout w:type="fixed"/>
        <w:tblCellMar>
          <w:top w:w="0" w:type="dxa"/>
          <w:left w:w="0" w:type="dxa"/>
          <w:bottom w:w="0" w:type="dxa"/>
          <w:right w:w="0" w:type="dxa"/>
        </w:tblCellMar>
        <w:tblLook w:val="01E0"/>
      </w:tblPr>
      <w:tblGrid>
        <w:gridCol w:w="1668"/>
        <w:gridCol w:w="1560"/>
        <w:gridCol w:w="1416"/>
        <w:gridCol w:w="1418"/>
        <w:gridCol w:w="1133"/>
        <w:gridCol w:w="1577"/>
      </w:tblGrid>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0"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3"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487,752,265.19</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487,752,265.19</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282,000,000.00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282,000,000.00</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470,837,815.39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10,256,126.85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820,865.18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116,261.76</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482,031,069.18</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52,038,965.10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946,536.18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115,467.48</w:t>
            </w: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53,100,968.76</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其它应收款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23,605,505.10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4,406,657.44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4,707,050.82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588,908.00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33,308,121.36</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349,510,000.00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349,510,000.00</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89,004,436.64</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89,004,436.64</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300,107,066.57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3,328,225.89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3,384,291.78</w:t>
            </w: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306,819,584.24</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其它应付款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10,650,696.06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47,542,979.65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6,187,463.54</w:t>
            </w: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64,381,139.25</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30,782,877.41</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30,782,877.41</w:t>
            </w:r>
          </w:p>
        </w:tc>
      </w:tr>
      <w:tr>
        <w:trPr>
          <w:trHeight w:val="65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26"/>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38,867,252.13</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38,867,252.13</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25,600,000.00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25,600,000.00</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22,547,046.39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2,227,707.53</w:t>
            </w:r>
          </w:p>
        </w:tc>
        <w:tc>
          <w:tcPr>
            <w:tcW w:w="1133"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24,774,753.92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28"/>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2" w:hRule="exact"/>
        </w:trPr>
        <w:tc>
          <w:tcPr>
            <w:tcW w:w="1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3"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8413"/>
        <w:jc w:val="left"/>
      </w:pPr>
      <w:r>
        <w:rPr/>
        <w:t>本企业的母公司情况的说明 本企业最终控制方是庄浩。 其他说明：</w:t>
      </w:r>
    </w:p>
    <w:p>
      <w:pPr>
        <w:spacing w:line="240" w:lineRule="auto" w:before="8"/>
        <w:rPr>
          <w:rFonts w:ascii="宋体" w:hAnsi="宋体" w:cs="宋体" w:eastAsia="宋体" w:hint="default"/>
          <w:sz w:val="17"/>
          <w:szCs w:val="17"/>
        </w:rPr>
      </w:pPr>
    </w:p>
    <w:p>
      <w:pPr>
        <w:pStyle w:val="BodyText"/>
        <w:spacing w:line="240" w:lineRule="auto"/>
        <w:ind w:right="1128"/>
        <w:jc w:val="left"/>
      </w:pPr>
      <w:r>
        <w:rPr>
          <w:rFonts w:ascii="Times New Roman" w:hAnsi="Times New Roman" w:cs="Times New Roman" w:eastAsia="Times New Roman" w:hint="default"/>
        </w:rPr>
        <w:t>1</w:t>
      </w:r>
      <w:r>
        <w:rPr/>
        <w:t>、控股股东的注册资本及其变化</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567"/>
        <w:gridCol w:w="2126"/>
        <w:gridCol w:w="1416"/>
        <w:gridCol w:w="1560"/>
        <w:gridCol w:w="1850"/>
      </w:tblGrid>
      <w:tr>
        <w:trPr>
          <w:trHeight w:val="348"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6"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7" w:right="-3"/>
              <w:jc w:val="left"/>
              <w:rPr>
                <w:rFonts w:ascii="Times New Roman" w:hAnsi="Times New Roman" w:cs="Times New Roman" w:eastAsia="Times New Roman" w:hint="default"/>
                <w:sz w:val="18"/>
                <w:szCs w:val="18"/>
              </w:rPr>
            </w:pPr>
            <w:r>
              <w:rPr>
                <w:rFonts w:ascii="Times New Roman"/>
                <w:sz w:val="18"/>
              </w:rPr>
              <w:t>67,901,060.00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8" w:right="-1"/>
              <w:jc w:val="left"/>
              <w:rPr>
                <w:rFonts w:ascii="Times New Roman" w:hAnsi="Times New Roman" w:cs="Times New Roman" w:eastAsia="Times New Roman" w:hint="default"/>
                <w:sz w:val="18"/>
                <w:szCs w:val="18"/>
              </w:rPr>
            </w:pPr>
            <w:r>
              <w:rPr>
                <w:rFonts w:ascii="Times New Roman"/>
                <w:sz w:val="18"/>
              </w:rPr>
              <w:t>16,554,953.00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01" w:right="-3"/>
              <w:jc w:val="left"/>
              <w:rPr>
                <w:rFonts w:ascii="Times New Roman" w:hAnsi="Times New Roman" w:cs="Times New Roman" w:eastAsia="Times New Roman" w:hint="default"/>
                <w:sz w:val="18"/>
                <w:szCs w:val="18"/>
              </w:rPr>
            </w:pPr>
            <w:r>
              <w:rPr>
                <w:rFonts w:ascii="Times New Roman"/>
                <w:sz w:val="18"/>
              </w:rPr>
              <w:t>51,346,107.00</w:t>
            </w:r>
          </w:p>
        </w:tc>
      </w:tr>
    </w:tbl>
    <w:p>
      <w:pPr>
        <w:spacing w:line="240" w:lineRule="auto" w:before="7"/>
        <w:rPr>
          <w:rFonts w:ascii="宋体" w:hAnsi="宋体" w:cs="宋体" w:eastAsia="宋体" w:hint="default"/>
          <w:sz w:val="15"/>
          <w:szCs w:val="15"/>
        </w:rPr>
      </w:pPr>
    </w:p>
    <w:p>
      <w:pPr>
        <w:pStyle w:val="BodyText"/>
        <w:spacing w:line="240" w:lineRule="auto" w:before="44"/>
        <w:ind w:right="1128"/>
        <w:jc w:val="left"/>
      </w:pPr>
      <w:r>
        <w:rPr/>
        <w:t>控股股东的所持股份或权益及其变化</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67"/>
        <w:gridCol w:w="2126"/>
        <w:gridCol w:w="1826"/>
        <w:gridCol w:w="1440"/>
        <w:gridCol w:w="1560"/>
      </w:tblGrid>
      <w:tr>
        <w:trPr>
          <w:trHeight w:val="348" w:hRule="exact"/>
        </w:trPr>
        <w:tc>
          <w:tcPr>
            <w:tcW w:w="1567"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9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30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1567" w:type="dxa"/>
            <w:vMerge/>
            <w:tcBorders>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2"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46" w:hRule="exact"/>
        </w:trPr>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7" w:right="-3"/>
              <w:jc w:val="left"/>
              <w:rPr>
                <w:rFonts w:ascii="Times New Roman" w:hAnsi="Times New Roman" w:cs="Times New Roman" w:eastAsia="Times New Roman" w:hint="default"/>
                <w:sz w:val="18"/>
                <w:szCs w:val="18"/>
              </w:rPr>
            </w:pPr>
            <w:r>
              <w:rPr>
                <w:rFonts w:ascii="Times New Roman"/>
                <w:sz w:val="18"/>
              </w:rPr>
              <w:t>51,346,107.00</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75" w:right="-1"/>
              <w:jc w:val="left"/>
              <w:rPr>
                <w:rFonts w:ascii="Times New Roman" w:hAnsi="Times New Roman" w:cs="Times New Roman" w:eastAsia="Times New Roman" w:hint="default"/>
                <w:sz w:val="18"/>
                <w:szCs w:val="18"/>
              </w:rPr>
            </w:pPr>
            <w:r>
              <w:rPr>
                <w:rFonts w:ascii="Times New Roman"/>
                <w:sz w:val="18"/>
              </w:rPr>
              <w:t>67,901,060.00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23.07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34.43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本企业子公司的情况详见附注</w:t>
      </w:r>
      <w:r>
        <w:rPr>
          <w:rFonts w:ascii="Times New Roman" w:hAnsi="Times New Roman" w:cs="Times New Roman" w:eastAsia="Times New Roman" w:hint="default"/>
        </w:rPr>
        <w:t>“</w:t>
      </w:r>
      <w:r>
        <w:rPr/>
        <w:t>企业集团的构成</w:t>
      </w:r>
      <w:r>
        <w:rPr>
          <w:rFonts w:ascii="Times New Roman" w:hAnsi="Times New Roman" w:cs="Times New Roman" w:eastAsia="Times New Roman" w:hint="default"/>
        </w:rPr>
        <w:t>”</w:t>
      </w:r>
      <w:r>
        <w:rPr/>
        <w:t>的相关内容。</w:t>
      </w:r>
    </w:p>
    <w:p>
      <w:pPr>
        <w:spacing w:after="0" w:line="240" w:lineRule="auto"/>
        <w:jc w:val="left"/>
        <w:sectPr>
          <w:footerReference w:type="default" r:id="rId35"/>
          <w:pgSz w:w="11910" w:h="16840"/>
          <w:pgMar w:footer="981" w:header="745" w:top="1060" w:bottom="1180" w:left="980" w:right="0"/>
          <w:pgNumType w:start="19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293"/>
        <w:jc w:val="left"/>
      </w:pPr>
      <w:r>
        <w:rPr/>
        <w:t>本企业重要的合营或联营企业详见附注中的</w:t>
      </w:r>
      <w:r>
        <w:rPr>
          <w:rFonts w:ascii="Times New Roman" w:hAnsi="Times New Roman" w:cs="Times New Roman" w:eastAsia="Times New Roman" w:hint="default"/>
        </w:rPr>
        <w:t>“</w:t>
      </w:r>
      <w:r>
        <w:rPr/>
        <w:t>重要的合营企业或联营企业</w:t>
      </w:r>
      <w:r>
        <w:rPr>
          <w:rFonts w:ascii="Times New Roman" w:hAnsi="Times New Roman" w:cs="Times New Roman" w:eastAsia="Times New Roman" w:hint="default"/>
        </w:rPr>
        <w:t>”</w:t>
      </w:r>
      <w:r>
        <w:rPr/>
        <w:t>相关内容。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庄澍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张和平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贺静颖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庄振海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控股股东关联的自然人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马冬英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控股股东关联的自然人</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西藏永悦诗超企业管理有限公司（原名：厦门市永悦投资咨 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厦门市正佳工贸有限公司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与控股股东关联的自然人控制的企业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被投资单位</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中港包装制品江苏有限公司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强申包装技术（上海）有限公司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原其他关联方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北京海洋纪元科技发展有限公司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bl>
    <w:p>
      <w:pPr>
        <w:pStyle w:val="BodyText"/>
        <w:spacing w:line="240" w:lineRule="auto" w:before="49"/>
        <w:ind w:right="1128"/>
        <w:jc w:val="left"/>
      </w:pPr>
      <w:r>
        <w:rPr/>
        <w:t>其他说明</w:t>
      </w:r>
    </w:p>
    <w:p>
      <w:pPr>
        <w:pStyle w:val="BodyText"/>
        <w:spacing w:line="316" w:lineRule="auto" w:before="115"/>
        <w:ind w:right="1105" w:firstLine="288"/>
        <w:jc w:val="left"/>
      </w:pPr>
      <w:r>
        <w:rPr/>
        <w:t>庄振海与实际控制人庄浩为父女关系；马冬英与实际控制人庄浩为母女关系；股东庄澍与实际控制人庄浩为姐弟关系； 股东张和平与实际控制人庄浩为夫妻关系；股东贺静颖与股东庄澍为夫妻关系。</w:t>
      </w:r>
    </w:p>
    <w:p>
      <w:pPr>
        <w:spacing w:line="240" w:lineRule="auto" w:before="10"/>
        <w:rPr>
          <w:rFonts w:ascii="宋体" w:hAnsi="宋体" w:cs="宋体" w:eastAsia="宋体" w:hint="default"/>
          <w:sz w:val="22"/>
          <w:szCs w:val="22"/>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5"/>
          <w:szCs w:val="25"/>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59;top:14;width:24;height:392" coordorigin="4759,14" coordsize="24,392">
              <v:shape style="position:absolute;left:4759;top:14;width:24;height:392" coordorigin="4759,14" coordsize="24,392" path="m4759,406l4783,406,4783,14,4759,14,4759,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6;height:392" coordorigin="34,14" coordsize="4726,392">
              <v:shape style="position:absolute;left:34;top:14;width:4726;height:392" coordorigin="34,14" coordsize="4726,392" path="m34,14l4759,14,4759,406,34,406,34,14xe" filled="true" fillcolor="#d3d3d3" stroked="false">
                <v:path arrowok="t"/>
                <v:fill type="solid"/>
              </v:shape>
            </v:group>
            <v:group style="position:absolute;left:4793;top:14;width:24;height:392" coordorigin="4793,14" coordsize="24,392">
              <v:shape style="position:absolute;left:4793;top:14;width:24;height:392" coordorigin="4793,14" coordsize="24,392" path="m4793,406l4817,406,4817,14,4793,14,4793,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7;top:14;width:4728;height:392" coordorigin="4817,14" coordsize="4728,392">
              <v:shape style="position:absolute;left:4817;top:14;width:4728;height:392" coordorigin="4817,14" coordsize="4728,392" path="m4817,14l9545,14,9545,406,4817,406,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2;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其他关联方名称</w:t>
                      </w:r>
                    </w:p>
                  </w:txbxContent>
                </v:textbox>
                <w10:wrap type="none"/>
              </v:shape>
              <v:shape style="position:absolute;left:4788;top:10;width:4786;height:402" type="#_x0000_t202" filled="false" stroked="false">
                <v:textbox inset="0,0,0,0">
                  <w:txbxContent>
                    <w:p>
                      <w:pPr>
                        <w:spacing w:before="54"/>
                        <w:ind w:left="1404" w:right="0" w:firstLine="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北京海洋纪元科技 发展有限公司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992,041.76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sz w:val="18"/>
              </w:rPr>
              <w:t>992,041.76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16,413,711.26</w:t>
            </w:r>
          </w:p>
        </w:tc>
      </w:tr>
      <w:tr>
        <w:trPr>
          <w:trHeight w:val="354" w:hRule="exact"/>
        </w:trPr>
        <w:tc>
          <w:tcPr>
            <w:tcW w:w="15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北京金印联国际供</w:t>
            </w:r>
          </w:p>
        </w:tc>
        <w:tc>
          <w:tcPr>
            <w:tcW w:w="1454" w:type="dxa"/>
            <w:tcBorders>
              <w:top w:val="single" w:sz="4" w:space="0" w:color="000000"/>
              <w:left w:val="single" w:sz="4" w:space="0" w:color="000000"/>
              <w:bottom w:val="nil" w:sz="6" w:space="0" w:color="auto"/>
              <w:right w:val="single" w:sz="4" w:space="0" w:color="000000"/>
            </w:tcBorders>
          </w:tcPr>
          <w:p>
            <w:pPr/>
          </w:p>
        </w:tc>
        <w:tc>
          <w:tcPr>
            <w:tcW w:w="1452" w:type="dxa"/>
            <w:vMerge w:val="restart"/>
            <w:tcBorders>
              <w:top w:val="single" w:sz="4" w:space="0" w:color="000000"/>
              <w:left w:val="single" w:sz="4" w:space="0" w:color="000000"/>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c>
          <w:tcPr>
            <w:tcW w:w="1706" w:type="dxa"/>
            <w:tcBorders>
              <w:top w:val="single" w:sz="4" w:space="0" w:color="000000"/>
              <w:left w:val="single" w:sz="4" w:space="0" w:color="000000"/>
              <w:bottom w:val="nil" w:sz="6" w:space="0" w:color="auto"/>
              <w:right w:val="single" w:sz="4" w:space="0" w:color="000000"/>
            </w:tcBorders>
          </w:tcPr>
          <w:p>
            <w:pPr/>
          </w:p>
        </w:tc>
        <w:tc>
          <w:tcPr>
            <w:tcW w:w="170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应链管理股份有限</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w w:val="95"/>
                <w:sz w:val="18"/>
              </w:rPr>
              <w:t>4,536,597.90</w:t>
            </w:r>
          </w:p>
        </w:tc>
      </w:tr>
      <w:tr>
        <w:trPr>
          <w:trHeight w:val="354" w:hRule="exact"/>
        </w:trPr>
        <w:tc>
          <w:tcPr>
            <w:tcW w:w="15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54" w:type="dxa"/>
            <w:tcBorders>
              <w:top w:val="nil" w:sz="6" w:space="0" w:color="auto"/>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c>
          <w:tcPr>
            <w:tcW w:w="1706" w:type="dxa"/>
            <w:tcBorders>
              <w:top w:val="nil" w:sz="6" w:space="0" w:color="auto"/>
              <w:left w:val="single" w:sz="4" w:space="0" w:color="000000"/>
              <w:bottom w:val="single" w:sz="4" w:space="0" w:color="000000"/>
              <w:right w:val="single" w:sz="4" w:space="0" w:color="000000"/>
            </w:tcBorders>
          </w:tcPr>
          <w:p>
            <w:pPr/>
          </w:p>
        </w:tc>
        <w:tc>
          <w:tcPr>
            <w:tcW w:w="17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强申包装技术（上 海）有限公司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954,585.58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陕西永鑫纸业包装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13,151.78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13,151.78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102,178.18</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1,005,193.54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1,005,193.54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22,007,072.92</w:t>
            </w:r>
          </w:p>
        </w:tc>
      </w:tr>
    </w:tbl>
    <w:p>
      <w:pPr>
        <w:pStyle w:val="BodyText"/>
        <w:spacing w:line="240" w:lineRule="auto" w:before="49"/>
        <w:ind w:right="112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强申包装技术（上海）有限公 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9,548,066.21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14,350,266.43</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1,569,127.31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6,126,599.65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中港包装制品江苏有限公司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23,382,147.18</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34,499,340.70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20,476,866.08</w:t>
            </w:r>
          </w:p>
        </w:tc>
      </w:tr>
    </w:tbl>
    <w:p>
      <w:pPr>
        <w:pStyle w:val="BodyText"/>
        <w:spacing w:line="240" w:lineRule="auto" w:before="49"/>
        <w:ind w:right="1128"/>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8"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5" w:footer="981" w:top="1060" w:bottom="1180" w:left="980" w:right="0"/>
        </w:sectPr>
      </w:pPr>
    </w:p>
    <w:p>
      <w:pPr>
        <w:pStyle w:val="BodyText"/>
        <w:spacing w:line="338" w:lineRule="auto" w:before="50"/>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2544" w:space="6284"/>
            <w:col w:w="2102"/>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88" w:right="21"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408"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28"/>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本公司作为出租方：</w:t>
      </w:r>
    </w:p>
    <w:p>
      <w:pPr>
        <w:pStyle w:val="BodyText"/>
        <w:spacing w:line="240" w:lineRule="auto" w:before="117"/>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128"/>
        <w:jc w:val="left"/>
      </w:pPr>
      <w:r>
        <w:rPr/>
        <w:t>本公司作为承租方：</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28"/>
        <w:jc w:val="left"/>
      </w:pPr>
      <w:r>
        <w:rPr/>
        <w:t>关联租赁情况说明</w:t>
      </w:r>
    </w:p>
    <w:p>
      <w:pPr>
        <w:spacing w:after="0" w:line="240" w:lineRule="auto"/>
        <w:jc w:val="left"/>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本公司作为担保方</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1128"/>
        <w:jc w:val="left"/>
      </w:pPr>
      <w:r>
        <w:rPr/>
        <w:t>本公司作为被担保方</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庄浩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庄浩、庄澍、张和平、 贺静颖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8,550,000.00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庄浩、庄澍、张和平、 贺静颖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10,860,000.00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28"/>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7"/>
        <w:ind w:right="1128"/>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2,462,470.84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2,322,068.16</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强申包装技术（上 海）有限公司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3,297,535.77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164,876.79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陕西永鑫纸业包装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4,288,027.31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356,082.64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3,109,646.49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155,482.33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中港包装制品江苏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19,726,610.28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986,330.51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1,988,736.00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99,436.80</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北京海洋纪元科技发展有限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11,551,763.16</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10,316.16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中港包装制品江苏有限公司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5,233,248.08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99" w:lineRule="auto" w:before="0"/>
        <w:ind w:left="152" w:right="834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40" w:lineRule="auto" w:before="4"/>
        <w:ind w:left="548" w:right="1128"/>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48" w:right="1128"/>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hanging="1"/>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8" w:firstLine="360"/>
        <w:jc w:val="left"/>
      </w:pPr>
      <w:r>
        <w:rPr>
          <w:rFonts w:ascii="Times New Roman" w:hAnsi="Times New Roman" w:cs="Times New Roman" w:eastAsia="Times New Roman" w:hint="default"/>
        </w:rPr>
        <w:t>1.2020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日至报告日公司回购股票</w:t>
      </w:r>
      <w:r>
        <w:rPr>
          <w:rFonts w:ascii="Times New Roman" w:hAnsi="Times New Roman" w:cs="Times New Roman" w:eastAsia="Times New Roman" w:hint="default"/>
        </w:rPr>
        <w:t>398,100</w:t>
      </w:r>
      <w:r>
        <w:rPr/>
        <w:t>股，回购支出</w:t>
      </w:r>
      <w:r>
        <w:rPr>
          <w:rFonts w:ascii="Times New Roman" w:hAnsi="Times New Roman" w:cs="Times New Roman" w:eastAsia="Times New Roman" w:hint="default"/>
        </w:rPr>
        <w:t>12,999,149.00</w:t>
      </w:r>
      <w:r>
        <w:rPr/>
        <w:t>元，交易费用</w:t>
      </w:r>
      <w:r>
        <w:rPr>
          <w:rFonts w:ascii="Times New Roman" w:hAnsi="Times New Roman" w:cs="Times New Roman" w:eastAsia="Times New Roman" w:hint="default"/>
        </w:rPr>
        <w:t>2,763.04</w:t>
      </w:r>
      <w:r>
        <w:rPr/>
        <w:t>元。截止报告日公司共 回购股票</w:t>
      </w:r>
      <w:r>
        <w:rPr>
          <w:rFonts w:ascii="Times New Roman" w:hAnsi="Times New Roman" w:cs="Times New Roman" w:eastAsia="Times New Roman" w:hint="default"/>
        </w:rPr>
        <w:t>653,700</w:t>
      </w:r>
      <w:r>
        <w:rPr/>
        <w:t>股，回购支出</w:t>
      </w:r>
      <w:r>
        <w:rPr>
          <w:rFonts w:ascii="Times New Roman" w:hAnsi="Times New Roman" w:cs="Times New Roman" w:eastAsia="Times New Roman" w:hint="default"/>
        </w:rPr>
        <w:t>18,997,267.20</w:t>
      </w:r>
      <w:r>
        <w:rPr/>
        <w:t>元，交易费用</w:t>
      </w:r>
      <w:r>
        <w:rPr>
          <w:rFonts w:ascii="Times New Roman" w:hAnsi="Times New Roman" w:cs="Times New Roman" w:eastAsia="Times New Roman" w:hint="default"/>
        </w:rPr>
        <w:t>3,497.67</w:t>
      </w:r>
      <w:r>
        <w:rPr/>
        <w:t>元。</w:t>
      </w:r>
    </w:p>
    <w:p>
      <w:pPr>
        <w:pStyle w:val="BodyText"/>
        <w:spacing w:line="300" w:lineRule="auto" w:before="113"/>
        <w:ind w:right="1128" w:firstLine="360"/>
        <w:jc w:val="left"/>
      </w:pPr>
      <w:r>
        <w:rPr>
          <w:rFonts w:ascii="Times New Roman" w:hAnsi="Times New Roman" w:cs="Times New Roman" w:eastAsia="Times New Roman" w:hint="default"/>
        </w:rPr>
        <w:t>2.2020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日第四届董事会第八次会议决议以董事会审议通过分配预案之日的总股本为基数，向全体股东每</w:t>
      </w:r>
      <w:r>
        <w:rPr>
          <w:rFonts w:ascii="Times New Roman" w:hAnsi="Times New Roman" w:cs="Times New Roman" w:eastAsia="Times New Roman" w:hint="default"/>
        </w:rPr>
        <w:t>10</w:t>
      </w:r>
      <w:r>
        <w:rPr/>
        <w:t>股派 发现金股利人民币</w:t>
      </w:r>
      <w:r>
        <w:rPr>
          <w:rFonts w:ascii="Times New Roman" w:hAnsi="Times New Roman" w:cs="Times New Roman" w:eastAsia="Times New Roman" w:hint="default"/>
        </w:rPr>
        <w:t>1.00</w:t>
      </w:r>
      <w:r>
        <w:rPr/>
        <w:t>元（含税），同时以资本公积向全体股东每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股，公司回购专户已回购股份不享有利润分配</w:t>
      </w:r>
    </w:p>
    <w:p>
      <w:pPr>
        <w:spacing w:after="0" w:line="30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564" w:lineRule="auto" w:before="44"/>
        <w:ind w:left="512" w:right="3553" w:hanging="361"/>
        <w:jc w:val="left"/>
      </w:pPr>
      <w:r>
        <w:rPr/>
        <w:t>及资本公积金转增股本的权利。 除存在上述资产负债表日后事项披露事项外，本公司无其他重大资产负债表日后事项。</w:t>
      </w:r>
    </w:p>
    <w:p>
      <w:pPr>
        <w:pStyle w:val="Heading2"/>
        <w:spacing w:line="240" w:lineRule="auto" w:before="85"/>
        <w:ind w:right="1128"/>
        <w:jc w:val="left"/>
        <w:rPr>
          <w:b w:val="0"/>
          <w:bCs w:val="0"/>
        </w:rPr>
      </w:pPr>
      <w:r>
        <w:rPr/>
        <w:t>十六、其他重要事项</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355"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60"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49"/>
        <w:ind w:right="0"/>
        <w:jc w:val="both"/>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both"/>
      </w:pPr>
      <w:r>
        <w:rPr>
          <w:spacing w:val="-2"/>
        </w:rPr>
        <w:t>公司业务类型分为包装业务、互联网业务。其中包装业务包括彩色包装纸盒、彩色包装箱、环保纸袋及食品包装制品的生产</w:t>
      </w:r>
      <w:r>
        <w:rPr>
          <w:spacing w:val="-65"/>
        </w:rPr>
        <w:t> </w:t>
      </w:r>
      <w:r>
        <w:rPr>
          <w:spacing w:val="-65"/>
        </w:rPr>
      </w:r>
      <w:r>
        <w:rPr>
          <w:spacing w:val="-2"/>
        </w:rPr>
        <w:t>和销售；互联网业务分为跨境电商业务和移动互联网广告投放服务。我们基于业务类型确定经营分部，并以经营分部为基础</w:t>
      </w:r>
      <w:r>
        <w:rPr>
          <w:spacing w:val="-63"/>
        </w:rPr>
        <w:t> </w:t>
      </w:r>
      <w:r>
        <w:rPr>
          <w:spacing w:val="-63"/>
        </w:rPr>
      </w:r>
      <w:r>
        <w:rPr/>
        <w:t>确定报告分部。</w:t>
      </w:r>
    </w:p>
    <w:p>
      <w:pPr>
        <w:spacing w:after="0" w:line="316" w:lineRule="auto"/>
        <w:jc w:val="both"/>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互联网业务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包装业务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1,909,061,051.23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588,437,165.28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-58,241,556.50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2,439,256,660.01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312,416,067.00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145,332,653.67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-999,182.04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456,749,538.63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30,504,790.21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22,596,178.55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53,100,968.76</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22,298,448.04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64,267,477.72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-57,242,374.46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29,323,551.30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18,158,542.69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21,477,730.32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39,636,273.01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189,127,939.77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55,106,379.39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244,234,319.16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866,068,120.93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180,397,238.59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-58,241,556.50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988,223,803.02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1,292,416,289.76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1,654,964,307.50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2,947,380,597.26</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1,043,109,105.99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623,181,453.22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1,666,290,559.21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66,305,349.13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667,089,638.38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733,394,987.51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58,391,254.39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40,017,521.41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98,408,775.80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21,170,268.65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2,680,998.22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23,851,266.87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74,856,545.78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306,661,612.82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381,518,158.60</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2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3"/>
        <w:gridCol w:w="761"/>
        <w:gridCol w:w="764"/>
        <w:gridCol w:w="788"/>
        <w:gridCol w:w="775"/>
        <w:gridCol w:w="797"/>
        <w:gridCol w:w="799"/>
        <w:gridCol w:w="790"/>
        <w:gridCol w:w="931"/>
      </w:tblGrid>
      <w:tr>
        <w:trPr>
          <w:trHeight w:val="396"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77,973,0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48.55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36.47%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77,973,04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11,119,83</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9.93%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11,119,833.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3"/>
        <w:gridCol w:w="763"/>
        <w:gridCol w:w="761"/>
        <w:gridCol w:w="763"/>
        <w:gridCol w:w="790"/>
        <w:gridCol w:w="775"/>
        <w:gridCol w:w="797"/>
        <w:gridCol w:w="799"/>
        <w:gridCol w:w="790"/>
        <w:gridCol w:w="931"/>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77,082,2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30.23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36.05%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77,082,23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10,379,70</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10,379,704.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34</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sz w:val="18"/>
                <w:szCs w:val="18"/>
              </w:rPr>
              <w:t>单项金额不重大但 单项计提坏账准备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890,818.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890,818.3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740,128.6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740,128.66</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135,845,</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810.75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7,047,76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128,798,0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45.33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100,877,4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57.55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5,113,177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95,764,280.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135,845,</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810.75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7,047,76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128,798,0</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45.33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100,877,4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57.55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5,113,177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95,764,280.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53</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213,818,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859.30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7,047,76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206,771,0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93.88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111,997,2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5,113,177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106,884,11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3.53</w:t>
            </w:r>
          </w:p>
        </w:tc>
      </w:tr>
    </w:tbl>
    <w:p>
      <w:pPr>
        <w:pStyle w:val="BodyText"/>
        <w:spacing w:line="240" w:lineRule="auto" w:before="49"/>
        <w:ind w:right="1128"/>
        <w:jc w:val="left"/>
      </w:pPr>
      <w:r>
        <w:rPr/>
        <w:t>按单项计提坏账准备：</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8"/>
        <w:jc w:val="left"/>
      </w:pPr>
      <w:r>
        <w:rPr/>
        <w:t>按组合计提坏账准备：</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135,845,810.75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7,047,765.42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135,845,810.75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7,047,765.42</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8"/>
        <w:jc w:val="left"/>
      </w:pPr>
      <w:r>
        <w:rPr/>
        <w:t>确定该组合依据的说明：</w:t>
      </w:r>
    </w:p>
    <w:p>
      <w:pPr>
        <w:spacing w:line="240" w:lineRule="auto" w:before="2"/>
        <w:rPr>
          <w:rFonts w:ascii="宋体" w:hAnsi="宋体" w:cs="宋体" w:eastAsia="宋体" w:hint="default"/>
          <w:sz w:val="8"/>
          <w:szCs w:val="8"/>
        </w:rPr>
      </w:pPr>
    </w:p>
    <w:tbl>
      <w:tblPr>
        <w:tblW w:w="0" w:type="auto"/>
        <w:jc w:val="left"/>
        <w:tblInd w:w="215" w:type="dxa"/>
        <w:tblLayout w:type="fixed"/>
        <w:tblCellMar>
          <w:top w:w="0" w:type="dxa"/>
          <w:left w:w="0" w:type="dxa"/>
          <w:bottom w:w="0" w:type="dxa"/>
          <w:right w:w="0" w:type="dxa"/>
        </w:tblCellMar>
        <w:tblLook w:val="01E0"/>
      </w:tblPr>
      <w:tblGrid>
        <w:gridCol w:w="3864"/>
        <w:gridCol w:w="1939"/>
        <w:gridCol w:w="1843"/>
        <w:gridCol w:w="1858"/>
      </w:tblGrid>
      <w:tr>
        <w:trPr>
          <w:trHeight w:val="403" w:hRule="exact"/>
        </w:trPr>
        <w:tc>
          <w:tcPr>
            <w:tcW w:w="38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01" w:hRule="exact"/>
        </w:trPr>
        <w:tc>
          <w:tcPr>
            <w:tcW w:w="3864" w:type="dxa"/>
            <w:vMerge/>
            <w:tcBorders>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133,043,430.58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6,652,171.53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2,650,384.11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265,038.41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35,734.30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14,293.72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116,261.76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116,261.76</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135,845,810.75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7,047,765.42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1128"/>
        <w:jc w:val="left"/>
      </w:pPr>
      <w:r>
        <w:rPr/>
        <w:t>按组合计提坏账准备：</w:t>
      </w:r>
    </w:p>
    <w:p>
      <w:pPr>
        <w:spacing w:after="0" w:line="240" w:lineRule="auto"/>
        <w:jc w:val="left"/>
        <w:sectPr>
          <w:pgSz w:w="11910" w:h="16840"/>
          <w:pgMar w:header="745" w:footer="981" w:top="1060" w:bottom="118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3"/>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210,125,670.81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3,541,192.43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151,996.06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35,734.30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116,261.76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213,818,859.30</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t>本期计提坏账准备情况：</w:t>
      </w:r>
    </w:p>
    <w:p>
      <w:pPr>
        <w:pStyle w:val="BodyText"/>
        <w:spacing w:line="240" w:lineRule="auto" w:before="117"/>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6"/>
              <w:jc w:val="right"/>
              <w:rPr>
                <w:rFonts w:ascii="Times New Roman" w:hAnsi="Times New Roman" w:cs="Times New Roman" w:eastAsia="Times New Roman" w:hint="default"/>
                <w:sz w:val="18"/>
                <w:szCs w:val="18"/>
              </w:rPr>
            </w:pPr>
            <w:r>
              <w:rPr>
                <w:rFonts w:ascii="宋体" w:hAnsi="宋体" w:cs="宋体" w:eastAsia="宋体" w:hint="default"/>
                <w:sz w:val="18"/>
                <w:szCs w:val="18"/>
              </w:rPr>
              <w:t>账龄组合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5,113,177.02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1,934,588.40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7,047,765.42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5,113,177.02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1,934,588.40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7,047,765.42</w:t>
            </w:r>
          </w:p>
        </w:tc>
      </w:tr>
    </w:tbl>
    <w:p>
      <w:pPr>
        <w:pStyle w:val="BodyText"/>
        <w:spacing w:line="240" w:lineRule="auto" w:before="49"/>
        <w:ind w:right="1128"/>
        <w:jc w:val="left"/>
      </w:pPr>
      <w:r>
        <w:rPr/>
        <w:t>其中本期坏账准备收回或转回金额重要的：</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101"/>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961;top:17;width:24;height:392" coordorigin="4961,17" coordsize="24,392">
              <v:shape style="position:absolute;left:4961;top:17;width:24;height:392" coordorigin="4961,17" coordsize="24,392" path="m4961,408l4985,408,4985,17,4961,17,4961,408xe" filled="true" fillcolor="#d3d3d3"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3d3d3" stroked="false">
                <v:path arrowok="t"/>
                <v:fill type="solid"/>
              </v:shape>
            </v:group>
            <v:group style="position:absolute;left:34;top:17;width:4928;height:392" coordorigin="34,17" coordsize="4928,392">
              <v:shape style="position:absolute;left:34;top:17;width:4928;height:392" coordorigin="34,17" coordsize="4928,392" path="m34,17l4961,17,4961,408,34,408,34,17xe" filled="true" fillcolor="#d3d3d3" stroked="false">
                <v:path arrowok="t"/>
                <v:fill type="solid"/>
              </v:shape>
            </v:group>
            <v:group style="position:absolute;left:4994;top:17;width:22;height:392" coordorigin="4994,17" coordsize="22,392">
              <v:shape style="position:absolute;left:4994;top:17;width:22;height:392" coordorigin="4994,17" coordsize="22,392" path="m4994,408l5016,408,5016,17,4994,17,4994,408xe" filled="true" fillcolor="#d3d3d3" stroked="false">
                <v:path arrowok="t"/>
                <v:fill type="solid"/>
              </v:shape>
            </v:group>
            <v:group style="position:absolute;left:9545;top:17;width:24;height:392" coordorigin="9545,17" coordsize="24,392">
              <v:shape style="position:absolute;left:9545;top:17;width:24;height:392" coordorigin="9545,17" coordsize="24,392" path="m9545,408l9569,408,9569,17,9545,17,9545,408xe" filled="true" fillcolor="#d3d3d3" stroked="false">
                <v:path arrowok="t"/>
                <v:fill type="solid"/>
              </v:shape>
            </v:group>
            <v:group style="position:absolute;left:5016;top:17;width:4529;height:392" coordorigin="5016,17" coordsize="4529,392">
              <v:shape style="position:absolute;left:5016;top:17;width:4529;height:392" coordorigin="5016,17" coordsize="4529,392" path="m5016,17l9545,17,9545,408,5016,408,5016,17xe" filled="true" fillcolor="#d3d3d3" stroked="false">
                <v:path arrowok="t"/>
                <v:fill type="solid"/>
              </v:shape>
            </v:group>
            <v:group style="position:absolute;left:10;top:10;width:4973;height:2" coordorigin="10,10" coordsize="4973,2">
              <v:shape style="position:absolute;left:10;top:10;width:4973;height:2" coordorigin="10,10" coordsize="4973,0" path="m10,10l4982,10e" filled="false" stroked="true" strokeweight=".48pt" strokecolor="#000000">
                <v:path arrowok="t"/>
              </v:shape>
            </v:group>
            <v:group style="position:absolute;left:4992;top:10;width:4577;height:2" coordorigin="4992,10" coordsize="4577,2">
              <v:shape style="position:absolute;left:4992;top:10;width:4577;height:2" coordorigin="4992,10" coordsize="4577,0" path="m4992,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3;height:2" coordorigin="10,413" coordsize="4973,2">
              <v:shape style="position:absolute;left:10;top:413;width:4973;height:2" coordorigin="10,413" coordsize="4973,0" path="m10,413l4982,413e" filled="false" stroked="true" strokeweight=".48pt" strokecolor="#000000">
                <v:path arrowok="t"/>
              </v:shape>
            </v:group>
            <v:group style="position:absolute;left:4987;top:5;width:2;height:413" coordorigin="4987,5" coordsize="2,413">
              <v:shape style="position:absolute;left:4987;top:5;width:2;height:413" coordorigin="4987,5" coordsize="0,413" path="m4987,5l4987,418e" filled="false" stroked="true" strokeweight=".48pt" strokecolor="#000000">
                <v:path arrowok="t"/>
              </v:shape>
            </v:group>
            <v:group style="position:absolute;left:4992;top:413;width:4577;height:2" coordorigin="4992,413" coordsize="4577,2">
              <v:shape style="position:absolute;left:4992;top:413;width:4577;height:2" coordorigin="4992,413" coordsize="4577,0" path="m4992,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316;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87;top:11;width:4587;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其中重要的应收账款核销情况：</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33"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8"/>
        <w:jc w:val="left"/>
      </w:pPr>
      <w:r>
        <w:rPr/>
        <w:t>应收账款核销说明：</w:t>
      </w:r>
    </w:p>
    <w:p>
      <w:pPr>
        <w:spacing w:after="0" w:line="240" w:lineRule="auto"/>
        <w:jc w:val="left"/>
        <w:sectPr>
          <w:pgSz w:w="11910" w:h="16840"/>
          <w:pgMar w:header="745" w:footer="981"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62,159,789.78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3,107,989.49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47,052,318.37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26,701,713.51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14,734,520.67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736,726.03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12,043,923.33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653,019.46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162,692,265.66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76.09%</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605,627.40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57,574,659.91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576,955,920.51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120,908,921.93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577,561,547.91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178,483,581.84</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605,627.40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605,627.40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footerReference w:type="default" r:id="rId36"/>
          <w:pgSz w:w="11910" w:h="16840"/>
          <w:pgMar w:footer="981" w:header="745" w:top="1060" w:bottom="1180" w:left="980" w:right="0"/>
          <w:pgNumType w:start="200"/>
        </w:sectPr>
      </w:pPr>
    </w:p>
    <w:p>
      <w:pPr>
        <w:spacing w:line="240" w:lineRule="auto" w:before="9"/>
        <w:rPr>
          <w:rFonts w:ascii="宋体" w:hAnsi="宋体" w:cs="宋体" w:eastAsia="宋体" w:hint="default"/>
          <w:b/>
          <w:bCs/>
          <w:sz w:val="25"/>
          <w:szCs w:val="25"/>
        </w:rPr>
      </w:pPr>
    </w:p>
    <w:p>
      <w:pPr>
        <w:pStyle w:val="BodyText"/>
        <w:spacing w:line="240" w:lineRule="auto" w:before="44"/>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28"/>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北京金印联国际供应链管理有限公司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11,074,659.91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厦门市吉客印电子商务有限公司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57,574,659.91</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1"/>
        <w:gridCol w:w="2098"/>
        <w:gridCol w:w="2100"/>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9"/>
        <w:ind w:right="1128"/>
        <w:jc w:val="left"/>
      </w:pPr>
      <w:r>
        <w:rPr/>
        <w:t>损失准备本期变动金额重大的账面余额变动情况</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pStyle w:val="Heading3"/>
        <w:spacing w:line="240" w:lineRule="auto"/>
        <w:ind w:right="1128"/>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8,436,794.76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6,393,993.19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代收代交的保险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14,811.53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352,772.37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154,016.97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570,300,254.33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115,659,194.10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579,112,771.46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122,222,015.79</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51"/>
        <w:gridCol w:w="2098"/>
        <w:gridCol w:w="2100"/>
        <w:gridCol w:w="1805"/>
      </w:tblGrid>
      <w:tr>
        <w:trPr>
          <w:trHeight w:val="402" w:hRule="exact"/>
        </w:trPr>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5" w:type="dxa"/>
            <w:vMerge/>
            <w:tcBorders>
              <w:left w:val="single" w:sz="4" w:space="0" w:color="000000"/>
              <w:bottom w:val="single" w:sz="4" w:space="0" w:color="000000"/>
              <w:right w:val="single" w:sz="4" w:space="0" w:color="000000"/>
            </w:tcBorders>
            <w:shd w:val="clear" w:color="auto" w:fill="D3D3D3"/>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1,313,093.86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1,313,093.86</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0"/>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843,757.09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843,757.09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1"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2,156,850.95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2,156,850.95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80" w:left="980" w:right="0"/>
          <w:cols w:num="2" w:equalWidth="0">
            <w:col w:w="3933" w:space="4894"/>
            <w:col w:w="21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2,509,721.38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2,881,776.76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3,457,778.00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2,725,318.00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532,460.00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8,852,276.14</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8"/>
        <w:jc w:val="left"/>
      </w:pPr>
      <w:r>
        <w:rPr/>
        <w:t>本期计提坏账准备情况：</w:t>
      </w:r>
    </w:p>
    <w:p>
      <w:pPr>
        <w:pStyle w:val="BodyText"/>
        <w:spacing w:line="240" w:lineRule="auto" w:before="117"/>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7"/>
        <w:gridCol w:w="5328"/>
        <w:gridCol w:w="1574"/>
      </w:tblGrid>
      <w:tr>
        <w:trPr>
          <w:trHeight w:val="402" w:hRule="exact"/>
        </w:trPr>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r>
        <w:rPr/>
        <w:pict>
          <v:group style="position:absolute;margin-left:373.920013pt;margin-top:563.039795pt;width:80.3pt;height:97.6pt;mso-position-horizontal-relative:page;mso-position-vertical-relative:page;z-index:-1281136" coordorigin="7478,11261" coordsize="1606,1952">
            <v:group style="position:absolute;left:7478;top:11261;width:1606;height:1952" coordorigin="7478,11261" coordsize="1606,1952">
              <v:shape style="position:absolute;left:7478;top:11261;width:1606;height:1952" coordorigin="7478,11261" coordsize="1606,1952" path="m7478,11261l9084,11261,9084,13212,7478,13212,7478,11261xe" filled="true" fillcolor="#ffffff" stroked="false">
                <v:path arrowok="t"/>
                <v:fill type="solid"/>
              </v:shape>
            </v:group>
            <v:group style="position:absolute;left:7500;top:12041;width:1560;height:392" coordorigin="7500,12041" coordsize="1560,392">
              <v:shape style="position:absolute;left:7500;top:12041;width:1560;height:392" coordorigin="7500,12041" coordsize="1560,392" path="m7500,12041l9060,12041,9060,12432,7500,12432,7500,12041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579"/>
        <w:gridCol w:w="1087"/>
        <w:gridCol w:w="1332"/>
        <w:gridCol w:w="1330"/>
        <w:gridCol w:w="1090"/>
        <w:gridCol w:w="1577"/>
        <w:gridCol w:w="1574"/>
      </w:tblGrid>
      <w:tr>
        <w:trPr>
          <w:trHeight w:val="401" w:hRule="exact"/>
        </w:trPr>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1,313,093.86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9" w:right="0"/>
              <w:jc w:val="left"/>
              <w:rPr>
                <w:rFonts w:ascii="Times New Roman" w:hAnsi="Times New Roman" w:cs="Times New Roman" w:eastAsia="Times New Roman" w:hint="default"/>
                <w:sz w:val="18"/>
                <w:szCs w:val="18"/>
              </w:rPr>
            </w:pPr>
            <w:r>
              <w:rPr>
                <w:rFonts w:ascii="Times New Roman"/>
                <w:sz w:val="18"/>
              </w:rPr>
              <w:t>843,757.09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2,156,850.95</w:t>
            </w:r>
          </w:p>
        </w:tc>
      </w:tr>
      <w:tr>
        <w:trPr>
          <w:trHeight w:val="403" w:hRule="exact"/>
        </w:trPr>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1,313,093.86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843,757.09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2,156,850.95</w:t>
            </w:r>
          </w:p>
        </w:tc>
      </w:tr>
    </w:tbl>
    <w:p>
      <w:pPr>
        <w:pStyle w:val="BodyText"/>
        <w:spacing w:line="240" w:lineRule="auto" w:before="49"/>
        <w:ind w:right="1128"/>
        <w:jc w:val="left"/>
      </w:pPr>
      <w:r>
        <w:rPr/>
        <w:t>其中本期坏账准备转回或收回金额重要的：</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57;top:14;width:24;height:392" coordorigin="4757,14" coordsize="24,392">
              <v:shape style="position:absolute;left:4757;top:14;width:24;height:392" coordorigin="4757,14" coordsize="24,392" path="m4757,406l4781,406,4781,14,4757,14,4757,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4;height:392" coordorigin="34,14" coordsize="4724,392">
              <v:shape style="position:absolute;left:34;top:14;width:4724;height:392" coordorigin="34,14" coordsize="4724,392" path="m34,14l4757,14,4757,406,34,406,34,14xe" filled="true" fillcolor="#d3d3d3" stroked="false">
                <v:path arrowok="t"/>
                <v:fill type="solid"/>
              </v:shape>
            </v:group>
            <v:group style="position:absolute;left:4790;top:14;width:24;height:392" coordorigin="4790,14" coordsize="24,392">
              <v:shape style="position:absolute;left:4790;top:14;width:24;height:392" coordorigin="4790,14" coordsize="24,392" path="m4790,406l4814,406,4814,14,4790,14,4790,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4;top:14;width:4731;height:392" coordorigin="4814,14" coordsize="4731,392">
              <v:shape style="position:absolute;left:4814;top:14;width:4731;height:392" coordorigin="4814,14" coordsize="4731,392" path="m4814,14l9545,14,9545,406,4814,406,4814,14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9;height:2" coordorigin="4790,10" coordsize="4779,2">
              <v:shape style="position:absolute;left:4790;top:10;width:4779;height:2" coordorigin="4790,10" coordsize="4779,0" path="m4790,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2;height:2" coordorigin="10,410" coordsize="4772,2">
              <v:shape style="position:absolute;left:10;top:410;width:4772;height:2" coordorigin="10,410" coordsize="4772,0" path="m10,410l4781,410e" filled="false" stroked="true" strokeweight=".48pt" strokecolor="#000000">
                <v:path arrowok="t"/>
              </v:shape>
            </v:group>
            <v:group style="position:absolute;left:4786;top:5;width:2;height:411" coordorigin="4786,5" coordsize="2,411">
              <v:shape style="position:absolute;left:4786;top:5;width:2;height:411" coordorigin="4786,5" coordsize="0,411" path="m4786,5l4786,415e" filled="false" stroked="true" strokeweight=".48pt" strokecolor="#000000">
                <v:path arrowok="t"/>
              </v:shape>
            </v:group>
            <v:group style="position:absolute;left:4790;top:410;width:4779;height:2" coordorigin="4790,410" coordsize="4779,2">
              <v:shape style="position:absolute;left:4790;top:410;width:4779;height:2" coordorigin="4790,410" coordsize="4779,0" path="m4790,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2215;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6;top:10;width:4788;height:401"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28"/>
        <w:jc w:val="left"/>
      </w:pPr>
      <w:r>
        <w:rPr/>
        <w:t>其中重要的其他应收款核销情况：</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3"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8"/>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545"/>
        <w:gridCol w:w="1070"/>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60"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gridSpan w:val="2"/>
            <w:tcBorders>
              <w:top w:val="single" w:sz="4" w:space="0" w:color="000000"/>
              <w:left w:val="single" w:sz="4" w:space="0" w:color="000000"/>
              <w:bottom w:val="nil" w:sz="6" w:space="0" w:color="auto"/>
              <w:right w:val="single" w:sz="4" w:space="0" w:color="000000"/>
            </w:tcBorders>
          </w:tcPr>
          <w:p>
            <w:pPr/>
          </w:p>
        </w:tc>
        <w:tc>
          <w:tcPr>
            <w:tcW w:w="1615" w:type="dxa"/>
            <w:vMerge w:val="restart"/>
            <w:tcBorders>
              <w:top w:val="single" w:sz="4" w:space="0" w:color="000000"/>
              <w:left w:val="single" w:sz="4" w:space="0" w:color="000000"/>
              <w:right w:val="single" w:sz="4" w:space="0" w:color="000000"/>
            </w:tcBorders>
          </w:tcPr>
          <w:p>
            <w:pP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166,783,093.83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5" w:type="dxa"/>
            <w:gridSpan w:val="2"/>
            <w:tcBorders>
              <w:top w:val="nil" w:sz="6" w:space="0" w:color="auto"/>
              <w:left w:val="single" w:sz="4" w:space="0" w:color="000000"/>
              <w:bottom w:val="nil" w:sz="6" w:space="0" w:color="auto"/>
              <w:right w:val="single" w:sz="4" w:space="0" w:color="000000"/>
            </w:tcBorders>
          </w:tcPr>
          <w:p>
            <w:pPr/>
          </w:p>
        </w:tc>
        <w:tc>
          <w:tcPr>
            <w:tcW w:w="1615" w:type="dxa"/>
            <w:vMerge/>
            <w:tcBorders>
              <w:left w:val="single" w:sz="4" w:space="0" w:color="000000"/>
              <w:right w:val="single" w:sz="4" w:space="0" w:color="000000"/>
            </w:tcBorders>
          </w:tcPr>
          <w:p>
            <w:pPr/>
          </w:p>
        </w:tc>
      </w:tr>
      <w:tr>
        <w:trPr>
          <w:trHeight w:val="624"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廊坊市吉宏包装有限 公司</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182,394,013.82</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14,768,019.32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31.50%</w:t>
            </w:r>
          </w:p>
        </w:tc>
        <w:tc>
          <w:tcPr>
            <w:tcW w:w="1615" w:type="dxa"/>
            <w:vMerge/>
            <w:tcBorders>
              <w:left w:val="single" w:sz="4" w:space="0" w:color="000000"/>
              <w:right w:val="single" w:sz="4" w:space="0" w:color="000000"/>
            </w:tcBorders>
          </w:tcPr>
          <w:p>
            <w:pP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842,900.67</w:t>
            </w:r>
          </w:p>
        </w:tc>
        <w:tc>
          <w:tcPr>
            <w:tcW w:w="1615" w:type="dxa"/>
            <w:gridSpan w:val="2"/>
            <w:tcBorders>
              <w:top w:val="nil" w:sz="6" w:space="0" w:color="auto"/>
              <w:left w:val="single" w:sz="4" w:space="0" w:color="000000"/>
              <w:bottom w:val="nil" w:sz="6" w:space="0" w:color="auto"/>
              <w:right w:val="single" w:sz="4" w:space="0" w:color="000000"/>
            </w:tcBorders>
          </w:tcPr>
          <w:p>
            <w:pPr/>
          </w:p>
        </w:tc>
        <w:tc>
          <w:tcPr>
            <w:tcW w:w="1615" w:type="dxa"/>
            <w:vMerge/>
            <w:tcBorders>
              <w:left w:val="single" w:sz="4" w:space="0" w:color="000000"/>
              <w:right w:val="single" w:sz="4" w:space="0" w:color="000000"/>
            </w:tcBorders>
          </w:tcPr>
          <w:p>
            <w:pPr/>
          </w:p>
        </w:tc>
      </w:tr>
      <w:tr>
        <w:trPr>
          <w:trHeight w:val="355"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5" w:type="dxa"/>
            <w:gridSpan w:val="2"/>
            <w:tcBorders>
              <w:top w:val="nil" w:sz="6" w:space="0" w:color="auto"/>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360"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45" w:type="dxa"/>
            <w:tcBorders>
              <w:top w:val="single" w:sz="4" w:space="0" w:color="000000"/>
              <w:left w:val="single" w:sz="4" w:space="0" w:color="000000"/>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single" w:sz="4" w:space="0" w:color="000000"/>
            </w:tcBorders>
          </w:tcPr>
          <w:p>
            <w:pPr/>
          </w:p>
        </w:tc>
        <w:tc>
          <w:tcPr>
            <w:tcW w:w="1615" w:type="dxa"/>
            <w:vMerge w:val="restart"/>
            <w:tcBorders>
              <w:top w:val="single" w:sz="4" w:space="0" w:color="000000"/>
              <w:left w:val="single" w:sz="4" w:space="0" w:color="000000"/>
              <w:right w:val="single" w:sz="4" w:space="0" w:color="000000"/>
            </w:tcBorders>
          </w:tcPr>
          <w:p>
            <w:pP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148,182,474.82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545" w:type="dxa"/>
            <w:tcBorders>
              <w:top w:val="nil" w:sz="6" w:space="0" w:color="auto"/>
              <w:left w:val="single" w:sz="4" w:space="0" w:color="000000"/>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single" w:sz="4" w:space="0" w:color="000000"/>
            </w:tcBorders>
          </w:tcPr>
          <w:p>
            <w:pPr/>
          </w:p>
        </w:tc>
        <w:tc>
          <w:tcPr>
            <w:tcW w:w="1615" w:type="dxa"/>
            <w:vMerge/>
            <w:tcBorders>
              <w:left w:val="single" w:sz="4" w:space="0" w:color="000000"/>
              <w:right w:val="single" w:sz="4" w:space="0" w:color="000000"/>
            </w:tcBorders>
          </w:tcPr>
          <w:p>
            <w:pPr/>
          </w:p>
        </w:tc>
      </w:tr>
      <w:tr>
        <w:trPr>
          <w:trHeight w:val="624"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孝感市吉宏包装有限 公司</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154,665,480.74</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731,966.19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45" w:type="dxa"/>
            <w:tcBorders>
              <w:top w:val="nil" w:sz="6" w:space="0" w:color="auto"/>
              <w:left w:val="single" w:sz="4" w:space="0" w:color="000000"/>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26.71%</w:t>
            </w:r>
          </w:p>
        </w:tc>
        <w:tc>
          <w:tcPr>
            <w:tcW w:w="1615" w:type="dxa"/>
            <w:vMerge/>
            <w:tcBorders>
              <w:left w:val="single" w:sz="4" w:space="0" w:color="000000"/>
              <w:right w:val="single" w:sz="4" w:space="0" w:color="000000"/>
            </w:tcBorders>
          </w:tcPr>
          <w:p>
            <w:pP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620,829.33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p>
        </w:tc>
        <w:tc>
          <w:tcPr>
            <w:tcW w:w="545" w:type="dxa"/>
            <w:tcBorders>
              <w:top w:val="nil" w:sz="6" w:space="0" w:color="auto"/>
              <w:left w:val="single" w:sz="4" w:space="0" w:color="000000"/>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single" w:sz="4" w:space="0" w:color="000000"/>
            </w:tcBorders>
          </w:tcPr>
          <w:p>
            <w:pPr/>
          </w:p>
        </w:tc>
        <w:tc>
          <w:tcPr>
            <w:tcW w:w="1615" w:type="dxa"/>
            <w:vMerge/>
            <w:tcBorders>
              <w:left w:val="single" w:sz="4" w:space="0" w:color="000000"/>
              <w:right w:val="single" w:sz="4" w:space="0" w:color="000000"/>
            </w:tcBorders>
          </w:tcPr>
          <w:p>
            <w:pPr/>
          </w:p>
        </w:tc>
      </w:tr>
      <w:tr>
        <w:trPr>
          <w:trHeight w:val="353"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5,130,210.40 </w:t>
            </w:r>
            <w:r>
              <w:rPr>
                <w:rFonts w:ascii="宋体" w:hAnsi="宋体" w:cs="宋体" w:eastAsia="宋体" w:hint="default"/>
                <w:sz w:val="18"/>
                <w:szCs w:val="18"/>
              </w:rPr>
              <w:t>元</w:t>
            </w:r>
          </w:p>
        </w:tc>
        <w:tc>
          <w:tcPr>
            <w:tcW w:w="545"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nil" w:sz="6" w:space="0" w:color="auto"/>
              <w:left w:val="nil" w:sz="6" w:space="0" w:color="auto"/>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宁夏吉宏环保包装科 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101,271,103.75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17.49%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安徽吉宏环保纸品有 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58,371,795.27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10.08%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济南吉联包装有限公 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50,940,826.91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547,643,220.49</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94.58%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28"/>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457,843,043.50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457,843,043.50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352,856,023.75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352,856,023.75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13,795,058.73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13,795,058.73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37,349,681.63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37,349,681.63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471,638,102.23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471,638,102.23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390,205,705.38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390,205,705.38</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401" w:hRule="exact"/>
        </w:trPr>
        <w:tc>
          <w:tcPr>
            <w:tcW w:w="12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3D3D3"/>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2" w:type="dxa"/>
            <w:vMerge w:val="restart"/>
            <w:tcBorders>
              <w:top w:val="single" w:sz="4" w:space="0" w:color="000000"/>
              <w:left w:val="single" w:sz="4" w:space="0" w:color="000000"/>
              <w:right w:val="single" w:sz="4" w:space="0" w:color="000000"/>
            </w:tcBorders>
            <w:shd w:val="clear" w:color="auto" w:fill="D3D3D3"/>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7" w:type="dxa"/>
            <w:vMerge/>
            <w:tcBorders>
              <w:left w:val="single" w:sz="4" w:space="0" w:color="000000"/>
              <w:bottom w:val="single" w:sz="4" w:space="0" w:color="000000"/>
              <w:right w:val="single" w:sz="4" w:space="0" w:color="000000"/>
            </w:tcBorders>
            <w:shd w:val="clear" w:color="auto" w:fill="D3D3D3"/>
          </w:tcPr>
          <w:p>
            <w:pPr/>
          </w:p>
        </w:tc>
        <w:tc>
          <w:tcPr>
            <w:tcW w:w="1166"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vMerge/>
            <w:tcBorders>
              <w:left w:val="single" w:sz="4" w:space="0" w:color="000000"/>
              <w:bottom w:val="single" w:sz="4" w:space="0" w:color="000000"/>
              <w:right w:val="single" w:sz="4" w:space="0" w:color="000000"/>
            </w:tcBorders>
            <w:shd w:val="clear" w:color="auto" w:fill="D3D3D3"/>
          </w:tcPr>
          <w:p>
            <w:pPr/>
          </w:p>
        </w:tc>
        <w:tc>
          <w:tcPr>
            <w:tcW w:w="1214"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both"/>
              <w:rPr>
                <w:rFonts w:ascii="宋体" w:hAnsi="宋体" w:cs="宋体" w:eastAsia="宋体" w:hint="default"/>
                <w:sz w:val="18"/>
                <w:szCs w:val="18"/>
              </w:rPr>
            </w:pPr>
            <w:r>
              <w:rPr>
                <w:rFonts w:ascii="宋体" w:hAnsi="宋体" w:cs="宋体" w:eastAsia="宋体" w:hint="default"/>
                <w:sz w:val="18"/>
                <w:szCs w:val="18"/>
              </w:rPr>
              <w:t>呼和浩特市吉 宏印刷包装有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both"/>
              <w:rPr>
                <w:rFonts w:ascii="宋体" w:hAnsi="宋体" w:cs="宋体" w:eastAsia="宋体" w:hint="default"/>
                <w:sz w:val="18"/>
                <w:szCs w:val="18"/>
              </w:rPr>
            </w:pPr>
            <w:r>
              <w:rPr>
                <w:rFonts w:ascii="宋体" w:hAnsi="宋体" w:cs="宋体" w:eastAsia="宋体" w:hint="default"/>
                <w:sz w:val="18"/>
                <w:szCs w:val="18"/>
              </w:rPr>
              <w:t>厦门市正奇信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8,998,085.35</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8,998,085.35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廊坊市吉宏包 装有限公司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20,000,000.00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孝感市吉宏包 装有限公司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center"/>
              <w:rPr>
                <w:rFonts w:ascii="Times New Roman" w:hAnsi="Times New Roman" w:cs="Times New Roman" w:eastAsia="Times New Roman" w:hint="default"/>
                <w:sz w:val="18"/>
                <w:szCs w:val="18"/>
              </w:rPr>
            </w:pPr>
            <w:r>
              <w:rPr>
                <w:rFonts w:ascii="Times New Roman"/>
                <w:sz w:val="18"/>
              </w:rPr>
              <w:t>5,000,000.00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7"/>
        <w:gridCol w:w="1166"/>
        <w:gridCol w:w="1166"/>
        <w:gridCol w:w="1164"/>
        <w:gridCol w:w="1166"/>
        <w:gridCol w:w="1214"/>
        <w:gridCol w:w="1212"/>
        <w:gridCol w:w="1214"/>
      </w:tblGrid>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香港吉宏科技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7,938.40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7,938.40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滦州吉宏包装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both"/>
              <w:rPr>
                <w:rFonts w:ascii="宋体" w:hAnsi="宋体" w:cs="宋体" w:eastAsia="宋体" w:hint="default"/>
                <w:sz w:val="18"/>
                <w:szCs w:val="18"/>
              </w:rPr>
            </w:pPr>
            <w:r>
              <w:rPr>
                <w:rFonts w:ascii="宋体" w:hAnsi="宋体" w:cs="宋体" w:eastAsia="宋体" w:hint="default"/>
                <w:sz w:val="18"/>
                <w:szCs w:val="18"/>
              </w:rPr>
              <w:t>厦门鑫泷悦环 保纸袋有限公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25,500,000.00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厦门市吉客印 电子商务有限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46,500,000.00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思塔克纸业（上</w:t>
            </w:r>
            <w:r>
              <w:rPr>
                <w:rFonts w:ascii="宋体" w:hAnsi="宋体" w:cs="宋体" w:eastAsia="宋体" w:hint="default"/>
                <w:sz w:val="18"/>
                <w:szCs w:val="18"/>
              </w:rPr>
              <w:t> 海）有限公司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2,550,000.00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4,990,000.00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7,540,000.00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北京龙域之星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178,600,000.0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178,600,000.00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济南吉联包装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33,700,000.00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33,700,000.00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安徽吉宏环保 纸品有限公司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80,637,019.75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80,637,019.75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both"/>
              <w:rPr>
                <w:rFonts w:ascii="宋体" w:hAnsi="宋体" w:cs="宋体" w:eastAsia="宋体" w:hint="default"/>
                <w:sz w:val="18"/>
                <w:szCs w:val="18"/>
              </w:rPr>
            </w:pPr>
            <w:r>
              <w:rPr>
                <w:rFonts w:ascii="宋体" w:hAnsi="宋体" w:cs="宋体" w:eastAsia="宋体" w:hint="default"/>
                <w:sz w:val="18"/>
                <w:szCs w:val="18"/>
              </w:rPr>
              <w:t>宁夏吉宏环保 包装科技有限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19,360,000.00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19,360,000.00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352,856,023.7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104,987,019.7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457,843,043.50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陕西永鑫 纸业包装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12,471,25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1,323,805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13,795,05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安徽吉宏 环保纸品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24,878,42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53,968,50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1,790,091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-80,637,0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53,968,50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3,113,896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-80,637,0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13,795,05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37,349,68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53,968,50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3,113,896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-80,637,0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19.75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13,795,05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676,588,081.39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532,381,650.51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599,100,218.78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493,315,976.17</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0" w:right="0"/>
              <w:jc w:val="left"/>
              <w:rPr>
                <w:rFonts w:ascii="Times New Roman" w:hAnsi="Times New Roman" w:cs="Times New Roman" w:eastAsia="Times New Roman" w:hint="default"/>
                <w:sz w:val="18"/>
                <w:szCs w:val="18"/>
              </w:rPr>
            </w:pPr>
            <w:r>
              <w:rPr>
                <w:rFonts w:ascii="Times New Roman"/>
                <w:sz w:val="18"/>
              </w:rPr>
              <w:t>78,908,636.66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73,043,471.80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60,259,835.43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53,593,972.21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755,496,718.05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605,425,122.31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659,360,054.21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546,909,948.38</w:t>
            </w:r>
          </w:p>
        </w:tc>
      </w:tr>
    </w:tbl>
    <w:p>
      <w:pPr>
        <w:pStyle w:val="BodyText"/>
        <w:spacing w:line="240" w:lineRule="auto" w:before="49"/>
        <w:ind w:right="1128"/>
        <w:jc w:val="left"/>
      </w:pPr>
      <w:r>
        <w:rPr/>
        <w:t>是否已执行新收入准则</w:t>
      </w:r>
    </w:p>
    <w:p>
      <w:pPr>
        <w:pStyle w:val="BodyText"/>
        <w:spacing w:line="340" w:lineRule="auto" w:before="115"/>
        <w:ind w:right="94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3"/>
        <w:spacing w:line="240" w:lineRule="auto"/>
        <w:ind w:right="1128"/>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86,500,000.00</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3,113,896.85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2,431,138.40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7,786,250.00</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120,833.33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116,734,730.18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96,717,388.40</w:t>
            </w:r>
          </w:p>
        </w:tc>
      </w:tr>
    </w:tbl>
    <w:p>
      <w:pPr>
        <w:spacing w:line="240" w:lineRule="auto" w:before="3"/>
        <w:rPr>
          <w:rFonts w:ascii="宋体" w:hAnsi="宋体" w:cs="宋体" w:eastAsia="宋体" w:hint="default"/>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28"/>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137,173.23</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1025"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13,010,397.77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2,702,081.65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-1,601,387.71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2,137,520.03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201,735.28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11,909,009.63</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4"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2"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w:t>
            </w:r>
          </w:p>
        </w:tc>
      </w:tr>
    </w:tbl>
    <w:p>
      <w:pPr>
        <w:spacing w:line="240" w:lineRule="auto" w:before="3"/>
        <w:rPr>
          <w:rFonts w:ascii="宋体" w:hAnsi="宋体" w:cs="宋体" w:eastAsia="宋体" w:hint="default"/>
          <w:b/>
          <w:bCs/>
          <w:sz w:val="19"/>
          <w:szCs w:val="19"/>
        </w:rPr>
      </w:pPr>
    </w:p>
    <w:p>
      <w:pPr>
        <w:pStyle w:val="Heading3"/>
        <w:spacing w:line="240" w:lineRule="auto" w:before="36"/>
        <w:ind w:right="1128"/>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8"/>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8"/>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128"/>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8"/>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1" w:top="1060" w:bottom="118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1128"/>
        <w:jc w:val="left"/>
        <w:rPr>
          <w:b w:val="0"/>
          <w:bCs w:val="0"/>
        </w:rPr>
      </w:pPr>
      <w:bookmarkStart w:name="_TOC_250000" w:id="13"/>
      <w:r>
        <w:rPr/>
        <w:t>第十三节</w:t>
      </w:r>
      <w:r>
        <w:rPr>
          <w:spacing w:val="-5"/>
        </w:rPr>
        <w:t> </w:t>
      </w:r>
      <w:r>
        <w:rPr/>
        <w:t>备查文件目录</w:t>
      </w:r>
      <w:bookmarkEnd w:id="13"/>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3733"/>
        <w:jc w:val="left"/>
      </w:pPr>
      <w:r>
        <w:rPr/>
        <w:t>一、载有公司负责人、主管会计师工作负责人、会计机构负责人签名并盖章的财务报表； 二、载有会计师事务所盖章、注册会计师签名并盖章的审计报告原件； 三、报告期内在中国证监会指定网站上公开披露过的所有公司文件的正本及公告的原稿。 以上备查文件的置备地点：公司证券部。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636" w:lineRule="auto" w:before="44"/>
        <w:ind w:left="7720" w:right="1114" w:hanging="89"/>
        <w:jc w:val="left"/>
      </w:pPr>
      <w:r>
        <w:rPr/>
        <w:t>厦门吉宏科技股份有限公司 </w:t>
      </w:r>
      <w:r>
        <w:rPr>
          <w:spacing w:val="-11"/>
        </w:rPr>
        <w:t>法定代表人：庄浩</w:t>
      </w:r>
    </w:p>
    <w:p>
      <w:pPr>
        <w:pStyle w:val="BodyText"/>
        <w:spacing w:line="240" w:lineRule="auto" w:before="132"/>
        <w:ind w:left="0" w:right="1132"/>
        <w:jc w:val="right"/>
      </w:pPr>
      <w:r>
        <w:rPr/>
        <w:t>二零二零年四月十五日</w:t>
      </w:r>
    </w:p>
    <w:sectPr>
      <w:pgSz w:w="11910" w:h="16840"/>
      <w:pgMar w:header="745" w:footer="981"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3008" type="#_x0000_t75" stroked="false">
          <v:imagedata r:id="rId1" o:title=""/>
        </v:shape>
      </w:pict>
    </w:r>
    <w:r>
      <w:rPr/>
      <w:pict>
        <v:shape style="position:absolute;margin-left:533.015015pt;margin-top:795.514709pt;width:6.5pt;height:11pt;mso-position-horizontal-relative:page;mso-position-vertical-relative:page;z-index:-1282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576" type="#_x0000_t75" stroked="false">
          <v:imagedata r:id="rId1" o:title=""/>
        </v:shape>
      </w:pict>
    </w:r>
    <w:r>
      <w:rPr/>
      <w:pict>
        <v:shape style="position:absolute;margin-left:527.56897pt;margin-top:781.834717pt;width:13.1pt;height:11pt;mso-position-horizontal-relative:page;mso-position-vertical-relative:page;z-index:-1282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528" type="#_x0000_t75" stroked="false">
          <v:imagedata r:id="rId1" o:title=""/>
        </v:shape>
      </w:pict>
    </w:r>
    <w:r>
      <w:rPr/>
      <w:pict>
        <v:shape style="position:absolute;margin-left:527.56897pt;margin-top:781.834717pt;width:13.1pt;height:11pt;mso-position-horizontal-relative:page;mso-position-vertical-relative:page;z-index:-1282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480" type="#_x0000_t75" stroked="false">
          <v:imagedata r:id="rId1" o:title=""/>
        </v:shape>
      </w:pict>
    </w:r>
    <w:r>
      <w:rPr/>
      <w:pict>
        <v:shape style="position:absolute;margin-left:523.015015pt;margin-top:781.834717pt;width:17.650pt;height:11pt;mso-position-horizontal-relative:page;mso-position-vertical-relative:page;z-index:-1282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432" type="#_x0000_t75" stroked="false">
          <v:imagedata r:id="rId1" o:title=""/>
        </v:shape>
      </w:pict>
    </w:r>
    <w:r>
      <w:rPr/>
      <w:pict>
        <v:shape style="position:absolute;margin-left:523.375pt;margin-top:781.834717pt;width:17.3pt;height:11pt;mso-position-horizontal-relative:page;mso-position-vertical-relative:page;z-index:-1282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384" type="#_x0000_t75" stroked="false">
          <v:imagedata r:id="rId1" o:title=""/>
        </v:shape>
      </w:pict>
    </w:r>
    <w:r>
      <w:rPr/>
      <w:pict>
        <v:shape style="position:absolute;margin-left:523.015015pt;margin-top:781.834717pt;width:17.650pt;height:11pt;mso-position-horizontal-relative:page;mso-position-vertical-relative:page;z-index:-1282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336" type="#_x0000_t75" stroked="false">
          <v:imagedata r:id="rId1" o:title=""/>
        </v:shape>
      </w:pict>
    </w:r>
    <w:r>
      <w:rPr/>
      <w:pict>
        <v:shape style="position:absolute;margin-left:523.015015pt;margin-top:781.834717pt;width:17.650pt;height:11pt;mso-position-horizontal-relative:page;mso-position-vertical-relative:page;z-index:-1282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288" type="#_x0000_t75" stroked="false">
          <v:imagedata r:id="rId1" o:title=""/>
        </v:shape>
      </w:pict>
    </w:r>
    <w:r>
      <w:rPr/>
      <w:pict>
        <v:shape style="position:absolute;margin-left:523.015015pt;margin-top:781.834717pt;width:17.650pt;height:11pt;mso-position-horizontal-relative:page;mso-position-vertical-relative:page;z-index:-1282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240" type="#_x0000_t75" stroked="false">
          <v:imagedata r:id="rId1" o:title=""/>
        </v:shape>
      </w:pict>
    </w:r>
    <w:r>
      <w:rPr/>
      <w:pict>
        <v:shape style="position:absolute;margin-left:523.015015pt;margin-top:781.834717pt;width:17.650pt;height:11pt;mso-position-horizontal-relative:page;mso-position-vertical-relative:page;z-index:-1282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192" type="#_x0000_t75" stroked="false">
          <v:imagedata r:id="rId1" o:title=""/>
        </v:shape>
      </w:pict>
    </w:r>
    <w:r>
      <w:rPr/>
      <w:pict>
        <v:shape style="position:absolute;margin-left:523.015015pt;margin-top:781.834717pt;width:17.650pt;height:11pt;mso-position-horizontal-relative:page;mso-position-vertical-relative:page;z-index:-1282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144" type="#_x0000_t75" stroked="false">
          <v:imagedata r:id="rId1" o:title=""/>
        </v:shape>
      </w:pict>
    </w:r>
    <w:r>
      <w:rPr/>
      <w:pict>
        <v:shape style="position:absolute;margin-left:523.015015pt;margin-top:781.834717pt;width:17.650pt;height:11pt;mso-position-horizontal-relative:page;mso-position-vertical-relative:page;z-index:-1282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960" type="#_x0000_t75" stroked="false">
          <v:imagedata r:id="rId1" o:title=""/>
        </v:shape>
      </w:pict>
    </w:r>
    <w:r>
      <w:rPr/>
      <w:pict>
        <v:shape style="position:absolute;margin-left:532.015015pt;margin-top:781.834717pt;width:8.5pt;height:11pt;mso-position-horizontal-relative:page;mso-position-vertical-relative:page;z-index:-1282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096" type="#_x0000_t75" stroked="false">
          <v:imagedata r:id="rId1" o:title=""/>
        </v:shape>
      </w:pict>
    </w:r>
    <w:r>
      <w:rPr/>
      <w:pict>
        <v:shape style="position:absolute;margin-left:523.015015pt;margin-top:781.834717pt;width:17.650pt;height:11pt;mso-position-horizontal-relative:page;mso-position-vertical-relative:page;z-index:-1282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048" type="#_x0000_t75" stroked="false">
          <v:imagedata r:id="rId1" o:title=""/>
        </v:shape>
      </w:pict>
    </w:r>
    <w:r>
      <w:rPr/>
      <w:pict>
        <v:shape style="position:absolute;margin-left:523.015015pt;margin-top:781.834717pt;width:17.650pt;height:11pt;mso-position-horizontal-relative:page;mso-position-vertical-relative:page;z-index:-1282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000" type="#_x0000_t75" stroked="false">
          <v:imagedata r:id="rId1" o:title=""/>
        </v:shape>
      </w:pict>
    </w:r>
    <w:r>
      <w:rPr/>
      <w:pict>
        <v:shape style="position:absolute;margin-left:523.015015pt;margin-top:781.834717pt;width:17.650pt;height:11pt;mso-position-horizontal-relative:page;mso-position-vertical-relative:page;z-index:-1281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912" type="#_x0000_t75" stroked="false">
          <v:imagedata r:id="rId1" o:title=""/>
        </v:shape>
      </w:pict>
    </w:r>
    <w:r>
      <w:rPr/>
      <w:pict>
        <v:shape style="position:absolute;margin-left:527.56897pt;margin-top:781.834717pt;width:13.1pt;height:11pt;mso-position-horizontal-relative:page;mso-position-vertical-relative:page;z-index:-1282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864" type="#_x0000_t75" stroked="false">
          <v:imagedata r:id="rId1" o:title=""/>
        </v:shape>
      </w:pict>
    </w:r>
    <w:r>
      <w:rPr/>
      <w:pict>
        <v:shape style="position:absolute;margin-left:527.56897pt;margin-top:781.834717pt;width:13.1pt;height:11pt;mso-position-horizontal-relative:page;mso-position-vertical-relative:page;z-index:-1282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816" type="#_x0000_t75" stroked="false">
          <v:imagedata r:id="rId1" o:title=""/>
        </v:shape>
      </w:pict>
    </w:r>
    <w:r>
      <w:rPr/>
      <w:pict>
        <v:shape style="position:absolute;margin-left:527.56897pt;margin-top:781.834717pt;width:13.1pt;height:11pt;mso-position-horizontal-relative:page;mso-position-vertical-relative:page;z-index:-1282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768" type="#_x0000_t75" stroked="false">
          <v:imagedata r:id="rId1" o:title=""/>
        </v:shape>
      </w:pict>
    </w:r>
    <w:r>
      <w:rPr/>
      <w:pict>
        <v:shape style="position:absolute;margin-left:527.56897pt;margin-top:781.834717pt;width:13.1pt;height:11pt;mso-position-horizontal-relative:page;mso-position-vertical-relative:page;z-index:-1282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720" type="#_x0000_t75" stroked="false">
          <v:imagedata r:id="rId1" o:title=""/>
        </v:shape>
      </w:pict>
    </w:r>
    <w:r>
      <w:rPr/>
      <w:pict>
        <v:shape style="position:absolute;margin-left:527.56897pt;margin-top:781.834717pt;width:13.1pt;height:11pt;mso-position-horizontal-relative:page;mso-position-vertical-relative:page;z-index:-1282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672" type="#_x0000_t75" stroked="false">
          <v:imagedata r:id="rId1" o:title=""/>
        </v:shape>
      </w:pict>
    </w:r>
    <w:r>
      <w:rPr/>
      <w:pict>
        <v:shape style="position:absolute;margin-left:527.56897pt;margin-top:781.834717pt;width:13.1pt;height:11pt;mso-position-horizontal-relative:page;mso-position-vertical-relative:page;z-index:-1282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1282624" type="#_x0000_t75" stroked="false">
          <v:imagedata r:id="rId1" o:title=""/>
        </v:shape>
      </w:pict>
    </w:r>
    <w:r>
      <w:rPr/>
      <w:pict>
        <v:shape style="position:absolute;margin-left:527.56897pt;margin-top:781.834717pt;width:13.1pt;height:11pt;mso-position-horizontal-relative:page;mso-position-vertical-relative:page;z-index:-1282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06012pt;margin-top:36.268394pt;width:195.7pt;height:11.5pt;mso-position-horizontal-relative:page;mso-position-vertical-relative:page;z-index:-1283032" type="#_x0000_t202" filled="false" stroked="false">
          <v:textbox inset="0,0,0,0">
            <w:txbxContent>
              <w:p>
                <w:pPr>
                  <w:pStyle w:val="BodyText"/>
                  <w:spacing w:line="214" w:lineRule="exact"/>
                  <w:ind w:left="20" w:right="0"/>
                  <w:jc w:val="left"/>
                </w:pPr>
                <w:r>
                  <w:rPr/>
                  <w:t>厦门吉宏科技股份有限公司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8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hong.cn/" TargetMode="External"/><Relationship Id="rId10" Type="http://schemas.openxmlformats.org/officeDocument/2006/relationships/hyperlink" Target="mailto:ipo@jihong.cn" TargetMode="External"/><Relationship Id="rId11" Type="http://schemas.openxmlformats.org/officeDocument/2006/relationships/hyperlink" Target="mailto:ghy@jihong.cn" TargetMode="External"/><Relationship Id="rId12" Type="http://schemas.openxmlformats.org/officeDocument/2006/relationships/hyperlink" Target="mailto:xuwx@jihong.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2020-05-19T03:33:43Z</dcterms:created>
  <dcterms:modified xsi:type="dcterms:W3CDTF">2020-05-19T03:33:43Z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LastSaved">
    <vt:filetime>2020-05-18T00:00:00Z</vt:filetime>
  </property>
</Properties>
</file>