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365" w:lineRule="exact"/>
        <w:ind w:left="329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2214082" cy="86734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214082" cy="867346"/>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44"/>
        <w:ind w:left="2424" w:right="3401" w:firstLine="0"/>
        <w:jc w:val="center"/>
        <w:rPr>
          <w:rFonts w:ascii="宋体" w:hAnsi="宋体" w:cs="宋体" w:eastAsia="宋体" w:hint="default"/>
          <w:sz w:val="36"/>
          <w:szCs w:val="36"/>
        </w:rPr>
      </w:pPr>
      <w:r>
        <w:rPr>
          <w:rFonts w:ascii="宋体" w:hAnsi="宋体" w:cs="宋体" w:eastAsia="宋体" w:hint="default"/>
          <w:b/>
          <w:bCs/>
          <w:sz w:val="36"/>
          <w:szCs w:val="36"/>
        </w:rPr>
        <w:t>苏州恒久光电科技股份有限公司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公司负责人余荣清、主管会计工作负责人孙仕杰及会计机构负责人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冯芬兰声明：保证年度报告中财务报告的真实、准确、完整。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方明</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工作原因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兰山英</w:t>
            </w:r>
          </w:p>
        </w:tc>
      </w:tr>
    </w:tbl>
    <w:p>
      <w:pPr>
        <w:spacing w:line="240" w:lineRule="auto" w:before="2"/>
        <w:rPr>
          <w:rFonts w:ascii="宋体" w:hAnsi="宋体" w:cs="宋体" w:eastAsia="宋体" w:hint="default"/>
          <w:b/>
          <w:bCs/>
          <w:sz w:val="13"/>
          <w:szCs w:val="13"/>
        </w:rPr>
      </w:pPr>
    </w:p>
    <w:p>
      <w:pPr>
        <w:spacing w:line="408" w:lineRule="auto" w:before="13"/>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本年度报告涉及未来发展和经营计划等前瞻性陈述，不构成公司对投资者</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的实质承诺，投资者及相关人士均应当对此保持足够的风险认识，并且应当理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解计划、预测与承诺之间的差异。</w:t>
      </w:r>
      <w:r>
        <w:rPr>
          <w:rFonts w:ascii="宋体" w:hAnsi="宋体" w:cs="宋体" w:eastAsia="宋体" w:hint="default"/>
          <w:sz w:val="28"/>
          <w:szCs w:val="28"/>
        </w:rPr>
      </w:r>
    </w:p>
    <w:p>
      <w:pPr>
        <w:spacing w:line="386" w:lineRule="auto" w:before="160"/>
        <w:ind w:left="153" w:right="1136" w:firstLine="562"/>
        <w:jc w:val="both"/>
        <w:rPr>
          <w:rFonts w:ascii="宋体" w:hAnsi="宋体" w:cs="宋体" w:eastAsia="宋体" w:hint="default"/>
          <w:sz w:val="28"/>
          <w:szCs w:val="28"/>
        </w:rPr>
      </w:pPr>
      <w:r>
        <w:rPr>
          <w:rFonts w:ascii="宋体" w:hAnsi="宋体" w:cs="宋体" w:eastAsia="宋体" w:hint="default"/>
          <w:b/>
          <w:bCs/>
          <w:spacing w:val="3"/>
          <w:sz w:val="28"/>
          <w:szCs w:val="28"/>
        </w:rPr>
        <w:t>公司已在本报告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第四节</w:t>
      </w:r>
      <w:r>
        <w:rPr>
          <w:rFonts w:ascii="宋体" w:hAnsi="宋体" w:cs="宋体" w:eastAsia="宋体" w:hint="default"/>
          <w:b/>
          <w:bCs/>
          <w:spacing w:val="-30"/>
          <w:sz w:val="28"/>
          <w:szCs w:val="28"/>
        </w:rPr>
        <w:t> </w:t>
      </w:r>
      <w:r>
        <w:rPr>
          <w:rFonts w:ascii="宋体" w:hAnsi="宋体" w:cs="宋体" w:eastAsia="宋体" w:hint="default"/>
          <w:b/>
          <w:bCs/>
          <w:spacing w:val="3"/>
          <w:sz w:val="28"/>
          <w:szCs w:val="28"/>
        </w:rPr>
        <w:t>经营情况讨论与分析</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之</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九、公司未来发展的展</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部分详述了公司可能面临的风险与应对措施，请广大投资者查阅并注意投资</w:t>
      </w:r>
      <w:r>
        <w:rPr>
          <w:rFonts w:ascii="宋体" w:hAnsi="宋体" w:cs="宋体" w:eastAsia="宋体" w:hint="default"/>
          <w:b/>
          <w:bCs/>
          <w:w w:val="99"/>
          <w:sz w:val="28"/>
          <w:szCs w:val="28"/>
        </w:rPr>
        <w:t> </w:t>
      </w:r>
      <w:r>
        <w:rPr>
          <w:rFonts w:ascii="宋体" w:hAnsi="宋体" w:cs="宋体" w:eastAsia="宋体" w:hint="default"/>
          <w:b/>
          <w:bCs/>
          <w:sz w:val="28"/>
          <w:szCs w:val="28"/>
        </w:rPr>
        <w:t>风险。</w:t>
      </w:r>
      <w:r>
        <w:rPr>
          <w:rFonts w:ascii="宋体" w:hAnsi="宋体" w:cs="宋体" w:eastAsia="宋体" w:hint="default"/>
          <w:sz w:val="28"/>
          <w:szCs w:val="28"/>
        </w:rPr>
      </w:r>
    </w:p>
    <w:p>
      <w:pPr>
        <w:spacing w:before="186"/>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1"/>
          <w:sz w:val="28"/>
          <w:szCs w:val="28"/>
        </w:rPr>
        <w:t> </w:t>
      </w:r>
      <w:r>
        <w:rPr>
          <w:rFonts w:ascii="Times New Roman" w:hAnsi="Times New Roman" w:cs="Times New Roman" w:eastAsia="Times New Roman" w:hint="default"/>
          <w:b/>
          <w:bCs/>
          <w:sz w:val="28"/>
          <w:szCs w:val="28"/>
        </w:rPr>
        <w:t>192,000,000</w:t>
      </w:r>
      <w:r>
        <w:rPr>
          <w:rFonts w:ascii="Times New Roman" w:hAnsi="Times New Roman" w:cs="Times New Roman" w:eastAsia="Times New Roman" w:hint="default"/>
          <w:b/>
          <w:bCs/>
          <w:spacing w:val="-16"/>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170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42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恒久有限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苏州恒久光电科技有限公司，公司股份制改革前身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吴中恒久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苏州吴中恒久光电子科技有限公司，公司全资子公司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环球影像</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94"/>
              <w:jc w:val="left"/>
              <w:rPr>
                <w:rFonts w:ascii="宋体" w:hAnsi="宋体" w:cs="宋体" w:eastAsia="宋体" w:hint="default"/>
                <w:sz w:val="18"/>
                <w:szCs w:val="18"/>
              </w:rPr>
            </w:pPr>
            <w:r>
              <w:rPr>
                <w:rFonts w:ascii="宋体" w:hAnsi="宋体" w:cs="宋体" w:eastAsia="宋体" w:hint="default"/>
                <w:sz w:val="18"/>
                <w:szCs w:val="18"/>
              </w:rPr>
              <w:t>环球影像系统有限公司（</w:t>
            </w:r>
            <w:r>
              <w:rPr>
                <w:rFonts w:ascii="Times New Roman" w:hAnsi="Times New Roman" w:cs="Times New Roman" w:eastAsia="Times New Roman" w:hint="default"/>
                <w:sz w:val="18"/>
                <w:szCs w:val="18"/>
              </w:rPr>
              <w:t>Global </w:t>
            </w:r>
            <w:r>
              <w:rPr>
                <w:rFonts w:ascii="Times New Roman" w:hAnsi="Times New Roman" w:cs="Times New Roman" w:eastAsia="Times New Roman" w:hint="default"/>
                <w:spacing w:val="-1"/>
                <w:sz w:val="18"/>
                <w:szCs w:val="18"/>
              </w:rPr>
              <w:t>Imaging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w w:val="99"/>
                <w:sz w:val="18"/>
                <w:szCs w:val="18"/>
              </w:rPr>
              <w:t>System</w:t>
            </w:r>
            <w:r>
              <w:rPr>
                <w:rFonts w:ascii="Times New Roman" w:hAnsi="Times New Roman" w:cs="Times New Roman" w:eastAsia="Times New Roman" w:hint="default"/>
                <w:spacing w:val="8"/>
                <w:w w:val="99"/>
                <w:sz w:val="18"/>
                <w:szCs w:val="18"/>
              </w:rPr>
              <w:t> </w:t>
            </w:r>
            <w:r>
              <w:rPr>
                <w:rFonts w:ascii="Times New Roman" w:hAnsi="Times New Roman" w:cs="Times New Roman" w:eastAsia="Times New Roman" w:hint="default"/>
                <w:spacing w:val="-7"/>
                <w:sz w:val="18"/>
                <w:szCs w:val="18"/>
              </w:rPr>
              <w:t>Limited</w:t>
            </w:r>
            <w:r>
              <w:rPr>
                <w:rFonts w:ascii="宋体" w:hAnsi="宋体" w:cs="宋体" w:eastAsia="宋体" w:hint="default"/>
                <w:spacing w:val="-7"/>
                <w:sz w:val="18"/>
                <w:szCs w:val="18"/>
              </w:rPr>
              <w:t>），公司全资</w:t>
            </w:r>
            <w:r>
              <w:rPr>
                <w:rFonts w:ascii="宋体" w:hAnsi="宋体" w:cs="宋体" w:eastAsia="宋体" w:hint="default"/>
                <w:sz w:val="18"/>
                <w:szCs w:val="18"/>
              </w:rPr>
              <w:t> 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恒久保理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恒久高新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除特别注明外，其余均指人民币元、人民币万元</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激光有机光导鼓、激光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鼓</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激光有机光导鼓，也是鼓粉盒（硒鼓）中的最核心部件，用于将信息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经光电转换而成为输出的文字或图像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鼓粉盒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俗称为硒鼓，其组成与功能同硒鼓</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硒鼓</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both"/>
              <w:rPr>
                <w:rFonts w:ascii="宋体" w:hAnsi="宋体" w:cs="宋体" w:eastAsia="宋体" w:hint="default"/>
                <w:sz w:val="18"/>
                <w:szCs w:val="18"/>
              </w:rPr>
            </w:pPr>
            <w:r>
              <w:rPr>
                <w:rFonts w:ascii="宋体" w:hAnsi="宋体" w:cs="宋体" w:eastAsia="宋体" w:hint="default"/>
                <w:spacing w:val="-2"/>
                <w:sz w:val="18"/>
                <w:szCs w:val="18"/>
              </w:rPr>
              <w:t>激光打印机（复印机）中关键的成像部件，属于耗材，它不仅决定了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打印（复印）质量的好坏，还决定了使用者在使用过程中需支付的费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用</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897856"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8"/>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苏州恒久</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002808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苏州恒久</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Suzhou Goldengreen Technologies</w:t>
            </w:r>
            <w:r>
              <w:rPr>
                <w:rFonts w:ascii="Times New Roman"/>
                <w:spacing w:val="-22"/>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SGT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余荣清</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江苏省苏州市高新区火炬路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215011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江苏省苏州市高新区火炬路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215011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www.sgt21.com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admin@sgt21.com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孙仕杰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张漪萌</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苏州市高新区火炬路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苏州市高新区火炬路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0512-82278868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0512-82278868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0512-82278868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0512-82278868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admin@sgt21.com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admin@sgt21.com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91320500737061190F</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夏利忠、葛皓宇</w:t>
            </w:r>
          </w:p>
        </w:tc>
      </w:tr>
    </w:tbl>
    <w:p>
      <w:pPr>
        <w:pStyle w:val="BodyText"/>
        <w:spacing w:line="240" w:lineRule="auto" w:before="51"/>
        <w:ind w:left="154" w:right="0"/>
        <w:jc w:val="left"/>
      </w:pPr>
      <w:r>
        <w:rPr/>
        <w:t>公司聘请的报告期内履行持续督导职责的保荐机构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张悦、郭玉良</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286,359,847.67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274,682,192.25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226,802,029.58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30,446,607.75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41,047,172.04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42,207,584.60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26,500,038.70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38,223,707.60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40,252,614.49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2,730,869.44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46,775,637.54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16,839,361.19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622,898,240.51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574,496,856.65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345,086,878.65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540,957,167.11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9" w:right="0"/>
              <w:jc w:val="left"/>
              <w:rPr>
                <w:rFonts w:ascii="Times New Roman" w:hAnsi="Times New Roman" w:cs="Times New Roman" w:eastAsia="Times New Roman" w:hint="default"/>
                <w:sz w:val="18"/>
                <w:szCs w:val="18"/>
              </w:rPr>
            </w:pPr>
            <w:r>
              <w:rPr>
                <w:rFonts w:ascii="Times New Roman"/>
                <w:sz w:val="18"/>
              </w:rPr>
              <w:t>523,077,850.03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298,075,537.39</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64,515,620.08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76,482,650.97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67,641,066.42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77,720,510.20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6,464,398.20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9,572,751.11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3,703,440.70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10,706,017.74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5,793,491.05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8,149,987.81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2,049,626.23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10,506,933.61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8,046,316.08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4,001,474.59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-12,502,838.14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3,185,916.91</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-18,689.86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-11,607.55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531,456.44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1,648,819.55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1,460,845.06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11" w:right="0"/>
              <w:jc w:val="left"/>
              <w:rPr>
                <w:rFonts w:ascii="Times New Roman" w:hAnsi="Times New Roman" w:cs="Times New Roman" w:eastAsia="Times New Roman" w:hint="default"/>
                <w:sz w:val="18"/>
                <w:szCs w:val="18"/>
              </w:rPr>
            </w:pPr>
            <w:r>
              <w:rPr>
                <w:rFonts w:ascii="Times New Roman"/>
                <w:sz w:val="18"/>
              </w:rPr>
              <w:t>-83,983.33</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货币互换应付利息：</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83,983.33</w:t>
            </w:r>
          </w:p>
        </w:tc>
      </w:tr>
      <w:tr>
        <w:trPr>
          <w:trHeight w:val="391"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4,327,546.49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692,665.51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1,060,611.94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3"/>
              <w:jc w:val="left"/>
              <w:rPr>
                <w:rFonts w:ascii="宋体" w:hAnsi="宋体" w:cs="宋体" w:eastAsia="宋体" w:hint="default"/>
                <w:sz w:val="18"/>
                <w:szCs w:val="18"/>
              </w:rPr>
            </w:pPr>
            <w:r>
              <w:rPr>
                <w:rFonts w:ascii="宋体" w:hAnsi="宋体" w:cs="宋体" w:eastAsia="宋体" w:hint="default"/>
                <w:sz w:val="18"/>
                <w:szCs w:val="18"/>
              </w:rPr>
              <w:t>投资银行理财产品收 益：</w:t>
            </w:r>
            <w:r>
              <w:rPr>
                <w:rFonts w:ascii="Times New Roman" w:hAnsi="Times New Roman" w:cs="Times New Roman" w:eastAsia="Times New Roman" w:hint="default"/>
                <w:sz w:val="18"/>
                <w:szCs w:val="18"/>
              </w:rPr>
              <w:t>5,004,021.49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98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54"/>
              <w:jc w:val="left"/>
              <w:rPr>
                <w:rFonts w:ascii="宋体" w:hAnsi="宋体" w:cs="宋体" w:eastAsia="宋体" w:hint="default"/>
                <w:sz w:val="18"/>
                <w:szCs w:val="18"/>
              </w:rPr>
            </w:pPr>
            <w:r>
              <w:rPr>
                <w:rFonts w:ascii="宋体" w:hAnsi="宋体" w:cs="宋体" w:eastAsia="宋体" w:hint="default"/>
                <w:sz w:val="18"/>
                <w:szCs w:val="18"/>
              </w:rPr>
              <w:t>衍生金融工具产生的 公允价值变动收益：</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sz w:val="18"/>
              </w:rPr>
              <w:t>-676,475.00</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804,181.54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809,295.71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321,202.16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554,879.34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3,946,569.05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2,823,464.44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1,954,970.11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Heading4"/>
        <w:spacing w:line="240" w:lineRule="auto" w:before="141"/>
        <w:ind w:left="443" w:right="0"/>
        <w:jc w:val="left"/>
        <w:rPr>
          <w:b w:val="0"/>
          <w:bCs w:val="0"/>
        </w:rPr>
      </w:pPr>
      <w:r>
        <w:rPr/>
        <w:t>（一）公司主要业务</w:t>
      </w:r>
      <w:r>
        <w:rPr>
          <w:b w:val="0"/>
          <w:bCs w:val="0"/>
        </w:rPr>
      </w:r>
    </w:p>
    <w:p>
      <w:pPr>
        <w:spacing w:line="240" w:lineRule="auto" w:before="10"/>
        <w:rPr>
          <w:rFonts w:ascii="宋体" w:hAnsi="宋体" w:cs="宋体" w:eastAsia="宋体" w:hint="default"/>
          <w:b/>
          <w:bCs/>
          <w:sz w:val="17"/>
          <w:szCs w:val="17"/>
        </w:rPr>
      </w:pPr>
    </w:p>
    <w:p>
      <w:pPr>
        <w:pStyle w:val="BodyText"/>
        <w:spacing w:line="309" w:lineRule="auto"/>
        <w:ind w:right="1130" w:firstLine="362"/>
        <w:jc w:val="both"/>
      </w:pPr>
      <w:r>
        <w:rPr/>
        <w:t>公司的核心业务为激光有机光导鼓（</w:t>
      </w:r>
      <w:r>
        <w:rPr>
          <w:rFonts w:ascii="Times New Roman" w:hAnsi="Times New Roman" w:cs="Times New Roman" w:eastAsia="Times New Roman" w:hint="default"/>
        </w:rPr>
        <w:t>Organic Photo-Conductor Drum</w:t>
      </w:r>
      <w:r>
        <w:rPr/>
        <w:t>，简称</w:t>
      </w:r>
      <w:r>
        <w:rPr>
          <w:rFonts w:ascii="Times New Roman" w:hAnsi="Times New Roman" w:cs="Times New Roman" w:eastAsia="Times New Roman" w:hint="default"/>
        </w:rPr>
        <w:t>“</w:t>
      </w:r>
      <w:r>
        <w:rPr/>
        <w:t>激光 </w:t>
      </w:r>
      <w:r>
        <w:rPr>
          <w:rFonts w:ascii="Times New Roman" w:hAnsi="Times New Roman" w:cs="Times New Roman" w:eastAsia="Times New Roman" w:hint="default"/>
        </w:rPr>
        <w:t>OPC</w:t>
      </w:r>
      <w:r>
        <w:rPr>
          <w:rFonts w:ascii="Times New Roman" w:hAnsi="Times New Roman" w:cs="Times New Roman" w:eastAsia="Times New Roman" w:hint="default"/>
          <w:spacing w:val="-3"/>
        </w:rPr>
        <w:t> </w:t>
      </w:r>
      <w:r>
        <w:rPr/>
        <w:t>鼓</w:t>
      </w:r>
      <w:r>
        <w:rPr>
          <w:rFonts w:ascii="Times New Roman" w:hAnsi="Times New Roman" w:cs="Times New Roman" w:eastAsia="Times New Roman" w:hint="default"/>
        </w:rPr>
        <w:t>”</w:t>
      </w:r>
      <w:r>
        <w:rPr/>
        <w:t>）系列产品的研发、生产和销 </w:t>
      </w:r>
      <w:r>
        <w:rPr>
          <w:spacing w:val="-2"/>
        </w:rPr>
        <w:t>售，该业务为公司的传统业务，也是公司营业收入与利润的主要来源。同时，公司也从事硒鼓等打印耗材及打印零配件的国</w:t>
      </w:r>
      <w:r>
        <w:rPr>
          <w:spacing w:val="-66"/>
        </w:rPr>
        <w:t> </w:t>
      </w:r>
      <w:r>
        <w:rPr>
          <w:spacing w:val="-66"/>
        </w:rPr>
      </w:r>
      <w:r>
        <w:rPr/>
        <w:t>际与国内贸易业务。</w:t>
      </w:r>
    </w:p>
    <w:p>
      <w:pPr>
        <w:pStyle w:val="BodyText"/>
        <w:spacing w:line="468" w:lineRule="exact" w:before="16"/>
        <w:ind w:left="516" w:right="0" w:hanging="74"/>
        <w:jc w:val="left"/>
      </w:pPr>
      <w:r>
        <w:rPr>
          <w:rFonts w:ascii="宋体" w:hAnsi="宋体" w:cs="宋体" w:eastAsia="宋体" w:hint="default"/>
          <w:b/>
          <w:bCs/>
        </w:rPr>
        <w:t>（二）公司主要产品及用途</w:t>
      </w:r>
      <w:r>
        <w:rPr>
          <w:rFonts w:ascii="宋体" w:hAnsi="宋体" w:cs="宋体" w:eastAsia="宋体" w:hint="default"/>
          <w:b/>
          <w:bCs/>
          <w:w w:val="99"/>
        </w:rPr>
        <w:t> </w:t>
      </w:r>
      <w:r>
        <w:rPr>
          <w:spacing w:val="-2"/>
        </w:rPr>
        <w:t>公司生产的主要产品为激光有机光导鼓系列产品。它是一类在激光的照射下能使光生载流子形成并迁移的新型高技术信</w:t>
      </w:r>
    </w:p>
    <w:p>
      <w:pPr>
        <w:pStyle w:val="BodyText"/>
        <w:spacing w:line="312" w:lineRule="auto" w:before="8"/>
        <w:ind w:right="1131"/>
        <w:jc w:val="both"/>
      </w:pPr>
      <w:r>
        <w:rPr>
          <w:spacing w:val="-2"/>
        </w:rPr>
        <w:t>息处理器件，是激光打印机、数码复印机、数字图文快印、激光传真机及多功能一体机等现代办公设备中最为核心的光电转</w:t>
      </w:r>
      <w:r>
        <w:rPr>
          <w:spacing w:val="-66"/>
        </w:rPr>
        <w:t> </w:t>
      </w:r>
      <w:r>
        <w:rPr>
          <w:spacing w:val="-66"/>
        </w:rPr>
      </w:r>
      <w:r>
        <w:rPr>
          <w:spacing w:val="-2"/>
        </w:rPr>
        <w:t>换及成像部件，直接决定打印、复印等影像输出的质量，是集现代功能材料、现代先进制造技术于一体的有机光电子信息产</w:t>
      </w:r>
      <w:r>
        <w:rPr>
          <w:spacing w:val="-66"/>
        </w:rPr>
        <w:t> </w:t>
      </w:r>
      <w:r>
        <w:rPr>
          <w:spacing w:val="-66"/>
        </w:rPr>
      </w:r>
      <w:r>
        <w:rPr>
          <w:spacing w:val="-2"/>
        </w:rPr>
        <w:t>品。激光</w:t>
      </w:r>
      <w:r>
        <w:rPr>
          <w:rFonts w:ascii="Times New Roman" w:hAnsi="Times New Roman" w:cs="Times New Roman" w:eastAsia="Times New Roman" w:hint="default"/>
          <w:spacing w:val="-2"/>
        </w:rPr>
        <w:t>OPC</w:t>
      </w:r>
      <w:r>
        <w:rPr>
          <w:spacing w:val="-2"/>
        </w:rPr>
        <w:t>鼓是鼓粉盒组件（俗称</w:t>
      </w:r>
      <w:r>
        <w:rPr>
          <w:rFonts w:ascii="Times New Roman" w:hAnsi="Times New Roman" w:cs="Times New Roman" w:eastAsia="Times New Roman" w:hint="default"/>
          <w:spacing w:val="-2"/>
        </w:rPr>
        <w:t>“</w:t>
      </w:r>
      <w:r>
        <w:rPr>
          <w:spacing w:val="-2"/>
        </w:rPr>
        <w:t>硒鼓</w:t>
      </w:r>
      <w:r>
        <w:rPr>
          <w:rFonts w:ascii="Times New Roman" w:hAnsi="Times New Roman" w:cs="Times New Roman" w:eastAsia="Times New Roman" w:hint="default"/>
          <w:spacing w:val="-2"/>
        </w:rPr>
        <w:t>”</w:t>
      </w:r>
      <w:r>
        <w:rPr>
          <w:spacing w:val="-2"/>
        </w:rPr>
        <w:t>）的核心元件，与碳粉、充电辊、磁辊及塑料件等部件共同构成完整的硒鼓，应</w:t>
      </w:r>
      <w:r>
        <w:rPr>
          <w:spacing w:val="-38"/>
        </w:rPr>
        <w:t> </w:t>
      </w:r>
      <w:r>
        <w:rPr>
          <w:spacing w:val="-38"/>
        </w:rPr>
      </w:r>
      <w:r>
        <w:rPr/>
        <w:t>用于激光打印机、数码复印机等现代化办公设备。激光</w:t>
      </w:r>
      <w:r>
        <w:rPr>
          <w:rFonts w:ascii="Times New Roman" w:hAnsi="Times New Roman" w:cs="Times New Roman" w:eastAsia="Times New Roman" w:hint="default"/>
        </w:rPr>
        <w:t>OPC</w:t>
      </w:r>
      <w:r>
        <w:rPr/>
        <w:t>鼓与硒鼓及终端产品的具体对应关系如下：</w:t>
      </w:r>
    </w:p>
    <w:p>
      <w:pPr>
        <w:spacing w:line="240" w:lineRule="auto" w:before="5"/>
        <w:rPr>
          <w:rFonts w:ascii="宋体" w:hAnsi="宋体" w:cs="宋体" w:eastAsia="宋体" w:hint="default"/>
          <w:sz w:val="8"/>
          <w:szCs w:val="8"/>
        </w:rPr>
      </w:pPr>
    </w:p>
    <w:p>
      <w:pPr>
        <w:spacing w:line="1635" w:lineRule="exact"/>
        <w:ind w:left="1853"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3962400" cy="10382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962400" cy="1038225"/>
                    </a:xfrm>
                    <a:prstGeom prst="rect">
                      <a:avLst/>
                    </a:prstGeom>
                  </pic:spPr>
                </pic:pic>
              </a:graphicData>
            </a:graphic>
          </wp:inline>
        </w:drawing>
      </w:r>
      <w:r>
        <w:rPr>
          <w:rFonts w:ascii="宋体" w:hAnsi="宋体" w:cs="宋体" w:eastAsia="宋体" w:hint="default"/>
          <w:position w:val="-32"/>
          <w:sz w:val="20"/>
          <w:szCs w:val="20"/>
        </w:rPr>
      </w:r>
    </w:p>
    <w:p>
      <w:pPr>
        <w:pStyle w:val="BodyText"/>
        <w:spacing w:line="460" w:lineRule="atLeast" w:before="62"/>
        <w:ind w:left="516" w:right="0"/>
        <w:jc w:val="left"/>
      </w:pPr>
      <w:r>
        <w:rPr>
          <w:rFonts w:ascii="宋体" w:hAnsi="宋体" w:cs="宋体" w:eastAsia="宋体" w:hint="default"/>
          <w:b/>
          <w:bCs/>
        </w:rPr>
        <w:t>（三）公司经营模式</w:t>
      </w:r>
      <w:r>
        <w:rPr>
          <w:rFonts w:ascii="宋体" w:hAnsi="宋体" w:cs="宋体" w:eastAsia="宋体" w:hint="default"/>
          <w:b/>
          <w:bCs/>
          <w:w w:val="99"/>
        </w:rPr>
        <w:t> </w:t>
      </w:r>
      <w:r>
        <w:rPr>
          <w:spacing w:val="-2"/>
        </w:rPr>
        <w:t>公司利用自有的核心研制技术及专用设备系统集成能力，自主研发与设计产品，依据产品设计标准及生产工艺要求，采</w:t>
      </w:r>
    </w:p>
    <w:p>
      <w:pPr>
        <w:pStyle w:val="BodyText"/>
        <w:spacing w:line="316" w:lineRule="auto" w:before="76"/>
        <w:ind w:left="154" w:right="1043"/>
        <w:jc w:val="both"/>
      </w:pPr>
      <w:r>
        <w:rPr>
          <w:spacing w:val="-4"/>
        </w:rPr>
        <w:t>购原辅材料，按照标准自动化的生产流程完成整个产品的制造，经验收合格并实现对外销售。公司的产品销售采用直销为主，</w:t>
      </w:r>
      <w:r>
        <w:rPr>
          <w:spacing w:val="-44"/>
        </w:rPr>
        <w:t> </w:t>
      </w:r>
      <w:r>
        <w:rPr>
          <w:spacing w:val="-44"/>
        </w:rPr>
      </w:r>
      <w:r>
        <w:rPr/>
        <w:t>经销为辅的模式。报告期内，公司的经营模式没有发生重大变化。</w:t>
      </w:r>
    </w:p>
    <w:p>
      <w:pPr>
        <w:spacing w:line="468" w:lineRule="exact" w:before="10"/>
        <w:ind w:left="516" w:right="0" w:firstLine="0"/>
        <w:jc w:val="left"/>
        <w:rPr>
          <w:rFonts w:ascii="宋体" w:hAnsi="宋体" w:cs="宋体" w:eastAsia="宋体" w:hint="default"/>
          <w:sz w:val="18"/>
          <w:szCs w:val="18"/>
        </w:rPr>
      </w:pPr>
      <w:r>
        <w:rPr>
          <w:rFonts w:ascii="宋体" w:hAnsi="宋体" w:cs="宋体" w:eastAsia="宋体" w:hint="default"/>
          <w:b/>
          <w:bCs/>
          <w:sz w:val="18"/>
          <w:szCs w:val="18"/>
        </w:rPr>
        <w:t>（四）公司主要业绩驱动因素</w:t>
      </w:r>
      <w:r>
        <w:rPr>
          <w:rFonts w:ascii="宋体" w:hAnsi="宋体" w:cs="宋体" w:eastAsia="宋体" w:hint="default"/>
          <w:b/>
          <w:bCs/>
          <w:w w:val="99"/>
          <w:sz w:val="18"/>
          <w:szCs w:val="18"/>
        </w:rPr>
        <w:t> </w:t>
      </w:r>
      <w:r>
        <w:rPr>
          <w:rFonts w:ascii="宋体" w:hAnsi="宋体" w:cs="宋体" w:eastAsia="宋体" w:hint="default"/>
          <w:spacing w:val="-2"/>
          <w:sz w:val="18"/>
          <w:szCs w:val="18"/>
        </w:rPr>
        <w:t>公司作为高新技术企业，在实际运营过程中，通过将各种专利及专有技术应用于产品生产、新型产品研发、设备技术改</w:t>
      </w:r>
    </w:p>
    <w:p>
      <w:pPr>
        <w:pStyle w:val="BodyText"/>
        <w:spacing w:line="316" w:lineRule="auto" w:before="8"/>
        <w:ind w:left="154" w:right="1132"/>
        <w:jc w:val="both"/>
      </w:pPr>
      <w:r>
        <w:rPr>
          <w:spacing w:val="-2"/>
        </w:rPr>
        <w:t>造及改善镀膜材料配方，以提高产品质量及生产效率，降低成本。同时，公司密切关注市场动向，在维护与巩固现有客户的</w:t>
      </w:r>
      <w:r>
        <w:rPr>
          <w:spacing w:val="-66"/>
        </w:rPr>
        <w:t> </w:t>
      </w:r>
      <w:r>
        <w:rPr>
          <w:spacing w:val="-66"/>
        </w:rPr>
      </w:r>
      <w:r>
        <w:rPr/>
        <w:t>基础上，加大市场开拓力度，增加新区域市场覆盖，并提高高端产品的销售比例，以实现公司经济效益。</w:t>
      </w:r>
    </w:p>
    <w:p>
      <w:pPr>
        <w:spacing w:line="240" w:lineRule="auto" w:before="5"/>
        <w:rPr>
          <w:rFonts w:ascii="宋体" w:hAnsi="宋体" w:cs="宋体" w:eastAsia="宋体" w:hint="default"/>
          <w:sz w:val="13"/>
          <w:szCs w:val="13"/>
        </w:rPr>
      </w:pPr>
    </w:p>
    <w:p>
      <w:pPr>
        <w:pStyle w:val="Heading4"/>
        <w:spacing w:line="240" w:lineRule="auto"/>
        <w:ind w:left="516" w:right="0"/>
        <w:jc w:val="left"/>
        <w:rPr>
          <w:b w:val="0"/>
          <w:bCs w:val="0"/>
        </w:rPr>
      </w:pPr>
      <w:r>
        <w:rPr/>
        <w:t>（五）行业的周期性、区域性或季节性特征</w:t>
      </w:r>
      <w:r>
        <w:rPr>
          <w:b w:val="0"/>
          <w:bCs w:val="0"/>
        </w:rPr>
      </w:r>
    </w:p>
    <w:p>
      <w:pPr>
        <w:pStyle w:val="BodyText"/>
        <w:spacing w:line="450" w:lineRule="atLeast" w:before="31"/>
        <w:ind w:left="444" w:right="0"/>
        <w:jc w:val="left"/>
      </w:pPr>
      <w:r>
        <w:rPr/>
        <w:t>激光 </w:t>
      </w:r>
      <w:r>
        <w:rPr>
          <w:rFonts w:ascii="Times New Roman" w:hAnsi="Times New Roman" w:cs="Times New Roman" w:eastAsia="Times New Roman" w:hint="default"/>
        </w:rPr>
        <w:t>OPC</w:t>
      </w:r>
      <w:r>
        <w:rPr>
          <w:rFonts w:ascii="Times New Roman" w:hAnsi="Times New Roman" w:cs="Times New Roman" w:eastAsia="Times New Roman" w:hint="default"/>
          <w:spacing w:val="7"/>
        </w:rPr>
        <w:t> </w:t>
      </w:r>
      <w:r>
        <w:rPr/>
        <w:t>鼓属于办公耗材，没有明显的销售淡季和旺季，因此本行业不存在明显的周期性和季节性特征。 </w:t>
      </w:r>
      <w:r>
        <w:rPr>
          <w:spacing w:val="-1"/>
        </w:rPr>
        <w:t>在我国，由于打印耗材的生产主要集中在以广东省为主的珠江三角洲地区，特别是珠海作为世界打印耗材之都，集中了</w:t>
      </w:r>
    </w:p>
    <w:p>
      <w:pPr>
        <w:pStyle w:val="BodyText"/>
        <w:spacing w:line="300" w:lineRule="auto" w:before="76"/>
        <w:ind w:left="154" w:right="1132"/>
        <w:jc w:val="both"/>
      </w:pPr>
      <w:r>
        <w:rPr/>
        <w:t>全球排名前几位的通用耗材生产厂家，对激光</w:t>
      </w:r>
      <w:r>
        <w:rPr>
          <w:spacing w:val="-37"/>
        </w:rPr>
        <w:t> </w:t>
      </w:r>
      <w:r>
        <w:rPr>
          <w:rFonts w:ascii="Times New Roman" w:hAnsi="Times New Roman" w:cs="Times New Roman" w:eastAsia="Times New Roman" w:hint="default"/>
        </w:rPr>
        <w:t>OPC</w:t>
      </w:r>
      <w:r>
        <w:rPr>
          <w:rFonts w:ascii="Times New Roman" w:hAnsi="Times New Roman" w:cs="Times New Roman" w:eastAsia="Times New Roman" w:hint="default"/>
          <w:spacing w:val="8"/>
        </w:rPr>
        <w:t> </w:t>
      </w:r>
      <w:r>
        <w:rPr/>
        <w:t>鼓的采购量较大，但由于产品的终端用户遍布全国，乃至世界各地，因 此就产品的终端用户来说，不存在明显的区域性特征。</w:t>
      </w:r>
    </w:p>
    <w:p>
      <w:pPr>
        <w:spacing w:line="240" w:lineRule="auto" w:before="4"/>
        <w:rPr>
          <w:rFonts w:ascii="宋体" w:hAnsi="宋体" w:cs="宋体" w:eastAsia="宋体" w:hint="default"/>
          <w:sz w:val="14"/>
          <w:szCs w:val="14"/>
        </w:rPr>
      </w:pPr>
    </w:p>
    <w:p>
      <w:pPr>
        <w:pStyle w:val="Heading4"/>
        <w:spacing w:line="240" w:lineRule="auto"/>
        <w:ind w:left="516" w:right="0"/>
        <w:jc w:val="left"/>
        <w:rPr>
          <w:b w:val="0"/>
          <w:bCs w:val="0"/>
        </w:rPr>
      </w:pPr>
      <w:r>
        <w:rPr/>
        <w:t>（六）公司所属行业的发展阶段以及公司所处的行业地位</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09" w:lineRule="auto" w:before="44"/>
        <w:ind w:right="1131" w:firstLine="290"/>
        <w:jc w:val="both"/>
      </w:pPr>
      <w:r>
        <w:rPr>
          <w:rFonts w:ascii="Times New Roman" w:hAnsi="Times New Roman" w:cs="Times New Roman" w:eastAsia="Times New Roman" w:hint="default"/>
        </w:rPr>
        <w:t>2000</w:t>
      </w:r>
      <w:r>
        <w:rPr/>
        <w:t>年，我国引进了第一条</w:t>
      </w:r>
      <w:r>
        <w:rPr>
          <w:rFonts w:ascii="Times New Roman" w:hAnsi="Times New Roman" w:cs="Times New Roman" w:eastAsia="Times New Roman" w:hint="default"/>
        </w:rPr>
        <w:t>OPC</w:t>
      </w:r>
      <w:r>
        <w:rPr/>
        <w:t>鼓涂布生产线，开始了我国</w:t>
      </w:r>
      <w:r>
        <w:rPr>
          <w:rFonts w:ascii="Times New Roman" w:hAnsi="Times New Roman" w:cs="Times New Roman" w:eastAsia="Times New Roman" w:hint="default"/>
        </w:rPr>
        <w:t>OPC</w:t>
      </w:r>
      <w:r>
        <w:rPr/>
        <w:t>鼓的产业化进程。在国家政策的大力支持下，在市场对 </w:t>
      </w:r>
      <w:r>
        <w:rPr>
          <w:spacing w:val="-2"/>
        </w:rPr>
        <w:t>通用耗材产品需求不断增长的背景下，激光</w:t>
      </w:r>
      <w:r>
        <w:rPr>
          <w:rFonts w:ascii="Times New Roman" w:hAnsi="Times New Roman" w:cs="Times New Roman" w:eastAsia="Times New Roman" w:hint="default"/>
          <w:spacing w:val="-2"/>
        </w:rPr>
        <w:t>OPC</w:t>
      </w:r>
      <w:r>
        <w:rPr>
          <w:spacing w:val="-2"/>
        </w:rPr>
        <w:t>鼓的研发和产业化进程取得了较为显著的成就，行业的技术水平有了大幅度</w:t>
      </w:r>
      <w:r>
        <w:rPr>
          <w:spacing w:val="-55"/>
        </w:rPr>
        <w:t> </w:t>
      </w:r>
      <w:r>
        <w:rPr>
          <w:spacing w:val="-55"/>
        </w:rPr>
      </w:r>
      <w:r>
        <w:rPr>
          <w:spacing w:val="-2"/>
        </w:rPr>
        <w:t>提高，国内企业产品的市场占有率明显提升。另一方面，行业内原装配套厂商与通用耗材企业、各通用耗材企业间的竞争也</w:t>
      </w:r>
      <w:r>
        <w:rPr>
          <w:spacing w:val="-66"/>
        </w:rPr>
        <w:t> </w:t>
      </w:r>
      <w:r>
        <w:rPr>
          <w:spacing w:val="-66"/>
        </w:rPr>
      </w:r>
      <w:r>
        <w:rPr>
          <w:spacing w:val="-2"/>
        </w:rPr>
        <w:t>在不断加剧，行业已发展至充分竞争阶段，不具有自主研发能力与技术创新能力的企业将被淘汰，行业优秀资源将向有显著</w:t>
      </w:r>
      <w:r>
        <w:rPr>
          <w:spacing w:val="-66"/>
        </w:rPr>
        <w:t> </w:t>
      </w:r>
      <w:r>
        <w:rPr>
          <w:spacing w:val="-66"/>
        </w:rPr>
      </w:r>
      <w:r>
        <w:rPr/>
        <w:t>成本、品质及技术优势的企业集中。</w:t>
      </w:r>
    </w:p>
    <w:p>
      <w:pPr>
        <w:pStyle w:val="BodyText"/>
        <w:spacing w:line="300" w:lineRule="auto" w:before="24"/>
        <w:ind w:right="1130" w:firstLine="290"/>
        <w:jc w:val="both"/>
      </w:pPr>
      <w:r>
        <w:rPr>
          <w:rFonts w:ascii="Times New Roman" w:hAnsi="Times New Roman" w:cs="Times New Roman" w:eastAsia="Times New Roman" w:hint="default"/>
        </w:rPr>
        <w:t>2003</w:t>
      </w:r>
      <w:r>
        <w:rPr/>
        <w:t>年，公司在国内率先以自有技术建成了一条高度自动化的高分辨力激光</w:t>
      </w:r>
      <w:r>
        <w:rPr>
          <w:rFonts w:ascii="Times New Roman" w:hAnsi="Times New Roman" w:cs="Times New Roman" w:eastAsia="Times New Roman" w:hint="default"/>
        </w:rPr>
        <w:t>OPC</w:t>
      </w:r>
      <w:r>
        <w:rPr/>
        <w:t>鼓生产线，并成为国内第一家掌握高分 辨力激光</w:t>
      </w:r>
      <w:r>
        <w:rPr>
          <w:rFonts w:ascii="Times New Roman" w:hAnsi="Times New Roman" w:cs="Times New Roman" w:eastAsia="Times New Roman" w:hint="default"/>
        </w:rPr>
        <w:t>OPC</w:t>
      </w:r>
      <w:r>
        <w:rPr>
          <w:rFonts w:ascii="Times New Roman" w:hAnsi="Times New Roman" w:cs="Times New Roman" w:eastAsia="Times New Roman" w:hint="default"/>
          <w:spacing w:val="25"/>
        </w:rPr>
        <w:t> </w:t>
      </w:r>
      <w:r>
        <w:rPr/>
        <w:t>鼓生产工艺和生产线集成技术的厂家，摆脱了过去激光</w:t>
      </w:r>
      <w:r>
        <w:rPr>
          <w:rFonts w:ascii="Times New Roman" w:hAnsi="Times New Roman" w:cs="Times New Roman" w:eastAsia="Times New Roman" w:hint="default"/>
        </w:rPr>
        <w:t>OPC</w:t>
      </w:r>
      <w:r>
        <w:rPr/>
        <w:t>鼓生产只能依赖国外设备的局面，为我国激光有 </w:t>
      </w:r>
      <w:r>
        <w:rPr>
          <w:spacing w:val="-2"/>
        </w:rPr>
        <w:t>机光导鼓的发展掀开了新的篇章。经过多年的技术积累和生产经营，公司已发展成为国内激光</w:t>
      </w:r>
      <w:r>
        <w:rPr>
          <w:rFonts w:ascii="Times New Roman" w:hAnsi="Times New Roman" w:cs="Times New Roman" w:eastAsia="Times New Roman" w:hint="default"/>
          <w:spacing w:val="-2"/>
        </w:rPr>
        <w:t>OPC</w:t>
      </w:r>
      <w:r>
        <w:rPr>
          <w:spacing w:val="-2"/>
        </w:rPr>
        <w:t>鼓生产制造行业内规模最</w:t>
      </w:r>
      <w:r>
        <w:rPr>
          <w:spacing w:val="-54"/>
        </w:rPr>
        <w:t> </w:t>
      </w:r>
      <w:r>
        <w:rPr>
          <w:spacing w:val="-54"/>
        </w:rPr>
      </w:r>
      <w:r>
        <w:rPr>
          <w:spacing w:val="-2"/>
        </w:rPr>
        <w:t>大的民族企业，在国内激光</w:t>
      </w:r>
      <w:r>
        <w:rPr>
          <w:rFonts w:ascii="Times New Roman" w:hAnsi="Times New Roman" w:cs="Times New Roman" w:eastAsia="Times New Roman" w:hint="default"/>
          <w:spacing w:val="-2"/>
        </w:rPr>
        <w:t>OPC</w:t>
      </w:r>
      <w:r>
        <w:rPr>
          <w:spacing w:val="-2"/>
        </w:rPr>
        <w:t>鼓行业具备显著的技术和研发优势，也是目前世界上少数完整掌握激光</w:t>
      </w:r>
      <w:r>
        <w:rPr>
          <w:rFonts w:ascii="Times New Roman" w:hAnsi="Times New Roman" w:cs="Times New Roman" w:eastAsia="Times New Roman" w:hint="default"/>
          <w:spacing w:val="-2"/>
        </w:rPr>
        <w:t>OPC</w:t>
      </w:r>
      <w:r>
        <w:rPr>
          <w:spacing w:val="-2"/>
        </w:rPr>
        <w:t>鼓核心技术并具</w:t>
      </w:r>
      <w:r>
        <w:rPr>
          <w:spacing w:val="-48"/>
        </w:rPr>
        <w:t> </w:t>
      </w:r>
      <w:r>
        <w:rPr>
          <w:spacing w:val="-48"/>
        </w:rPr>
      </w:r>
      <w:r>
        <w:rPr/>
        <w:t>备专用设备系统集成能力的企业之一。</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374.49%</w:t>
            </w:r>
            <w:r>
              <w:rPr>
                <w:rFonts w:ascii="宋体" w:hAnsi="宋体" w:cs="宋体" w:eastAsia="宋体" w:hint="default"/>
                <w:sz w:val="18"/>
                <w:szCs w:val="18"/>
              </w:rPr>
              <w:t>，主要系公司于报告期内对外投资企业所致。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66.28%</w:t>
            </w:r>
            <w:r>
              <w:rPr>
                <w:rFonts w:ascii="宋体" w:hAnsi="宋体" w:cs="宋体" w:eastAsia="宋体" w:hint="default"/>
                <w:sz w:val="18"/>
                <w:szCs w:val="18"/>
              </w:rPr>
              <w:t>，主要系公司募投项目建设完工，固定资产增加所致。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，主要系公司募投项目建设完工，在建工程转入固定资产 所致。</w:t>
            </w:r>
          </w:p>
        </w:tc>
      </w:tr>
      <w:tr>
        <w:trPr>
          <w:trHeight w:val="393"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58.87%</w:t>
            </w:r>
            <w:r>
              <w:rPr>
                <w:rFonts w:ascii="宋体" w:hAnsi="宋体" w:cs="宋体" w:eastAsia="宋体" w:hint="default"/>
                <w:sz w:val="18"/>
                <w:szCs w:val="18"/>
              </w:rPr>
              <w:t>，系应收银行承兑汇票减少所致。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44.00%</w:t>
            </w:r>
            <w:r>
              <w:rPr>
                <w:rFonts w:ascii="宋体" w:hAnsi="宋体" w:cs="宋体" w:eastAsia="宋体" w:hint="default"/>
                <w:sz w:val="18"/>
                <w:szCs w:val="18"/>
              </w:rPr>
              <w:t>，系预付货款减少所致。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91.71%</w:t>
            </w:r>
            <w:r>
              <w:rPr>
                <w:rFonts w:ascii="宋体" w:hAnsi="宋体" w:cs="宋体" w:eastAsia="宋体" w:hint="default"/>
                <w:sz w:val="18"/>
                <w:szCs w:val="18"/>
              </w:rPr>
              <w:t>，主要系应收职工备用金减少所致。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131.73%</w:t>
            </w:r>
            <w:r>
              <w:rPr>
                <w:rFonts w:ascii="宋体" w:hAnsi="宋体" w:cs="宋体" w:eastAsia="宋体" w:hint="default"/>
                <w:sz w:val="18"/>
                <w:szCs w:val="18"/>
              </w:rPr>
              <w:t>，系公司生产规模扩大，存货增加所致。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57.49%</w:t>
            </w:r>
            <w:r>
              <w:rPr>
                <w:rFonts w:ascii="宋体" w:hAnsi="宋体" w:cs="宋体" w:eastAsia="宋体" w:hint="default"/>
                <w:sz w:val="18"/>
                <w:szCs w:val="18"/>
              </w:rPr>
              <w:t>，系购买的理财产品金额减少所致。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57.28%</w:t>
            </w:r>
            <w:r>
              <w:rPr>
                <w:rFonts w:ascii="宋体" w:hAnsi="宋体" w:cs="宋体" w:eastAsia="宋体" w:hint="default"/>
                <w:sz w:val="18"/>
                <w:szCs w:val="18"/>
              </w:rPr>
              <w:t>，系长期待摊费用摊销所致。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48.28%</w:t>
            </w:r>
            <w:r>
              <w:rPr>
                <w:rFonts w:ascii="宋体" w:hAnsi="宋体" w:cs="宋体" w:eastAsia="宋体" w:hint="default"/>
                <w:spacing w:val="-3"/>
                <w:sz w:val="18"/>
                <w:szCs w:val="18"/>
              </w:rPr>
              <w:t>，主要系计提的资产减值准备增加所导致的递延所得税资产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31.94%</w:t>
            </w:r>
            <w:r>
              <w:rPr>
                <w:rFonts w:ascii="宋体" w:hAnsi="宋体" w:cs="宋体" w:eastAsia="宋体" w:hint="default"/>
                <w:sz w:val="18"/>
                <w:szCs w:val="18"/>
              </w:rPr>
              <w:t>，系公司预付设备款减少所致。</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after="0" w:line="36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Heading4"/>
        <w:spacing w:line="240" w:lineRule="auto" w:before="44"/>
        <w:ind w:right="0"/>
        <w:jc w:val="left"/>
        <w:rPr>
          <w:b w:val="0"/>
          <w:bCs w:val="0"/>
        </w:rPr>
      </w:pPr>
      <w:r>
        <w:rPr/>
        <w:t>（</w:t>
      </w:r>
      <w:r>
        <w:rPr>
          <w:rFonts w:ascii="Times New Roman" w:hAnsi="Times New Roman" w:cs="Times New Roman" w:eastAsia="Times New Roman" w:hint="default"/>
        </w:rPr>
        <w:t>1</w:t>
      </w:r>
      <w:r>
        <w:rPr/>
        <w:t>）技术优势</w:t>
      </w:r>
      <w:r>
        <w:rPr>
          <w:b w:val="0"/>
          <w:bCs w:val="0"/>
        </w:rPr>
      </w:r>
    </w:p>
    <w:p>
      <w:pPr>
        <w:pStyle w:val="BodyText"/>
        <w:spacing w:line="316" w:lineRule="auto" w:before="63"/>
        <w:ind w:left="513" w:right="0" w:firstLine="1"/>
        <w:jc w:val="left"/>
      </w:pPr>
      <w:r>
        <w:rPr>
          <w:rFonts w:ascii="宋体" w:hAnsi="宋体" w:cs="宋体" w:eastAsia="宋体" w:hint="default"/>
          <w:b/>
          <w:bCs/>
        </w:rPr>
        <w:t>①设备集成及改造能力</w:t>
      </w:r>
      <w:r>
        <w:rPr>
          <w:rFonts w:ascii="宋体" w:hAnsi="宋体" w:cs="宋体" w:eastAsia="宋体" w:hint="default"/>
          <w:b/>
          <w:bCs/>
          <w:w w:val="99"/>
        </w:rPr>
        <w:t> </w:t>
      </w:r>
      <w:r>
        <w:rPr>
          <w:spacing w:val="-2"/>
        </w:rPr>
        <w:t>公司拥有激光有机光导鼓生产的整套工艺技术，自主研发设计适用于本公司的自动化生产线，生产线中的各主要环节均</w:t>
      </w:r>
    </w:p>
    <w:p>
      <w:pPr>
        <w:pStyle w:val="BodyText"/>
        <w:spacing w:line="319" w:lineRule="auto" w:before="19"/>
        <w:ind w:right="1033"/>
        <w:jc w:val="left"/>
      </w:pPr>
      <w:r>
        <w:rPr>
          <w:spacing w:val="-2"/>
        </w:rPr>
        <w:t>按照公司特定需求与国内的设备制造企业共同研发定制，对同行企业来说具有不可复制性。无论是新产品研发，还是生产线</w:t>
      </w:r>
      <w:r>
        <w:rPr>
          <w:spacing w:val="-66"/>
        </w:rPr>
        <w:t> </w:t>
      </w:r>
      <w:r>
        <w:rPr>
          <w:spacing w:val="-66"/>
        </w:rPr>
      </w:r>
      <w:r>
        <w:rPr/>
        <w:t>中限制效率的薄弱环节，公司均能快速地对相关设备进行针对性的改造，从而增强公司对市场的应变能力或提高生产效率。</w:t>
      </w:r>
      <w:r>
        <w:rPr/>
        <w:t> 因此，公司在设备集成及对生产线的技术改造方面较行业内其他企业具有更大的灵活性。</w:t>
      </w:r>
    </w:p>
    <w:p>
      <w:pPr>
        <w:pStyle w:val="BodyText"/>
        <w:spacing w:line="316" w:lineRule="auto" w:before="17"/>
        <w:ind w:left="513" w:right="1127" w:firstLine="1"/>
        <w:jc w:val="left"/>
      </w:pPr>
      <w:r>
        <w:rPr>
          <w:rFonts w:ascii="宋体" w:hAnsi="宋体" w:cs="宋体" w:eastAsia="宋体" w:hint="default"/>
          <w:b/>
          <w:bCs/>
        </w:rPr>
        <w:t>②工艺流程</w:t>
      </w:r>
      <w:r>
        <w:rPr>
          <w:rFonts w:ascii="宋体" w:hAnsi="宋体" w:cs="宋体" w:eastAsia="宋体" w:hint="default"/>
          <w:b/>
          <w:bCs/>
          <w:w w:val="99"/>
        </w:rPr>
        <w:t> </w:t>
      </w:r>
      <w:r>
        <w:rPr>
          <w:spacing w:val="-1"/>
        </w:rPr>
        <w:t>公司针对激光有机光导鼓的生产特点，研制开发出独特的</w:t>
      </w:r>
      <w:r>
        <w:rPr>
          <w:rFonts w:ascii="Times New Roman" w:hAnsi="Times New Roman" w:cs="Times New Roman" w:eastAsia="Times New Roman" w:hint="default"/>
          <w:spacing w:val="-1"/>
        </w:rPr>
        <w:t>“</w:t>
      </w:r>
      <w:r>
        <w:rPr>
          <w:spacing w:val="-1"/>
        </w:rPr>
        <w:t>一体两翼，双线联动</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连续镀膜，一次成型</w:t>
      </w:r>
      <w:r>
        <w:rPr>
          <w:rFonts w:ascii="Times New Roman" w:hAnsi="Times New Roman" w:cs="Times New Roman" w:eastAsia="Times New Roman" w:hint="default"/>
          <w:spacing w:val="-1"/>
        </w:rPr>
        <w:t>”</w:t>
      </w:r>
      <w:r>
        <w:rPr>
          <w:spacing w:val="-1"/>
        </w:rPr>
        <w:t>、自动视检与</w:t>
      </w:r>
    </w:p>
    <w:p>
      <w:pPr>
        <w:pStyle w:val="BodyText"/>
        <w:spacing w:line="316" w:lineRule="auto"/>
        <w:ind w:right="0"/>
        <w:jc w:val="left"/>
      </w:pPr>
      <w:r>
        <w:rPr>
          <w:spacing w:val="-2"/>
        </w:rPr>
        <w:t>装配等技术及工艺，有效缩短了生产工艺流程，降低成本。同时，公司能根据不同产品的生产及技术特点，不断对产线实现</w:t>
      </w:r>
      <w:r>
        <w:rPr>
          <w:spacing w:val="-66"/>
        </w:rPr>
        <w:t> </w:t>
      </w:r>
      <w:r>
        <w:rPr>
          <w:spacing w:val="-66"/>
        </w:rPr>
      </w:r>
      <w:r>
        <w:rPr/>
        <w:t>循环升级优化，持续提高工艺流程的效率与自动化水平。</w:t>
      </w:r>
    </w:p>
    <w:p>
      <w:pPr>
        <w:pStyle w:val="BodyText"/>
        <w:spacing w:line="316" w:lineRule="auto" w:before="19"/>
        <w:ind w:left="513" w:right="1025" w:firstLine="1"/>
        <w:jc w:val="left"/>
      </w:pPr>
      <w:r>
        <w:rPr>
          <w:rFonts w:ascii="宋体" w:hAnsi="宋体" w:cs="宋体" w:eastAsia="宋体" w:hint="default"/>
          <w:b/>
          <w:bCs/>
        </w:rPr>
        <w:t>③镀膜配方</w:t>
      </w:r>
      <w:r>
        <w:rPr>
          <w:rFonts w:ascii="宋体" w:hAnsi="宋体" w:cs="宋体" w:eastAsia="宋体" w:hint="default"/>
          <w:b/>
          <w:bCs/>
          <w:w w:val="99"/>
        </w:rPr>
        <w:t> </w:t>
      </w:r>
      <w:r>
        <w:rPr>
          <w:spacing w:val="-3"/>
        </w:rPr>
        <w:t>作为激光</w:t>
      </w:r>
      <w:r>
        <w:rPr>
          <w:rFonts w:ascii="Times New Roman" w:hAnsi="Times New Roman" w:cs="Times New Roman" w:eastAsia="Times New Roman" w:hint="default"/>
          <w:spacing w:val="-3"/>
        </w:rPr>
        <w:t>OPC</w:t>
      </w:r>
      <w:r>
        <w:rPr>
          <w:spacing w:val="-3"/>
        </w:rPr>
        <w:t>鼓生产的核心环节，在镀膜液配方的研制方面，公司通过多年研发与技术积累，在保证产品质量的前提下，</w:t>
      </w:r>
    </w:p>
    <w:p>
      <w:pPr>
        <w:pStyle w:val="BodyText"/>
        <w:spacing w:line="316" w:lineRule="auto"/>
        <w:ind w:right="1033"/>
        <w:jc w:val="left"/>
      </w:pPr>
      <w:r>
        <w:rPr>
          <w:spacing w:val="-2"/>
        </w:rPr>
        <w:t>能根据不同产品的性能要求，研制出成膜性高、性能稳定、高迁移率的多种镀膜材料技术配方。同时，公司能根据对现有产</w:t>
      </w:r>
      <w:r>
        <w:rPr>
          <w:spacing w:val="-66"/>
        </w:rPr>
        <w:t> </w:t>
      </w:r>
      <w:r>
        <w:rPr>
          <w:spacing w:val="-66"/>
        </w:rPr>
      </w:r>
      <w:r>
        <w:rPr/>
        <w:t>品镀膜的监测情况，积极优选与改进镀膜材料，进一步研发出高性能，低成本的镀膜配方，提高印品品质的同时降低成本。</w:t>
      </w:r>
    </w:p>
    <w:p>
      <w:pPr>
        <w:pStyle w:val="BodyText"/>
        <w:spacing w:line="300" w:lineRule="auto" w:before="19"/>
        <w:ind w:left="514" w:right="1126"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）研发优势</w:t>
      </w:r>
      <w:r>
        <w:rPr>
          <w:rFonts w:ascii="宋体" w:hAnsi="宋体" w:cs="宋体" w:eastAsia="宋体" w:hint="default"/>
          <w:b/>
          <w:bCs/>
          <w:w w:val="99"/>
        </w:rPr>
        <w:t> </w:t>
      </w:r>
      <w:r>
        <w:rPr>
          <w:spacing w:val="-1"/>
        </w:rPr>
        <w:t>公司设有</w:t>
      </w:r>
      <w:r>
        <w:rPr>
          <w:rFonts w:ascii="Times New Roman" w:hAnsi="Times New Roman" w:cs="Times New Roman" w:eastAsia="Times New Roman" w:hint="default"/>
          <w:spacing w:val="-1"/>
        </w:rPr>
        <w:t>“</w:t>
      </w:r>
      <w:r>
        <w:rPr>
          <w:spacing w:val="-1"/>
        </w:rPr>
        <w:t>江苏省省级企业技术中心</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苏州市有机光导工程技术研究中心</w:t>
      </w:r>
      <w:r>
        <w:rPr>
          <w:rFonts w:ascii="Times New Roman" w:hAnsi="Times New Roman" w:cs="Times New Roman" w:eastAsia="Times New Roman" w:hint="default"/>
          <w:spacing w:val="-1"/>
        </w:rPr>
        <w:t>”</w:t>
      </w:r>
      <w:r>
        <w:rPr>
          <w:spacing w:val="-1"/>
        </w:rPr>
        <w:t>，拥有较雄厚的研发实力。依托市场部为先</w:t>
      </w:r>
    </w:p>
    <w:p>
      <w:pPr>
        <w:pStyle w:val="BodyText"/>
        <w:spacing w:line="316" w:lineRule="auto" w:before="13"/>
        <w:ind w:right="0"/>
        <w:jc w:val="left"/>
      </w:pPr>
      <w:r>
        <w:rPr>
          <w:spacing w:val="-2"/>
        </w:rPr>
        <w:t>导、产品技术部为核心，其他部门为辅助的研发体系，从原材料的选择、镀膜配方、设备改造到工程试验、直至产品的批量</w:t>
      </w:r>
      <w:r>
        <w:rPr>
          <w:spacing w:val="-68"/>
        </w:rPr>
        <w:t> </w:t>
      </w:r>
      <w:r>
        <w:rPr>
          <w:spacing w:val="-68"/>
        </w:rPr>
      </w:r>
      <w:r>
        <w:rPr/>
        <w:t>生产和质量控制方面，公司形成了对市场需求快速响应的研发模式。</w:t>
      </w:r>
    </w:p>
    <w:p>
      <w:pPr>
        <w:pStyle w:val="BodyText"/>
        <w:spacing w:line="300" w:lineRule="auto" w:before="19"/>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）产品线优势</w:t>
      </w:r>
      <w:r>
        <w:rPr>
          <w:rFonts w:ascii="宋体" w:hAnsi="宋体" w:cs="宋体" w:eastAsia="宋体" w:hint="default"/>
          <w:b/>
          <w:bCs/>
          <w:w w:val="99"/>
        </w:rPr>
        <w:t> </w:t>
      </w:r>
      <w:r>
        <w:rPr>
          <w:spacing w:val="-2"/>
        </w:rPr>
        <w:t>凭借卓越的技术研发能力与专用设备改造力，公司生产的产品不仅覆盖激光</w:t>
      </w:r>
      <w:r>
        <w:rPr>
          <w:rFonts w:ascii="Times New Roman" w:hAnsi="Times New Roman" w:cs="Times New Roman" w:eastAsia="Times New Roman" w:hint="default"/>
          <w:spacing w:val="-2"/>
        </w:rPr>
        <w:t>OPC</w:t>
      </w:r>
      <w:r>
        <w:rPr>
          <w:spacing w:val="-2"/>
        </w:rPr>
        <w:t>鼓市场中主流的小直径鼓芯，公司还能</w:t>
      </w:r>
    </w:p>
    <w:p>
      <w:pPr>
        <w:pStyle w:val="BodyText"/>
        <w:spacing w:line="316" w:lineRule="auto" w:before="13"/>
        <w:ind w:left="154" w:right="0"/>
        <w:jc w:val="left"/>
      </w:pPr>
      <w:r>
        <w:rPr>
          <w:spacing w:val="-2"/>
        </w:rPr>
        <w:t>根据客户需求，定制中大直径的工程机鼓芯及特定再生鼓芯等，以丰富的产品品种满足多样化、个性化的市场需求，也使公</w:t>
      </w:r>
      <w:r>
        <w:rPr>
          <w:spacing w:val="-66"/>
        </w:rPr>
        <w:t> </w:t>
      </w:r>
      <w:r>
        <w:rPr>
          <w:spacing w:val="-66"/>
        </w:rPr>
      </w:r>
      <w:r>
        <w:rPr/>
        <w:t>司在市场拓展方面显示强有力的竞争优势。</w:t>
      </w:r>
    </w:p>
    <w:p>
      <w:pPr>
        <w:pStyle w:val="BodyText"/>
        <w:spacing w:line="300" w:lineRule="auto" w:before="19"/>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）质量管理优势</w:t>
      </w:r>
      <w:r>
        <w:rPr>
          <w:rFonts w:ascii="宋体" w:hAnsi="宋体" w:cs="宋体" w:eastAsia="宋体" w:hint="default"/>
          <w:b/>
          <w:bCs/>
          <w:w w:val="99"/>
        </w:rPr>
        <w:t> </w:t>
      </w:r>
      <w:r>
        <w:rPr>
          <w:spacing w:val="-2"/>
        </w:rPr>
        <w:t>品牌是旗帜，品质是旗杆，公司激光</w:t>
      </w:r>
      <w:r>
        <w:rPr>
          <w:rFonts w:ascii="Times New Roman" w:hAnsi="Times New Roman" w:cs="Times New Roman" w:eastAsia="Times New Roman" w:hint="default"/>
          <w:spacing w:val="-2"/>
        </w:rPr>
        <w:t>OPC</w:t>
      </w:r>
      <w:r>
        <w:rPr>
          <w:spacing w:val="-2"/>
        </w:rPr>
        <w:t>鼓生产遵守严格的质量控制企业标准，并建立规范化、职责分明的全面质量控</w:t>
      </w:r>
    </w:p>
    <w:p>
      <w:pPr>
        <w:pStyle w:val="BodyText"/>
        <w:spacing w:line="314" w:lineRule="auto" w:before="13"/>
        <w:ind w:right="0"/>
        <w:jc w:val="left"/>
      </w:pPr>
      <w:r>
        <w:rPr>
          <w:spacing w:val="-2"/>
        </w:rPr>
        <w:t>制体系。鉴于公司良好的质量控制能力与丰富的经验，公司先后受邀参与《彩色激光打印机用有机光导鼓》、《激光打印机</w:t>
      </w:r>
      <w:r>
        <w:rPr>
          <w:spacing w:val="-67"/>
        </w:rPr>
        <w:t> </w:t>
      </w:r>
      <w:r>
        <w:rPr>
          <w:spacing w:val="-67"/>
        </w:rPr>
      </w:r>
      <w:r>
        <w:rPr/>
        <w:t>负电性有机光导鼓技术条件》、</w:t>
      </w:r>
      <w:r>
        <w:rPr>
          <w:spacing w:val="-19"/>
        </w:rPr>
        <w:t> </w:t>
      </w:r>
      <w:r>
        <w:rPr/>
        <w:t>《静电复印（打印、多功能）设备用光导鼓光电特性测量方法》、《静电复印（打印、多</w:t>
      </w:r>
      <w:r>
        <w:rPr/>
        <w:t> 功能）设备用光导鼓表面电位均匀性测量方法》等多项行业标准、国家标准的制订。报告期内，公司通过了</w:t>
      </w:r>
      <w:r>
        <w:rPr>
          <w:rFonts w:ascii="Times New Roman" w:hAnsi="Times New Roman" w:cs="Times New Roman" w:eastAsia="Times New Roman" w:hint="default"/>
        </w:rPr>
        <w:t>ISO9001:2015 </w:t>
      </w:r>
      <w:r>
        <w:rPr>
          <w:spacing w:val="-2"/>
        </w:rPr>
        <w:t>质量管理体系认证。同时，公司作为主起草单位制订的《彩色激光打印机用有机光导鼓》国家标准以及作为参与起草单位制</w:t>
      </w:r>
      <w:r>
        <w:rPr>
          <w:spacing w:val="-66"/>
        </w:rPr>
        <w:t> </w:t>
      </w:r>
      <w:r>
        <w:rPr>
          <w:spacing w:val="-66"/>
        </w:rPr>
      </w:r>
      <w:r>
        <w:rPr/>
        <w:t>订的《彩色激光打印机印品质量测试方法》国家标准获准发布实施。</w:t>
      </w:r>
    </w:p>
    <w:p>
      <w:pPr>
        <w:spacing w:after="0" w:line="31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rFonts w:ascii="宋体" w:hAnsi="宋体" w:cs="宋体" w:eastAsia="宋体" w:hint="default"/>
          <w:spacing w:val="-2"/>
        </w:rPr>
        <w:t>2017</w:t>
      </w:r>
      <w:r>
        <w:rPr>
          <w:spacing w:val="-2"/>
        </w:rPr>
        <w:t>年度，公司在董事会的正确领导下，在经营管理层和全体员工的共同努力下，坚持立足行业和自身实际，稳步推进</w:t>
      </w:r>
      <w:r>
        <w:rPr/>
        <w:t> </w:t>
      </w:r>
      <w:r>
        <w:rPr>
          <w:spacing w:val="-2"/>
        </w:rPr>
        <w:t>转型升级战略，持续提升创新能动力，加大研发投入，优化产品结构，积极降本增效，顺利完成了</w:t>
      </w:r>
      <w:r>
        <w:rPr>
          <w:rFonts w:ascii="宋体" w:hAnsi="宋体" w:cs="宋体" w:eastAsia="宋体" w:hint="default"/>
          <w:spacing w:val="-2"/>
        </w:rPr>
        <w:t>2017</w:t>
      </w:r>
      <w:r>
        <w:rPr>
          <w:spacing w:val="-2"/>
        </w:rPr>
        <w:t>年度各项经营管理工</w:t>
      </w:r>
      <w:r>
        <w:rPr>
          <w:spacing w:val="-62"/>
        </w:rPr>
        <w:t> </w:t>
      </w:r>
      <w:r>
        <w:rPr>
          <w:spacing w:val="-62"/>
        </w:rPr>
      </w:r>
      <w:r>
        <w:rPr/>
        <w:t>作，为公司稳步、健康地发展奠定了坚实的基础。</w:t>
      </w:r>
    </w:p>
    <w:p>
      <w:pPr>
        <w:spacing w:line="240" w:lineRule="auto" w:before="5"/>
        <w:rPr>
          <w:rFonts w:ascii="宋体" w:hAnsi="宋体" w:cs="宋体" w:eastAsia="宋体" w:hint="default"/>
          <w:sz w:val="13"/>
          <w:szCs w:val="13"/>
        </w:rPr>
      </w:pPr>
    </w:p>
    <w:p>
      <w:pPr>
        <w:pStyle w:val="BodyText"/>
        <w:spacing w:line="316" w:lineRule="auto"/>
        <w:ind w:right="1132" w:firstLine="361"/>
        <w:jc w:val="both"/>
      </w:pPr>
      <w:r>
        <w:rPr>
          <w:rFonts w:ascii="宋体" w:hAnsi="宋体" w:cs="宋体" w:eastAsia="宋体" w:hint="default"/>
          <w:b/>
          <w:bCs/>
          <w:spacing w:val="-2"/>
        </w:rPr>
        <w:t>（</w:t>
      </w:r>
      <w:r>
        <w:rPr>
          <w:rFonts w:ascii="宋体" w:hAnsi="宋体" w:cs="宋体" w:eastAsia="宋体" w:hint="default"/>
          <w:b/>
          <w:bCs/>
          <w:spacing w:val="-2"/>
        </w:rPr>
        <w:t>1</w:t>
      </w:r>
      <w:r>
        <w:rPr>
          <w:rFonts w:ascii="宋体" w:hAnsi="宋体" w:cs="宋体" w:eastAsia="宋体" w:hint="default"/>
          <w:b/>
          <w:bCs/>
          <w:spacing w:val="-2"/>
        </w:rPr>
        <w:t>）经营业绩</w:t>
      </w:r>
      <w:r>
        <w:rPr>
          <w:spacing w:val="-2"/>
        </w:rPr>
        <w:t>：</w:t>
      </w:r>
      <w:r>
        <w:rPr>
          <w:rFonts w:ascii="宋体" w:hAnsi="宋体" w:cs="宋体" w:eastAsia="宋体" w:hint="default"/>
          <w:spacing w:val="-2"/>
        </w:rPr>
        <w:t>2017</w:t>
      </w:r>
      <w:r>
        <w:rPr>
          <w:spacing w:val="-2"/>
        </w:rPr>
        <w:t>年度，公司实现营业总收入</w:t>
      </w:r>
      <w:r>
        <w:rPr>
          <w:rFonts w:ascii="宋体" w:hAnsi="宋体" w:cs="宋体" w:eastAsia="宋体" w:hint="default"/>
          <w:spacing w:val="-2"/>
        </w:rPr>
        <w:t>286,359,847.67</w:t>
      </w:r>
      <w:r>
        <w:rPr>
          <w:spacing w:val="-2"/>
        </w:rPr>
        <w:t>元，较上年同期增长</w:t>
      </w:r>
      <w:r>
        <w:rPr>
          <w:rFonts w:ascii="宋体" w:hAnsi="宋体" w:cs="宋体" w:eastAsia="宋体" w:hint="default"/>
          <w:spacing w:val="-2"/>
        </w:rPr>
        <w:t>4.25%</w:t>
      </w:r>
      <w:r>
        <w:rPr>
          <w:spacing w:val="-2"/>
        </w:rPr>
        <w:t>；实现归属于母公司所有者</w:t>
      </w:r>
      <w:r>
        <w:rPr/>
        <w:t> 的净利润</w:t>
      </w:r>
      <w:r>
        <w:rPr>
          <w:rFonts w:ascii="宋体" w:hAnsi="宋体" w:cs="宋体" w:eastAsia="宋体" w:hint="default"/>
        </w:rPr>
        <w:t>30,446,607.75</w:t>
      </w:r>
      <w:r>
        <w:rPr/>
        <w:t>元，较上年同期下降</w:t>
      </w:r>
      <w:r>
        <w:rPr>
          <w:rFonts w:ascii="宋体" w:hAnsi="宋体" w:cs="宋体" w:eastAsia="宋体" w:hint="default"/>
        </w:rPr>
        <w:t>25.83%</w:t>
      </w:r>
      <w:r>
        <w:rPr/>
        <w:t>；实现每股收益</w:t>
      </w:r>
      <w:r>
        <w:rPr>
          <w:rFonts w:ascii="宋体" w:hAnsi="宋体" w:cs="宋体" w:eastAsia="宋体" w:hint="default"/>
        </w:rPr>
        <w:t>0.159</w:t>
      </w:r>
      <w:r>
        <w:rPr/>
        <w:t>元，较上年同期下降</w:t>
      </w:r>
      <w:r>
        <w:rPr>
          <w:rFonts w:ascii="宋体" w:hAnsi="宋体" w:cs="宋体" w:eastAsia="宋体" w:hint="default"/>
        </w:rPr>
        <w:t>0.097</w:t>
      </w:r>
      <w:r>
        <w:rPr/>
        <w:t>元。</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报告期内，公司营业收入保持稳定增长，但实现归属于母公司所有者的净利润较上年同期下降</w:t>
      </w:r>
      <w:r>
        <w:rPr>
          <w:rFonts w:ascii="宋体" w:hAnsi="宋体" w:cs="宋体" w:eastAsia="宋体" w:hint="default"/>
          <w:spacing w:val="-2"/>
        </w:rPr>
        <w:t>25.83%</w:t>
      </w:r>
      <w:r>
        <w:rPr>
          <w:spacing w:val="-2"/>
        </w:rPr>
        <w:t>，其主要原因在于</w:t>
      </w:r>
      <w:r>
        <w:rPr/>
        <w:t> 报告期内美元汇率大幅波动所产生的财务汇兑损失，使财务汇兑费用较上年同期增长</w:t>
      </w:r>
      <w:r>
        <w:rPr>
          <w:rFonts w:ascii="宋体" w:hAnsi="宋体" w:cs="宋体" w:eastAsia="宋体" w:hint="default"/>
        </w:rPr>
        <w:t>204.88%</w:t>
      </w:r>
      <w:r>
        <w:rPr/>
        <w:t>。</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日，公司总资产</w:t>
      </w:r>
      <w:r>
        <w:rPr>
          <w:rFonts w:ascii="宋体" w:hAnsi="宋体" w:cs="宋体" w:eastAsia="宋体" w:hint="default"/>
          <w:spacing w:val="-2"/>
        </w:rPr>
        <w:t>622,898,240.51</w:t>
      </w:r>
      <w:r>
        <w:rPr>
          <w:spacing w:val="-2"/>
        </w:rPr>
        <w:t>元，较上年同比增长</w:t>
      </w:r>
      <w:r>
        <w:rPr>
          <w:rFonts w:ascii="宋体" w:hAnsi="宋体" w:cs="宋体" w:eastAsia="宋体" w:hint="default"/>
          <w:spacing w:val="-2"/>
        </w:rPr>
        <w:t>8.43%</w:t>
      </w:r>
      <w:r>
        <w:rPr>
          <w:spacing w:val="-2"/>
        </w:rPr>
        <w:t>；负债总额</w:t>
      </w:r>
      <w:r>
        <w:rPr>
          <w:rFonts w:ascii="宋体" w:hAnsi="宋体" w:cs="宋体" w:eastAsia="宋体" w:hint="default"/>
          <w:spacing w:val="-2"/>
        </w:rPr>
        <w:t>81,941,073.40</w:t>
      </w:r>
      <w:r>
        <w:rPr>
          <w:spacing w:val="-2"/>
        </w:rPr>
        <w:t>元，较上年同比</w:t>
      </w:r>
      <w:r>
        <w:rPr/>
        <w:t> 增长</w:t>
      </w:r>
      <w:r>
        <w:rPr>
          <w:rFonts w:ascii="宋体" w:hAnsi="宋体" w:cs="宋体" w:eastAsia="宋体" w:hint="default"/>
        </w:rPr>
        <w:t>59.36%</w:t>
      </w:r>
      <w:r>
        <w:rPr/>
        <w:t>；归属于母公司所有者权益</w:t>
      </w:r>
      <w:r>
        <w:rPr>
          <w:rFonts w:ascii="宋体" w:hAnsi="宋体" w:cs="宋体" w:eastAsia="宋体" w:hint="default"/>
        </w:rPr>
        <w:t>540,957,167.11</w:t>
      </w:r>
      <w:r>
        <w:rPr/>
        <w:t>元，较上年同比增长</w:t>
      </w:r>
      <w:r>
        <w:rPr>
          <w:rFonts w:ascii="宋体" w:hAnsi="宋体" w:cs="宋体" w:eastAsia="宋体" w:hint="default"/>
        </w:rPr>
        <w:t>3.42%</w:t>
      </w:r>
      <w:r>
        <w:rPr/>
        <w:t>，公司资产规模进一步扩大。</w:t>
      </w:r>
    </w:p>
    <w:p>
      <w:pPr>
        <w:spacing w:line="240" w:lineRule="auto" w:before="5"/>
        <w:rPr>
          <w:rFonts w:ascii="宋体" w:hAnsi="宋体" w:cs="宋体" w:eastAsia="宋体" w:hint="default"/>
          <w:sz w:val="13"/>
          <w:szCs w:val="13"/>
        </w:rPr>
      </w:pPr>
    </w:p>
    <w:p>
      <w:pPr>
        <w:pStyle w:val="BodyText"/>
        <w:spacing w:line="316" w:lineRule="auto"/>
        <w:ind w:right="1130" w:firstLine="361"/>
        <w:jc w:val="both"/>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）产业战略整合</w:t>
      </w:r>
      <w:r>
        <w:rPr/>
        <w:t>：打印耗材行业是一个有着完善分工又密切协作的产业群，是一个环环相扣高效运作的循环经济产 业链。报告期内，公司以激光</w:t>
      </w:r>
      <w:r>
        <w:rPr>
          <w:rFonts w:ascii="宋体" w:hAnsi="宋体" w:cs="宋体" w:eastAsia="宋体" w:hint="default"/>
        </w:rPr>
        <w:t>OPC</w:t>
      </w:r>
      <w:r>
        <w:rPr/>
        <w:t>鼓及相关技术作为核心产业基础，加快了外延式扩张步伐，通过投资碳粉、硒鼓及办公设 </w:t>
      </w:r>
      <w:r>
        <w:rPr>
          <w:spacing w:val="-2"/>
        </w:rPr>
        <w:t>备共享电商平台等企业，不断拓展产业链的深度与广度，与公司现有的产品与业务形成战略匹配，实现行业资源优势互补和</w:t>
      </w:r>
      <w:r>
        <w:rPr>
          <w:spacing w:val="-66"/>
        </w:rPr>
        <w:t> </w:t>
      </w:r>
      <w:r>
        <w:rPr>
          <w:spacing w:val="-66"/>
        </w:rPr>
      </w:r>
      <w:r>
        <w:rPr>
          <w:spacing w:val="-2"/>
        </w:rPr>
        <w:t>协同发展。公司另通过设立商业保理公司，帮助行业相关企业盘活资产，有助于构建产业链企业良性发展的生态环境。公司</w:t>
      </w:r>
      <w:r>
        <w:rPr>
          <w:spacing w:val="-66"/>
        </w:rPr>
        <w:t> </w:t>
      </w:r>
      <w:r>
        <w:rPr>
          <w:spacing w:val="-66"/>
        </w:rPr>
      </w:r>
      <w:r>
        <w:rPr>
          <w:spacing w:val="-2"/>
        </w:rPr>
        <w:t>通过业务互补、金融支持及技术合作等多方式深化多层次、全方面、立体及生态的影像产业战略布局，为公司未来持续稳健</w:t>
      </w:r>
      <w:r>
        <w:rPr>
          <w:spacing w:val="-66"/>
        </w:rPr>
        <w:t> </w:t>
      </w:r>
      <w:r>
        <w:rPr>
          <w:spacing w:val="-66"/>
        </w:rPr>
      </w:r>
      <w:r>
        <w:rPr/>
        <w:t>的发展奠定基础。</w:t>
      </w:r>
    </w:p>
    <w:p>
      <w:pPr>
        <w:spacing w:line="240" w:lineRule="auto" w:before="5"/>
        <w:rPr>
          <w:rFonts w:ascii="宋体" w:hAnsi="宋体" w:cs="宋体" w:eastAsia="宋体" w:hint="default"/>
          <w:sz w:val="13"/>
          <w:szCs w:val="13"/>
        </w:rPr>
      </w:pPr>
    </w:p>
    <w:p>
      <w:pPr>
        <w:pStyle w:val="BodyText"/>
        <w:spacing w:line="316" w:lineRule="auto"/>
        <w:ind w:right="1131" w:firstLine="361"/>
        <w:jc w:val="both"/>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 </w:t>
      </w:r>
      <w:r>
        <w:rPr>
          <w:rFonts w:ascii="宋体" w:hAnsi="宋体" w:cs="宋体" w:eastAsia="宋体" w:hint="default"/>
          <w:b/>
          <w:bCs/>
          <w:spacing w:val="-2"/>
        </w:rPr>
        <w:t>技术研发</w:t>
      </w:r>
      <w:r>
        <w:rPr>
          <w:spacing w:val="-2"/>
        </w:rPr>
        <w:t>：公司设有“江苏省省级企业技术中心”和“苏州市有机光导工程技术研究中心”。报告期内，为了在</w:t>
      </w:r>
      <w:r>
        <w:rPr/>
        <w:t> </w:t>
      </w:r>
      <w:r>
        <w:rPr>
          <w:spacing w:val="-2"/>
        </w:rPr>
        <w:t>日益变化的市场形势中获取技术与产品的先发优势与核心竞争力，公司凭借自身研发与技术实力，加大新项目及新产品的研</w:t>
      </w:r>
      <w:r>
        <w:rPr>
          <w:spacing w:val="-64"/>
        </w:rPr>
        <w:t> </w:t>
      </w:r>
      <w:r>
        <w:rPr>
          <w:spacing w:val="-64"/>
        </w:rPr>
      </w:r>
      <w:r>
        <w:rPr/>
        <w:t>发力度，对负电性</w:t>
      </w:r>
      <w:r>
        <w:rPr>
          <w:rFonts w:ascii="宋体" w:hAnsi="宋体" w:cs="宋体" w:eastAsia="宋体" w:hint="default"/>
        </w:rPr>
        <w:t>OEM</w:t>
      </w:r>
      <w:r>
        <w:rPr/>
        <w:t>激光有机光导鼓的再生研制、多元环境适用型激光光导鼓、低场高敏性复合型正电涂布技术、轻质高 </w:t>
      </w:r>
      <w:r>
        <w:rPr>
          <w:spacing w:val="-2"/>
        </w:rPr>
        <w:t>强度铝基管技术、</w:t>
      </w:r>
      <w:r>
        <w:rPr>
          <w:rFonts w:ascii="宋体" w:hAnsi="宋体" w:cs="宋体" w:eastAsia="宋体" w:hint="default"/>
          <w:spacing w:val="-2"/>
        </w:rPr>
        <w:t>CTL</w:t>
      </w:r>
      <w:r>
        <w:rPr>
          <w:spacing w:val="-2"/>
        </w:rPr>
        <w:t>自流平工艺技术等</w:t>
      </w:r>
      <w:r>
        <w:rPr>
          <w:rFonts w:ascii="宋体" w:hAnsi="宋体" w:cs="宋体" w:eastAsia="宋体" w:hint="default"/>
          <w:spacing w:val="-2"/>
        </w:rPr>
        <w:t>8</w:t>
      </w:r>
      <w:r>
        <w:rPr>
          <w:spacing w:val="-2"/>
        </w:rPr>
        <w:t>个项目进行自主研发，以进一步强化公司在再生产品制造方面的技术优势；扩大公</w:t>
      </w:r>
      <w:r>
        <w:rPr>
          <w:spacing w:val="-62"/>
        </w:rPr>
        <w:t> </w:t>
      </w:r>
      <w:r>
        <w:rPr>
          <w:spacing w:val="-62"/>
        </w:rPr>
      </w:r>
      <w:r>
        <w:rPr>
          <w:spacing w:val="-2"/>
        </w:rPr>
        <w:t>司核心产品的匹配适应性，提高兼容性；为正电性陶瓷硅鼓转化为有机光导鼓做好技术储备；提高产品价格竞争优势。这些</w:t>
      </w:r>
      <w:r>
        <w:rPr>
          <w:spacing w:val="-66"/>
        </w:rPr>
        <w:t> </w:t>
      </w:r>
      <w:r>
        <w:rPr>
          <w:spacing w:val="-66"/>
        </w:rPr>
      </w:r>
      <w:r>
        <w:rPr>
          <w:spacing w:val="-2"/>
        </w:rPr>
        <w:t>研发项目的开展与完成为公司产业结构调整、产品品种更新换代，生产工艺的改进、生产效率的提高和生产成本的降低提供</w:t>
      </w:r>
      <w:r>
        <w:rPr>
          <w:spacing w:val="-66"/>
        </w:rPr>
        <w:t> </w:t>
      </w:r>
      <w:r>
        <w:rPr>
          <w:spacing w:val="-66"/>
        </w:rPr>
      </w:r>
      <w:r>
        <w:rPr/>
        <w:t>了强有力的技术保障。</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公司在</w:t>
      </w:r>
      <w:r>
        <w:rPr>
          <w:rFonts w:ascii="宋体" w:hAnsi="宋体" w:cs="宋体" w:eastAsia="宋体" w:hint="default"/>
          <w:spacing w:val="-2"/>
        </w:rPr>
        <w:t>2017</w:t>
      </w:r>
      <w:r>
        <w:rPr>
          <w:spacing w:val="-2"/>
        </w:rPr>
        <w:t>年度取得</w:t>
      </w:r>
      <w:r>
        <w:rPr>
          <w:rFonts w:ascii="宋体" w:hAnsi="宋体" w:cs="宋体" w:eastAsia="宋体" w:hint="default"/>
          <w:spacing w:val="-2"/>
        </w:rPr>
        <w:t>5</w:t>
      </w:r>
      <w:r>
        <w:rPr>
          <w:spacing w:val="-2"/>
        </w:rPr>
        <w:t>项专利授权，并新申请发明专利</w:t>
      </w:r>
      <w:r>
        <w:rPr>
          <w:rFonts w:ascii="宋体" w:hAnsi="宋体" w:cs="宋体" w:eastAsia="宋体" w:hint="default"/>
          <w:spacing w:val="-2"/>
        </w:rPr>
        <w:t>11</w:t>
      </w:r>
      <w:r>
        <w:rPr>
          <w:spacing w:val="-2"/>
        </w:rPr>
        <w:t>项、实用新型专利</w:t>
      </w:r>
      <w:r>
        <w:rPr>
          <w:rFonts w:ascii="宋体" w:hAnsi="宋体" w:cs="宋体" w:eastAsia="宋体" w:hint="default"/>
          <w:spacing w:val="-2"/>
        </w:rPr>
        <w:t>2</w:t>
      </w:r>
      <w:r>
        <w:rPr>
          <w:spacing w:val="-2"/>
        </w:rPr>
        <w:t>项。截止本报告公布日，公司共有发明专利</w:t>
      </w:r>
      <w:r>
        <w:rPr/>
        <w:t> </w:t>
      </w:r>
      <w:r>
        <w:rPr>
          <w:rFonts w:ascii="宋体" w:hAnsi="宋体" w:cs="宋体" w:eastAsia="宋体" w:hint="default"/>
        </w:rPr>
        <w:t>4</w:t>
      </w:r>
      <w:r>
        <w:rPr/>
        <w:t>项，实用新型专利</w:t>
      </w:r>
      <w:r>
        <w:rPr>
          <w:rFonts w:ascii="宋体" w:hAnsi="宋体" w:cs="宋体" w:eastAsia="宋体" w:hint="default"/>
        </w:rPr>
        <w:t>6</w:t>
      </w:r>
      <w:r>
        <w:rPr/>
        <w:t>项，外观专利</w:t>
      </w:r>
      <w:r>
        <w:rPr>
          <w:rFonts w:ascii="宋体" w:hAnsi="宋体" w:cs="宋体" w:eastAsia="宋体" w:hint="default"/>
        </w:rPr>
        <w:t>15</w:t>
      </w:r>
      <w:r>
        <w:rPr/>
        <w:t>项，同时尚有</w:t>
      </w:r>
      <w:r>
        <w:rPr>
          <w:rFonts w:ascii="宋体" w:hAnsi="宋体" w:cs="宋体" w:eastAsia="宋体" w:hint="default"/>
        </w:rPr>
        <w:t>14</w:t>
      </w:r>
      <w:r>
        <w:rPr/>
        <w:t>项发明专利，</w:t>
      </w:r>
      <w:r>
        <w:rPr>
          <w:rFonts w:ascii="宋体" w:hAnsi="宋体" w:cs="宋体" w:eastAsia="宋体" w:hint="default"/>
        </w:rPr>
        <w:t>1</w:t>
      </w:r>
      <w:r>
        <w:rPr/>
        <w:t>项实用新型专利正在申请中。公司在报告期内通过高新 技术企业的重新认定。</w:t>
      </w:r>
    </w:p>
    <w:p>
      <w:pPr>
        <w:spacing w:line="240" w:lineRule="auto" w:before="5"/>
        <w:rPr>
          <w:rFonts w:ascii="宋体" w:hAnsi="宋体" w:cs="宋体" w:eastAsia="宋体" w:hint="default"/>
          <w:sz w:val="13"/>
          <w:szCs w:val="13"/>
        </w:rPr>
      </w:pPr>
    </w:p>
    <w:p>
      <w:pPr>
        <w:pStyle w:val="BodyText"/>
        <w:spacing w:line="316" w:lineRule="auto"/>
        <w:ind w:right="1130" w:firstLine="361"/>
        <w:jc w:val="both"/>
      </w:pPr>
      <w:r>
        <w:rPr>
          <w:rFonts w:ascii="宋体" w:hAnsi="宋体" w:cs="宋体" w:eastAsia="宋体" w:hint="default"/>
          <w:b/>
          <w:bCs/>
          <w:spacing w:val="-2"/>
        </w:rPr>
        <w:t>（</w:t>
      </w:r>
      <w:r>
        <w:rPr>
          <w:rFonts w:ascii="宋体" w:hAnsi="宋体" w:cs="宋体" w:eastAsia="宋体" w:hint="default"/>
          <w:b/>
          <w:bCs/>
          <w:spacing w:val="-2"/>
        </w:rPr>
        <w:t>4</w:t>
      </w:r>
      <w:r>
        <w:rPr>
          <w:rFonts w:ascii="宋体" w:hAnsi="宋体" w:cs="宋体" w:eastAsia="宋体" w:hint="default"/>
          <w:b/>
          <w:bCs/>
          <w:spacing w:val="-2"/>
        </w:rPr>
        <w:t>）募投项目建设</w:t>
      </w:r>
      <w:r>
        <w:rPr>
          <w:spacing w:val="-2"/>
        </w:rPr>
        <w:t>：激光</w:t>
      </w:r>
      <w:r>
        <w:rPr>
          <w:rFonts w:ascii="宋体" w:hAnsi="宋体" w:cs="宋体" w:eastAsia="宋体" w:hint="default"/>
          <w:spacing w:val="-2"/>
        </w:rPr>
        <w:t>OPC</w:t>
      </w:r>
      <w:r>
        <w:rPr>
          <w:spacing w:val="-2"/>
        </w:rPr>
        <w:t>鼓制造业为技术和资金密集型产业，实现规模化生产能够显著降低产品的制造成本，是企</w:t>
      </w:r>
      <w:r>
        <w:rPr/>
        <w:t> </w:t>
      </w:r>
      <w:r>
        <w:rPr>
          <w:spacing w:val="-2"/>
        </w:rPr>
        <w:t>业在市场竞争中制胜的关键因素。报告期内，公司募投项目之一的“激光有机光导鼓扩建项目”所建造的最后两条生产线分</w:t>
      </w:r>
      <w:r>
        <w:rPr>
          <w:spacing w:val="-64"/>
        </w:rPr>
        <w:t> </w:t>
      </w:r>
      <w:r>
        <w:rPr>
          <w:spacing w:val="-64"/>
        </w:rPr>
      </w:r>
      <w:r>
        <w:rPr/>
        <w:t>期达到预定可使用状态。同时，上年技术改造的生产线也于报告期内释放产能，这些项目的推进与技改使公司激光</w:t>
      </w:r>
      <w:r>
        <w:rPr>
          <w:rFonts w:ascii="宋体" w:hAnsi="宋体" w:cs="宋体" w:eastAsia="宋体" w:hint="default"/>
        </w:rPr>
        <w:t>OPC</w:t>
      </w:r>
      <w:r>
        <w:rPr/>
        <w:t>鼓的 </w:t>
      </w:r>
      <w:r>
        <w:rPr>
          <w:spacing w:val="-2"/>
        </w:rPr>
        <w:t>年产能与产量有了较大的上升，提高了生产效率，降低了单位产品成本，进一步凸显公司在行业内的规模效益优势，使公司</w:t>
      </w:r>
      <w:r>
        <w:rPr>
          <w:spacing w:val="-66"/>
        </w:rPr>
        <w:t> </w:t>
      </w:r>
      <w:r>
        <w:rPr>
          <w:spacing w:val="-66"/>
        </w:rPr>
      </w:r>
      <w:r>
        <w:rPr/>
        <w:t>在市场竞争中占据更为有利的位置。</w:t>
      </w:r>
    </w:p>
    <w:p>
      <w:pPr>
        <w:spacing w:after="0" w:line="31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pStyle w:val="Heading3"/>
        <w:spacing w:line="240" w:lineRule="auto" w:before="156"/>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pStyle w:val="Heading3"/>
        <w:spacing w:line="240" w:lineRule="auto" w:before="141"/>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09"/>
        <w:gridCol w:w="1487"/>
        <w:gridCol w:w="1592"/>
        <w:gridCol w:w="1597"/>
        <w:gridCol w:w="1588"/>
        <w:gridCol w:w="1598"/>
      </w:tblGrid>
      <w:tr>
        <w:trPr>
          <w:trHeight w:val="206" w:hRule="exact"/>
        </w:trPr>
        <w:tc>
          <w:tcPr>
            <w:tcW w:w="17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0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706" w:type="dxa"/>
            <w:gridSpan w:val="2"/>
            <w:vMerge w:val="restart"/>
            <w:tcBorders>
              <w:top w:val="nil" w:sz="6" w:space="0" w:color="auto"/>
              <w:left w:val="single" w:sz="4" w:space="0" w:color="000000"/>
              <w:right w:val="single" w:sz="4" w:space="0" w:color="000000"/>
            </w:tcBorders>
            <w:shd w:val="clear" w:color="auto" w:fill="D2D2D2"/>
          </w:tcPr>
          <w:p>
            <w:pPr/>
          </w:p>
        </w:tc>
        <w:tc>
          <w:tcPr>
            <w:tcW w:w="307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706" w:type="dxa"/>
            <w:gridSpan w:val="2"/>
            <w:vMerge/>
            <w:tcBorders>
              <w:left w:val="single" w:sz="4" w:space="0" w:color="000000"/>
              <w:bottom w:val="nil" w:sz="6" w:space="0" w:color="auto"/>
              <w:right w:val="single" w:sz="4" w:space="0" w:color="000000"/>
            </w:tcBorders>
            <w:shd w:val="clear" w:color="auto" w:fill="D2D2D2"/>
          </w:tcPr>
          <w:p>
            <w:pPr/>
          </w:p>
        </w:tc>
        <w:tc>
          <w:tcPr>
            <w:tcW w:w="14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7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8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7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8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286,359,847.67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274,682,192.25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w:t>
            </w:r>
          </w:p>
        </w:tc>
      </w:tr>
      <w:tr>
        <w:trPr>
          <w:trHeight w:val="396"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OPC </w:t>
            </w:r>
            <w:r>
              <w:rPr>
                <w:rFonts w:ascii="宋体" w:hAnsi="宋体" w:cs="宋体" w:eastAsia="宋体" w:hint="default"/>
                <w:sz w:val="18"/>
                <w:szCs w:val="18"/>
              </w:rPr>
              <w:t>制造业</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260,189,441.33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257,600,071.98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93.78%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w:t>
            </w:r>
          </w:p>
        </w:tc>
      </w:tr>
      <w:tr>
        <w:trPr>
          <w:trHeight w:val="403" w:hRule="exact"/>
        </w:trPr>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26,170,406.34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17,082,120.27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53.20%</w:t>
            </w:r>
          </w:p>
        </w:tc>
      </w:tr>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260,189,441.33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257,600,071.98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93.78%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硒鼓及其他打印耗材</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24,295,818.59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15,831,138.46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2"/>
                <w:szCs w:val="12"/>
              </w:rPr>
            </w:pPr>
            <w:r>
              <w:rPr>
                <w:rFonts w:ascii="Times New Roman"/>
                <w:sz w:val="18"/>
              </w:rPr>
              <w:t>53.47%</w:t>
            </w:r>
            <w:r>
              <w:rPr>
                <w:rFonts w:ascii="Times New Roman"/>
                <w:color w:val="FF0000"/>
                <w:position w:val="8"/>
                <w:sz w:val="12"/>
              </w:rPr>
              <w:t>1</w:t>
            </w:r>
            <w:r>
              <w:rPr>
                <w:rFonts w:ascii="Times New Roman"/>
                <w:sz w:val="12"/>
              </w:rPr>
            </w:r>
          </w:p>
        </w:tc>
      </w:tr>
      <w:tr>
        <w:trPr>
          <w:trHeight w:val="403" w:hRule="exact"/>
        </w:trPr>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1,874,587.75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1,250,981.81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2"/>
                <w:szCs w:val="12"/>
              </w:rPr>
            </w:pPr>
            <w:r>
              <w:rPr>
                <w:rFonts w:ascii="Times New Roman"/>
                <w:sz w:val="18"/>
              </w:rPr>
              <w:t>49.85%</w:t>
            </w:r>
            <w:r>
              <w:rPr>
                <w:rFonts w:ascii="Times New Roman"/>
                <w:color w:val="FF0000"/>
                <w:position w:val="8"/>
                <w:sz w:val="12"/>
              </w:rPr>
              <w:t>2</w:t>
            </w:r>
            <w:r>
              <w:rPr>
                <w:rFonts w:ascii="Times New Roman"/>
                <w:sz w:val="12"/>
              </w:rPr>
            </w: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207,956,715.88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198,153,201.18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72.14%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78,403,131.79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76,528,991.07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27.86%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w:t>
            </w:r>
          </w:p>
        </w:tc>
      </w:tr>
    </w:tbl>
    <w:p>
      <w:pPr>
        <w:pStyle w:val="BodyText"/>
        <w:spacing w:line="240" w:lineRule="auto" w:before="51"/>
        <w:ind w:left="154" w:right="0"/>
        <w:jc w:val="left"/>
      </w:pPr>
      <w:r>
        <w:rPr/>
        <w:t>注：</w:t>
      </w:r>
    </w:p>
    <w:p>
      <w:pPr>
        <w:pStyle w:val="BodyText"/>
        <w:spacing w:line="240" w:lineRule="auto" w:before="115"/>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硒鼓及其他打印耗材收入较上年同期增长</w:t>
      </w:r>
      <w:r>
        <w:rPr>
          <w:spacing w:val="-50"/>
        </w:rPr>
        <w:t> </w:t>
      </w:r>
      <w:r>
        <w:rPr>
          <w:rFonts w:ascii="Times New Roman" w:hAnsi="Times New Roman" w:cs="Times New Roman" w:eastAsia="Times New Roman" w:hint="default"/>
        </w:rPr>
        <w:t>53.47%</w:t>
      </w:r>
      <w:r>
        <w:rPr/>
        <w:t>，主要系公司全资子公司环球影像于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spacing w:val="-3"/>
        </w:rPr>
        <w:t>年度正式运营，从事硒鼓</w:t>
      </w:r>
    </w:p>
    <w:p>
      <w:pPr>
        <w:pStyle w:val="BodyText"/>
        <w:spacing w:line="240" w:lineRule="auto" w:before="64"/>
        <w:ind w:right="0"/>
        <w:jc w:val="left"/>
      </w:pPr>
      <w:r>
        <w:rPr/>
        <w:t>及其他打印耗材的国际贸易业务，产生营业收入</w:t>
      </w:r>
      <w:r>
        <w:rPr>
          <w:spacing w:val="-46"/>
        </w:rPr>
        <w:t> </w:t>
      </w:r>
      <w:r>
        <w:rPr>
          <w:rFonts w:ascii="Times New Roman" w:hAnsi="Times New Roman" w:cs="Times New Roman" w:eastAsia="Times New Roman" w:hint="default"/>
        </w:rPr>
        <w:t>1,996.48</w:t>
      </w:r>
      <w:r>
        <w:rPr>
          <w:rFonts w:ascii="Times New Roman" w:hAnsi="Times New Roman" w:cs="Times New Roman" w:eastAsia="Times New Roman" w:hint="default"/>
          <w:spacing w:val="-2"/>
        </w:rPr>
        <w:t> </w:t>
      </w:r>
      <w:r>
        <w:rPr/>
        <w:t>万元。</w:t>
      </w:r>
    </w:p>
    <w:p>
      <w:pPr>
        <w:pStyle w:val="BodyText"/>
        <w:spacing w:line="240" w:lineRule="auto" w:before="103"/>
        <w:ind w:left="514" w:right="0"/>
        <w:jc w:val="left"/>
      </w:pPr>
      <w:r>
        <w:rPr>
          <w:rFonts w:ascii="Times New Roman" w:hAnsi="Times New Roman" w:cs="Times New Roman" w:eastAsia="Times New Roman" w:hint="default"/>
        </w:rPr>
        <w:t>2  </w:t>
      </w:r>
      <w:r>
        <w:rPr/>
        <w:t>其他业务收入较上年同期增长</w:t>
      </w:r>
      <w:r>
        <w:rPr>
          <w:spacing w:val="-46"/>
        </w:rPr>
        <w:t> </w:t>
      </w:r>
      <w:r>
        <w:rPr>
          <w:rFonts w:ascii="Times New Roman" w:hAnsi="Times New Roman" w:cs="Times New Roman" w:eastAsia="Times New Roman" w:hint="default"/>
        </w:rPr>
        <w:t>49.85%</w:t>
      </w:r>
      <w:r>
        <w:rPr/>
        <w:t>，主要系公司打印零配件的销售收入较上年同期增长所致。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264"/>
        <w:gridCol w:w="1367"/>
        <w:gridCol w:w="1367"/>
        <w:gridCol w:w="1367"/>
        <w:gridCol w:w="1372"/>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鼓制造业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260,189,441.33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195,313,457.16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24.93%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-2.42%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4" w:right="0"/>
              <w:jc w:val="lef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264"/>
        <w:gridCol w:w="1367"/>
        <w:gridCol w:w="1367"/>
        <w:gridCol w:w="1367"/>
        <w:gridCol w:w="1372"/>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260,189,441.33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195,313,457.16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207,067,372.53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160,030,909.06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53,122,068.80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35,282,548.10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OPC </w:t>
            </w:r>
            <w:r>
              <w:rPr>
                <w:rFonts w:ascii="宋体" w:hAnsi="宋体" w:cs="宋体" w:eastAsia="宋体" w:hint="default"/>
                <w:sz w:val="18"/>
                <w:szCs w:val="18"/>
              </w:rPr>
              <w:t>鼓制造业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万支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万支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万支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232.73%</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6"/>
          <w:szCs w:val="16"/>
        </w:rPr>
      </w:pPr>
    </w:p>
    <w:p>
      <w:pPr>
        <w:pStyle w:val="BodyText"/>
        <w:spacing w:line="316" w:lineRule="auto"/>
        <w:ind w:left="154" w:right="1131" w:firstLine="360"/>
        <w:jc w:val="both"/>
      </w:pPr>
      <w:r>
        <w:rPr>
          <w:spacing w:val="-2"/>
        </w:rPr>
        <w:t>报告期内，公司募投项目之一的“激光有机光导鼓扩建项目”所建造的最后两条生产线均分期达到预定可使用状态，同</w:t>
      </w:r>
      <w:r>
        <w:rPr/>
        <w:t> </w:t>
      </w:r>
      <w:r>
        <w:rPr>
          <w:spacing w:val="-2"/>
        </w:rPr>
        <w:t>时，由于上年度针对部分产线增产增效的技术改造的完成，其也于报告期内释放产能。因此，这些募投项目与技改工作的完</w:t>
      </w:r>
      <w:r>
        <w:rPr>
          <w:spacing w:val="-66"/>
        </w:rPr>
        <w:t> </w:t>
      </w:r>
      <w:r>
        <w:rPr>
          <w:spacing w:val="-66"/>
        </w:rPr>
      </w:r>
      <w:r>
        <w:rPr/>
        <w:t>成使公司生产量较上年同期增长了</w:t>
      </w:r>
      <w:r>
        <w:rPr>
          <w:rFonts w:ascii="宋体" w:hAnsi="宋体" w:cs="宋体" w:eastAsia="宋体" w:hint="default"/>
        </w:rPr>
        <w:t>42.67%</w:t>
      </w:r>
      <w:r>
        <w:rPr/>
        <w:t>，生产规模较上年有显著的增长。</w:t>
      </w:r>
    </w:p>
    <w:p>
      <w:pPr>
        <w:pStyle w:val="BodyText"/>
        <w:spacing w:line="468" w:lineRule="exact" w:before="11"/>
        <w:ind w:left="514" w:right="1122"/>
        <w:jc w:val="left"/>
      </w:pPr>
      <w:r>
        <w:rPr/>
        <w:t>报告期内，存货库存量较上年同期增长</w:t>
      </w:r>
      <w:r>
        <w:rPr>
          <w:rFonts w:ascii="宋体" w:hAnsi="宋体" w:cs="宋体" w:eastAsia="宋体" w:hint="default"/>
        </w:rPr>
        <w:t>232.73%</w:t>
      </w:r>
      <w:r>
        <w:rPr/>
        <w:t>，主要系： </w:t>
      </w:r>
      <w:r>
        <w:rPr>
          <w:rFonts w:ascii="宋体" w:hAnsi="宋体" w:cs="宋体" w:eastAsia="宋体" w:hint="default"/>
        </w:rPr>
        <w:t>1</w:t>
      </w:r>
      <w:r>
        <w:rPr/>
        <w:t>、生产规模的扩大：报告期内，公司募投项目之一的“激光有机光导鼓扩建项目”所建造的最后两条生产线均分期达</w:t>
      </w:r>
    </w:p>
    <w:p>
      <w:pPr>
        <w:pStyle w:val="BodyText"/>
        <w:spacing w:line="316" w:lineRule="auto" w:before="8"/>
        <w:ind w:right="0"/>
        <w:jc w:val="left"/>
      </w:pPr>
      <w:r>
        <w:rPr>
          <w:spacing w:val="-2"/>
        </w:rPr>
        <w:t>到预定可使用状态，同时，由于上年度针对部分产线增产增效的技术改造的完成，其也于报告期内释放产能，使得公司的生</w:t>
      </w:r>
      <w:r>
        <w:rPr>
          <w:spacing w:val="-66"/>
        </w:rPr>
        <w:t> </w:t>
      </w:r>
      <w:r>
        <w:rPr>
          <w:spacing w:val="-66"/>
        </w:rPr>
      </w:r>
      <w:r>
        <w:rPr/>
        <w:t>产规模较上年有显著的增长。</w:t>
      </w:r>
    </w:p>
    <w:p>
      <w:pPr>
        <w:spacing w:line="240" w:lineRule="auto" w:before="5"/>
        <w:rPr>
          <w:rFonts w:ascii="宋体" w:hAnsi="宋体" w:cs="宋体" w:eastAsia="宋体" w:hint="default"/>
          <w:sz w:val="13"/>
          <w:szCs w:val="13"/>
        </w:rPr>
      </w:pPr>
    </w:p>
    <w:p>
      <w:pPr>
        <w:pStyle w:val="BodyText"/>
        <w:spacing w:line="316" w:lineRule="auto"/>
        <w:ind w:right="1139" w:firstLine="360"/>
        <w:jc w:val="both"/>
      </w:pPr>
      <w:r>
        <w:rPr>
          <w:rFonts w:ascii="宋体" w:hAnsi="宋体" w:cs="宋体" w:eastAsia="宋体" w:hint="default"/>
        </w:rPr>
        <w:t>2</w:t>
      </w:r>
      <w:r>
        <w:rPr/>
        <w:t>、生产增量的集中性：由于募投项目建设完工所带来的生产量的增加主要集中于</w:t>
      </w:r>
      <w:r>
        <w:rPr>
          <w:rFonts w:ascii="宋体" w:hAnsi="宋体" w:cs="宋体" w:eastAsia="宋体" w:hint="default"/>
        </w:rPr>
        <w:t>2017</w:t>
      </w:r>
      <w:r>
        <w:rPr/>
        <w:t>年第四季度，其实现销售尚需一 定的周转时间。</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rFonts w:ascii="宋体" w:hAnsi="宋体" w:cs="宋体" w:eastAsia="宋体" w:hint="default"/>
        </w:rPr>
        <w:t>3</w:t>
      </w:r>
      <w:r>
        <w:rPr/>
        <w:t>、生产量与销量的匹配性：公司激光</w:t>
      </w:r>
      <w:r>
        <w:rPr>
          <w:rFonts w:ascii="宋体" w:hAnsi="宋体" w:cs="宋体" w:eastAsia="宋体" w:hint="default"/>
        </w:rPr>
        <w:t>OPC</w:t>
      </w:r>
      <w:r>
        <w:rPr/>
        <w:t>鼓的生产量较上年同期增长</w:t>
      </w:r>
      <w:r>
        <w:rPr>
          <w:rFonts w:ascii="宋体" w:hAnsi="宋体" w:cs="宋体" w:eastAsia="宋体" w:hint="default"/>
        </w:rPr>
        <w:t>42.67%</w:t>
      </w:r>
      <w:r>
        <w:rPr/>
        <w:t>，而公司在报告期内激光</w:t>
      </w:r>
      <w:r>
        <w:rPr>
          <w:rFonts w:ascii="宋体" w:hAnsi="宋体" w:cs="宋体" w:eastAsia="宋体" w:hint="default"/>
        </w:rPr>
        <w:t>OPC</w:t>
      </w:r>
      <w:r>
        <w:rPr/>
        <w:t>鼓销量增长</w:t>
      </w:r>
    </w:p>
    <w:p>
      <w:pPr>
        <w:pStyle w:val="BodyText"/>
        <w:spacing w:line="240" w:lineRule="auto" w:before="76"/>
        <w:ind w:right="0"/>
        <w:jc w:val="left"/>
      </w:pPr>
      <w:r>
        <w:rPr>
          <w:rFonts w:ascii="宋体" w:hAnsi="宋体" w:cs="宋体" w:eastAsia="宋体" w:hint="default"/>
        </w:rPr>
        <w:t>4.76%</w:t>
      </w:r>
      <w:r>
        <w:rPr/>
        <w:t>，销量增长的速度低于生产量的增长。</w:t>
      </w:r>
    </w:p>
    <w:p>
      <w:pPr>
        <w:spacing w:line="240" w:lineRule="auto" w:before="10"/>
        <w:rPr>
          <w:rFonts w:ascii="宋体" w:hAnsi="宋体" w:cs="宋体" w:eastAsia="宋体" w:hint="default"/>
          <w:sz w:val="17"/>
          <w:szCs w:val="17"/>
        </w:rPr>
      </w:pPr>
    </w:p>
    <w:p>
      <w:pPr>
        <w:pStyle w:val="BodyText"/>
        <w:spacing w:line="316" w:lineRule="auto"/>
        <w:ind w:left="154" w:right="1140" w:firstLine="450"/>
        <w:jc w:val="both"/>
      </w:pPr>
      <w:r>
        <w:rPr/>
        <w:t>报告期内，按照公司的会计政策规定，公司以存货的估计售价减去估计的销售费用和相关税费后的金额，确定其可变 现净值，以期末存货成本与可变现净值孰低的方法进行计量，存货跌价准备计提充分。</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随着整体打印外设市场的稳定发展，打印耗材有着广阔的市场需求，虽然打印耗材企业间的市场竞争不断加强，但公司</w:t>
      </w:r>
      <w:r>
        <w:rPr/>
        <w:t> </w:t>
      </w:r>
      <w:r>
        <w:rPr>
          <w:spacing w:val="-2"/>
        </w:rPr>
        <w:t>募投项目建设完成后，有着更为显著的规模成本优势与品质优势，公司将凭借此优势，紧跟市场动态，实施更为灵活的市场</w:t>
      </w:r>
      <w:r>
        <w:rPr>
          <w:spacing w:val="-66"/>
        </w:rPr>
        <w:t> </w:t>
      </w:r>
      <w:r>
        <w:rPr>
          <w:spacing w:val="-66"/>
        </w:rPr>
      </w:r>
      <w:r>
        <w:rPr/>
        <w:t>营销策略，积极地深入开拓国际国内市场，实现公司既定的销售战略目标。</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鼓制造业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154,941,125.81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155,169,851.38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鼓制造业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18,380,520.87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21,261,286.79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鼓制造业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21,059,526.70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22,529,686.70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鼓制造业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出口征退税差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932,283.78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1,202,648.04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18,442,857.15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12,242,352.77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50.65%</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154,941,125.81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155,169,851.38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18,380,520.87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21,261,286.79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21,059,526.70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22,529,686.70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出口征退税差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932,283.78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1,202,648.04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18,442,857.15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12,242,352.77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50.65%</w:t>
            </w:r>
          </w:p>
        </w:tc>
      </w:tr>
    </w:tbl>
    <w:p>
      <w:pPr>
        <w:pStyle w:val="BodyText"/>
        <w:spacing w:line="240" w:lineRule="auto" w:before="51"/>
        <w:ind w:left="15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公司合并范围较上年同期增加了恒久高新及恒久保理，详情如下：</w:t>
      </w:r>
    </w:p>
    <w:p>
      <w:pPr>
        <w:pStyle w:val="BodyText"/>
        <w:spacing w:line="300" w:lineRule="auto" w:before="2"/>
        <w:ind w:left="15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日，公司设立全资子公司苏州恒久高新产业发展有限公司，注册资本</w:t>
      </w:r>
      <w:r>
        <w:rPr>
          <w:rFonts w:ascii="Times New Roman" w:hAnsi="Times New Roman" w:cs="Times New Roman" w:eastAsia="Times New Roman" w:hint="default"/>
        </w:rPr>
        <w:t>5,000</w:t>
      </w:r>
      <w:r>
        <w:rPr/>
        <w:t>万元，报告期末尚未缴纳出资， 该子公司自设立起纳入合并范围。</w:t>
      </w:r>
    </w:p>
    <w:p>
      <w:pPr>
        <w:spacing w:line="240" w:lineRule="auto" w:before="4"/>
        <w:rPr>
          <w:rFonts w:ascii="宋体" w:hAnsi="宋体" w:cs="宋体" w:eastAsia="宋体" w:hint="default"/>
          <w:sz w:val="14"/>
          <w:szCs w:val="14"/>
        </w:rPr>
      </w:pPr>
    </w:p>
    <w:p>
      <w:pPr>
        <w:pStyle w:val="BodyText"/>
        <w:spacing w:line="300" w:lineRule="auto"/>
        <w:ind w:right="112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日，公司设立全资子公司苏州恒久商业保理有限公司，注册资本</w:t>
      </w:r>
      <w:r>
        <w:rPr>
          <w:rFonts w:ascii="Times New Roman" w:hAnsi="Times New Roman" w:cs="Times New Roman" w:eastAsia="Times New Roman" w:hint="default"/>
        </w:rPr>
        <w:t>10,000</w:t>
      </w:r>
      <w:r>
        <w:rPr/>
        <w:t>万元，报告期末已实缴出资</w:t>
      </w:r>
      <w:r>
        <w:rPr>
          <w:rFonts w:ascii="Times New Roman" w:hAnsi="Times New Roman" w:cs="Times New Roman" w:eastAsia="Times New Roman" w:hint="default"/>
        </w:rPr>
        <w:t>2,000</w:t>
      </w:r>
      <w:r>
        <w:rPr/>
        <w:t>万 元，该子公司自设立起纳入合并范围。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61,118,864.81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18,884,662.77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14,113,566.00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10,128,883.42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9,066,205.04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8,925,547.58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61,118,864.81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21.34%</w:t>
            </w:r>
          </w:p>
        </w:tc>
      </w:tr>
    </w:tbl>
    <w:p>
      <w:pPr>
        <w:pStyle w:val="BodyText"/>
        <w:spacing w:line="240" w:lineRule="auto" w:before="51"/>
        <w:ind w:left="154" w:right="0"/>
        <w:jc w:val="left"/>
      </w:pPr>
      <w:r>
        <w:rPr/>
        <w:t>主要客户其他情况说明</w:t>
      </w:r>
    </w:p>
    <w:p>
      <w:pPr>
        <w:pStyle w:val="BodyText"/>
        <w:spacing w:line="240" w:lineRule="auto" w:before="117"/>
        <w:ind w:left="15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21" w:lineRule="auto" w:before="101"/>
        <w:ind w:right="1029" w:firstLine="360"/>
        <w:jc w:val="left"/>
      </w:pPr>
      <w:r>
        <w:rPr>
          <w:spacing w:val="-1"/>
        </w:rPr>
        <w:t>公司前五大客户中的客户三为公司参股公司珠海东越数码科技有限公司，公司持有其</w:t>
      </w:r>
      <w:r>
        <w:rPr>
          <w:spacing w:val="-28"/>
        </w:rPr>
        <w:t> </w:t>
      </w:r>
      <w:r>
        <w:rPr>
          <w:rFonts w:ascii="Times New Roman" w:hAnsi="Times New Roman" w:cs="Times New Roman" w:eastAsia="Times New Roman" w:hint="default"/>
          <w:spacing w:val="-2"/>
        </w:rPr>
        <w:t>21.74%</w:t>
      </w:r>
      <w:r>
        <w:rPr>
          <w:spacing w:val="-2"/>
        </w:rPr>
        <w:t>的股权。公司董事、监事、</w:t>
      </w:r>
      <w:r>
        <w:rPr/>
        <w:t> 高级管理人员、核心技术人员、持股</w:t>
      </w:r>
      <w:r>
        <w:rPr>
          <w:spacing w:val="-46"/>
        </w:rPr>
        <w:t> </w:t>
      </w:r>
      <w:r>
        <w:rPr>
          <w:rFonts w:ascii="Times New Roman" w:hAnsi="Times New Roman" w:cs="Times New Roman" w:eastAsia="Times New Roman" w:hint="default"/>
        </w:rPr>
        <w:t>5%</w:t>
      </w:r>
      <w:r>
        <w:rPr/>
        <w:t>以上股东、实际控制人和其他关联方未在该公司直接或间接拥有权益。 公司主要供应商情况</w:t>
      </w:r>
    </w:p>
    <w:p>
      <w:pPr>
        <w:spacing w:line="240" w:lineRule="auto" w:before="4"/>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821"/>
        <w:gridCol w:w="4748"/>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123,032,543.77</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48.35%</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51,384,057.37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32,560,245.70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14,828,393.15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13,359,721.94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10,900,125.61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123,032,543.77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48.35%</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71"/>
        <w:gridCol w:w="1428"/>
        <w:gridCol w:w="1844"/>
        <w:gridCol w:w="1277"/>
        <w:gridCol w:w="4038"/>
      </w:tblGrid>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11,193,777.86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9,170,424.50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22.06%</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主要系运费及薪酬增加所致。</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24,687,157.34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15,921,181.81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55.06%</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主要系研发费用增加所致。</w:t>
            </w:r>
          </w:p>
        </w:tc>
      </w:tr>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6,569,896.76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-9,811,276.47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166.96%</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主要系汇率变动所导致的汇兑损失大幅增加所致。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12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公司设有</w:t>
      </w:r>
      <w:r>
        <w:rPr>
          <w:rFonts w:ascii="Times New Roman" w:hAnsi="Times New Roman" w:cs="Times New Roman" w:eastAsia="Times New Roman" w:hint="default"/>
          <w:spacing w:val="-1"/>
        </w:rPr>
        <w:t>“</w:t>
      </w:r>
      <w:r>
        <w:rPr>
          <w:spacing w:val="-1"/>
        </w:rPr>
        <w:t>江苏省省级企业技术中心</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苏州市有机光导工程技术研究中心</w:t>
      </w:r>
      <w:r>
        <w:rPr>
          <w:rFonts w:ascii="Times New Roman" w:hAnsi="Times New Roman" w:cs="Times New Roman" w:eastAsia="Times New Roman" w:hint="default"/>
          <w:spacing w:val="-1"/>
        </w:rPr>
        <w:t>”</w:t>
      </w:r>
      <w:r>
        <w:rPr>
          <w:spacing w:val="-1"/>
        </w:rPr>
        <w:t>。报告期内，为了在日益变化的市场形势中</w:t>
      </w:r>
    </w:p>
    <w:p>
      <w:pPr>
        <w:pStyle w:val="BodyText"/>
        <w:spacing w:line="231" w:lineRule="exact"/>
        <w:ind w:right="0"/>
        <w:jc w:val="both"/>
        <w:rPr>
          <w:rFonts w:ascii="Times New Roman" w:hAnsi="Times New Roman" w:cs="Times New Roman" w:eastAsia="Times New Roman" w:hint="default"/>
        </w:rPr>
      </w:pPr>
      <w:r>
        <w:rPr>
          <w:spacing w:val="-3"/>
        </w:rPr>
        <w:t>获取技术与产品的先发优势与核心竞争力，公司凭借自身研发与技术实力，加大新项目及新产品的研发力度，对负电性</w:t>
      </w:r>
      <w:r>
        <w:rPr>
          <w:rFonts w:ascii="Times New Roman" w:hAnsi="Times New Roman" w:cs="Times New Roman" w:eastAsia="Times New Roman" w:hint="default"/>
          <w:spacing w:val="-3"/>
        </w:rPr>
        <w:t>OEM</w:t>
      </w:r>
    </w:p>
    <w:p>
      <w:pPr>
        <w:pStyle w:val="BodyText"/>
        <w:spacing w:line="307" w:lineRule="auto" w:before="63"/>
        <w:ind w:right="1043"/>
        <w:jc w:val="both"/>
      </w:pPr>
      <w:r>
        <w:rPr/>
        <w:t>激光有机光导鼓的再生研制、多元环境适用型激光光导鼓、低场高敏性复合型正电涂布技术、轻质高强度铝基管技术、</w:t>
      </w:r>
      <w:r>
        <w:rPr>
          <w:rFonts w:ascii="Times New Roman" w:hAnsi="Times New Roman" w:cs="Times New Roman" w:eastAsia="Times New Roman" w:hint="default"/>
        </w:rPr>
        <w:t>CTL </w:t>
      </w:r>
      <w:r>
        <w:rPr/>
        <w:t>自流平工艺技术等</w:t>
      </w:r>
      <w:r>
        <w:rPr>
          <w:rFonts w:ascii="Times New Roman" w:hAnsi="Times New Roman" w:cs="Times New Roman" w:eastAsia="Times New Roman" w:hint="default"/>
        </w:rPr>
        <w:t>8</w:t>
      </w:r>
      <w:r>
        <w:rPr/>
        <w:t>个项目进行自主研发，以进一步强化公司在再生产品制造方面的技术优势；扩大公司核心产品的匹配适 </w:t>
      </w:r>
      <w:r>
        <w:rPr>
          <w:spacing w:val="-2"/>
        </w:rPr>
        <w:t>应性，提高兼容性；为正电性陶瓷硅鼓转化为有机光导鼓做好技术储备；提高产品价格竞争优势。这些研发项目的开展与完</w:t>
      </w:r>
      <w:r>
        <w:rPr>
          <w:spacing w:val="-66"/>
        </w:rPr>
        <w:t> </w:t>
      </w:r>
      <w:r>
        <w:rPr>
          <w:spacing w:val="-66"/>
        </w:rPr>
      </w:r>
      <w:r>
        <w:rPr>
          <w:spacing w:val="-4"/>
        </w:rPr>
        <w:t>成为公司产业结构调整、产品品种更新换代，生产工艺的改进、生产效率的提高和生产成本的降低提供了强有力的技术保障。</w:t>
      </w:r>
    </w:p>
    <w:p>
      <w:pPr>
        <w:spacing w:line="240" w:lineRule="auto" w:before="12"/>
        <w:rPr>
          <w:rFonts w:ascii="宋体" w:hAnsi="宋体" w:cs="宋体" w:eastAsia="宋体" w:hint="default"/>
          <w:sz w:val="13"/>
          <w:szCs w:val="13"/>
        </w:rPr>
      </w:pPr>
    </w:p>
    <w:p>
      <w:pPr>
        <w:pStyle w:val="BodyText"/>
        <w:spacing w:line="240" w:lineRule="auto"/>
        <w:ind w:left="514" w:right="0"/>
        <w:jc w:val="left"/>
      </w:pPr>
      <w:r>
        <w:rPr/>
        <w:t>公司在</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年度取得</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项专利授权，并新申请发明专利</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项、实用新型专利</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项。截止本报告公布日，公司共有发明</w:t>
      </w:r>
    </w:p>
    <w:p>
      <w:pPr>
        <w:pStyle w:val="BodyText"/>
        <w:spacing w:line="302" w:lineRule="auto" w:before="63"/>
        <w:ind w:left="154" w:right="1138"/>
        <w:jc w:val="both"/>
      </w:pPr>
      <w:r>
        <w:rPr/>
        <w:t>专利</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项，实用新型专利</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项，外观专利</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项，同时尚有</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项发明专利，</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项实用新型专利正在申请中。公司在报告期内 通过高新技术企业的重新认定。</w:t>
      </w:r>
    </w:p>
    <w:p>
      <w:pPr>
        <w:pStyle w:val="BodyText"/>
        <w:spacing w:line="240" w:lineRule="auto" w:before="70"/>
        <w:ind w:left="154" w:right="0"/>
        <w:jc w:val="both"/>
      </w:pPr>
      <w:r>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2280"/>
        <w:gridCol w:w="2268"/>
        <w:gridCol w:w="226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17,569,878.17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8,699,035.30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101.98%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2280"/>
        <w:gridCol w:w="2268"/>
        <w:gridCol w:w="226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329,891,698.00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300,735,125.58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327,160,828.56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253,959,488.04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2,730,869.44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46,775,637.54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550,003,021.49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108,432,665.51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407.23%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507,189,596.05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300,776,530.54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42,813,425.44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-192,343,865.03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122.26%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14,391,581.95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19,831,681.36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-14,391,581.95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183,668,318.64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-107.84%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2835"/>
        <w:gridCol w:w="2269"/>
        <w:gridCol w:w="2268"/>
        <w:gridCol w:w="2268"/>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0" w:right="0"/>
              <w:jc w:val="left"/>
              <w:rPr>
                <w:rFonts w:ascii="Times New Roman" w:hAnsi="Times New Roman" w:cs="Times New Roman" w:eastAsia="Times New Roman" w:hint="default"/>
                <w:sz w:val="18"/>
                <w:szCs w:val="18"/>
              </w:rPr>
            </w:pPr>
            <w:r>
              <w:rPr>
                <w:rFonts w:ascii="Times New Roman"/>
                <w:sz w:val="18"/>
              </w:rPr>
              <w:t>23,512,402.69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0" w:right="0"/>
              <w:jc w:val="left"/>
              <w:rPr>
                <w:rFonts w:ascii="Times New Roman" w:hAnsi="Times New Roman" w:cs="Times New Roman" w:eastAsia="Times New Roman" w:hint="default"/>
                <w:sz w:val="18"/>
                <w:szCs w:val="18"/>
              </w:rPr>
            </w:pPr>
            <w:r>
              <w:rPr>
                <w:rFonts w:ascii="Times New Roman"/>
                <w:sz w:val="18"/>
              </w:rPr>
              <w:t>38,192,316.18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-38.44%</w:t>
            </w:r>
          </w:p>
        </w:tc>
      </w:tr>
    </w:tbl>
    <w:p>
      <w:pPr>
        <w:pStyle w:val="BodyText"/>
        <w:spacing w:line="240" w:lineRule="auto" w:before="51"/>
        <w:ind w:left="174" w:right="0"/>
        <w:jc w:val="both"/>
      </w:pPr>
      <w:r>
        <w:rPr/>
        <w:t>相关数据同比发生重大变动的主要影响因素说明</w:t>
      </w:r>
    </w:p>
    <w:p>
      <w:pPr>
        <w:pStyle w:val="BodyText"/>
        <w:spacing w:line="240" w:lineRule="auto" w:before="117"/>
        <w:ind w:left="17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73" w:right="1033" w:firstLine="360"/>
        <w:jc w:val="left"/>
      </w:pPr>
      <w:r>
        <w:rPr>
          <w:spacing w:val="-2"/>
        </w:rPr>
        <w:t>（</w:t>
      </w:r>
      <w:r>
        <w:rPr>
          <w:rFonts w:ascii="Times New Roman" w:hAnsi="Times New Roman" w:cs="Times New Roman" w:eastAsia="Times New Roman" w:hint="default"/>
          <w:spacing w:val="-2"/>
        </w:rPr>
        <w:t>1</w:t>
      </w:r>
      <w:r>
        <w:rPr>
          <w:spacing w:val="-2"/>
        </w:rPr>
        <w:t>）经营活动产生的现金流量净额较上年同期下降</w:t>
      </w:r>
      <w:r>
        <w:rPr>
          <w:rFonts w:ascii="Times New Roman" w:hAnsi="Times New Roman" w:cs="Times New Roman" w:eastAsia="Times New Roman" w:hint="default"/>
          <w:spacing w:val="-2"/>
        </w:rPr>
        <w:t>94.16%</w:t>
      </w:r>
      <w:r>
        <w:rPr>
          <w:spacing w:val="-2"/>
        </w:rPr>
        <w:t>，一方面系报告期内公司募投项目之一的</w:t>
      </w:r>
      <w:r>
        <w:rPr>
          <w:rFonts w:ascii="Times New Roman" w:hAnsi="Times New Roman" w:cs="Times New Roman" w:eastAsia="Times New Roman" w:hint="default"/>
          <w:spacing w:val="-2"/>
        </w:rPr>
        <w:t>“</w:t>
      </w:r>
      <w:r>
        <w:rPr>
          <w:spacing w:val="-2"/>
        </w:rPr>
        <w:t>激光有机光导鼓扩</w:t>
      </w:r>
      <w:r>
        <w:rPr/>
        <w:t> </w:t>
      </w:r>
      <w:r>
        <w:rPr>
          <w:spacing w:val="-2"/>
        </w:rPr>
        <w:t>建项目</w:t>
      </w:r>
      <w:r>
        <w:rPr>
          <w:rFonts w:ascii="Times New Roman" w:hAnsi="Times New Roman" w:cs="Times New Roman" w:eastAsia="Times New Roman" w:hint="default"/>
          <w:spacing w:val="-2"/>
        </w:rPr>
        <w:t>”</w:t>
      </w:r>
      <w:r>
        <w:rPr>
          <w:spacing w:val="-2"/>
        </w:rPr>
        <w:t>所建造的最后两条生产线均分期达到预定可使用状态，同时，由于上年度针对部分产线增产增效的技术改造的完成，</w:t>
      </w:r>
      <w:r>
        <w:rPr>
          <w:spacing w:val="-52"/>
        </w:rPr>
        <w:t> </w:t>
      </w:r>
      <w:r>
        <w:rPr>
          <w:spacing w:val="-52"/>
        </w:rPr>
      </w:r>
      <w:r>
        <w:rPr/>
        <w:t>其也于报告期内释放产能。因此，报告期内公司的生产量较上年同期增长了</w:t>
      </w:r>
      <w:r>
        <w:rPr>
          <w:rFonts w:ascii="Times New Roman" w:hAnsi="Times New Roman" w:cs="Times New Roman" w:eastAsia="Times New Roman" w:hint="default"/>
        </w:rPr>
        <w:t>42.67%</w:t>
      </w:r>
      <w:r>
        <w:rPr/>
        <w:t>，公司购买商品、接受劳务支付的现金 </w:t>
      </w:r>
      <w:r>
        <w:rPr>
          <w:spacing w:val="-2"/>
        </w:rPr>
        <w:t>也较上年同期增长了</w:t>
      </w:r>
      <w:r>
        <w:rPr>
          <w:rFonts w:ascii="Times New Roman" w:hAnsi="Times New Roman" w:cs="Times New Roman" w:eastAsia="Times New Roman" w:hint="default"/>
          <w:spacing w:val="-2"/>
        </w:rPr>
        <w:t>30.29%</w:t>
      </w:r>
      <w:r>
        <w:rPr>
          <w:spacing w:val="-2"/>
        </w:rPr>
        <w:t>。而另一方面，公司销售增长平稳，销售商品、提供劳务所收到的现金仅较上年同期增长</w:t>
      </w:r>
      <w:r>
        <w:rPr>
          <w:rFonts w:ascii="Times New Roman" w:hAnsi="Times New Roman" w:cs="Times New Roman" w:eastAsia="Times New Roman" w:hint="default"/>
          <w:spacing w:val="-2"/>
        </w:rPr>
        <w:t>9.50%</w:t>
      </w:r>
      <w:r>
        <w:rPr>
          <w:spacing w:val="-2"/>
        </w:rPr>
        <w:t>。</w:t>
      </w:r>
      <w:r>
        <w:rPr>
          <w:spacing w:val="-84"/>
        </w:rPr>
        <w:t> </w:t>
      </w:r>
      <w:r>
        <w:rPr/>
        <w:t>两者共同作用，是导致经营活动产生的现金流量净额较上年同期下降的主要原因。</w:t>
      </w:r>
    </w:p>
    <w:p>
      <w:pPr>
        <w:spacing w:line="240" w:lineRule="auto" w:before="4"/>
        <w:rPr>
          <w:rFonts w:ascii="宋体" w:hAnsi="宋体" w:cs="宋体" w:eastAsia="宋体" w:hint="default"/>
          <w:sz w:val="14"/>
          <w:szCs w:val="14"/>
        </w:rPr>
      </w:pPr>
    </w:p>
    <w:p>
      <w:pPr>
        <w:pStyle w:val="BodyText"/>
        <w:spacing w:line="300" w:lineRule="auto"/>
        <w:ind w:left="173" w:right="1215" w:firstLine="360"/>
        <w:jc w:val="both"/>
      </w:pPr>
      <w:r>
        <w:rPr/>
        <w:t>（</w:t>
      </w:r>
      <w:r>
        <w:rPr>
          <w:rFonts w:ascii="Times New Roman" w:hAnsi="Times New Roman" w:cs="Times New Roman" w:eastAsia="Times New Roman" w:hint="default"/>
        </w:rPr>
        <w:t>2</w:t>
      </w:r>
      <w:r>
        <w:rPr/>
        <w:t>）投资活动现金流入较上年同期增长</w:t>
      </w:r>
      <w:r>
        <w:rPr>
          <w:rFonts w:ascii="Times New Roman" w:hAnsi="Times New Roman" w:cs="Times New Roman" w:eastAsia="Times New Roman" w:hint="default"/>
        </w:rPr>
        <w:t>407.23%</w:t>
      </w:r>
      <w:r>
        <w:rPr/>
        <w:t>，主要系报告期内收回到期理财产品的金额增长；投资活动现金流出 较上年同期增长</w:t>
      </w:r>
      <w:r>
        <w:rPr>
          <w:rFonts w:ascii="Times New Roman" w:hAnsi="Times New Roman" w:cs="Times New Roman" w:eastAsia="Times New Roman" w:hint="default"/>
        </w:rPr>
        <w:t>68.63%</w:t>
      </w:r>
      <w:r>
        <w:rPr/>
        <w:t>，主要系报告期内公司购买理财产品增加及对外投资所致；以上系构成投资活动产生的现金流量净 额较上年同期增长</w:t>
      </w:r>
      <w:r>
        <w:rPr>
          <w:rFonts w:ascii="Times New Roman" w:hAnsi="Times New Roman" w:cs="Times New Roman" w:eastAsia="Times New Roman" w:hint="default"/>
        </w:rPr>
        <w:t>122.26%</w:t>
      </w:r>
      <w:r>
        <w:rPr/>
        <w:t>的主要因素。</w:t>
      </w:r>
    </w:p>
    <w:p>
      <w:pPr>
        <w:spacing w:line="240" w:lineRule="auto" w:before="12"/>
        <w:rPr>
          <w:rFonts w:ascii="宋体" w:hAnsi="宋体" w:cs="宋体" w:eastAsia="宋体" w:hint="default"/>
          <w:sz w:val="12"/>
          <w:szCs w:val="12"/>
        </w:rPr>
      </w:pPr>
    </w:p>
    <w:p>
      <w:pPr>
        <w:pStyle w:val="BodyText"/>
        <w:spacing w:line="300" w:lineRule="auto"/>
        <w:ind w:left="174" w:right="1116" w:firstLine="360"/>
        <w:jc w:val="left"/>
      </w:pPr>
      <w:r>
        <w:rPr>
          <w:spacing w:val="-1"/>
        </w:rPr>
        <w:t>（</w:t>
      </w:r>
      <w:r>
        <w:rPr>
          <w:rFonts w:ascii="Times New Roman" w:hAnsi="Times New Roman" w:cs="Times New Roman" w:eastAsia="Times New Roman" w:hint="default"/>
          <w:spacing w:val="-1"/>
        </w:rPr>
        <w:t>3</w:t>
      </w:r>
      <w:r>
        <w:rPr>
          <w:spacing w:val="-1"/>
        </w:rPr>
        <w:t>）筹资活动现金流入较上年同期下降</w:t>
      </w:r>
      <w:r>
        <w:rPr>
          <w:rFonts w:ascii="Times New Roman" w:hAnsi="Times New Roman" w:cs="Times New Roman" w:eastAsia="Times New Roman" w:hint="default"/>
          <w:spacing w:val="-1"/>
        </w:rPr>
        <w:t>100%</w:t>
      </w:r>
      <w:r>
        <w:rPr>
          <w:spacing w:val="-1"/>
        </w:rPr>
        <w:t>，系报告期内公司没有因筹资活动而产生的现金流入，而上年同期存在因</w:t>
      </w:r>
      <w:r>
        <w:rPr/>
        <w:t> 首次公开发行所产生的现金流入，此亦为筹资活动产生的现金流量净额较上年同期下降</w:t>
      </w:r>
      <w:r>
        <w:rPr>
          <w:rFonts w:ascii="Times New Roman" w:hAnsi="Times New Roman" w:cs="Times New Roman" w:eastAsia="Times New Roman" w:hint="default"/>
        </w:rPr>
        <w:t>107.84%</w:t>
      </w:r>
      <w:r>
        <w:rPr/>
        <w:t>的原因。</w:t>
      </w:r>
    </w:p>
    <w:p>
      <w:pPr>
        <w:spacing w:line="240" w:lineRule="auto" w:before="12"/>
        <w:rPr>
          <w:rFonts w:ascii="宋体" w:hAnsi="宋体" w:cs="宋体" w:eastAsia="宋体" w:hint="default"/>
          <w:sz w:val="12"/>
          <w:szCs w:val="12"/>
        </w:rPr>
      </w:pPr>
    </w:p>
    <w:p>
      <w:pPr>
        <w:pStyle w:val="BodyText"/>
        <w:spacing w:line="300" w:lineRule="auto"/>
        <w:ind w:left="173" w:right="1123" w:firstLine="360"/>
        <w:jc w:val="left"/>
      </w:pPr>
      <w:r>
        <w:rPr/>
        <w:t>（</w:t>
      </w:r>
      <w:r>
        <w:rPr>
          <w:rFonts w:ascii="Times New Roman" w:hAnsi="Times New Roman" w:cs="Times New Roman" w:eastAsia="Times New Roman" w:hint="default"/>
        </w:rPr>
        <w:t>4</w:t>
      </w:r>
      <w:r>
        <w:rPr/>
        <w:t>）以上因素共同作用，加上美元汇率的大幅波动对现金及现金等价物的影响，是构成现金及现金等价物净增加额较 上年同期下降</w:t>
      </w:r>
      <w:r>
        <w:rPr>
          <w:rFonts w:ascii="宋体" w:hAnsi="宋体" w:cs="宋体" w:eastAsia="宋体" w:hint="default"/>
        </w:rPr>
        <w:t>38.44%</w:t>
      </w:r>
      <w:r>
        <w:rPr/>
        <w:t>的主要原因。</w:t>
      </w:r>
    </w:p>
    <w:p>
      <w:pPr>
        <w:spacing w:line="240" w:lineRule="auto" w:before="4"/>
        <w:rPr>
          <w:rFonts w:ascii="宋体" w:hAnsi="宋体" w:cs="宋体" w:eastAsia="宋体" w:hint="default"/>
          <w:sz w:val="14"/>
          <w:szCs w:val="14"/>
        </w:rPr>
      </w:pPr>
    </w:p>
    <w:p>
      <w:pPr>
        <w:pStyle w:val="BodyText"/>
        <w:spacing w:line="240" w:lineRule="auto"/>
        <w:ind w:left="534" w:right="1033"/>
        <w:jc w:val="left"/>
      </w:pPr>
      <w:r>
        <w:rPr/>
        <w:t>报告期内公司经营活动产生的现金净流量与本年度净利润存在重大差异的原因说明</w:t>
      </w:r>
    </w:p>
    <w:p>
      <w:pPr>
        <w:pStyle w:val="BodyText"/>
        <w:spacing w:line="450" w:lineRule="atLeast" w:before="31"/>
        <w:ind w:left="533" w:right="1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报告期内公司经营活动产生的现金流量净额为</w:t>
      </w:r>
      <w:r>
        <w:rPr>
          <w:rFonts w:ascii="宋体" w:hAnsi="宋体" w:cs="宋体" w:eastAsia="宋体" w:hint="default"/>
        </w:rPr>
        <w:t>2,730,869.44</w:t>
      </w:r>
      <w:r>
        <w:rPr/>
        <w:t>元，实现本年度归属于母公司所有者的净利润为</w:t>
      </w:r>
    </w:p>
    <w:p>
      <w:pPr>
        <w:pStyle w:val="BodyText"/>
        <w:spacing w:line="316" w:lineRule="auto" w:before="77"/>
        <w:ind w:left="534" w:right="1033" w:hanging="360"/>
        <w:jc w:val="left"/>
      </w:pPr>
      <w:r>
        <w:rPr>
          <w:rFonts w:ascii="宋体" w:hAnsi="宋体" w:cs="宋体" w:eastAsia="宋体" w:hint="default"/>
        </w:rPr>
        <w:t>30,446,607.75</w:t>
      </w:r>
      <w:r>
        <w:rPr/>
        <w:t>元，两者之前存在重大差异的原因为： </w:t>
      </w:r>
      <w:r>
        <w:rPr>
          <w:spacing w:val="-4"/>
        </w:rPr>
        <w:t>报告期内公司募投项目之一的“激光有机光导鼓扩建项目”所建造的最后两条生产线均分期达到预定可使用状态，同时，</w:t>
      </w:r>
    </w:p>
    <w:p>
      <w:pPr>
        <w:pStyle w:val="BodyText"/>
        <w:spacing w:line="316" w:lineRule="auto" w:before="19"/>
        <w:ind w:left="174" w:right="1131"/>
        <w:jc w:val="both"/>
      </w:pPr>
      <w:r>
        <w:rPr>
          <w:spacing w:val="-2"/>
        </w:rPr>
        <w:t>由于上年度针对部分产线增产增效的技术改造的完成，其也于报告期内释放产能。因此，报告期内公司的生产量较上年同期</w:t>
      </w:r>
      <w:r>
        <w:rPr>
          <w:spacing w:val="-65"/>
        </w:rPr>
        <w:t> </w:t>
      </w:r>
      <w:r>
        <w:rPr>
          <w:spacing w:val="-65"/>
        </w:rPr>
      </w:r>
      <w:r>
        <w:rPr>
          <w:spacing w:val="-2"/>
        </w:rPr>
        <w:t>增长了</w:t>
      </w:r>
      <w:r>
        <w:rPr>
          <w:rFonts w:ascii="宋体" w:hAnsi="宋体" w:cs="宋体" w:eastAsia="宋体" w:hint="default"/>
          <w:spacing w:val="-2"/>
        </w:rPr>
        <w:t>42.67%</w:t>
      </w:r>
      <w:r>
        <w:rPr>
          <w:spacing w:val="-2"/>
        </w:rPr>
        <w:t>。生产量的增长带动经营活动现金流出较上年同期增长</w:t>
      </w:r>
      <w:r>
        <w:rPr>
          <w:rFonts w:ascii="宋体" w:hAnsi="宋体" w:cs="宋体" w:eastAsia="宋体" w:hint="default"/>
          <w:spacing w:val="-2"/>
        </w:rPr>
        <w:t>28.82%</w:t>
      </w:r>
      <w:r>
        <w:rPr>
          <w:spacing w:val="-2"/>
        </w:rPr>
        <w:t>；而另一方面，公司销售增长平稳，销售收入较</w:t>
      </w:r>
      <w:r>
        <w:rPr>
          <w:spacing w:val="-54"/>
        </w:rPr>
        <w:t> </w:t>
      </w:r>
      <w:r>
        <w:rPr>
          <w:spacing w:val="-54"/>
        </w:rPr>
      </w:r>
      <w:r>
        <w:rPr/>
        <w:t>去年增长</w:t>
      </w:r>
      <w:r>
        <w:rPr>
          <w:rFonts w:ascii="宋体" w:hAnsi="宋体" w:cs="宋体" w:eastAsia="宋体" w:hint="default"/>
        </w:rPr>
        <w:t>4.25%</w:t>
      </w:r>
      <w:r>
        <w:rPr/>
        <w:t>，经营活动现金流入较上年同期仅增长</w:t>
      </w:r>
      <w:r>
        <w:rPr>
          <w:rFonts w:ascii="宋体" w:hAnsi="宋体" w:cs="宋体" w:eastAsia="宋体" w:hint="default"/>
        </w:rPr>
        <w:t>9.70%</w:t>
      </w:r>
      <w:r>
        <w:rPr/>
        <w:t>。</w:t>
      </w:r>
    </w:p>
    <w:p>
      <w:pPr>
        <w:pStyle w:val="BodyText"/>
        <w:spacing w:line="316" w:lineRule="auto" w:before="19"/>
        <w:ind w:left="174" w:right="1033" w:firstLine="360"/>
        <w:jc w:val="left"/>
      </w:pPr>
      <w:r>
        <w:rPr>
          <w:spacing w:val="-2"/>
        </w:rPr>
        <w:t>生产的增长幅度与销量的增长幅度存在一定的差异，从而使公司现金流入与现金流出不匹配，是导致经营活动产生的现</w:t>
      </w:r>
      <w:r>
        <w:rPr/>
        <w:t> 金流量净额与本年度净利润存在重大差异的主要原因。</w:t>
      </w:r>
    </w:p>
    <w:p>
      <w:pPr>
        <w:spacing w:line="240" w:lineRule="auto" w:before="10"/>
        <w:rPr>
          <w:rFonts w:ascii="宋体" w:hAnsi="宋体" w:cs="宋体" w:eastAsia="宋体" w:hint="default"/>
          <w:sz w:val="20"/>
          <w:szCs w:val="20"/>
        </w:rPr>
      </w:pPr>
    </w:p>
    <w:p>
      <w:pPr>
        <w:pStyle w:val="Heading2"/>
        <w:spacing w:line="240" w:lineRule="auto"/>
        <w:ind w:left="174" w:right="0"/>
        <w:jc w:val="both"/>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7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00"/>
        <w:gridCol w:w="1324"/>
        <w:gridCol w:w="1560"/>
        <w:gridCol w:w="3827"/>
        <w:gridCol w:w="1559"/>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7,955,048.13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23.02%</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理财产品收益及按权益法核算的投资收益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-676,475.00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以公允价值计量，变动记入当期损益的金融资产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1,549,113.28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计提的存货跌价准备及坏账准备等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0.002%</w:t>
            </w:r>
          </w:p>
        </w:tc>
        <w:tc>
          <w:tcPr>
            <w:tcW w:w="382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19,754.84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382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6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84"/>
        <w:gridCol w:w="104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8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26"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04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202,537,002.62</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176,633,017.98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74,362,327.34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72,149,865.10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93,948,146.38</w:t>
            </w:r>
          </w:p>
        </w:tc>
        <w:tc>
          <w:tcPr>
            <w:tcW w:w="104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15.08%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40,541,998.96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7.06%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8.02%</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详见本节二、主营业务分析之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、收 入与成本中的（</w:t>
            </w:r>
            <w:r>
              <w:rPr>
                <w:rFonts w:ascii="Times New Roman" w:hAnsi="Times New Roman" w:cs="Times New Roman" w:eastAsia="Times New Roman" w:hint="default"/>
                <w:sz w:val="18"/>
                <w:szCs w:val="18"/>
              </w:rPr>
              <w:t>3</w:t>
            </w:r>
            <w:r>
              <w:rPr>
                <w:rFonts w:ascii="宋体" w:hAnsi="宋体" w:cs="宋体" w:eastAsia="宋体" w:hint="default"/>
                <w:sz w:val="18"/>
                <w:szCs w:val="18"/>
              </w:rPr>
              <w:t>）分析</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4" w:type="dxa"/>
            <w:vMerge/>
            <w:tcBorders>
              <w:left w:val="single" w:sz="9" w:space="0" w:color="D2D2D2"/>
              <w:right w:val="single" w:sz="4" w:space="0" w:color="000000"/>
            </w:tcBorders>
          </w:tcPr>
          <w:p>
            <w:pPr/>
          </w:p>
        </w:tc>
        <w:tc>
          <w:tcPr>
            <w:tcW w:w="104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9" w:space="0" w:color="D2D2D2"/>
              <w:bottom w:val="single" w:sz="4" w:space="0" w:color="000000"/>
              <w:right w:val="single" w:sz="4" w:space="0" w:color="000000"/>
            </w:tcBorders>
          </w:tcPr>
          <w:p>
            <w:pPr/>
          </w:p>
        </w:tc>
        <w:tc>
          <w:tcPr>
            <w:tcW w:w="104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32,235,326.58</w:t>
            </w:r>
          </w:p>
        </w:tc>
        <w:tc>
          <w:tcPr>
            <w:tcW w:w="104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5.18%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7,302,181.54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3.91%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主要系公司在报告期内对外投资增 加所致。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4" w:type="dxa"/>
            <w:vMerge/>
            <w:tcBorders>
              <w:left w:val="single" w:sz="9" w:space="0" w:color="D2D2D2"/>
              <w:right w:val="single" w:sz="4" w:space="0" w:color="000000"/>
            </w:tcBorders>
          </w:tcPr>
          <w:p>
            <w:pPr/>
          </w:p>
        </w:tc>
        <w:tc>
          <w:tcPr>
            <w:tcW w:w="104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9" w:space="0" w:color="D2D2D2"/>
              <w:bottom w:val="single" w:sz="4" w:space="0" w:color="000000"/>
              <w:right w:val="single" w:sz="4" w:space="0" w:color="000000"/>
            </w:tcBorders>
          </w:tcPr>
          <w:p>
            <w:pPr/>
          </w:p>
        </w:tc>
        <w:tc>
          <w:tcPr>
            <w:tcW w:w="104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108,973,425.47</w:t>
            </w:r>
          </w:p>
        </w:tc>
        <w:tc>
          <w:tcPr>
            <w:tcW w:w="104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17.49%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65,535,321.36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11.41%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6.08%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主要系公司募投项目建设完工，在建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工程转入固定资产所致。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4" w:type="dxa"/>
            <w:vMerge/>
            <w:tcBorders>
              <w:left w:val="single" w:sz="9" w:space="0" w:color="D2D2D2"/>
              <w:right w:val="single" w:sz="4" w:space="0" w:color="000000"/>
            </w:tcBorders>
          </w:tcPr>
          <w:p>
            <w:pPr/>
          </w:p>
        </w:tc>
        <w:tc>
          <w:tcPr>
            <w:tcW w:w="104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9" w:space="0" w:color="D2D2D2"/>
              <w:bottom w:val="single" w:sz="4" w:space="0" w:color="000000"/>
              <w:right w:val="single" w:sz="4" w:space="0" w:color="000000"/>
            </w:tcBorders>
          </w:tcPr>
          <w:p>
            <w:pPr/>
          </w:p>
        </w:tc>
        <w:tc>
          <w:tcPr>
            <w:tcW w:w="104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9,239,182.59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1.61%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-1.61%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主要系公司募投项目建设完工，在建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工程转入固定资产所致。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4" w:type="dxa"/>
            <w:vMerge/>
            <w:tcBorders>
              <w:left w:val="single" w:sz="9" w:space="0" w:color="D2D2D2"/>
              <w:right w:val="single" w:sz="4" w:space="0" w:color="000000"/>
            </w:tcBorders>
          </w:tcPr>
          <w:p>
            <w:pPr/>
          </w:p>
        </w:tc>
        <w:tc>
          <w:tcPr>
            <w:tcW w:w="104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9" w:space="0" w:color="D2D2D2"/>
              <w:bottom w:val="single" w:sz="4" w:space="0" w:color="000000"/>
              <w:right w:val="single" w:sz="4" w:space="0" w:color="000000"/>
            </w:tcBorders>
          </w:tcPr>
          <w:p>
            <w:pPr/>
          </w:p>
        </w:tc>
        <w:tc>
          <w:tcPr>
            <w:tcW w:w="104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70,570,525.82</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166,027,547.53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主要系购买的理财产品金额减少所 致。</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73,423,061.66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43,390,541.41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主要系公司生产规模扩大，导致的应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付货款增加所致。</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436"/>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373"/>
        <w:gridCol w:w="1152"/>
        <w:gridCol w:w="1128"/>
        <w:gridCol w:w="1695"/>
        <w:gridCol w:w="1565"/>
        <w:gridCol w:w="1277"/>
        <w:gridCol w:w="1559"/>
        <w:gridCol w:w="1276"/>
      </w:tblGrid>
      <w:tr>
        <w:trPr>
          <w:trHeight w:val="161" w:hRule="exact"/>
        </w:trPr>
        <w:tc>
          <w:tcPr>
            <w:tcW w:w="43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5"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6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5" w:right="28" w:hanging="451"/>
              <w:jc w:val="left"/>
              <w:rPr>
                <w:rFonts w:ascii="宋体" w:hAnsi="宋体" w:cs="宋体" w:eastAsia="宋体" w:hint="default"/>
                <w:sz w:val="18"/>
                <w:szCs w:val="18"/>
              </w:rPr>
            </w:pPr>
            <w:r>
              <w:rPr>
                <w:rFonts w:ascii="宋体" w:hAnsi="宋体" w:cs="宋体" w:eastAsia="宋体" w:hint="default"/>
                <w:sz w:val="18"/>
                <w:szCs w:val="18"/>
              </w:rPr>
              <w:t>计入权益的累计公允 价值变动</w:t>
            </w:r>
          </w:p>
        </w:tc>
        <w:tc>
          <w:tcPr>
            <w:tcW w:w="15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43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28" w:type="dxa"/>
            <w:vMerge/>
            <w:tcBorders>
              <w:left w:val="single" w:sz="4" w:space="0" w:color="000000"/>
              <w:right w:val="single" w:sz="4" w:space="0" w:color="000000"/>
            </w:tcBorders>
            <w:shd w:val="clear" w:color="auto" w:fill="D2D2D2"/>
          </w:tcPr>
          <w:p>
            <w:pPr/>
          </w:p>
        </w:tc>
        <w:tc>
          <w:tcPr>
            <w:tcW w:w="1695" w:type="dxa"/>
            <w:vMerge/>
            <w:tcBorders>
              <w:left w:val="single" w:sz="4" w:space="0" w:color="000000"/>
              <w:right w:val="single" w:sz="4" w:space="0" w:color="000000"/>
            </w:tcBorders>
            <w:shd w:val="clear" w:color="auto" w:fill="D2D2D2"/>
          </w:tcPr>
          <w:p>
            <w:pPr/>
          </w:p>
        </w:tc>
        <w:tc>
          <w:tcPr>
            <w:tcW w:w="15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43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1695" w:type="dxa"/>
            <w:vMerge/>
            <w:tcBorders>
              <w:left w:val="single" w:sz="4" w:space="0" w:color="000000"/>
              <w:bottom w:val="single" w:sz="4" w:space="0" w:color="000000"/>
              <w:right w:val="single" w:sz="4" w:space="0" w:color="000000"/>
            </w:tcBorders>
            <w:shd w:val="clear" w:color="auto" w:fill="D2D2D2"/>
          </w:tcPr>
          <w:p>
            <w:pPr/>
          </w:p>
        </w:tc>
        <w:tc>
          <w:tcPr>
            <w:tcW w:w="15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965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以公允价值计量且其变动计入当期损益的金融资产</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（不含衍生金融资产）</w:t>
            </w:r>
          </w:p>
        </w:tc>
        <w:tc>
          <w:tcPr>
            <w:tcW w:w="1152"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152"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152"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52"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52"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52"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2"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2"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2"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4" w:right="0"/>
              <w:jc w:val="left"/>
              <w:rPr>
                <w:rFonts w:ascii="Times New Roman" w:hAnsi="Times New Roman" w:cs="Times New Roman" w:eastAsia="Times New Roman" w:hint="default"/>
                <w:sz w:val="18"/>
                <w:szCs w:val="18"/>
              </w:rPr>
            </w:pPr>
            <w:r>
              <w:rPr>
                <w:rFonts w:ascii="Times New Roman"/>
                <w:sz w:val="18"/>
              </w:rPr>
              <w:t>676,475.00</w:t>
            </w:r>
          </w:p>
        </w:tc>
        <w:tc>
          <w:tcPr>
            <w:tcW w:w="169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676,475.00</w:t>
            </w:r>
          </w:p>
        </w:tc>
      </w:tr>
    </w:tbl>
    <w:p>
      <w:pPr>
        <w:spacing w:line="240" w:lineRule="auto" w:before="7"/>
        <w:rPr>
          <w:rFonts w:ascii="宋体" w:hAnsi="宋体" w:cs="宋体" w:eastAsia="宋体" w:hint="default"/>
          <w:sz w:val="27"/>
          <w:szCs w:val="27"/>
        </w:rPr>
      </w:pPr>
    </w:p>
    <w:p>
      <w:pPr>
        <w:pStyle w:val="BodyText"/>
        <w:spacing w:line="240" w:lineRule="auto" w:before="44"/>
        <w:ind w:left="140" w:right="0"/>
        <w:jc w:val="left"/>
      </w:pPr>
      <w:r>
        <w:rPr/>
        <w:t>报告期内公司主要资产计量属性是否发生重大变化</w:t>
      </w:r>
    </w:p>
    <w:p>
      <w:pPr>
        <w:pStyle w:val="BodyText"/>
        <w:spacing w:line="240" w:lineRule="auto" w:before="116"/>
        <w:ind w:left="139"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headerReference w:type="default" r:id="rId13"/>
          <w:footerReference w:type="default" r:id="rId14"/>
          <w:pgSz w:w="16840" w:h="11910" w:orient="landscape"/>
          <w:pgMar w:header="867" w:footer="979" w:top="1060" w:bottom="1160" w:left="1300" w:right="0"/>
          <w:pgNumType w:start="20"/>
        </w:sectPr>
      </w:pPr>
    </w:p>
    <w:p>
      <w:pPr>
        <w:spacing w:line="240" w:lineRule="auto" w:before="12"/>
        <w:rPr>
          <w:rFonts w:ascii="宋体" w:hAnsi="宋体" w:cs="宋体" w:eastAsia="宋体" w:hint="default"/>
          <w:sz w:val="2"/>
          <w:szCs w:val="2"/>
        </w:rPr>
      </w:pPr>
    </w:p>
    <w:p>
      <w:pPr>
        <w:spacing w:line="20" w:lineRule="exact"/>
        <w:ind w:left="9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940"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40" w:right="0"/>
        <w:jc w:val="left"/>
      </w:pPr>
      <w:bookmarkStart w:name="截至报告期末，公司存在远期外汇交易保证金2,391,581.95元。" w:id="45"/>
      <w:bookmarkEnd w:id="45"/>
      <w:r>
        <w:rPr/>
      </w:r>
      <w:r>
        <w:rPr/>
        <w:t>截至报告期末，公司存在远期外汇交易保证金</w:t>
      </w:r>
      <w:r>
        <w:rPr>
          <w:spacing w:val="-46"/>
        </w:rPr>
        <w:t> </w:t>
      </w:r>
      <w:r>
        <w:rPr>
          <w:rFonts w:ascii="宋体" w:hAnsi="宋体" w:cs="宋体" w:eastAsia="宋体" w:hint="default"/>
        </w:rPr>
        <w:t>2,391,581.95</w:t>
      </w:r>
      <w:r>
        <w:rPr>
          <w:rFonts w:ascii="宋体" w:hAnsi="宋体" w:cs="宋体" w:eastAsia="宋体" w:hint="default"/>
          <w:spacing w:val="-46"/>
        </w:rPr>
        <w:t> </w:t>
      </w:r>
      <w:r>
        <w:rPr/>
        <w:t>元。</w:t>
      </w:r>
    </w:p>
    <w:p>
      <w:pPr>
        <w:spacing w:line="240" w:lineRule="auto" w:before="2"/>
        <w:rPr>
          <w:rFonts w:ascii="宋体" w:hAnsi="宋体" w:cs="宋体" w:eastAsia="宋体" w:hint="default"/>
          <w:sz w:val="25"/>
          <w:szCs w:val="25"/>
        </w:rPr>
      </w:pPr>
    </w:p>
    <w:p>
      <w:pPr>
        <w:pStyle w:val="Heading2"/>
        <w:spacing w:line="240" w:lineRule="auto"/>
        <w:ind w:left="940" w:right="0"/>
        <w:jc w:val="left"/>
        <w:rPr>
          <w:b w:val="0"/>
          <w:bCs w:val="0"/>
        </w:rPr>
      </w:pPr>
      <w:bookmarkStart w:name="五、投资状况分析" w:id="46"/>
      <w:bookmarkEnd w:id="46"/>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940" w:right="0"/>
        <w:jc w:val="left"/>
        <w:rPr>
          <w:b w:val="0"/>
          <w:bCs w:val="0"/>
        </w:rPr>
      </w:pPr>
      <w:bookmarkStart w:name="1、总体情况" w:id="47"/>
      <w:bookmarkEnd w:id="47"/>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935" w:type="dxa"/>
        <w:tblLayout w:type="fixed"/>
        <w:tblCellMar>
          <w:top w:w="0" w:type="dxa"/>
          <w:left w:w="0" w:type="dxa"/>
          <w:bottom w:w="0" w:type="dxa"/>
          <w:right w:w="0" w:type="dxa"/>
        </w:tblCellMar>
        <w:tblLook w:val="01E0"/>
      </w:tblPr>
      <w:tblGrid>
        <w:gridCol w:w="4253"/>
        <w:gridCol w:w="5954"/>
        <w:gridCol w:w="3828"/>
      </w:tblGrid>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1"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31,982,118.40</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392.03%</w:t>
            </w:r>
          </w:p>
        </w:tc>
      </w:tr>
    </w:tbl>
    <w:p>
      <w:pPr>
        <w:spacing w:line="240" w:lineRule="auto" w:before="3"/>
        <w:rPr>
          <w:rFonts w:ascii="宋体" w:hAnsi="宋体" w:cs="宋体" w:eastAsia="宋体" w:hint="default"/>
          <w:sz w:val="19"/>
          <w:szCs w:val="19"/>
        </w:rPr>
      </w:pPr>
    </w:p>
    <w:p>
      <w:pPr>
        <w:pStyle w:val="Heading3"/>
        <w:spacing w:line="240" w:lineRule="auto" w:before="35"/>
        <w:ind w:left="940" w:right="0"/>
        <w:jc w:val="left"/>
        <w:rPr>
          <w:b w:val="0"/>
          <w:bCs w:val="0"/>
        </w:rPr>
      </w:pPr>
      <w:bookmarkStart w:name="2、报告期内获取的重大的股权投资情况" w:id="48"/>
      <w:bookmarkEnd w:id="48"/>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9"/>
          <w:szCs w:val="29"/>
        </w:rPr>
      </w:pPr>
    </w:p>
    <w:p>
      <w:pPr>
        <w:pStyle w:val="BodyText"/>
        <w:tabs>
          <w:tab w:pos="14179" w:val="left" w:leader="none"/>
        </w:tabs>
        <w:spacing w:line="240" w:lineRule="auto"/>
        <w:ind w:left="1010" w:right="0"/>
        <w:jc w:val="left"/>
      </w:pPr>
      <w:r>
        <w:rPr/>
        <w:pict>
          <v:shape style="position:absolute;margin-left:174.054001pt;margin-top:70.451721pt;width:44.95pt;height:31.2pt;mso-position-horizontal-relative:page;mso-position-vertical-relative:paragraph;z-index:-89776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色带、</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tab/>
        <w:t>单位：元</w:t>
      </w:r>
    </w:p>
    <w:p>
      <w:pPr>
        <w:spacing w:line="240" w:lineRule="auto" w:before="6"/>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992"/>
        <w:gridCol w:w="2355"/>
        <w:gridCol w:w="425"/>
        <w:gridCol w:w="1134"/>
        <w:gridCol w:w="709"/>
        <w:gridCol w:w="566"/>
        <w:gridCol w:w="426"/>
        <w:gridCol w:w="566"/>
        <w:gridCol w:w="994"/>
        <w:gridCol w:w="991"/>
        <w:gridCol w:w="502"/>
        <w:gridCol w:w="1134"/>
        <w:gridCol w:w="566"/>
        <w:gridCol w:w="1559"/>
        <w:gridCol w:w="2694"/>
      </w:tblGrid>
      <w:tr>
        <w:trPr>
          <w:trHeight w:val="1026"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10" w:right="41"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0"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9"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7" w:right="26"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6" w:right="65"/>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披露日期（如有）</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6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9"/>
              <w:jc w:val="both"/>
              <w:rPr>
                <w:rFonts w:ascii="宋体" w:hAnsi="宋体" w:cs="宋体" w:eastAsia="宋体" w:hint="default"/>
                <w:sz w:val="18"/>
                <w:szCs w:val="18"/>
              </w:rPr>
            </w:pPr>
            <w:r>
              <w:rPr>
                <w:rFonts w:ascii="宋体" w:hAnsi="宋体" w:cs="宋体" w:eastAsia="宋体" w:hint="default"/>
                <w:sz w:val="18"/>
                <w:szCs w:val="18"/>
              </w:rPr>
              <w:t>深圳市壹办 公科技股份 有限公司</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4"/>
                <w:sz w:val="18"/>
                <w:szCs w:val="18"/>
              </w:rPr>
              <w:t>墨盒、硒鼓、墨水、打印机耗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材、复印机耗材及配件、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碳粉及相关配件的生产与销 </w:t>
            </w:r>
            <w:r>
              <w:rPr>
                <w:rFonts w:ascii="宋体" w:hAnsi="宋体" w:cs="宋体" w:eastAsia="宋体" w:hint="default"/>
                <w:spacing w:val="-4"/>
                <w:sz w:val="18"/>
                <w:szCs w:val="18"/>
              </w:rPr>
              <w:t>售；办公设备及耗材、办公家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具、文具等批发零售等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20.8pt;height:31.2pt;mso-position-horizontal-relative:char;mso-position-vertical-relative:line" coordorigin="0,0" coordsize="416,624">
                  <v:group style="position:absolute;left:0;top:0;width:416;height:624" coordorigin="0,0" coordsize="416,624">
                    <v:shape style="position:absolute;left:0;top:0;width:416;height:624" coordorigin="0,0" coordsize="416,624" path="m0,624l415,624,415,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增资</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21,982,118.40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长期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8"/>
              <w:jc w:val="both"/>
              <w:rPr>
                <w:rFonts w:ascii="宋体" w:hAnsi="宋体" w:cs="宋体" w:eastAsia="宋体" w:hint="default"/>
                <w:sz w:val="18"/>
                <w:szCs w:val="18"/>
              </w:rPr>
            </w:pPr>
            <w:r>
              <w:rPr>
                <w:rFonts w:ascii="宋体" w:hAnsi="宋体" w:cs="宋体" w:eastAsia="宋体" w:hint="default"/>
                <w:sz w:val="18"/>
                <w:szCs w:val="18"/>
              </w:rPr>
              <w:t>硒鼓等打印 耗材、办公 用品电商平 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56"/>
              <w:jc w:val="left"/>
              <w:rPr>
                <w:rFonts w:ascii="宋体" w:hAnsi="宋体" w:cs="宋体" w:eastAsia="宋体" w:hint="default"/>
                <w:sz w:val="18"/>
                <w:szCs w:val="18"/>
              </w:rPr>
            </w:pPr>
            <w:r>
              <w:rPr>
                <w:rFonts w:ascii="宋体" w:hAnsi="宋体" w:cs="宋体" w:eastAsia="宋体" w:hint="default"/>
                <w:sz w:val="18"/>
                <w:szCs w:val="18"/>
              </w:rPr>
              <w:t>完成工商变 更登记</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07"/>
              <w:jc w:val="left"/>
              <w:rPr>
                <w:rFonts w:ascii="宋体" w:hAnsi="宋体" w:cs="宋体" w:eastAsia="宋体" w:hint="default"/>
                <w:sz w:val="18"/>
                <w:szCs w:val="18"/>
              </w:rPr>
            </w:pPr>
            <w:r>
              <w:rPr>
                <w:rFonts w:ascii="宋体" w:hAnsi="宋体" w:cs="宋体" w:eastAsia="宋体" w:hint="default"/>
                <w:sz w:val="18"/>
                <w:szCs w:val="18"/>
              </w:rPr>
              <w:t>不适 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1,537,510.43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 关于认购深圳市壹办公科技股份 </w:t>
            </w:r>
            <w:r>
              <w:rPr>
                <w:rFonts w:ascii="宋体" w:hAnsi="宋体" w:cs="宋体" w:eastAsia="宋体" w:hint="default"/>
                <w:spacing w:val="-5"/>
                <w:sz w:val="18"/>
                <w:szCs w:val="18"/>
              </w:rPr>
              <w:t>有限公司发行股份的公告（公告编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2017-030</w:t>
            </w:r>
            <w:r>
              <w:rPr>
                <w:rFonts w:ascii="宋体" w:hAnsi="宋体" w:cs="宋体" w:eastAsia="宋体" w:hint="default"/>
                <w:sz w:val="18"/>
                <w:szCs w:val="18"/>
              </w:rPr>
              <w:t>）</w:t>
            </w:r>
          </w:p>
        </w:tc>
      </w:tr>
      <w:tr>
        <w:trPr>
          <w:trHeight w:val="133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武汉宝特龙 科技股份有 限公司</w:t>
            </w:r>
          </w:p>
        </w:tc>
        <w:tc>
          <w:tcPr>
            <w:tcW w:w="235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pacing w:val="-4"/>
                <w:sz w:val="18"/>
                <w:szCs w:val="18"/>
              </w:rPr>
              <w:t>从事激光打印机、数码式及模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拟式复印机用色调剂的生产、 开发及销售等</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增资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长期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碳粉等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6"/>
              <w:jc w:val="left"/>
              <w:rPr>
                <w:rFonts w:ascii="宋体" w:hAnsi="宋体" w:cs="宋体" w:eastAsia="宋体" w:hint="default"/>
                <w:sz w:val="18"/>
                <w:szCs w:val="18"/>
              </w:rPr>
            </w:pPr>
            <w:r>
              <w:rPr>
                <w:rFonts w:ascii="宋体" w:hAnsi="宋体" w:cs="宋体" w:eastAsia="宋体" w:hint="default"/>
                <w:sz w:val="18"/>
                <w:szCs w:val="18"/>
              </w:rPr>
              <w:t>完成工商变 更登记</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07"/>
              <w:jc w:val="left"/>
              <w:rPr>
                <w:rFonts w:ascii="宋体" w:hAnsi="宋体" w:cs="宋体" w:eastAsia="宋体" w:hint="default"/>
                <w:sz w:val="18"/>
                <w:szCs w:val="18"/>
              </w:rPr>
            </w:pPr>
            <w:r>
              <w:rPr>
                <w:rFonts w:ascii="宋体" w:hAnsi="宋体" w:cs="宋体" w:eastAsia="宋体" w:hint="default"/>
                <w:sz w:val="18"/>
                <w:szCs w:val="18"/>
              </w:rPr>
              <w:t>不适 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8"/>
              <w:jc w:val="both"/>
              <w:rPr>
                <w:rFonts w:ascii="宋体" w:hAnsi="宋体" w:cs="宋体" w:eastAsia="宋体" w:hint="default"/>
                <w:sz w:val="18"/>
                <w:szCs w:val="18"/>
              </w:rPr>
            </w:pPr>
            <w:r>
              <w:rPr>
                <w:rFonts w:ascii="宋体" w:hAnsi="宋体" w:cs="宋体" w:eastAsia="宋体" w:hint="default"/>
                <w:sz w:val="18"/>
                <w:szCs w:val="18"/>
              </w:rPr>
              <w:t>苏州恒久光电科技股份有限公司 关于认购武汉宝特龙科技股份有 限公司发行股份的公告（公告编 号：</w:t>
            </w:r>
            <w:r>
              <w:rPr>
                <w:rFonts w:ascii="Times New Roman" w:hAnsi="Times New Roman" w:cs="Times New Roman" w:eastAsia="Times New Roman" w:hint="default"/>
                <w:sz w:val="18"/>
                <w:szCs w:val="18"/>
              </w:rPr>
              <w:t>2017-032</w:t>
            </w:r>
            <w:r>
              <w:rPr>
                <w:rFonts w:ascii="宋体" w:hAnsi="宋体" w:cs="宋体" w:eastAsia="宋体" w:hint="default"/>
                <w:sz w:val="18"/>
                <w:szCs w:val="18"/>
              </w:rPr>
              <w:t>）</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31,982,118.40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6"/>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1,537,510.43</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79" w:top="1060" w:bottom="1160" w:left="50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3、报告期内正在进行的重大的非股权投资情况" w:id="49"/>
      <w:bookmarkEnd w:id="49"/>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40" w:right="0"/>
        <w:jc w:val="left"/>
        <w:rPr>
          <w:b w:val="0"/>
          <w:bCs w:val="0"/>
        </w:rPr>
      </w:pPr>
      <w:bookmarkStart w:name="4、以公允价值计量的金融资产" w:id="50"/>
      <w:bookmarkEnd w:id="50"/>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40"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6840" w:h="11910" w:orient="landscape"/>
          <w:pgMar w:header="867" w:footer="979" w:top="1060" w:bottom="1160" w:left="130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40" w:lineRule="auto" w:before="35"/>
        <w:ind w:left="433" w:right="0"/>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4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568"/>
        <w:gridCol w:w="426"/>
        <w:gridCol w:w="850"/>
        <w:gridCol w:w="851"/>
        <w:gridCol w:w="850"/>
        <w:gridCol w:w="993"/>
        <w:gridCol w:w="994"/>
        <w:gridCol w:w="1134"/>
        <w:gridCol w:w="992"/>
        <w:gridCol w:w="1040"/>
        <w:gridCol w:w="869"/>
      </w:tblGrid>
      <w:tr>
        <w:trPr>
          <w:trHeight w:val="1025"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9"/>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2" w:right="39"/>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39"/>
              <w:jc w:val="left"/>
              <w:rPr>
                <w:rFonts w:ascii="宋体" w:hAnsi="宋体" w:cs="宋体" w:eastAsia="宋体" w:hint="default"/>
                <w:sz w:val="18"/>
                <w:szCs w:val="18"/>
              </w:rPr>
            </w:pPr>
            <w:r>
              <w:rPr>
                <w:rFonts w:ascii="宋体" w:hAnsi="宋体" w:cs="宋体" w:eastAsia="宋体" w:hint="default"/>
                <w:sz w:val="18"/>
                <w:szCs w:val="18"/>
              </w:rPr>
              <w:t>尚未使用募 集资金总额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4" w:right="65"/>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IPO</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19,069.93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6,597.37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12,997.68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both"/>
              <w:rPr>
                <w:rFonts w:ascii="宋体" w:hAnsi="宋体" w:cs="宋体" w:eastAsia="宋体" w:hint="default"/>
                <w:sz w:val="18"/>
                <w:szCs w:val="18"/>
              </w:rPr>
            </w:pPr>
            <w:r>
              <w:rPr>
                <w:rFonts w:ascii="宋体" w:hAnsi="宋体" w:cs="宋体" w:eastAsia="宋体" w:hint="default"/>
                <w:sz w:val="18"/>
                <w:szCs w:val="18"/>
              </w:rPr>
              <w:t>暂存于募集 资金专用账 户及进行现 金管理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4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19,069.93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6,597.37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12,997.68</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327"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firstLine="345"/>
              <w:jc w:val="both"/>
              <w:rPr>
                <w:rFonts w:ascii="宋体" w:hAnsi="宋体" w:cs="宋体" w:eastAsia="宋体" w:hint="default"/>
                <w:sz w:val="18"/>
                <w:szCs w:val="18"/>
              </w:rPr>
            </w:pPr>
            <w:r>
              <w:rPr>
                <w:rFonts w:ascii="宋体" w:hAnsi="宋体" w:cs="宋体" w:eastAsia="宋体" w:hint="default"/>
                <w:sz w:val="18"/>
                <w:szCs w:val="18"/>
              </w:rPr>
              <w:t>根据中国证券监督管理委员会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[2016]1549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《关于核准苏州恒久光电科技股份有限公司首次公开发行股票 的批复》核准，本公司向社会公开发行人民币普通股（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元，溢价发行，发行价格为每股 </w:t>
            </w:r>
            <w:r>
              <w:rPr>
                <w:rFonts w:ascii="Times New Roman" w:hAnsi="Times New Roman" w:cs="Times New Roman" w:eastAsia="Times New Roman" w:hint="default"/>
                <w:sz w:val="18"/>
                <w:szCs w:val="18"/>
              </w:rPr>
              <w:t>7.71 </w:t>
            </w:r>
            <w:r>
              <w:rPr>
                <w:rFonts w:ascii="宋体" w:hAnsi="宋体" w:cs="宋体" w:eastAsia="宋体" w:hint="default"/>
                <w:spacing w:val="-5"/>
                <w:sz w:val="18"/>
                <w:szCs w:val="18"/>
              </w:rPr>
              <w:t>元，募集资金总额为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231,300,000.00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元，扣除支付的发行费用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40,600,700.00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元后，实际募集资金净额为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190,699,300.00 </w:t>
            </w:r>
            <w:r>
              <w:rPr>
                <w:rFonts w:ascii="宋体" w:hAnsi="宋体" w:cs="宋体" w:eastAsia="宋体" w:hint="default"/>
                <w:sz w:val="18"/>
                <w:szCs w:val="18"/>
              </w:rPr>
              <w:t>元。</w:t>
            </w: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年度扣除累计已使用募集资金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35,957,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87.00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扣</w:t>
            </w:r>
            <w:r>
              <w:rPr>
                <w:rFonts w:ascii="宋体" w:hAnsi="宋体" w:cs="宋体" w:eastAsia="宋体" w:hint="default"/>
                <w:spacing w:val="-2"/>
                <w:sz w:val="18"/>
                <w:szCs w:val="18"/>
              </w:rPr>
              <w:t>除</w:t>
            </w:r>
            <w:r>
              <w:rPr>
                <w:rFonts w:ascii="宋体" w:hAnsi="宋体" w:cs="宋体" w:eastAsia="宋体" w:hint="default"/>
                <w:sz w:val="18"/>
                <w:szCs w:val="18"/>
              </w:rPr>
              <w:t>手续费支出 </w:t>
            </w:r>
            <w:r>
              <w:rPr>
                <w:rFonts w:ascii="Times New Roman" w:hAnsi="Times New Roman" w:cs="Times New Roman" w:eastAsia="Times New Roman" w:hint="default"/>
                <w:sz w:val="18"/>
                <w:szCs w:val="18"/>
              </w:rPr>
              <w:t>574.51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加上</w:t>
            </w:r>
            <w:r>
              <w:rPr>
                <w:rFonts w:ascii="宋体" w:hAnsi="宋体" w:cs="宋体" w:eastAsia="宋体" w:hint="default"/>
                <w:spacing w:val="-2"/>
                <w:sz w:val="18"/>
                <w:szCs w:val="18"/>
              </w:rPr>
              <w:t>收</w:t>
            </w:r>
            <w:r>
              <w:rPr>
                <w:rFonts w:ascii="宋体" w:hAnsi="宋体" w:cs="宋体" w:eastAsia="宋体" w:hint="default"/>
                <w:sz w:val="18"/>
                <w:szCs w:val="18"/>
              </w:rPr>
              <w:t>到的存款利息收入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484,418.96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元，加上理财产品收益</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206,136.99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日尚未使用的募集资金余额为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155,432,094.44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年，公司募集资金投资激光有机光导鼓扩建项目新增支出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29,997,570.00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元，投资有机光电工程技术中心建设项</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目支出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18,900.00 </w:t>
            </w:r>
            <w:r>
              <w:rPr>
                <w:rFonts w:ascii="宋体" w:hAnsi="宋体" w:cs="宋体" w:eastAsia="宋体" w:hint="default"/>
                <w:spacing w:val="-8"/>
                <w:sz w:val="18"/>
                <w:szCs w:val="18"/>
              </w:rPr>
              <w:t>元，扣除手续费支出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2,791.90 </w:t>
            </w:r>
            <w:r>
              <w:rPr>
                <w:rFonts w:ascii="宋体" w:hAnsi="宋体" w:cs="宋体" w:eastAsia="宋体" w:hint="default"/>
                <w:spacing w:val="-6"/>
                <w:sz w:val="18"/>
                <w:szCs w:val="18"/>
              </w:rPr>
              <w:t>元，加上收到的存款利息收入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351,785.13 </w:t>
            </w:r>
            <w:r>
              <w:rPr>
                <w:rFonts w:ascii="宋体" w:hAnsi="宋体" w:cs="宋体" w:eastAsia="宋体" w:hint="default"/>
                <w:spacing w:val="-8"/>
                <w:sz w:val="18"/>
                <w:szCs w:val="18"/>
              </w:rPr>
              <w:t>元，加上理财产品收益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4,212,231.88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日，公司募集资金余额应为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129,976,849.55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left="434" w:right="0"/>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744"/>
        <w:gridCol w:w="703"/>
        <w:gridCol w:w="851"/>
        <w:gridCol w:w="850"/>
        <w:gridCol w:w="851"/>
        <w:gridCol w:w="709"/>
        <w:gridCol w:w="708"/>
        <w:gridCol w:w="1560"/>
        <w:gridCol w:w="708"/>
        <w:gridCol w:w="709"/>
        <w:gridCol w:w="896"/>
      </w:tblGrid>
      <w:tr>
        <w:trPr>
          <w:trHeight w:val="1338"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06" w:right="57"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5" w:right="47"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9"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4" w:right="43"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0"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3" w:right="62"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23" w:right="54" w:hanging="270"/>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1029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激光有机光导鼓扩建 项目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14,992.1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8,669.09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2,999.76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6,595.48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有机光电工程技术中 心建设项目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4,083.02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4,083.02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5"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19,075.12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12,752.11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3,001.65</w:t>
            </w:r>
          </w:p>
        </w:tc>
        <w:tc>
          <w:tcPr>
            <w:tcW w:w="70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6,597.37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493.90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1029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1910" w:h="16840"/>
          <w:pgMar w:header="877" w:footer="979" w:top="1100" w:bottom="1160" w:left="700" w:right="0"/>
          <w:pgNumType w:start="23"/>
        </w:sectPr>
      </w:pPr>
    </w:p>
    <w:p>
      <w:pPr>
        <w:spacing w:line="240" w:lineRule="auto" w:before="10"/>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744"/>
        <w:gridCol w:w="703"/>
        <w:gridCol w:w="851"/>
        <w:gridCol w:w="850"/>
        <w:gridCol w:w="851"/>
        <w:gridCol w:w="709"/>
        <w:gridCol w:w="708"/>
        <w:gridCol w:w="1560"/>
        <w:gridCol w:w="708"/>
        <w:gridCol w:w="709"/>
        <w:gridCol w:w="896"/>
      </w:tblGrid>
      <w:tr>
        <w:trPr>
          <w:trHeight w:val="402" w:hRule="exact"/>
        </w:trPr>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19,075.12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12,752.11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3,001.65</w:t>
            </w:r>
          </w:p>
        </w:tc>
        <w:tc>
          <w:tcPr>
            <w:tcW w:w="70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6,597.37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54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10" w:right="51"/>
              <w:jc w:val="both"/>
              <w:rPr>
                <w:rFonts w:ascii="宋体" w:hAnsi="宋体" w:cs="宋体" w:eastAsia="宋体" w:hint="default"/>
                <w:sz w:val="18"/>
                <w:szCs w:val="18"/>
              </w:rPr>
            </w:pPr>
            <w:r>
              <w:rPr>
                <w:rFonts w:ascii="宋体" w:hAnsi="宋体" w:cs="宋体" w:eastAsia="宋体" w:hint="default"/>
                <w:sz w:val="18"/>
                <w:szCs w:val="18"/>
              </w:rPr>
              <w:t>公司募投项目“有机光电工程技术中心建设项目”未按计划推进的原因：因该项目的厂房建设横跨吴中恒久 两个国有土地使用权证的土地。现按政府相关部门的要求，需将该两块土地的权属证明文件合并为一个不动 产权证后，方能进行项目的动工建设。公司已向相关政府部门申请办理合并事宜。</w:t>
            </w:r>
          </w:p>
        </w:tc>
      </w:tr>
      <w:tr>
        <w:trPr>
          <w:trHeight w:val="714" w:hRule="exact"/>
        </w:trPr>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54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89"/>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854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44" w:type="dxa"/>
            <w:vMerge/>
            <w:tcBorders>
              <w:left w:val="single" w:sz="4" w:space="0" w:color="000000"/>
              <w:bottom w:val="single" w:sz="4" w:space="0" w:color="000000"/>
              <w:right w:val="single" w:sz="4" w:space="0" w:color="000000"/>
            </w:tcBorders>
            <w:shd w:val="clear" w:color="auto" w:fill="D2D2D2"/>
          </w:tcPr>
          <w:p>
            <w:pPr/>
          </w:p>
        </w:tc>
        <w:tc>
          <w:tcPr>
            <w:tcW w:w="8546"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744" w:type="dxa"/>
            <w:vMerge w:val="restart"/>
            <w:tcBorders>
              <w:top w:val="single" w:sz="4" w:space="0" w:color="000000"/>
              <w:left w:val="single" w:sz="4" w:space="0" w:color="000000"/>
              <w:right w:val="single" w:sz="4" w:space="0" w:color="000000"/>
            </w:tcBorders>
            <w:shd w:val="clear" w:color="auto" w:fill="D2D2D2"/>
          </w:tcPr>
          <w:p>
            <w:pPr/>
          </w:p>
        </w:tc>
        <w:tc>
          <w:tcPr>
            <w:tcW w:w="854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7" w:hRule="exact"/>
        </w:trPr>
        <w:tc>
          <w:tcPr>
            <w:tcW w:w="1744" w:type="dxa"/>
            <w:vMerge/>
            <w:tcBorders>
              <w:left w:val="single" w:sz="4" w:space="0" w:color="000000"/>
              <w:bottom w:val="nil" w:sz="6" w:space="0" w:color="auto"/>
              <w:right w:val="single" w:sz="4" w:space="0" w:color="000000"/>
            </w:tcBorders>
            <w:shd w:val="clear" w:color="auto" w:fill="D2D2D2"/>
          </w:tcPr>
          <w:p>
            <w:pPr/>
          </w:p>
        </w:tc>
        <w:tc>
          <w:tcPr>
            <w:tcW w:w="854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40" w:hRule="exact"/>
        </w:trPr>
        <w:tc>
          <w:tcPr>
            <w:tcW w:w="17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86"/>
              <w:ind w:left="22" w:right="89"/>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546" w:type="dxa"/>
            <w:gridSpan w:val="10"/>
            <w:vMerge w:val="restart"/>
            <w:tcBorders>
              <w:top w:val="single" w:sz="4" w:space="0" w:color="000000"/>
              <w:left w:val="single" w:sz="9" w:space="0" w:color="D2D2D2"/>
              <w:right w:val="single" w:sz="4" w:space="0" w:color="000000"/>
            </w:tcBorders>
          </w:tcPr>
          <w:p>
            <w:pPr>
              <w:pStyle w:val="TableParagraph"/>
              <w:spacing w:line="314" w:lineRule="auto" w:before="16"/>
              <w:ind w:left="16"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日，公司第三届董事会第十次会议审议通过了《关于公司增加募投项目实施主体及实施地点 </w:t>
            </w:r>
            <w:r>
              <w:rPr>
                <w:rFonts w:ascii="宋体" w:hAnsi="宋体" w:cs="宋体" w:eastAsia="宋体" w:hint="default"/>
                <w:spacing w:val="-4"/>
                <w:sz w:val="18"/>
                <w:szCs w:val="18"/>
              </w:rPr>
              <w:t>的议案》，同意增加募投项目“有机光电工程技术中心建设项目”的实施主体及实施地点。该募投项目实施主</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体由苏州吴中恒久光电子科技有限公司变更为由苏州吴中恒久光电子科技有限公司及苏州恒久光电科技股份 有限公司共同实施，同时增加苏州恒久注册地址为项目实施地点。公司独立董事、监事会、保荐机构中国银 河证券股份有限公司均对该议案发表了同意的意见。</w:t>
            </w:r>
          </w:p>
        </w:tc>
      </w:tr>
      <w:tr>
        <w:trPr>
          <w:trHeight w:val="875" w:hRule="exact"/>
        </w:trPr>
        <w:tc>
          <w:tcPr>
            <w:tcW w:w="1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6" w:type="dxa"/>
            <w:gridSpan w:val="10"/>
            <w:vMerge/>
            <w:tcBorders>
              <w:left w:val="single" w:sz="9" w:space="0" w:color="D2D2D2"/>
              <w:bottom w:val="single" w:sz="4" w:space="0" w:color="000000"/>
              <w:right w:val="single" w:sz="4" w:space="0" w:color="000000"/>
            </w:tcBorders>
          </w:tcPr>
          <w:p>
            <w:pPr/>
          </w:p>
        </w:tc>
      </w:tr>
      <w:tr>
        <w:trPr>
          <w:trHeight w:val="402" w:hRule="exact"/>
        </w:trPr>
        <w:tc>
          <w:tcPr>
            <w:tcW w:w="1744" w:type="dxa"/>
            <w:vMerge w:val="restart"/>
            <w:tcBorders>
              <w:top w:val="single" w:sz="4" w:space="0" w:color="000000"/>
              <w:left w:val="single" w:sz="4" w:space="0" w:color="000000"/>
              <w:right w:val="single" w:sz="4" w:space="0" w:color="000000"/>
            </w:tcBorders>
            <w:shd w:val="clear" w:color="auto" w:fill="D2D2D2"/>
          </w:tcPr>
          <w:p>
            <w:pPr/>
          </w:p>
        </w:tc>
        <w:tc>
          <w:tcPr>
            <w:tcW w:w="854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7" w:hRule="exact"/>
        </w:trPr>
        <w:tc>
          <w:tcPr>
            <w:tcW w:w="1744" w:type="dxa"/>
            <w:vMerge/>
            <w:tcBorders>
              <w:left w:val="single" w:sz="4" w:space="0" w:color="000000"/>
              <w:bottom w:val="nil" w:sz="6" w:space="0" w:color="auto"/>
              <w:right w:val="single" w:sz="4" w:space="0" w:color="000000"/>
            </w:tcBorders>
            <w:shd w:val="clear" w:color="auto" w:fill="D2D2D2"/>
          </w:tcPr>
          <w:p>
            <w:pPr/>
          </w:p>
        </w:tc>
        <w:tc>
          <w:tcPr>
            <w:tcW w:w="854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40" w:hRule="exact"/>
        </w:trPr>
        <w:tc>
          <w:tcPr>
            <w:tcW w:w="17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86"/>
              <w:ind w:left="22" w:right="89"/>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546" w:type="dxa"/>
            <w:gridSpan w:val="10"/>
            <w:vMerge w:val="restart"/>
            <w:tcBorders>
              <w:top w:val="single" w:sz="4" w:space="0" w:color="000000"/>
              <w:left w:val="single" w:sz="9" w:space="0" w:color="D2D2D2"/>
              <w:right w:val="single" w:sz="4" w:space="0" w:color="000000"/>
            </w:tcBorders>
          </w:tcPr>
          <w:p>
            <w:pPr>
              <w:pStyle w:val="TableParagraph"/>
              <w:spacing w:line="314" w:lineRule="auto" w:before="16"/>
              <w:ind w:left="16"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日，公司第三届董事会第十次会议审议通过了《关于公司增加募投项目实施主体及实施地点 </w:t>
            </w:r>
            <w:r>
              <w:rPr>
                <w:rFonts w:ascii="宋体" w:hAnsi="宋体" w:cs="宋体" w:eastAsia="宋体" w:hint="default"/>
                <w:spacing w:val="-4"/>
                <w:sz w:val="18"/>
                <w:szCs w:val="18"/>
              </w:rPr>
              <w:t>的议案》，同意增加募投项目“有机光电工程技术中心建设项目”的实施主体及实施地点。该募投项目实施主</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体由苏州吴中恒久光电子科技有限公司变更为由苏州吴中恒久光电子科技有限公司及苏州恒久光电科技股份 有限公司共同实施，同时增加苏州恒久注册地址为项目实施地点。公司独立董事、监事会、保荐机构中国银 河证券股份有限公司均对该议案发表了同意的意见。</w:t>
            </w:r>
          </w:p>
        </w:tc>
      </w:tr>
      <w:tr>
        <w:trPr>
          <w:trHeight w:val="875" w:hRule="exact"/>
        </w:trPr>
        <w:tc>
          <w:tcPr>
            <w:tcW w:w="1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6" w:type="dxa"/>
            <w:gridSpan w:val="10"/>
            <w:vMerge/>
            <w:tcBorders>
              <w:left w:val="single" w:sz="9" w:space="0" w:color="D2D2D2"/>
              <w:bottom w:val="single" w:sz="4" w:space="0" w:color="000000"/>
              <w:right w:val="single" w:sz="4" w:space="0" w:color="000000"/>
            </w:tcBorders>
          </w:tcPr>
          <w:p>
            <w:pPr/>
          </w:p>
        </w:tc>
      </w:tr>
      <w:tr>
        <w:trPr>
          <w:trHeight w:val="402" w:hRule="exact"/>
        </w:trPr>
        <w:tc>
          <w:tcPr>
            <w:tcW w:w="1744" w:type="dxa"/>
            <w:vMerge w:val="restart"/>
            <w:tcBorders>
              <w:top w:val="single" w:sz="4" w:space="0" w:color="000000"/>
              <w:left w:val="single" w:sz="4" w:space="0" w:color="000000"/>
              <w:right w:val="single" w:sz="4" w:space="0" w:color="000000"/>
            </w:tcBorders>
            <w:shd w:val="clear" w:color="auto" w:fill="D2D2D2"/>
          </w:tcPr>
          <w:p>
            <w:pPr/>
          </w:p>
        </w:tc>
        <w:tc>
          <w:tcPr>
            <w:tcW w:w="854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8" w:hRule="exact"/>
        </w:trPr>
        <w:tc>
          <w:tcPr>
            <w:tcW w:w="1744" w:type="dxa"/>
            <w:vMerge/>
            <w:tcBorders>
              <w:left w:val="single" w:sz="4" w:space="0" w:color="000000"/>
              <w:bottom w:val="nil" w:sz="6" w:space="0" w:color="auto"/>
              <w:right w:val="single" w:sz="4" w:space="0" w:color="000000"/>
            </w:tcBorders>
            <w:shd w:val="clear" w:color="auto" w:fill="D2D2D2"/>
          </w:tcPr>
          <w:p>
            <w:pPr/>
          </w:p>
        </w:tc>
        <w:tc>
          <w:tcPr>
            <w:tcW w:w="8546"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日，公司第三届董事会第七次会议审议通过了《关于使用募集资金置换预先投入募投项目自</w:t>
            </w:r>
          </w:p>
          <w:p>
            <w:pPr>
              <w:pStyle w:val="TableParagraph"/>
              <w:spacing w:line="304" w:lineRule="auto" w:before="63"/>
              <w:ind w:left="16" w:right="22"/>
              <w:jc w:val="left"/>
              <w:rPr>
                <w:rFonts w:ascii="宋体" w:hAnsi="宋体" w:cs="宋体" w:eastAsia="宋体" w:hint="default"/>
                <w:sz w:val="18"/>
                <w:szCs w:val="18"/>
              </w:rPr>
            </w:pPr>
            <w:r>
              <w:rPr>
                <w:rFonts w:ascii="宋体" w:hAnsi="宋体" w:cs="宋体" w:eastAsia="宋体" w:hint="default"/>
                <w:spacing w:val="-6"/>
                <w:sz w:val="18"/>
                <w:szCs w:val="18"/>
              </w:rPr>
              <w:t>筹资金的议案》，同意公司使用募集资金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2,959.22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万元置换预先投入的自筹资金，独立董事、监事会、保荐机</w:t>
            </w:r>
            <w:r>
              <w:rPr>
                <w:rFonts w:ascii="宋体" w:hAnsi="宋体" w:cs="宋体" w:eastAsia="宋体" w:hint="default"/>
                <w:sz w:val="18"/>
                <w:szCs w:val="18"/>
              </w:rPr>
              <w:t> 构中国银河证券股份有限公司对该议案均发表了同意的意见。立信会计师事务所（特殊普通合伙）对公司截 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日募集资金投资项目实际使用自筹资金情况进行了专项鉴证，并出具了信会师报字</w:t>
            </w:r>
            <w:r>
              <w:rPr>
                <w:rFonts w:ascii="Times New Roman" w:hAnsi="Times New Roman" w:cs="Times New Roman" w:eastAsia="Times New Roman" w:hint="default"/>
                <w:sz w:val="18"/>
                <w:szCs w:val="18"/>
              </w:rPr>
              <w:t>[2016] </w:t>
            </w:r>
            <w:r>
              <w:rPr>
                <w:rFonts w:ascii="宋体" w:hAnsi="宋体" w:cs="宋体" w:eastAsia="宋体" w:hint="default"/>
                <w:sz w:val="18"/>
                <w:szCs w:val="18"/>
              </w:rPr>
              <w:t>第</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116047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号《关于苏州恒久光电科技股份有限公司以募集资金置换预先投入募投项目自筹资金情况的鉴证报 </w:t>
            </w:r>
            <w:r>
              <w:rPr>
                <w:rFonts w:ascii="宋体" w:hAnsi="宋体" w:cs="宋体" w:eastAsia="宋体" w:hint="default"/>
                <w:spacing w:val="-13"/>
                <w:sz w:val="18"/>
                <w:szCs w:val="18"/>
              </w:rPr>
              <w:t>告》，公司已于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年度完成置换。</w:t>
            </w:r>
          </w:p>
        </w:tc>
      </w:tr>
      <w:tr>
        <w:trPr>
          <w:trHeight w:val="703" w:hRule="exact"/>
        </w:trPr>
        <w:tc>
          <w:tcPr>
            <w:tcW w:w="17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546" w:type="dxa"/>
            <w:gridSpan w:val="10"/>
            <w:vMerge/>
            <w:tcBorders>
              <w:left w:val="single" w:sz="9" w:space="0" w:color="D2D2D2"/>
              <w:right w:val="single" w:sz="4" w:space="0" w:color="000000"/>
            </w:tcBorders>
          </w:tcPr>
          <w:p>
            <w:pPr/>
          </w:p>
        </w:tc>
      </w:tr>
      <w:tr>
        <w:trPr>
          <w:trHeight w:val="830" w:hRule="exact"/>
        </w:trPr>
        <w:tc>
          <w:tcPr>
            <w:tcW w:w="1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6" w:type="dxa"/>
            <w:gridSpan w:val="10"/>
            <w:vMerge/>
            <w:tcBorders>
              <w:left w:val="single" w:sz="9" w:space="0" w:color="D2D2D2"/>
              <w:bottom w:val="single" w:sz="4" w:space="0" w:color="000000"/>
              <w:right w:val="single" w:sz="4" w:space="0" w:color="000000"/>
            </w:tcBorders>
          </w:tcPr>
          <w:p>
            <w:pPr/>
          </w:p>
        </w:tc>
      </w:tr>
      <w:tr>
        <w:trPr>
          <w:trHeight w:val="402" w:hRule="exact"/>
        </w:trPr>
        <w:tc>
          <w:tcPr>
            <w:tcW w:w="17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54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44" w:type="dxa"/>
            <w:vMerge/>
            <w:tcBorders>
              <w:left w:val="single" w:sz="4" w:space="0" w:color="000000"/>
              <w:bottom w:val="single" w:sz="4" w:space="0" w:color="000000"/>
              <w:right w:val="single" w:sz="4" w:space="0" w:color="000000"/>
            </w:tcBorders>
            <w:shd w:val="clear" w:color="auto" w:fill="D2D2D2"/>
          </w:tcPr>
          <w:p>
            <w:pPr/>
          </w:p>
        </w:tc>
        <w:tc>
          <w:tcPr>
            <w:tcW w:w="8546"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744" w:type="dxa"/>
            <w:vMerge w:val="restart"/>
            <w:tcBorders>
              <w:top w:val="single" w:sz="4" w:space="0" w:color="000000"/>
              <w:left w:val="single" w:sz="4" w:space="0" w:color="000000"/>
              <w:right w:val="single" w:sz="4" w:space="0" w:color="000000"/>
            </w:tcBorders>
            <w:shd w:val="clear" w:color="auto" w:fill="D2D2D2"/>
          </w:tcPr>
          <w:p>
            <w:pPr/>
          </w:p>
        </w:tc>
        <w:tc>
          <w:tcPr>
            <w:tcW w:w="854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8" w:hRule="exact"/>
        </w:trPr>
        <w:tc>
          <w:tcPr>
            <w:tcW w:w="1744" w:type="dxa"/>
            <w:vMerge/>
            <w:tcBorders>
              <w:left w:val="single" w:sz="4" w:space="0" w:color="000000"/>
              <w:bottom w:val="nil" w:sz="6" w:space="0" w:color="auto"/>
              <w:right w:val="single" w:sz="4" w:space="0" w:color="000000"/>
            </w:tcBorders>
            <w:shd w:val="clear" w:color="auto" w:fill="D2D2D2"/>
          </w:tcPr>
          <w:p>
            <w:pPr/>
          </w:p>
        </w:tc>
        <w:tc>
          <w:tcPr>
            <w:tcW w:w="8546"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公司募投项目之一“激光有机光导鼓扩建项目”于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月达到预定可使用状态，经第三届董事会第十</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九次会议审议，将节余募集资金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6,662.99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万元（具体补充流动资金的金额以募集资金专户最终转入自有资金</w:t>
            </w:r>
          </w:p>
          <w:p>
            <w:pPr>
              <w:pStyle w:val="TableParagraph"/>
              <w:spacing w:line="302" w:lineRule="auto" w:before="63"/>
              <w:ind w:left="16" w:right="53"/>
              <w:jc w:val="left"/>
              <w:rPr>
                <w:rFonts w:ascii="宋体" w:hAnsi="宋体" w:cs="宋体" w:eastAsia="宋体" w:hint="default"/>
                <w:sz w:val="18"/>
                <w:szCs w:val="18"/>
              </w:rPr>
            </w:pPr>
            <w:r>
              <w:rPr>
                <w:rFonts w:ascii="宋体" w:hAnsi="宋体" w:cs="宋体" w:eastAsia="宋体" w:hint="default"/>
                <w:sz w:val="18"/>
                <w:szCs w:val="18"/>
              </w:rPr>
              <w:t>账户的实际金额为准）永久补充流动资金，该方案已经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实施。项目实施出现募集资金结余的原因如下：</w:t>
            </w:r>
          </w:p>
          <w:p>
            <w:pPr>
              <w:pStyle w:val="TableParagraph"/>
              <w:spacing w:line="300" w:lineRule="auto" w:before="68"/>
              <w:ind w:left="1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、激光有机光导鼓扩建项目拟投入募集资金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14,992.10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万元，其中包括铺底流动资金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万元。公司在该 </w:t>
            </w:r>
            <w:r>
              <w:rPr>
                <w:rFonts w:ascii="宋体" w:hAnsi="宋体" w:cs="宋体" w:eastAsia="宋体" w:hint="default"/>
                <w:spacing w:val="-1"/>
                <w:sz w:val="18"/>
                <w:szCs w:val="18"/>
              </w:rPr>
              <w:t>募投项目建设过程中</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使用了自有资金进行铺底流动资金的支出，在一定程度上减少了该募投项目募集资金的</w:t>
            </w:r>
          </w:p>
        </w:tc>
      </w:tr>
      <w:tr>
        <w:trPr>
          <w:trHeight w:val="704" w:hRule="exact"/>
        </w:trPr>
        <w:tc>
          <w:tcPr>
            <w:tcW w:w="17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546" w:type="dxa"/>
            <w:gridSpan w:val="10"/>
            <w:vMerge/>
            <w:tcBorders>
              <w:left w:val="single" w:sz="9" w:space="0" w:color="D2D2D2"/>
              <w:right w:val="single" w:sz="4" w:space="0" w:color="000000"/>
            </w:tcBorders>
          </w:tcPr>
          <w:p>
            <w:pPr/>
          </w:p>
        </w:tc>
      </w:tr>
      <w:tr>
        <w:trPr>
          <w:trHeight w:val="830" w:hRule="exact"/>
        </w:trPr>
        <w:tc>
          <w:tcPr>
            <w:tcW w:w="1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6"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877" w:footer="979" w:top="1100" w:bottom="1160" w:left="7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1743"/>
        <w:gridCol w:w="8547"/>
      </w:tblGrid>
      <w:tr>
        <w:trPr>
          <w:trHeight w:val="2355" w:hRule="exact"/>
        </w:trPr>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投资总额。</w:t>
            </w:r>
          </w:p>
          <w:p>
            <w:pPr>
              <w:pStyle w:val="TableParagraph"/>
              <w:spacing w:line="302" w:lineRule="auto" w:before="116"/>
              <w:ind w:left="23" w:right="2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、公司在募投项目立项至正式的建设期间，利用自身设备集成与改造的技术优势，对募投项目设备、生产工</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艺流程进行了不断的优化与改进，对项目进行更加合理的规划，从而减少了募投项目投资总额。</w:t>
            </w:r>
          </w:p>
          <w:p>
            <w:pPr>
              <w:pStyle w:val="TableParagraph"/>
              <w:spacing w:line="302" w:lineRule="auto" w:before="68"/>
              <w:ind w:left="23"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、公司在募投项目建设过程中，在保障项目质量和项目进度的前提下，加强项目精细化管理和费用控制，本</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着合理、有效、节约的原则谨慎使用募集资金，严格把控采购、建设环节，有效地控制成本。</w:t>
            </w:r>
          </w:p>
          <w:p>
            <w:pPr>
              <w:pStyle w:val="TableParagraph"/>
              <w:spacing w:line="302" w:lineRule="auto" w:before="68"/>
              <w:ind w:left="23"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、为使募集资金使用效益达到最大化，公司依据相关规定运用募集资金进行现金管理，产生了部分理财收益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和利息收入。</w:t>
            </w:r>
          </w:p>
        </w:tc>
      </w:tr>
      <w:tr>
        <w:trPr>
          <w:trHeight w:val="2586" w:hRule="exact"/>
        </w:trPr>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5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公司为提高暂时闲置的募集资金收益，根据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日公司召开的第三届董事会第十六次会议及第三 </w:t>
            </w:r>
            <w:r>
              <w:rPr>
                <w:rFonts w:ascii="宋体" w:hAnsi="宋体" w:cs="宋体" w:eastAsia="宋体" w:hint="default"/>
                <w:spacing w:val="-4"/>
                <w:sz w:val="18"/>
                <w:szCs w:val="18"/>
              </w:rPr>
              <w:t>届监事会第十一次会议审议通过的《关于公司使用部分闲置募集资金购买理财产品的议案》，使用最高不超过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万暂时闲置的募集资金进行购买安全性高、满足保本要求、产品发行主体能够提供保本承诺的银行理</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财产品，独立董事、监事会、保荐机构中国银河证券股份有限公司均出具了同意的意见。截止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日，公司使用暂时闲置募集资金购买结构性存款和定期存款的余额为人民币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12,442.78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w:t>
            </w:r>
          </w:p>
          <w:p>
            <w:pPr>
              <w:pStyle w:val="TableParagraph"/>
              <w:spacing w:line="300"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资金购买保本型理财产品的详细情况可查阅公司于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4"/>
                <w:sz w:val="18"/>
                <w:szCs w:val="18"/>
              </w:rPr>
              <w:t>日公开刊登在证券时报、证券日报、中国</w:t>
            </w:r>
            <w:r>
              <w:rPr>
                <w:rFonts w:ascii="宋体" w:hAnsi="宋体" w:cs="宋体" w:eastAsia="宋体" w:hint="default"/>
                <w:sz w:val="18"/>
                <w:szCs w:val="18"/>
              </w:rPr>
              <w:t> </w:t>
            </w:r>
            <w:r>
              <w:rPr>
                <w:rFonts w:ascii="宋体" w:hAnsi="宋体" w:cs="宋体" w:eastAsia="宋体" w:hint="default"/>
                <w:spacing w:val="-2"/>
                <w:sz w:val="18"/>
                <w:szCs w:val="18"/>
              </w:rPr>
              <w:t>证券报、上海证券报及巨潮资讯网（</w:t>
            </w:r>
            <w:hyperlink r:id="rId11">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）的《关于公司使用部分闲置募集资金购买理财</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11"/>
                <w:sz w:val="18"/>
                <w:szCs w:val="18"/>
              </w:rPr>
              <w:t>产品到期赎回的公告》（公告编号：</w:t>
            </w:r>
            <w:r>
              <w:rPr>
                <w:rFonts w:ascii="Times New Roman" w:hAnsi="Times New Roman" w:cs="Times New Roman" w:eastAsia="Times New Roman" w:hint="default"/>
                <w:spacing w:val="-11"/>
                <w:sz w:val="18"/>
                <w:szCs w:val="18"/>
              </w:rPr>
              <w:t>2017</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11"/>
                <w:sz w:val="18"/>
                <w:szCs w:val="18"/>
              </w:rPr>
              <w:t>074</w:t>
            </w:r>
            <w:r>
              <w:rPr>
                <w:rFonts w:ascii="宋体" w:hAnsi="宋体" w:cs="宋体" w:eastAsia="宋体" w:hint="default"/>
                <w:spacing w:val="-11"/>
                <w:sz w:val="18"/>
                <w:szCs w:val="18"/>
              </w:rPr>
              <w:t>）。</w:t>
            </w:r>
            <w:r>
              <w:rPr>
                <w:rFonts w:ascii="宋体" w:hAnsi="宋体" w:cs="宋体" w:eastAsia="宋体" w:hint="default"/>
                <w:sz w:val="18"/>
                <w:szCs w:val="18"/>
              </w:rPr>
            </w:r>
          </w:p>
        </w:tc>
      </w:tr>
      <w:tr>
        <w:trPr>
          <w:trHeight w:val="1026" w:hRule="exact"/>
        </w:trPr>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474" w:right="7333"/>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47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left="473" w:right="7333"/>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3" w:right="7333"/>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7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left="473" w:right="7333"/>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473" w:right="7333"/>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660" w:right="0"/>
        </w:sectPr>
      </w:pPr>
    </w:p>
    <w:p>
      <w:pPr>
        <w:pStyle w:val="BodyText"/>
        <w:spacing w:line="240" w:lineRule="auto" w:before="44"/>
        <w:ind w:left="47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473"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473" w:right="0"/>
        <w:jc w:val="left"/>
      </w:pPr>
      <w:r>
        <w:rPr/>
        <w:t>单位：元</w:t>
      </w:r>
    </w:p>
    <w:p>
      <w:pPr>
        <w:spacing w:after="0" w:line="240" w:lineRule="auto"/>
        <w:jc w:val="left"/>
        <w:sectPr>
          <w:type w:val="continuous"/>
          <w:pgSz w:w="11910" w:h="16840"/>
          <w:pgMar w:top="1060" w:bottom="1160" w:left="660" w:right="0"/>
          <w:cols w:num="2" w:equalWidth="0">
            <w:col w:w="5169" w:space="3750"/>
            <w:col w:w="2331"/>
          </w:cols>
        </w:sectPr>
      </w:pP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851"/>
        <w:gridCol w:w="851"/>
        <w:gridCol w:w="1560"/>
        <w:gridCol w:w="1079"/>
        <w:gridCol w:w="1189"/>
        <w:gridCol w:w="1274"/>
        <w:gridCol w:w="1277"/>
        <w:gridCol w:w="1134"/>
        <w:gridCol w:w="1134"/>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吴中恒久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光电子器件与组</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181,587,497.01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122,147,010.71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157,505,430.86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8,631,985.49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7,035,677.00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660" w:right="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851"/>
        <w:gridCol w:w="851"/>
        <w:gridCol w:w="1560"/>
        <w:gridCol w:w="1079"/>
        <w:gridCol w:w="1189"/>
        <w:gridCol w:w="1274"/>
        <w:gridCol w:w="1277"/>
        <w:gridCol w:w="1134"/>
        <w:gridCol w:w="1134"/>
      </w:tblGrid>
      <w:tr>
        <w:trPr>
          <w:trHeight w:val="986"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5"/>
              <w:jc w:val="both"/>
              <w:rPr>
                <w:rFonts w:ascii="宋体" w:hAnsi="宋体" w:cs="宋体" w:eastAsia="宋体" w:hint="default"/>
                <w:sz w:val="18"/>
                <w:szCs w:val="18"/>
              </w:rPr>
            </w:pPr>
            <w:r>
              <w:rPr>
                <w:rFonts w:ascii="宋体" w:hAnsi="宋体" w:cs="宋体" w:eastAsia="宋体" w:hint="default"/>
                <w:sz w:val="18"/>
                <w:szCs w:val="18"/>
              </w:rPr>
              <w:t>件、计算机及其周 边设备的研发、生 产与销售</w:t>
            </w:r>
          </w:p>
        </w:tc>
        <w:tc>
          <w:tcPr>
            <w:tcW w:w="107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环球影像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打印耗材及零配件 的进出口业务</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1,000,000.00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19,337,737.32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3,672,767.33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19,964,813.59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4,556,480.46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3,822,766.41</w:t>
            </w:r>
          </w:p>
        </w:tc>
      </w:tr>
    </w:tbl>
    <w:p>
      <w:pPr>
        <w:pStyle w:val="BodyText"/>
        <w:spacing w:line="240" w:lineRule="auto" w:before="51"/>
        <w:ind w:left="474" w:right="7333"/>
        <w:jc w:val="left"/>
      </w:pPr>
      <w:r>
        <w:rPr/>
        <w:t>报告期内取得和处置子公司的情况</w:t>
      </w:r>
    </w:p>
    <w:p>
      <w:pPr>
        <w:pStyle w:val="BodyText"/>
        <w:spacing w:line="240" w:lineRule="auto" w:before="117"/>
        <w:ind w:left="474"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469" w:type="dxa"/>
        <w:tblLayout w:type="fixed"/>
        <w:tblCellMar>
          <w:top w:w="0" w:type="dxa"/>
          <w:left w:w="0" w:type="dxa"/>
          <w:bottom w:w="0" w:type="dxa"/>
          <w:right w:w="0" w:type="dxa"/>
        </w:tblCellMar>
        <w:tblLook w:val="01E0"/>
      </w:tblPr>
      <w:tblGrid>
        <w:gridCol w:w="3189"/>
        <w:gridCol w:w="3190"/>
        <w:gridCol w:w="3545"/>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恒久保理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报告期内无营业收入，净利润为</w:t>
            </w:r>
            <w:r>
              <w:rPr>
                <w:rFonts w:ascii="Times New Roman" w:hAnsi="Times New Roman" w:cs="Times New Roman" w:eastAsia="Times New Roman" w:hint="default"/>
                <w:sz w:val="18"/>
                <w:szCs w:val="18"/>
              </w:rPr>
              <w:t>-6.82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恒久高新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年度尚未运营</w:t>
            </w:r>
          </w:p>
        </w:tc>
      </w:tr>
    </w:tbl>
    <w:p>
      <w:pPr>
        <w:pStyle w:val="BodyText"/>
        <w:spacing w:line="240" w:lineRule="auto" w:before="51"/>
        <w:ind w:left="474" w:right="0"/>
        <w:jc w:val="both"/>
      </w:pPr>
      <w:r>
        <w:rPr/>
        <w:t>主要控股参股公司情况说明</w:t>
      </w:r>
    </w:p>
    <w:p>
      <w:pPr>
        <w:pStyle w:val="BodyText"/>
        <w:spacing w:line="240" w:lineRule="auto" w:before="116"/>
        <w:ind w:left="764" w:right="1122"/>
        <w:jc w:val="left"/>
        <w:rPr>
          <w:rFonts w:ascii="Times New Roman" w:hAnsi="Times New Roman" w:cs="Times New Roman" w:eastAsia="Times New Roman" w:hint="default"/>
        </w:rPr>
      </w:pPr>
      <w:r>
        <w:rPr/>
        <w:t>环球影像系统有限公司（</w:t>
      </w:r>
      <w:r>
        <w:rPr>
          <w:rFonts w:ascii="Times New Roman" w:hAnsi="Times New Roman" w:cs="Times New Roman" w:eastAsia="Times New Roman" w:hint="default"/>
        </w:rPr>
        <w:t>Global Imaging System</w:t>
      </w:r>
      <w:r>
        <w:rPr>
          <w:rFonts w:ascii="Times New Roman" w:hAnsi="Times New Roman" w:cs="Times New Roman" w:eastAsia="Times New Roman" w:hint="default"/>
          <w:spacing w:val="-8"/>
        </w:rPr>
        <w:t> </w:t>
      </w:r>
      <w:r>
        <w:rPr>
          <w:rFonts w:ascii="Times New Roman" w:hAnsi="Times New Roman" w:cs="Times New Roman" w:eastAsia="Times New Roman" w:hint="default"/>
        </w:rPr>
        <w:t>Limited)</w:t>
      </w:r>
      <w:r>
        <w:rPr/>
        <w:t>，注册资本为</w:t>
      </w:r>
      <w:r>
        <w:rPr>
          <w:rFonts w:ascii="Times New Roman" w:hAnsi="Times New Roman" w:cs="Times New Roman" w:eastAsia="Times New Roman" w:hint="default"/>
        </w:rPr>
        <w:t>100</w:t>
      </w:r>
      <w:r>
        <w:rPr/>
        <w:t>万港币，于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号取得编号为</w:t>
      </w:r>
      <w:r>
        <w:rPr>
          <w:rFonts w:ascii="Times New Roman" w:hAnsi="Times New Roman" w:cs="Times New Roman" w:eastAsia="Times New Roman" w:hint="default"/>
        </w:rPr>
        <w:t>2423195</w:t>
      </w:r>
    </w:p>
    <w:p>
      <w:pPr>
        <w:pStyle w:val="BodyText"/>
        <w:spacing w:line="240" w:lineRule="auto" w:before="63"/>
        <w:ind w:left="473" w:right="0"/>
        <w:jc w:val="both"/>
      </w:pPr>
      <w:r>
        <w:rPr/>
        <w:t>的公司注册证明书，该公司实际于</w:t>
      </w:r>
      <w:r>
        <w:rPr>
          <w:rFonts w:ascii="Times New Roman" w:hAnsi="Times New Roman" w:cs="Times New Roman" w:eastAsia="Times New Roman" w:hint="default"/>
        </w:rPr>
        <w:t>2017</w:t>
      </w:r>
      <w:r>
        <w:rPr/>
        <w:t>年正式业务运营，从事打印耗材及打印零配件的进出口业务。</w:t>
      </w:r>
    </w:p>
    <w:p>
      <w:pPr>
        <w:spacing w:line="240" w:lineRule="auto" w:before="1"/>
        <w:rPr>
          <w:rFonts w:ascii="宋体" w:hAnsi="宋体" w:cs="宋体" w:eastAsia="宋体" w:hint="default"/>
          <w:sz w:val="24"/>
          <w:szCs w:val="24"/>
        </w:rPr>
      </w:pPr>
    </w:p>
    <w:p>
      <w:pPr>
        <w:pStyle w:val="Heading2"/>
        <w:spacing w:line="240" w:lineRule="auto"/>
        <w:ind w:left="473" w:right="0"/>
        <w:jc w:val="both"/>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473" w:right="0"/>
        <w:jc w:val="both"/>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8"/>
        <w:rPr>
          <w:rFonts w:ascii="宋体" w:hAnsi="宋体" w:cs="宋体" w:eastAsia="宋体" w:hint="default"/>
          <w:b/>
          <w:bCs/>
          <w:sz w:val="26"/>
          <w:szCs w:val="26"/>
        </w:rPr>
      </w:pPr>
    </w:p>
    <w:p>
      <w:pPr>
        <w:pStyle w:val="Heading4"/>
        <w:spacing w:line="240" w:lineRule="auto"/>
        <w:ind w:left="835" w:right="7333"/>
        <w:jc w:val="left"/>
        <w:rPr>
          <w:b w:val="0"/>
          <w:bCs w:val="0"/>
        </w:rPr>
      </w:pPr>
      <w:r>
        <w:rPr/>
        <w:t>（一）行业格局和发展趋势</w:t>
      </w:r>
      <w:r>
        <w:rPr>
          <w:b w:val="0"/>
          <w:bCs w:val="0"/>
        </w:rPr>
      </w:r>
    </w:p>
    <w:p>
      <w:pPr>
        <w:pStyle w:val="BodyText"/>
        <w:spacing w:line="460" w:lineRule="atLeast" w:before="21"/>
        <w:ind w:left="834" w:right="1122"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）行业发展格局</w:t>
      </w:r>
      <w:r>
        <w:rPr>
          <w:rFonts w:ascii="宋体" w:hAnsi="宋体" w:cs="宋体" w:eastAsia="宋体" w:hint="default"/>
          <w:b/>
          <w:bCs/>
          <w:w w:val="99"/>
        </w:rPr>
        <w:t> </w:t>
      </w:r>
      <w:r>
        <w:rPr>
          <w:spacing w:val="-2"/>
        </w:rPr>
        <w:t>根据现代办公设备（</w:t>
      </w:r>
      <w:r>
        <w:rPr>
          <w:rFonts w:ascii="Times New Roman" w:hAnsi="Times New Roman" w:cs="Times New Roman" w:eastAsia="Times New Roman" w:hint="default"/>
          <w:spacing w:val="-2"/>
        </w:rPr>
        <w:t>IT</w:t>
      </w:r>
      <w:r>
        <w:rPr>
          <w:spacing w:val="-2"/>
        </w:rPr>
        <w:t>外设）的生产和使用特点，激光</w:t>
      </w:r>
      <w:r>
        <w:rPr>
          <w:rFonts w:ascii="Times New Roman" w:hAnsi="Times New Roman" w:cs="Times New Roman" w:eastAsia="Times New Roman" w:hint="default"/>
          <w:spacing w:val="-2"/>
        </w:rPr>
        <w:t>OPC</w:t>
      </w:r>
      <w:r>
        <w:rPr>
          <w:spacing w:val="-2"/>
        </w:rPr>
        <w:t>鼓的市场主要分为原装配套市场和通用耗材市场两部分。目</w:t>
      </w:r>
    </w:p>
    <w:p>
      <w:pPr>
        <w:pStyle w:val="BodyText"/>
        <w:spacing w:line="316" w:lineRule="auto" w:before="63"/>
        <w:ind w:left="473" w:right="1132"/>
        <w:jc w:val="both"/>
      </w:pPr>
      <w:r>
        <w:rPr>
          <w:spacing w:val="-2"/>
        </w:rPr>
        <w:t>前我国原装配套市场仍几乎全部被外资品牌垄断，其来源主要为外资在我国所设立的工厂或从国外直接进口。由于具有产品</w:t>
      </w:r>
      <w:r>
        <w:rPr>
          <w:spacing w:val="-64"/>
        </w:rPr>
        <w:t> </w:t>
      </w:r>
      <w:r>
        <w:rPr>
          <w:spacing w:val="-64"/>
        </w:rPr>
      </w:r>
      <w:r>
        <w:rPr>
          <w:spacing w:val="-2"/>
        </w:rPr>
        <w:t>技术上的垄断性和产品更新的主动权，世界各大著名原装品牌业已形成固定的配套厂商和利益群体，后来者由于技术、产品</w:t>
      </w:r>
      <w:r>
        <w:rPr>
          <w:spacing w:val="-66"/>
        </w:rPr>
        <w:t> </w:t>
      </w:r>
      <w:r>
        <w:rPr>
          <w:spacing w:val="-66"/>
        </w:rPr>
      </w:r>
      <w:r>
        <w:rPr/>
        <w:t>品质、生产规模等原因难以打入。</w:t>
      </w:r>
    </w:p>
    <w:p>
      <w:pPr>
        <w:spacing w:line="240" w:lineRule="auto" w:before="5"/>
        <w:rPr>
          <w:rFonts w:ascii="宋体" w:hAnsi="宋体" w:cs="宋体" w:eastAsia="宋体" w:hint="default"/>
          <w:sz w:val="13"/>
          <w:szCs w:val="13"/>
        </w:rPr>
      </w:pPr>
    </w:p>
    <w:p>
      <w:pPr>
        <w:pStyle w:val="BodyText"/>
        <w:spacing w:line="314" w:lineRule="auto"/>
        <w:ind w:left="474" w:right="1131" w:firstLine="360"/>
        <w:jc w:val="both"/>
      </w:pPr>
      <w:r>
        <w:rPr>
          <w:spacing w:val="-2"/>
          <w:w w:val="99"/>
        </w:rPr>
        <w:t>激光</w:t>
      </w:r>
      <w:r>
        <w:rPr>
          <w:rFonts w:ascii="Times New Roman" w:hAnsi="Times New Roman" w:cs="Times New Roman" w:eastAsia="Times New Roman" w:hint="default"/>
          <w:spacing w:val="-2"/>
          <w:w w:val="99"/>
        </w:rPr>
        <w:t>OPC</w:t>
      </w:r>
      <w:r>
        <w:rPr>
          <w:spacing w:val="-2"/>
          <w:w w:val="99"/>
        </w:rPr>
        <w:t>鼓在通用耗材市场上的需求规模要远大于在原装整机配套市场上的需求规模，通用耗材企业依靠生产技术和整</w:t>
      </w:r>
      <w:r>
        <w:rPr/>
        <w:t> </w:t>
      </w:r>
      <w:r>
        <w:rPr>
          <w:spacing w:val="-2"/>
        </w:rPr>
        <w:t>体品质的不断提升，在与原装耗材企业竞争中不断获得新的市场份额。另一方面，通用耗材企业本身的竞争也在加剧。在该</w:t>
      </w:r>
      <w:r>
        <w:rPr>
          <w:spacing w:val="-66"/>
        </w:rPr>
        <w:t> </w:t>
      </w:r>
      <w:r>
        <w:rPr>
          <w:spacing w:val="-66"/>
        </w:rPr>
      </w:r>
      <w:r>
        <w:rPr>
          <w:spacing w:val="-2"/>
        </w:rPr>
        <w:t>市场背景下，提升产品品质，进一步扩大产品规模、降低产品成本成为各通用耗材企业最主要的竞争手段。近几年，打印耗</w:t>
      </w:r>
      <w:r>
        <w:rPr>
          <w:spacing w:val="-66"/>
        </w:rPr>
        <w:t> </w:t>
      </w:r>
      <w:r>
        <w:rPr>
          <w:spacing w:val="-66"/>
        </w:rPr>
      </w:r>
      <w:r>
        <w:rPr>
          <w:spacing w:val="-2"/>
        </w:rPr>
        <w:t>材行业经历了一轮资源整合，国内优秀企业之间通过并购的方式，实现了产业的升级，为国内甚至全球打印耗材行业的发展</w:t>
      </w:r>
      <w:r>
        <w:rPr>
          <w:spacing w:val="-66"/>
        </w:rPr>
        <w:t> </w:t>
      </w:r>
      <w:r>
        <w:rPr>
          <w:spacing w:val="-66"/>
        </w:rPr>
      </w:r>
      <w:r>
        <w:rPr>
          <w:spacing w:val="-2"/>
        </w:rPr>
        <w:t>营造了更有序的竞争发展环境。现打印耗材行业正处于动荡时期，原装厂商与通用打印耗材企业依然在这个市场中积极争夺</w:t>
      </w:r>
      <w:r>
        <w:rPr>
          <w:spacing w:val="-64"/>
        </w:rPr>
        <w:t> </w:t>
      </w:r>
      <w:r>
        <w:rPr>
          <w:spacing w:val="-64"/>
        </w:rPr>
      </w:r>
      <w:r>
        <w:rPr/>
        <w:t>与挖掘新机遇，以期巩固和发展自身业务。</w:t>
      </w:r>
    </w:p>
    <w:p>
      <w:pPr>
        <w:pStyle w:val="BodyText"/>
        <w:spacing w:line="468" w:lineRule="exact" w:before="12"/>
        <w:ind w:left="834" w:right="1122" w:firstLine="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）行业发展趋势</w:t>
      </w:r>
      <w:r>
        <w:rPr>
          <w:rFonts w:ascii="宋体" w:hAnsi="宋体" w:cs="宋体" w:eastAsia="宋体" w:hint="default"/>
          <w:b/>
          <w:bCs/>
          <w:w w:val="99"/>
        </w:rPr>
        <w:t> </w:t>
      </w:r>
      <w:r>
        <w:rPr/>
        <w:t>激光</w:t>
      </w:r>
      <w:r>
        <w:rPr>
          <w:rFonts w:ascii="宋体" w:hAnsi="宋体" w:cs="宋体" w:eastAsia="宋体" w:hint="default"/>
        </w:rPr>
        <w:t>OPC</w:t>
      </w:r>
      <w:r>
        <w:rPr/>
        <w:t>鼓作为激光打印机、数码复印机、激光传真机及多功能一体机等现代办公设备中最为核心的部件及耗材之一，</w:t>
      </w:r>
    </w:p>
    <w:p>
      <w:pPr>
        <w:pStyle w:val="BodyText"/>
        <w:spacing w:line="240" w:lineRule="auto" w:before="8"/>
        <w:ind w:left="473" w:right="0"/>
        <w:jc w:val="both"/>
      </w:pPr>
      <w:r>
        <w:rPr/>
        <w:t>其市场需求与激光打印机、数码复印机、激光传真机及多功能一体机的产量与保有量息息相关。</w:t>
      </w:r>
    </w:p>
    <w:p>
      <w:pPr>
        <w:spacing w:line="240" w:lineRule="auto" w:before="10"/>
        <w:rPr>
          <w:rFonts w:ascii="宋体" w:hAnsi="宋体" w:cs="宋体" w:eastAsia="宋体" w:hint="default"/>
          <w:sz w:val="17"/>
          <w:szCs w:val="17"/>
        </w:rPr>
      </w:pPr>
    </w:p>
    <w:p>
      <w:pPr>
        <w:pStyle w:val="BodyText"/>
        <w:spacing w:line="316" w:lineRule="auto"/>
        <w:ind w:left="473" w:right="1033" w:firstLine="360"/>
        <w:jc w:val="left"/>
      </w:pPr>
      <w:r>
        <w:rPr>
          <w:spacing w:val="-2"/>
        </w:rPr>
        <w:t>近年来，随着信息技术的不断发展与突破，使得打印机、复印机的信息处理能力大大提高，被普遍应用在商务办公及家</w:t>
      </w:r>
      <w:r>
        <w:rPr/>
        <w:t> </w:t>
      </w:r>
      <w:r>
        <w:rPr>
          <w:spacing w:val="-3"/>
        </w:rPr>
        <w:t>庭生活中。根据国际数据公司</w:t>
      </w:r>
      <w:r>
        <w:rPr>
          <w:rFonts w:ascii="宋体" w:hAnsi="宋体" w:cs="宋体" w:eastAsia="宋体" w:hint="default"/>
          <w:spacing w:val="-3"/>
        </w:rPr>
        <w:t>IDC</w:t>
      </w:r>
      <w:r>
        <w:rPr>
          <w:spacing w:val="-3"/>
        </w:rPr>
        <w:t>发布的报告显示，近年来，全球打印外设设备（</w:t>
      </w:r>
      <w:r>
        <w:rPr>
          <w:rFonts w:ascii="宋体" w:hAnsi="宋体" w:cs="宋体" w:eastAsia="宋体" w:hint="default"/>
          <w:spacing w:val="-3"/>
        </w:rPr>
        <w:t>HCP</w:t>
      </w:r>
      <w:r>
        <w:rPr>
          <w:spacing w:val="-3"/>
        </w:rPr>
        <w:t>）市场出货量均保持稳定，</w:t>
      </w:r>
      <w:r>
        <w:rPr>
          <w:rFonts w:ascii="宋体" w:hAnsi="宋体" w:cs="宋体" w:eastAsia="宋体" w:hint="default"/>
          <w:spacing w:val="-3"/>
        </w:rPr>
        <w:t>2017</w:t>
      </w:r>
      <w:r>
        <w:rPr>
          <w:spacing w:val="-3"/>
        </w:rPr>
        <w:t>年全年，</w:t>
      </w:r>
      <w:r>
        <w:rPr>
          <w:spacing w:val="-84"/>
        </w:rPr>
        <w:t> </w:t>
      </w:r>
      <w:r>
        <w:rPr/>
        <w:t>惠普公司</w:t>
      </w:r>
      <w:r>
        <w:rPr>
          <w:rFonts w:ascii="宋体" w:hAnsi="宋体" w:cs="宋体" w:eastAsia="宋体" w:hint="default"/>
        </w:rPr>
        <w:t>HCP</w:t>
      </w:r>
      <w:r>
        <w:rPr/>
        <w:t>的出货量与上年相比基本保持不变，而爱普生、兄弟和佳能的出货量均比上年有所增长。</w:t>
      </w:r>
      <w:r>
        <w:rPr>
          <w:rFonts w:ascii="宋体" w:hAnsi="宋体" w:cs="宋体" w:eastAsia="宋体" w:hint="default"/>
        </w:rPr>
        <w:t>2017</w:t>
      </w:r>
      <w:r>
        <w:rPr/>
        <w:t>年第四季度，亚 </w:t>
      </w:r>
      <w:r>
        <w:rPr>
          <w:spacing w:val="-2"/>
        </w:rPr>
        <w:t>太地区（不包括日本）在激光</w:t>
      </w:r>
      <w:r>
        <w:rPr>
          <w:rFonts w:ascii="宋体" w:hAnsi="宋体" w:cs="宋体" w:eastAsia="宋体" w:hint="default"/>
          <w:spacing w:val="-2"/>
        </w:rPr>
        <w:t>HCP</w:t>
      </w:r>
      <w:r>
        <w:rPr>
          <w:spacing w:val="-2"/>
        </w:rPr>
        <w:t>领域出货量上的表现优于全球其他所有地区，同比增长</w:t>
      </w:r>
      <w:r>
        <w:rPr>
          <w:rFonts w:ascii="宋体" w:hAnsi="宋体" w:cs="宋体" w:eastAsia="宋体" w:hint="default"/>
          <w:spacing w:val="-2"/>
        </w:rPr>
        <w:t>6.1%</w:t>
      </w:r>
      <w:r>
        <w:rPr>
          <w:spacing w:val="-2"/>
        </w:rPr>
        <w:t>，中国仍然为该地区</w:t>
      </w:r>
      <w:r>
        <w:rPr>
          <w:rFonts w:ascii="宋体" w:hAnsi="宋体" w:cs="宋体" w:eastAsia="宋体" w:hint="default"/>
          <w:spacing w:val="-2"/>
        </w:rPr>
        <w:t>HCP</w:t>
      </w:r>
      <w:r>
        <w:rPr>
          <w:spacing w:val="-2"/>
        </w:rPr>
        <w:t>出货量</w:t>
      </w:r>
    </w:p>
    <w:p>
      <w:pPr>
        <w:spacing w:after="0" w:line="316" w:lineRule="auto"/>
        <w:jc w:val="left"/>
        <w:sectPr>
          <w:pgSz w:w="11910" w:h="16840"/>
          <w:pgMar w:header="877" w:footer="979" w:top="1100" w:bottom="1160" w:left="66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增长的主要来源。</w:t>
      </w:r>
    </w:p>
    <w:p>
      <w:pPr>
        <w:spacing w:line="240" w:lineRule="auto" w:before="10"/>
        <w:rPr>
          <w:rFonts w:ascii="宋体" w:hAnsi="宋体" w:cs="宋体" w:eastAsia="宋体" w:hint="default"/>
          <w:sz w:val="17"/>
          <w:szCs w:val="17"/>
        </w:rPr>
      </w:pPr>
    </w:p>
    <w:p>
      <w:pPr>
        <w:pStyle w:val="BodyText"/>
        <w:spacing w:line="316" w:lineRule="auto"/>
        <w:ind w:right="0" w:firstLine="360"/>
        <w:jc w:val="left"/>
      </w:pPr>
      <w:r>
        <w:rPr>
          <w:spacing w:val="-2"/>
        </w:rPr>
        <w:t>在数码印刷方面，随着数码印刷技术的快速发展和应用的日益广泛，人们对印刷品快速化、个性化、多样性的需求不断</w:t>
      </w:r>
      <w:r>
        <w:rPr/>
        <w:t> 增加，带动数码印刷行业迅速发展。</w:t>
      </w:r>
    </w:p>
    <w:p>
      <w:pPr>
        <w:spacing w:line="240" w:lineRule="auto" w:before="5"/>
        <w:rPr>
          <w:rFonts w:ascii="宋体" w:hAnsi="宋体" w:cs="宋体" w:eastAsia="宋体" w:hint="default"/>
          <w:sz w:val="13"/>
          <w:szCs w:val="13"/>
        </w:rPr>
      </w:pPr>
    </w:p>
    <w:p>
      <w:pPr>
        <w:pStyle w:val="BodyText"/>
        <w:spacing w:line="240" w:lineRule="auto"/>
        <w:ind w:left="514" w:right="0"/>
        <w:jc w:val="left"/>
      </w:pPr>
      <w:r>
        <w:rPr/>
        <w:t>随着整体外设市场的稳定发展，必然会带动相应耗材需求的增加，从而为激光</w:t>
      </w:r>
      <w:r>
        <w:rPr>
          <w:rFonts w:ascii="宋体" w:hAnsi="宋体" w:cs="宋体" w:eastAsia="宋体" w:hint="default"/>
        </w:rPr>
        <w:t>OPC</w:t>
      </w:r>
      <w:r>
        <w:rPr/>
        <w:t>鼓行业带来广阔的市场空间。</w:t>
      </w: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r>
        <w:rPr/>
        <w:t>（二）公司发展战略</w:t>
      </w:r>
      <w:r>
        <w:rPr>
          <w:b w:val="0"/>
          <w:bCs w:val="0"/>
        </w:rPr>
      </w:r>
    </w:p>
    <w:p>
      <w:pPr>
        <w:spacing w:line="240" w:lineRule="auto" w:before="10"/>
        <w:rPr>
          <w:rFonts w:ascii="宋体" w:hAnsi="宋体" w:cs="宋体" w:eastAsia="宋体" w:hint="default"/>
          <w:b/>
          <w:bCs/>
          <w:sz w:val="17"/>
          <w:szCs w:val="17"/>
        </w:rPr>
      </w:pPr>
    </w:p>
    <w:p>
      <w:pPr>
        <w:pStyle w:val="BodyText"/>
        <w:spacing w:line="300" w:lineRule="auto"/>
        <w:ind w:right="1026" w:firstLine="360"/>
        <w:jc w:val="left"/>
      </w:pPr>
      <w:r>
        <w:rPr/>
        <w:t>公司将以激光 </w:t>
      </w:r>
      <w:r>
        <w:rPr>
          <w:rFonts w:ascii="Times New Roman" w:hAnsi="Times New Roman" w:cs="Times New Roman" w:eastAsia="Times New Roman" w:hint="default"/>
        </w:rPr>
        <w:t>OPC</w:t>
      </w:r>
      <w:r>
        <w:rPr>
          <w:rFonts w:ascii="Times New Roman" w:hAnsi="Times New Roman" w:cs="Times New Roman" w:eastAsia="Times New Roman" w:hint="default"/>
          <w:spacing w:val="-18"/>
        </w:rPr>
        <w:t> </w:t>
      </w:r>
      <w:r>
        <w:rPr/>
        <w:t>鼓研发、生产和销售为核心，以持续不断的技术创新、产品研发为基础，通过</w:t>
      </w:r>
      <w:r>
        <w:rPr>
          <w:rFonts w:ascii="Times New Roman" w:hAnsi="Times New Roman" w:cs="Times New Roman" w:eastAsia="Times New Roman" w:hint="default"/>
        </w:rPr>
        <w:t>“</w:t>
      </w:r>
      <w:r>
        <w:rPr/>
        <w:t>市场、研发、生产、 人才</w:t>
      </w:r>
      <w:r>
        <w:rPr>
          <w:rFonts w:ascii="Times New Roman" w:hAnsi="Times New Roman" w:cs="Times New Roman" w:eastAsia="Times New Roman" w:hint="default"/>
        </w:rPr>
        <w:t>”</w:t>
      </w:r>
      <w:r>
        <w:rPr/>
        <w:t>四个核心工程的实施，全面提升公司的持续发展能力、创新能力和核心竞争力，致力于将公司由目前以制造影印系统 光电元器件为主的企业，建设成为具有国际先进水平的有机光电专业化研发与生产制造基地。</w:t>
      </w:r>
    </w:p>
    <w:p>
      <w:pPr>
        <w:spacing w:line="240" w:lineRule="auto" w:before="4"/>
        <w:rPr>
          <w:rFonts w:ascii="宋体" w:hAnsi="宋体" w:cs="宋体" w:eastAsia="宋体" w:hint="default"/>
          <w:sz w:val="14"/>
          <w:szCs w:val="14"/>
        </w:rPr>
      </w:pPr>
    </w:p>
    <w:p>
      <w:pPr>
        <w:pStyle w:val="Heading4"/>
        <w:spacing w:line="240" w:lineRule="auto"/>
        <w:ind w:right="0"/>
        <w:jc w:val="left"/>
        <w:rPr>
          <w:b w:val="0"/>
          <w:bCs w:val="0"/>
        </w:rPr>
      </w:pPr>
      <w:r>
        <w:rPr/>
        <w:t>（三）</w:t>
      </w:r>
      <w:r>
        <w:rPr>
          <w:rFonts w:ascii="Times New Roman" w:hAnsi="Times New Roman" w:cs="Times New Roman" w:eastAsia="Times New Roman" w:hint="default"/>
        </w:rPr>
        <w:t>2018</w:t>
      </w:r>
      <w:r>
        <w:rPr/>
        <w:t>年经营计划</w:t>
      </w:r>
      <w:r>
        <w:rPr>
          <w:b w:val="0"/>
          <w:bCs w:val="0"/>
        </w:rPr>
      </w:r>
    </w:p>
    <w:p>
      <w:pPr>
        <w:spacing w:line="240" w:lineRule="auto" w:before="9"/>
        <w:rPr>
          <w:rFonts w:ascii="宋体" w:hAnsi="宋体" w:cs="宋体" w:eastAsia="宋体" w:hint="default"/>
          <w:b/>
          <w:bCs/>
          <w:sz w:val="16"/>
          <w:szCs w:val="16"/>
        </w:rPr>
      </w:pPr>
    </w:p>
    <w:p>
      <w:pPr>
        <w:pStyle w:val="BodyText"/>
        <w:spacing w:line="300" w:lineRule="auto"/>
        <w:ind w:right="0" w:firstLine="360"/>
        <w:jc w:val="left"/>
      </w:pPr>
      <w:r>
        <w:rPr>
          <w:rFonts w:ascii="Times New Roman" w:hAnsi="Times New Roman" w:cs="Times New Roman" w:eastAsia="Times New Roman" w:hint="default"/>
          <w:spacing w:val="-2"/>
        </w:rPr>
        <w:t>2018</w:t>
      </w:r>
      <w:r>
        <w:rPr>
          <w:spacing w:val="-2"/>
        </w:rPr>
        <w:t>年，是贯彻党的十九大精神的开局之年，改革开放</w:t>
      </w:r>
      <w:r>
        <w:rPr>
          <w:rFonts w:ascii="Times New Roman" w:hAnsi="Times New Roman" w:cs="Times New Roman" w:eastAsia="Times New Roman" w:hint="default"/>
          <w:spacing w:val="-2"/>
        </w:rPr>
        <w:t>40</w:t>
      </w:r>
      <w:r>
        <w:rPr>
          <w:spacing w:val="-2"/>
        </w:rPr>
        <w:t>周年，决胜全面建成小康社会、实施</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规划承上启下的</w:t>
      </w:r>
      <w:r>
        <w:rPr/>
        <w:t> 关键一年。</w:t>
      </w:r>
      <w:r>
        <w:rPr>
          <w:rFonts w:ascii="Times New Roman" w:hAnsi="Times New Roman" w:cs="Times New Roman" w:eastAsia="Times New Roman" w:hint="default"/>
        </w:rPr>
        <w:t>2018</w:t>
      </w:r>
      <w:r>
        <w:rPr/>
        <w:t>年，公司将积极推进实施以下经营计划：</w:t>
      </w:r>
    </w:p>
    <w:p>
      <w:pPr>
        <w:spacing w:line="240" w:lineRule="auto" w:before="12"/>
        <w:rPr>
          <w:rFonts w:ascii="宋体" w:hAnsi="宋体" w:cs="宋体" w:eastAsia="宋体" w:hint="default"/>
          <w:sz w:val="12"/>
          <w:szCs w:val="12"/>
        </w:rPr>
      </w:pPr>
    </w:p>
    <w:p>
      <w:pPr>
        <w:pStyle w:val="Heading4"/>
        <w:spacing w:line="240" w:lineRule="auto"/>
        <w:ind w:right="0"/>
        <w:jc w:val="left"/>
        <w:rPr>
          <w:b w:val="0"/>
          <w:bCs w:val="0"/>
        </w:rPr>
      </w:pPr>
      <w:r>
        <w:rPr>
          <w:rFonts w:ascii="Times New Roman" w:hAnsi="Times New Roman" w:cs="Times New Roman" w:eastAsia="Times New Roman" w:hint="default"/>
        </w:rPr>
        <w:t>1</w:t>
      </w:r>
      <w:r>
        <w:rPr/>
        <w:t>、加强市场营销力度，健全市场营销网络，巩固与发展市场份额</w:t>
      </w:r>
      <w:r>
        <w:rPr>
          <w:b w:val="0"/>
          <w:bCs w:val="0"/>
        </w:rPr>
      </w:r>
    </w:p>
    <w:p>
      <w:pPr>
        <w:spacing w:line="240" w:lineRule="auto" w:before="9"/>
        <w:rPr>
          <w:rFonts w:ascii="宋体" w:hAnsi="宋体" w:cs="宋体" w:eastAsia="宋体" w:hint="default"/>
          <w:b/>
          <w:bCs/>
          <w:sz w:val="16"/>
          <w:szCs w:val="16"/>
        </w:rPr>
      </w:pPr>
    </w:p>
    <w:p>
      <w:pPr>
        <w:pStyle w:val="BodyText"/>
        <w:spacing w:line="307" w:lineRule="auto"/>
        <w:ind w:right="1130" w:firstLine="360"/>
        <w:jc w:val="both"/>
      </w:pPr>
      <w:r>
        <w:rPr>
          <w:rFonts w:ascii="Times New Roman" w:hAnsi="Times New Roman" w:cs="Times New Roman" w:eastAsia="Times New Roman" w:hint="default"/>
          <w:spacing w:val="-2"/>
        </w:rPr>
        <w:t>2018</w:t>
      </w:r>
      <w:r>
        <w:rPr>
          <w:spacing w:val="-2"/>
        </w:rPr>
        <w:t>年，公司将继续巩固与强化在激光</w:t>
      </w:r>
      <w:r>
        <w:rPr>
          <w:rFonts w:ascii="Times New Roman" w:hAnsi="Times New Roman" w:cs="Times New Roman" w:eastAsia="Times New Roman" w:hint="default"/>
          <w:spacing w:val="-2"/>
        </w:rPr>
        <w:t>OPC</w:t>
      </w:r>
      <w:r>
        <w:rPr>
          <w:spacing w:val="-2"/>
        </w:rPr>
        <w:t>鼓的行业地位、品牌及竞争优势，密切关注行业的发展趋势与市场需求，全</w:t>
      </w:r>
      <w:r>
        <w:rPr/>
        <w:t> </w:t>
      </w:r>
      <w:r>
        <w:rPr>
          <w:spacing w:val="-2"/>
        </w:rPr>
        <w:t>力做好老客户的维护、拓展与新市场的开发，并积极深入国际市场。同时，公司将加大激光</w:t>
      </w:r>
      <w:r>
        <w:rPr>
          <w:rFonts w:ascii="Times New Roman" w:hAnsi="Times New Roman" w:cs="Times New Roman" w:eastAsia="Times New Roman" w:hint="default"/>
          <w:spacing w:val="-2"/>
        </w:rPr>
        <w:t>OPC</w:t>
      </w:r>
      <w:r>
        <w:rPr>
          <w:spacing w:val="-2"/>
        </w:rPr>
        <w:t>鼓与碳粉等配套耗材的组合</w:t>
      </w:r>
      <w:r>
        <w:rPr>
          <w:spacing w:val="-52"/>
        </w:rPr>
        <w:t> </w:t>
      </w:r>
      <w:r>
        <w:rPr>
          <w:spacing w:val="-2"/>
        </w:rPr>
        <w:t>销售力度，给客户提供完整的、匹配性能与打印效果卓越的打印耗材组合产品，从而优化公司产品结构，扩大产品价值。公</w:t>
      </w:r>
      <w:r>
        <w:rPr>
          <w:spacing w:val="-66"/>
        </w:rPr>
        <w:t> </w:t>
      </w:r>
      <w:r>
        <w:rPr>
          <w:spacing w:val="-66"/>
        </w:rPr>
      </w:r>
      <w:r>
        <w:rPr/>
        <w:t>司也将继续提高高附加值的高端激光</w:t>
      </w:r>
      <w:r>
        <w:rPr>
          <w:rFonts w:ascii="Times New Roman" w:hAnsi="Times New Roman" w:cs="Times New Roman" w:eastAsia="Times New Roman" w:hint="default"/>
        </w:rPr>
        <w:t>OPC</w:t>
      </w:r>
      <w:r>
        <w:rPr/>
        <w:t>鼓的销售比例，以进一步增加公司盈利能力。</w:t>
      </w:r>
    </w:p>
    <w:p>
      <w:pPr>
        <w:spacing w:line="240" w:lineRule="auto" w:before="6"/>
        <w:rPr>
          <w:rFonts w:ascii="宋体" w:hAnsi="宋体" w:cs="宋体" w:eastAsia="宋体" w:hint="default"/>
          <w:sz w:val="12"/>
          <w:szCs w:val="12"/>
        </w:rPr>
      </w:pPr>
    </w:p>
    <w:p>
      <w:pPr>
        <w:pStyle w:val="Heading4"/>
        <w:spacing w:line="240" w:lineRule="auto"/>
        <w:ind w:right="0"/>
        <w:jc w:val="left"/>
        <w:rPr>
          <w:b w:val="0"/>
          <w:bCs w:val="0"/>
        </w:rPr>
      </w:pPr>
      <w:r>
        <w:rPr>
          <w:rFonts w:ascii="Times New Roman" w:hAnsi="Times New Roman" w:cs="Times New Roman" w:eastAsia="Times New Roman" w:hint="default"/>
        </w:rPr>
        <w:t>2</w:t>
      </w:r>
      <w:r>
        <w:rPr/>
        <w:t>、加速行业资源整合，优势互补，协同发展</w:t>
      </w:r>
      <w:r>
        <w:rPr>
          <w:b w:val="0"/>
          <w:bCs w:val="0"/>
        </w:rPr>
      </w:r>
    </w:p>
    <w:p>
      <w:pPr>
        <w:spacing w:line="240" w:lineRule="auto" w:before="10"/>
        <w:rPr>
          <w:rFonts w:ascii="宋体" w:hAnsi="宋体" w:cs="宋体" w:eastAsia="宋体" w:hint="default"/>
          <w:b/>
          <w:bCs/>
          <w:sz w:val="16"/>
          <w:szCs w:val="16"/>
        </w:rPr>
      </w:pPr>
    </w:p>
    <w:p>
      <w:pPr>
        <w:pStyle w:val="BodyText"/>
        <w:spacing w:line="314" w:lineRule="auto"/>
        <w:ind w:right="0" w:firstLine="360"/>
        <w:jc w:val="left"/>
      </w:pPr>
      <w:r>
        <w:rPr>
          <w:spacing w:val="-2"/>
        </w:rPr>
        <w:t>资源整合是为实现公司长远利益而进行的战略决策，随着市场的变化情况与发展，公司设立动态战略综合指标，及时调</w:t>
      </w:r>
      <w:r>
        <w:rPr/>
        <w:t> </w:t>
      </w:r>
      <w:r>
        <w:rPr>
          <w:spacing w:val="-2"/>
        </w:rPr>
        <w:t>控公司资源，以激光</w:t>
      </w:r>
      <w:r>
        <w:rPr>
          <w:rFonts w:ascii="Times New Roman" w:hAnsi="Times New Roman" w:cs="Times New Roman" w:eastAsia="Times New Roman" w:hint="default"/>
          <w:spacing w:val="-2"/>
        </w:rPr>
        <w:t>OPC</w:t>
      </w:r>
      <w:r>
        <w:rPr>
          <w:spacing w:val="-2"/>
        </w:rPr>
        <w:t>鼓为核心产业基础，通过纵向资源整合、横向资源整合和平台式资源整合等方式，加速对各参股企</w:t>
      </w:r>
      <w:r>
        <w:rPr>
          <w:spacing w:val="-54"/>
        </w:rPr>
        <w:t> </w:t>
      </w:r>
      <w:r>
        <w:rPr>
          <w:spacing w:val="-54"/>
        </w:rPr>
      </w:r>
      <w:r>
        <w:rPr>
          <w:spacing w:val="-2"/>
        </w:rPr>
        <w:t>业及行业上下游的技术、市场、营销渠道的整合，以提高公司对市场变化的感应、适应和促进能力，强化公司核心竞争力的</w:t>
      </w:r>
      <w:r>
        <w:rPr>
          <w:spacing w:val="-66"/>
        </w:rPr>
        <w:t> </w:t>
      </w:r>
      <w:r>
        <w:rPr>
          <w:spacing w:val="-66"/>
        </w:rPr>
      </w:r>
      <w:r>
        <w:rPr>
          <w:spacing w:val="-4"/>
        </w:rPr>
        <w:t>形成与保持能力，提升网络构建、营销扩张和系统完善的能力，实现内外资源的优势互补、各业务的协同发展，延伸产业链，</w:t>
      </w:r>
      <w:r>
        <w:rPr>
          <w:spacing w:val="-44"/>
        </w:rPr>
        <w:t> </w:t>
      </w:r>
      <w:r>
        <w:rPr>
          <w:spacing w:val="-44"/>
        </w:rPr>
      </w:r>
      <w:r>
        <w:rPr/>
        <w:t>丰富盈利模式，进一步提升公司价值空间，为未来持续稳健发展奠定坚实的基础。</w:t>
      </w:r>
    </w:p>
    <w:p>
      <w:pPr>
        <w:spacing w:line="240" w:lineRule="auto" w:before="7"/>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3</w:t>
      </w:r>
      <w:r>
        <w:rPr/>
        <w:t>、加快募投项目建设，持续研发投入，培育技术人才</w:t>
      </w:r>
      <w:r>
        <w:rPr>
          <w:b w:val="0"/>
          <w:bCs w:val="0"/>
        </w:rPr>
      </w:r>
    </w:p>
    <w:p>
      <w:pPr>
        <w:spacing w:line="240" w:lineRule="auto" w:before="9"/>
        <w:rPr>
          <w:rFonts w:ascii="宋体" w:hAnsi="宋体" w:cs="宋体" w:eastAsia="宋体" w:hint="default"/>
          <w:b/>
          <w:bCs/>
          <w:sz w:val="16"/>
          <w:szCs w:val="16"/>
        </w:rPr>
      </w:pPr>
    </w:p>
    <w:p>
      <w:pPr>
        <w:pStyle w:val="BodyText"/>
        <w:spacing w:line="304" w:lineRule="auto"/>
        <w:ind w:right="0" w:firstLine="360"/>
        <w:jc w:val="left"/>
      </w:pPr>
      <w:r>
        <w:rPr>
          <w:rFonts w:ascii="Times New Roman" w:hAnsi="Times New Roman" w:cs="Times New Roman" w:eastAsia="Times New Roman" w:hint="default"/>
          <w:spacing w:val="-3"/>
        </w:rPr>
        <w:t>2018</w:t>
      </w:r>
      <w:r>
        <w:rPr>
          <w:spacing w:val="-3"/>
        </w:rPr>
        <w:t>年，公司将加快募投项目</w:t>
      </w:r>
      <w:r>
        <w:rPr>
          <w:rFonts w:ascii="Times New Roman" w:hAnsi="Times New Roman" w:cs="Times New Roman" w:eastAsia="Times New Roman" w:hint="default"/>
          <w:spacing w:val="-3"/>
        </w:rPr>
        <w:t>“</w:t>
      </w:r>
      <w:r>
        <w:rPr>
          <w:spacing w:val="-3"/>
        </w:rPr>
        <w:t>有机光电工程技术研究中心</w:t>
      </w:r>
      <w:r>
        <w:rPr>
          <w:rFonts w:ascii="Times New Roman" w:hAnsi="Times New Roman" w:cs="Times New Roman" w:eastAsia="Times New Roman" w:hint="default"/>
          <w:spacing w:val="-3"/>
        </w:rPr>
        <w:t>”</w:t>
      </w:r>
      <w:r>
        <w:rPr>
          <w:spacing w:val="-3"/>
        </w:rPr>
        <w:t>的建设步伐，与公司拥有的</w:t>
      </w:r>
      <w:r>
        <w:rPr>
          <w:rFonts w:ascii="Times New Roman" w:hAnsi="Times New Roman" w:cs="Times New Roman" w:eastAsia="Times New Roman" w:hint="default"/>
          <w:spacing w:val="-3"/>
        </w:rPr>
        <w:t>“</w:t>
      </w:r>
      <w:r>
        <w:rPr>
          <w:spacing w:val="-3"/>
        </w:rPr>
        <w:t>江苏省省级企业技术中心</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苏</w:t>
      </w:r>
      <w:r>
        <w:rPr/>
        <w:t> </w:t>
      </w:r>
      <w:r>
        <w:rPr>
          <w:spacing w:val="-2"/>
        </w:rPr>
        <w:t>州市有机光导工程技术研究中心</w:t>
      </w:r>
      <w:r>
        <w:rPr>
          <w:rFonts w:ascii="Times New Roman" w:hAnsi="Times New Roman" w:cs="Times New Roman" w:eastAsia="Times New Roman" w:hint="default"/>
          <w:spacing w:val="-2"/>
        </w:rPr>
        <w:t>”</w:t>
      </w:r>
      <w:r>
        <w:rPr>
          <w:spacing w:val="-2"/>
        </w:rPr>
        <w:t>一起，结合现有的自主创新能力和研发团队，专注于有机光电产业核心技术与产品的研发，</w:t>
      </w:r>
      <w:r>
        <w:rPr>
          <w:spacing w:val="-52"/>
        </w:rPr>
        <w:t> </w:t>
      </w:r>
      <w:r>
        <w:rPr>
          <w:spacing w:val="-52"/>
        </w:rPr>
      </w:r>
      <w:r>
        <w:rPr>
          <w:spacing w:val="-2"/>
        </w:rPr>
        <w:t>共同形成公司长远发展的新技术源泉和技术依托基地。同时，公司将注重技术团队的持续学习，改变员工心智模式，建立共</w:t>
      </w:r>
      <w:r>
        <w:rPr>
          <w:spacing w:val="-66"/>
        </w:rPr>
        <w:t> </w:t>
      </w:r>
      <w:r>
        <w:rPr>
          <w:spacing w:val="-66"/>
        </w:rPr>
      </w:r>
      <w:r>
        <w:rPr/>
        <w:t>同的</w:t>
      </w:r>
      <w:r>
        <w:rPr>
          <w:rFonts w:ascii="Times New Roman" w:hAnsi="Times New Roman" w:cs="Times New Roman" w:eastAsia="Times New Roman" w:hint="default"/>
        </w:rPr>
        <w:t>“</w:t>
      </w:r>
      <w:r>
        <w:rPr/>
        <w:t>知识</w:t>
      </w:r>
      <w:r>
        <w:rPr>
          <w:rFonts w:ascii="Times New Roman" w:hAnsi="Times New Roman" w:cs="Times New Roman" w:eastAsia="Times New Roman" w:hint="default"/>
        </w:rPr>
        <w:t>”</w:t>
      </w:r>
      <w:r>
        <w:rPr/>
        <w:t>价值取向，做到工作学习化，学习工作化，使企业的核心技术能够不断地形成和再生，并得以拓展和延伸，以保 持企业持续的创新能力。</w:t>
      </w:r>
    </w:p>
    <w:p>
      <w:pPr>
        <w:spacing w:line="468" w:lineRule="exact" w:before="19"/>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、强化成本内控管理，提升公司经济效益</w:t>
      </w:r>
      <w:r>
        <w:rPr>
          <w:rFonts w:ascii="宋体" w:hAnsi="宋体" w:cs="宋体" w:eastAsia="宋体" w:hint="default"/>
          <w:b/>
          <w:bCs/>
          <w:w w:val="99"/>
          <w:sz w:val="18"/>
          <w:szCs w:val="18"/>
        </w:rPr>
        <w:t> </w:t>
      </w:r>
      <w:r>
        <w:rPr>
          <w:rFonts w:ascii="宋体" w:hAnsi="宋体" w:cs="宋体" w:eastAsia="宋体" w:hint="default"/>
          <w:spacing w:val="-2"/>
          <w:sz w:val="18"/>
          <w:szCs w:val="18"/>
        </w:rPr>
        <w:t>公司将从实际经营和自身特点出发，通过全面预算管理，加强内控管理力度，不断强化自我约束，梳理内部管理效率短</w:t>
      </w:r>
    </w:p>
    <w:p>
      <w:pPr>
        <w:pStyle w:val="BodyText"/>
        <w:spacing w:line="316" w:lineRule="auto" w:before="8"/>
        <w:ind w:right="0"/>
        <w:jc w:val="left"/>
      </w:pPr>
      <w:r>
        <w:rPr>
          <w:spacing w:val="-2"/>
        </w:rPr>
        <w:t>板，改进信息化管理系统，持续强化内部管理执行力和工作效率。同时，公司将对自动化生产线的前端上料与后端装配进行</w:t>
      </w:r>
      <w:r>
        <w:rPr>
          <w:spacing w:val="-66"/>
        </w:rPr>
        <w:t> </w:t>
      </w:r>
      <w:r>
        <w:rPr>
          <w:spacing w:val="-66"/>
        </w:rPr>
      </w:r>
      <w:r>
        <w:rPr/>
        <w:t>全自动化改造，在保证产品质量的同时减少人力成本投入，以提高生产效率，降低产品成本，提升公司经济效益。</w:t>
      </w:r>
    </w:p>
    <w:p>
      <w:pPr>
        <w:pStyle w:val="BodyText"/>
        <w:spacing w:line="468" w:lineRule="exact" w:before="10"/>
        <w:ind w:left="513" w:right="0" w:firstLine="1"/>
        <w:jc w:val="left"/>
      </w:pPr>
      <w:r>
        <w:rPr>
          <w:rFonts w:ascii="Times New Roman" w:hAnsi="Times New Roman" w:cs="Times New Roman" w:eastAsia="Times New Roman" w:hint="default"/>
          <w:b/>
          <w:bCs/>
        </w:rPr>
        <w:t>5</w:t>
      </w:r>
      <w:r>
        <w:rPr>
          <w:rFonts w:ascii="宋体" w:hAnsi="宋体" w:cs="宋体" w:eastAsia="宋体" w:hint="default"/>
          <w:b/>
          <w:bCs/>
        </w:rPr>
        <w:t>、进入原装配套市场计划</w:t>
      </w:r>
      <w:r>
        <w:rPr>
          <w:rFonts w:ascii="宋体" w:hAnsi="宋体" w:cs="宋体" w:eastAsia="宋体" w:hint="default"/>
          <w:b/>
          <w:bCs/>
          <w:w w:val="99"/>
        </w:rPr>
        <w:t> </w:t>
      </w:r>
      <w:r>
        <w:rPr>
          <w:spacing w:val="-2"/>
        </w:rPr>
        <w:t>实现与原装整机厂配套合作是公司未来重要的发展方向，也是公司需要攻克的重要目标市场。随着公司的不断发展以及</w:t>
      </w:r>
    </w:p>
    <w:p>
      <w:pPr>
        <w:pStyle w:val="BodyText"/>
        <w:spacing w:line="300" w:lineRule="auto" w:before="8"/>
        <w:ind w:right="1114"/>
        <w:jc w:val="left"/>
      </w:pPr>
      <w:r>
        <w:rPr/>
        <w:t>激光有机光导鼓扩建项目的建设完成，公司可以生产的高品质激光 </w:t>
      </w:r>
      <w:r>
        <w:rPr>
          <w:rFonts w:ascii="Times New Roman" w:hAnsi="Times New Roman" w:cs="Times New Roman" w:eastAsia="Times New Roman" w:hint="default"/>
        </w:rPr>
        <w:t>OPC</w:t>
      </w:r>
      <w:r>
        <w:rPr>
          <w:rFonts w:ascii="Times New Roman" w:hAnsi="Times New Roman" w:cs="Times New Roman" w:eastAsia="Times New Roman" w:hint="default"/>
          <w:spacing w:val="-26"/>
        </w:rPr>
        <w:t> </w:t>
      </w:r>
      <w:r>
        <w:rPr/>
        <w:t>鼓的品种和规格型号不断增加，生产能力也将大幅 </w:t>
      </w:r>
      <w:r>
        <w:rPr>
          <w:spacing w:val="-2"/>
        </w:rPr>
        <w:t>提升，将使公司从生产产能、产品质量、产品种类上全面适应国际品牌厂商的要求，从而有助于公司能够顺利进入原装整机</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3"/>
        <w:jc w:val="both"/>
      </w:pPr>
      <w:r>
        <w:rPr>
          <w:spacing w:val="-2"/>
        </w:rPr>
        <w:t>配套市场。因此，公司计划在未来，通过进一步提高产品品质和产能保障，争取在原装配套市场实现突破，与一至两家国际</w:t>
      </w:r>
      <w:r>
        <w:rPr>
          <w:spacing w:val="-66"/>
        </w:rPr>
        <w:t> </w:t>
      </w:r>
      <w:r>
        <w:rPr>
          <w:spacing w:val="-66"/>
        </w:rPr>
      </w:r>
      <w:r>
        <w:rPr/>
        <w:t>知名的整机制造厂商展开合作。</w:t>
      </w:r>
    </w:p>
    <w:p>
      <w:pPr>
        <w:spacing w:line="240" w:lineRule="auto" w:before="5"/>
        <w:rPr>
          <w:rFonts w:ascii="宋体" w:hAnsi="宋体" w:cs="宋体" w:eastAsia="宋体" w:hint="default"/>
          <w:sz w:val="13"/>
          <w:szCs w:val="13"/>
        </w:rPr>
      </w:pPr>
    </w:p>
    <w:p>
      <w:pPr>
        <w:pStyle w:val="Heading4"/>
        <w:spacing w:line="240" w:lineRule="auto"/>
        <w:ind w:right="0"/>
        <w:jc w:val="left"/>
        <w:rPr>
          <w:b w:val="0"/>
          <w:bCs w:val="0"/>
        </w:rPr>
      </w:pPr>
      <w:r>
        <w:rPr/>
        <w:t>（四）可能面对的风险</w:t>
      </w:r>
      <w:r>
        <w:rPr>
          <w:b w:val="0"/>
          <w:bCs w:val="0"/>
        </w:rPr>
      </w:r>
    </w:p>
    <w:p>
      <w:pPr>
        <w:spacing w:line="450" w:lineRule="atLeast" w:before="32"/>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、行业与市场竞争加剧的风险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公司产品激光有机光导鼓的市场主要分为原装配套市场和售后配件通用耗材市场两部分。在原装配套市场，目前仍由少</w:t>
      </w:r>
    </w:p>
    <w:p>
      <w:pPr>
        <w:pStyle w:val="BodyText"/>
        <w:spacing w:line="316" w:lineRule="auto" w:before="76"/>
        <w:ind w:right="1132"/>
        <w:jc w:val="both"/>
      </w:pPr>
      <w:r>
        <w:rPr>
          <w:spacing w:val="-2"/>
        </w:rPr>
        <w:t>数国外厂商垄断；而在售后配件通用耗材市场，行业内生产厂家的竞争日益激烈，行业竞争加剧可能会导致公司产品价格进</w:t>
      </w:r>
      <w:r>
        <w:rPr>
          <w:spacing w:val="-66"/>
        </w:rPr>
        <w:t> </w:t>
      </w:r>
      <w:r>
        <w:rPr>
          <w:spacing w:val="-66"/>
        </w:rPr>
      </w:r>
      <w:r>
        <w:rPr/>
        <w:t>一步下降，从而影响公司的盈利能力和利润水平。</w:t>
      </w:r>
    </w:p>
    <w:p>
      <w:pPr>
        <w:spacing w:line="240" w:lineRule="auto" w:before="5"/>
        <w:rPr>
          <w:rFonts w:ascii="宋体" w:hAnsi="宋体" w:cs="宋体" w:eastAsia="宋体" w:hint="default"/>
          <w:sz w:val="13"/>
          <w:szCs w:val="13"/>
        </w:rPr>
      </w:pPr>
    </w:p>
    <w:p>
      <w:pPr>
        <w:pStyle w:val="BodyText"/>
        <w:spacing w:line="316" w:lineRule="auto"/>
        <w:ind w:right="1133" w:firstLine="360"/>
        <w:jc w:val="both"/>
      </w:pPr>
      <w:r>
        <w:rPr>
          <w:spacing w:val="-2"/>
        </w:rPr>
        <w:t>与同行业其他企业相比，公司拥有行业内显著的研制技术及专用设备集成能力，针对不同产品的工艺要求，能够及时调</w:t>
      </w:r>
      <w:r>
        <w:rPr/>
        <w:t> </w:t>
      </w:r>
      <w:r>
        <w:rPr>
          <w:spacing w:val="-2"/>
        </w:rPr>
        <w:t>整设备布局，或改善镀膜材料配方，抵御市场变化的风险能力较强。同时，募投项目的完成使公司的规模成本效益突显，使</w:t>
      </w:r>
      <w:r>
        <w:rPr>
          <w:spacing w:val="-66"/>
        </w:rPr>
        <w:t> </w:t>
      </w:r>
      <w:r>
        <w:rPr>
          <w:spacing w:val="-66"/>
        </w:rPr>
      </w:r>
      <w:r>
        <w:rPr/>
        <w:t>公司在市场竞争中处于有利的位置。</w:t>
      </w:r>
    </w:p>
    <w:p>
      <w:pPr>
        <w:pStyle w:val="BodyText"/>
        <w:spacing w:line="468" w:lineRule="exact" w:before="10"/>
        <w:ind w:left="513" w:right="0" w:firstLine="1"/>
        <w:jc w:val="left"/>
      </w:pPr>
      <w:r>
        <w:rPr>
          <w:rFonts w:ascii="Times New Roman" w:hAnsi="Times New Roman" w:cs="Times New Roman" w:eastAsia="Times New Roman" w:hint="default"/>
          <w:b/>
          <w:bCs/>
        </w:rPr>
        <w:t>2</w:t>
      </w:r>
      <w:r>
        <w:rPr>
          <w:rFonts w:ascii="宋体" w:hAnsi="宋体" w:cs="宋体" w:eastAsia="宋体" w:hint="default"/>
          <w:b/>
          <w:bCs/>
        </w:rPr>
        <w:t>、技术被超越的风险</w:t>
      </w:r>
      <w:r>
        <w:rPr>
          <w:rFonts w:ascii="宋体" w:hAnsi="宋体" w:cs="宋体" w:eastAsia="宋体" w:hint="default"/>
          <w:b/>
          <w:bCs/>
          <w:w w:val="99"/>
        </w:rPr>
        <w:t> </w:t>
      </w:r>
      <w:r>
        <w:rPr>
          <w:spacing w:val="-2"/>
        </w:rPr>
        <w:t>公司董事长、总经理余荣清博士为首的核心技术团队掌握着产业化生产激光有机光导鼓技术及专用关键设备的系统集成</w:t>
      </w:r>
    </w:p>
    <w:p>
      <w:pPr>
        <w:pStyle w:val="BodyText"/>
        <w:spacing w:line="316" w:lineRule="auto" w:before="8"/>
        <w:ind w:right="1131"/>
        <w:jc w:val="both"/>
      </w:pPr>
      <w:r>
        <w:rPr>
          <w:spacing w:val="-2"/>
        </w:rPr>
        <w:t>技术，经过十余年来持续不断的改进，这一技术已臻于成熟并成为公司实现快速发展的基础。随着打印、复印技术水平以及</w:t>
      </w:r>
      <w:r>
        <w:rPr>
          <w:spacing w:val="-66"/>
        </w:rPr>
        <w:t> </w:t>
      </w:r>
      <w:r>
        <w:rPr>
          <w:spacing w:val="-66"/>
        </w:rPr>
      </w:r>
      <w:r>
        <w:rPr>
          <w:spacing w:val="-2"/>
        </w:rPr>
        <w:t>客户对产品技术性能要求的不断提高，如果公司在短期内无法对新技术、新需求作出快速反应，或者国内其他企业在技术研</w:t>
      </w:r>
      <w:r>
        <w:rPr>
          <w:spacing w:val="-66"/>
        </w:rPr>
        <w:t> </w:t>
      </w:r>
      <w:r>
        <w:rPr>
          <w:spacing w:val="-66"/>
        </w:rPr>
      </w:r>
      <w:r>
        <w:rPr/>
        <w:t>究上取得重大突破，超越本公司，则可能致使本公司不再拥有技术优势，进而对公司的经营产生不利影响。</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公司将持续研发投入，专注于有机光电产业领域的工程技术课题及相关研发活动，实时跟踪激光打（复）印设备的技术</w:t>
      </w:r>
      <w:r>
        <w:rPr/>
        <w:t> 发展趋势和新产品方向，整合研发力量，进一步提升自主创新能力。</w:t>
      </w:r>
    </w:p>
    <w:p>
      <w:pPr>
        <w:spacing w:line="468" w:lineRule="exact" w:before="1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、遭受他方知识产权侵权求偿或诉讼风险</w:t>
      </w:r>
      <w:r>
        <w:rPr>
          <w:rFonts w:ascii="宋体" w:hAnsi="宋体" w:cs="宋体" w:eastAsia="宋体" w:hint="default"/>
          <w:b/>
          <w:bCs/>
          <w:w w:val="99"/>
          <w:sz w:val="18"/>
          <w:szCs w:val="18"/>
        </w:rPr>
        <w:t> </w:t>
      </w:r>
      <w:r>
        <w:rPr>
          <w:rFonts w:ascii="宋体" w:hAnsi="宋体" w:cs="宋体" w:eastAsia="宋体" w:hint="default"/>
          <w:spacing w:val="-2"/>
          <w:sz w:val="18"/>
          <w:szCs w:val="18"/>
        </w:rPr>
        <w:t>激光</w:t>
      </w:r>
      <w:r>
        <w:rPr>
          <w:rFonts w:ascii="Times New Roman" w:hAnsi="Times New Roman" w:cs="Times New Roman" w:eastAsia="Times New Roman" w:hint="default"/>
          <w:spacing w:val="-2"/>
          <w:sz w:val="18"/>
          <w:szCs w:val="18"/>
        </w:rPr>
        <w:t>OPC</w:t>
      </w:r>
      <w:r>
        <w:rPr>
          <w:rFonts w:ascii="宋体" w:hAnsi="宋体" w:cs="宋体" w:eastAsia="宋体" w:hint="default"/>
          <w:spacing w:val="-2"/>
          <w:sz w:val="18"/>
          <w:szCs w:val="18"/>
        </w:rPr>
        <w:t>鼓行业属于高度集成与高科技含量的先进制造产业，知识产权在行业的发展过程中发挥着重要的作用，行业内</w:t>
      </w:r>
    </w:p>
    <w:p>
      <w:pPr>
        <w:pStyle w:val="BodyText"/>
        <w:spacing w:line="316" w:lineRule="auto" w:before="8"/>
        <w:ind w:right="1131"/>
        <w:jc w:val="both"/>
      </w:pPr>
      <w:r>
        <w:rPr>
          <w:spacing w:val="-2"/>
        </w:rPr>
        <w:t>的企业对自身知识产权的保护力度亦越来越大，向侵权者提起侵权求偿或诉讼已经成为相关企业保护自身权益及打击竞争对</w:t>
      </w:r>
      <w:r>
        <w:rPr>
          <w:spacing w:val="-64"/>
        </w:rPr>
        <w:t> </w:t>
      </w:r>
      <w:r>
        <w:rPr>
          <w:spacing w:val="-64"/>
        </w:rPr>
      </w:r>
      <w:r>
        <w:rPr>
          <w:spacing w:val="-2"/>
        </w:rPr>
        <w:t>手的重要手段。随着本公司业务规模及产品种类的不断扩张，遭受他方知识产权侵权求偿或诉讼的风险日益增加，竞争对手</w:t>
      </w:r>
      <w:r>
        <w:rPr>
          <w:spacing w:val="-66"/>
        </w:rPr>
        <w:t> </w:t>
      </w:r>
      <w:r>
        <w:rPr>
          <w:spacing w:val="-66"/>
        </w:rPr>
      </w:r>
      <w:r>
        <w:rPr>
          <w:spacing w:val="-2"/>
        </w:rPr>
        <w:t>或第三方可能就本公司业务有关的技术、专利、商标及其他知识产权提出侵权或诉讼。虽然公司一直注重自身知识产权来源</w:t>
      </w:r>
      <w:r>
        <w:rPr>
          <w:spacing w:val="-66"/>
        </w:rPr>
        <w:t> </w:t>
      </w:r>
      <w:r>
        <w:rPr>
          <w:spacing w:val="-66"/>
        </w:rPr>
      </w:r>
      <w:r>
        <w:rPr>
          <w:spacing w:val="-2"/>
        </w:rPr>
        <w:t>的合法性和合规性，但仍然无法完全规避遭受他方知识产权侵权求偿或诉讼的风险，届时无论相关求偿、诉讼是否有效或获</w:t>
      </w:r>
      <w:r>
        <w:rPr>
          <w:spacing w:val="-66"/>
        </w:rPr>
        <w:t> </w:t>
      </w:r>
      <w:r>
        <w:rPr>
          <w:spacing w:val="-66"/>
        </w:rPr>
      </w:r>
      <w:r>
        <w:rPr/>
        <w:t>得裁决部门支持，本公司都可能因抗辩或应诉而发生法律费用。</w:t>
      </w:r>
    </w:p>
    <w:p>
      <w:pPr>
        <w:pStyle w:val="BodyText"/>
        <w:spacing w:line="468" w:lineRule="exact" w:before="10"/>
        <w:ind w:left="514" w:right="0" w:firstLine="1"/>
        <w:jc w:val="left"/>
      </w:pPr>
      <w:r>
        <w:rPr>
          <w:rFonts w:ascii="Times New Roman" w:hAnsi="Times New Roman" w:cs="Times New Roman" w:eastAsia="Times New Roman" w:hint="default"/>
          <w:b/>
          <w:bCs/>
        </w:rPr>
        <w:t>4</w:t>
      </w:r>
      <w:r>
        <w:rPr>
          <w:rFonts w:ascii="宋体" w:hAnsi="宋体" w:cs="宋体" w:eastAsia="宋体" w:hint="default"/>
          <w:b/>
          <w:bCs/>
        </w:rPr>
        <w:t>、汇率变动的风险</w:t>
      </w:r>
      <w:r>
        <w:rPr>
          <w:rFonts w:ascii="宋体" w:hAnsi="宋体" w:cs="宋体" w:eastAsia="宋体" w:hint="default"/>
          <w:b/>
          <w:bCs/>
          <w:w w:val="99"/>
        </w:rPr>
        <w:t> </w:t>
      </w:r>
      <w:r>
        <w:rPr>
          <w:spacing w:val="-1"/>
        </w:rPr>
        <w:t>公司产品销往国内外市场，国内市场占主要份额。</w:t>
      </w:r>
      <w:r>
        <w:rPr>
          <w:rFonts w:ascii="Times New Roman" w:hAnsi="Times New Roman" w:cs="Times New Roman" w:eastAsia="Times New Roman" w:hint="default"/>
          <w:spacing w:val="-1"/>
        </w:rPr>
        <w:t>2017</w:t>
      </w:r>
      <w:r>
        <w:rPr>
          <w:spacing w:val="-1"/>
        </w:rPr>
        <w:t>年度，公司外销收入较上年同期增长</w:t>
      </w:r>
      <w:r>
        <w:rPr>
          <w:rFonts w:ascii="Times New Roman" w:hAnsi="Times New Roman" w:cs="Times New Roman" w:eastAsia="Times New Roman" w:hint="default"/>
          <w:spacing w:val="-1"/>
        </w:rPr>
        <w:t>2.45%</w:t>
      </w:r>
      <w:r>
        <w:rPr>
          <w:spacing w:val="-1"/>
        </w:rPr>
        <w:t>，结算货币主要为美</w:t>
      </w:r>
    </w:p>
    <w:p>
      <w:pPr>
        <w:pStyle w:val="BodyText"/>
        <w:spacing w:line="316" w:lineRule="auto" w:before="8"/>
        <w:ind w:left="154" w:right="1131"/>
        <w:jc w:val="both"/>
      </w:pPr>
      <w:r>
        <w:rPr>
          <w:spacing w:val="-2"/>
        </w:rPr>
        <w:t>元。因此，汇率的波动将会对公司业绩产生一定的影响。公司将保持适当的美元资产在资产总额的配置比重，密切关注汇率</w:t>
      </w:r>
      <w:r>
        <w:rPr>
          <w:spacing w:val="-66"/>
        </w:rPr>
        <w:t> </w:t>
      </w:r>
      <w:r>
        <w:rPr>
          <w:spacing w:val="-66"/>
        </w:rPr>
      </w:r>
      <w:r>
        <w:rPr/>
        <w:t>变动趋势，适时选择汇率避险工具，实现公司资产保值增值。</w:t>
      </w:r>
    </w:p>
    <w:p>
      <w:pPr>
        <w:spacing w:line="240" w:lineRule="auto" w:before="10"/>
        <w:rPr>
          <w:rFonts w:ascii="宋体" w:hAnsi="宋体" w:cs="宋体" w:eastAsia="宋体" w:hint="default"/>
          <w:sz w:val="20"/>
          <w:szCs w:val="20"/>
        </w:rPr>
      </w:pPr>
    </w:p>
    <w:p>
      <w:pPr>
        <w:pStyle w:val="Heading2"/>
        <w:spacing w:line="240" w:lineRule="auto"/>
        <w:ind w:left="154" w:right="0"/>
        <w:jc w:val="both"/>
        <w:rPr>
          <w:b w:val="0"/>
          <w:bCs w:val="0"/>
        </w:rPr>
      </w:pPr>
      <w:bookmarkStart w:name="十、接待调研、沟通、采访等活动" w:id="61"/>
      <w:bookmarkEnd w:id="61"/>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401"/>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报告期内，公司实际控制人、董事长余荣清先生；董事兰山英女士；董事余仲清先生，根据公司</w:t>
      </w:r>
      <w:r>
        <w:rPr>
          <w:rFonts w:ascii="Times New Roman" w:hAnsi="Times New Roman" w:cs="Times New Roman" w:eastAsia="Times New Roman" w:hint="default"/>
        </w:rPr>
        <w:t>2016</w:t>
      </w:r>
      <w:r>
        <w:rPr/>
        <w:t>年度的经营状况，</w:t>
      </w:r>
    </w:p>
    <w:p>
      <w:pPr>
        <w:pStyle w:val="BodyText"/>
        <w:spacing w:line="217" w:lineRule="exact"/>
        <w:ind w:right="0"/>
        <w:jc w:val="left"/>
      </w:pPr>
      <w:r>
        <w:rPr/>
        <w:t>结合未来的经营发展战略，为了更好的回报股东，在符合相关法律、法规和《公司章程》规定的利润分配政策、保证公司正</w:t>
      </w:r>
    </w:p>
    <w:p>
      <w:pPr>
        <w:pStyle w:val="BodyText"/>
        <w:spacing w:line="300" w:lineRule="auto" w:before="76"/>
        <w:ind w:right="1033"/>
        <w:jc w:val="left"/>
      </w:pPr>
      <w:r>
        <w:rPr/>
        <w:t>常运营和长远发展的前提下，提出公司</w:t>
      </w:r>
      <w:r>
        <w:rPr>
          <w:rFonts w:ascii="Times New Roman" w:hAnsi="Times New Roman" w:cs="Times New Roman" w:eastAsia="Times New Roman" w:hint="default"/>
        </w:rPr>
        <w:t>2016</w:t>
      </w:r>
      <w:r>
        <w:rPr/>
        <w:t>年度利润分配及资本公积转增股本预案，并经公司第三届董事会第十一次会议、 公司</w:t>
      </w:r>
      <w:r>
        <w:rPr>
          <w:rFonts w:ascii="Times New Roman" w:hAnsi="Times New Roman" w:cs="Times New Roman" w:eastAsia="Times New Roman" w:hint="default"/>
        </w:rPr>
        <w:t>2016</w:t>
      </w:r>
      <w:r>
        <w:rPr/>
        <w:t>年度股东大会审议通过。</w:t>
      </w:r>
      <w:r>
        <w:rPr>
          <w:rFonts w:ascii="Times New Roman" w:hAnsi="Times New Roman" w:cs="Times New Roman" w:eastAsia="Times New Roman" w:hint="default"/>
        </w:rPr>
        <w:t>2016</w:t>
      </w:r>
      <w:r>
        <w:rPr/>
        <w:t>年度利润分配方案：以现有股本</w:t>
      </w:r>
      <w:r>
        <w:rPr>
          <w:rFonts w:ascii="Times New Roman" w:hAnsi="Times New Roman" w:cs="Times New Roman" w:eastAsia="Times New Roman" w:hint="default"/>
        </w:rPr>
        <w:t>12,000</w:t>
      </w:r>
      <w:r>
        <w:rPr/>
        <w:t>万股作为股本基数，向全体股东每十股派发现 金股利人民币</w:t>
      </w:r>
      <w:r>
        <w:rPr>
          <w:rFonts w:ascii="Times New Roman" w:hAnsi="Times New Roman" w:cs="Times New Roman" w:eastAsia="Times New Roman" w:hint="default"/>
        </w:rPr>
        <w:t>1</w:t>
      </w:r>
      <w:r>
        <w:rPr/>
        <w:t>元（含税），合计派发现金股利</w:t>
      </w:r>
      <w:r>
        <w:rPr>
          <w:rFonts w:ascii="Times New Roman" w:hAnsi="Times New Roman" w:cs="Times New Roman" w:eastAsia="Times New Roman" w:hint="default"/>
        </w:rPr>
        <w:t>12,000,000</w:t>
      </w:r>
      <w:r>
        <w:rPr/>
        <w:t>元；同时以资本公积向全体股东每十股转增</w:t>
      </w:r>
      <w:r>
        <w:rPr>
          <w:rFonts w:ascii="Times New Roman" w:hAnsi="Times New Roman" w:cs="Times New Roman" w:eastAsia="Times New Roman" w:hint="default"/>
        </w:rPr>
        <w:t>6</w:t>
      </w:r>
      <w:r>
        <w:rPr/>
        <w:t>股，合计转增</w:t>
      </w:r>
      <w:r>
        <w:rPr>
          <w:rFonts w:ascii="Times New Roman" w:hAnsi="Times New Roman" w:cs="Times New Roman" w:eastAsia="Times New Roman" w:hint="default"/>
        </w:rPr>
        <w:t>7,200</w:t>
      </w:r>
      <w:r>
        <w:rPr/>
        <w:t>万 股，转增后公司总股本将增至</w:t>
      </w:r>
      <w:r>
        <w:rPr>
          <w:rFonts w:ascii="Times New Roman" w:hAnsi="Times New Roman" w:cs="Times New Roman" w:eastAsia="Times New Roman" w:hint="default"/>
        </w:rPr>
        <w:t>19,200</w:t>
      </w:r>
      <w:r>
        <w:rPr/>
        <w:t>万股。该利润分配方案已实施完毕。</w:t>
      </w:r>
    </w:p>
    <w:p>
      <w:pPr>
        <w:spacing w:line="240" w:lineRule="auto" w:before="1"/>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357"/>
        <w:gridCol w:w="3201"/>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6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10" w:space="0" w:color="D2D2D2"/>
              <w:right w:val="single" w:sz="4" w:space="0" w:color="000000"/>
            </w:tcBorders>
          </w:tcPr>
          <w:p>
            <w:pPr>
              <w:pStyle w:val="TableParagraph"/>
              <w:spacing w:line="319" w:lineRule="auto" w:before="51"/>
              <w:ind w:left="27" w:right="94"/>
              <w:jc w:val="left"/>
              <w:rPr>
                <w:rFonts w:ascii="宋体" w:hAnsi="宋体" w:cs="宋体" w:eastAsia="宋体" w:hint="default"/>
                <w:sz w:val="18"/>
                <w:szCs w:val="18"/>
              </w:rPr>
            </w:pPr>
            <w:r>
              <w:rPr>
                <w:rFonts w:ascii="宋体" w:hAnsi="宋体" w:cs="宋体" w:eastAsia="宋体" w:hint="default"/>
                <w:sz w:val="18"/>
                <w:szCs w:val="18"/>
              </w:rPr>
              <w:t>不适用。报告期内，公司未调整或变更 现金分红政策。</w:t>
            </w:r>
          </w:p>
        </w:tc>
      </w:tr>
      <w:tr>
        <w:trPr>
          <w:trHeight w:val="392" w:hRule="exact"/>
        </w:trPr>
        <w:tc>
          <w:tcPr>
            <w:tcW w:w="6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1" w:type="dxa"/>
            <w:vMerge/>
            <w:tcBorders>
              <w:left w:val="single" w:sz="10" w:space="0" w:color="D2D2D2"/>
              <w:right w:val="single" w:sz="4" w:space="0" w:color="000000"/>
            </w:tcBorders>
          </w:tcPr>
          <w:p>
            <w:pPr/>
          </w:p>
        </w:tc>
      </w:tr>
      <w:tr>
        <w:trPr>
          <w:trHeight w:val="161" w:hRule="exact"/>
        </w:trPr>
        <w:tc>
          <w:tcPr>
            <w:tcW w:w="6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10" w:space="0" w:color="D2D2D2"/>
              <w:bottom w:val="single" w:sz="4" w:space="0" w:color="000000"/>
              <w:right w:val="single" w:sz="4" w:space="0" w:color="000000"/>
            </w:tcBorders>
          </w:tcPr>
          <w:p>
            <w:pPr/>
          </w:p>
        </w:tc>
      </w:tr>
    </w:tbl>
    <w:p>
      <w:pPr>
        <w:pStyle w:val="BodyText"/>
        <w:spacing w:line="240" w:lineRule="auto" w:before="51"/>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Heading4"/>
        <w:spacing w:line="240" w:lineRule="auto" w:before="102"/>
        <w:ind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年度利润分配方案</w:t>
      </w:r>
      <w:r>
        <w:rPr>
          <w:b w:val="0"/>
          <w:bCs w:val="0"/>
        </w:rPr>
      </w:r>
    </w:p>
    <w:p>
      <w:pPr>
        <w:spacing w:line="240" w:lineRule="auto" w:before="9"/>
        <w:rPr>
          <w:rFonts w:ascii="宋体" w:hAnsi="宋体" w:cs="宋体" w:eastAsia="宋体" w:hint="default"/>
          <w:b/>
          <w:bCs/>
          <w:sz w:val="16"/>
          <w:szCs w:val="16"/>
        </w:rPr>
      </w:pPr>
    </w:p>
    <w:p>
      <w:pPr>
        <w:pStyle w:val="BodyText"/>
        <w:spacing w:line="300" w:lineRule="auto"/>
        <w:ind w:right="0" w:firstLine="360"/>
        <w:jc w:val="left"/>
      </w:pPr>
      <w:r>
        <w:rPr>
          <w:spacing w:val="-1"/>
        </w:rPr>
        <w:t>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90,000,000</w:t>
      </w:r>
      <w:r>
        <w:rPr>
          <w:spacing w:val="-1"/>
        </w:rPr>
        <w:t>股为基数，向全体股东每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1.0</w:t>
      </w:r>
      <w:r>
        <w:rPr>
          <w:spacing w:val="-1"/>
        </w:rPr>
        <w:t>元（含税），共派发现金股利</w:t>
      </w:r>
      <w:r>
        <w:rPr>
          <w:rFonts w:ascii="Times New Roman" w:hAnsi="Times New Roman" w:cs="Times New Roman" w:eastAsia="Times New Roman" w:hint="default"/>
          <w:spacing w:val="-1"/>
        </w:rPr>
        <w:t>9,000,000</w:t>
      </w:r>
      <w:r>
        <w:rPr>
          <w:rFonts w:ascii="Times New Roman" w:hAnsi="Times New Roman" w:cs="Times New Roman" w:eastAsia="Times New Roman" w:hint="default"/>
        </w:rPr>
        <w:t> </w:t>
      </w:r>
      <w:r>
        <w:rPr/>
        <w:t>元；不送红股，不以公积金转增股本。该利润分配方案已实施完毕。</w:t>
      </w:r>
    </w:p>
    <w:p>
      <w:pPr>
        <w:spacing w:line="468" w:lineRule="exact" w:before="23"/>
        <w:ind w:left="514" w:right="0" w:firstLine="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13"/>
          <w:sz w:val="18"/>
          <w:szCs w:val="18"/>
        </w:rPr>
        <w:t> </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年度利润分配及资本公积转增股本方案</w:t>
      </w:r>
      <w:r>
        <w:rPr>
          <w:rFonts w:ascii="宋体" w:hAnsi="宋体" w:cs="宋体" w:eastAsia="宋体" w:hint="default"/>
          <w:b/>
          <w:bCs/>
          <w:w w:val="99"/>
          <w:sz w:val="18"/>
          <w:szCs w:val="18"/>
        </w:rPr>
        <w:t> </w:t>
      </w:r>
      <w:r>
        <w:rPr>
          <w:rFonts w:ascii="宋体" w:hAnsi="宋体" w:cs="宋体" w:eastAsia="宋体" w:hint="default"/>
          <w:spacing w:val="-4"/>
          <w:sz w:val="18"/>
          <w:szCs w:val="18"/>
        </w:rPr>
        <w:t>以</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日公司总股本</w:t>
      </w:r>
      <w:r>
        <w:rPr>
          <w:rFonts w:ascii="Times New Roman" w:hAnsi="Times New Roman" w:cs="Times New Roman" w:eastAsia="Times New Roman" w:hint="default"/>
          <w:spacing w:val="-4"/>
          <w:sz w:val="18"/>
          <w:szCs w:val="18"/>
        </w:rPr>
        <w:t>120,000,000</w:t>
      </w:r>
      <w:r>
        <w:rPr>
          <w:rFonts w:ascii="宋体" w:hAnsi="宋体" w:cs="宋体" w:eastAsia="宋体" w:hint="default"/>
          <w:spacing w:val="-4"/>
          <w:sz w:val="18"/>
          <w:szCs w:val="18"/>
        </w:rPr>
        <w:t>股为基数，向全体股东每</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股派现金</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元（含税），共派发现金股利</w:t>
      </w:r>
      <w:r>
        <w:rPr>
          <w:rFonts w:ascii="Times New Roman" w:hAnsi="Times New Roman" w:cs="Times New Roman" w:eastAsia="Times New Roman" w:hint="default"/>
          <w:spacing w:val="-4"/>
          <w:sz w:val="18"/>
          <w:szCs w:val="18"/>
        </w:rPr>
        <w:t>12,000,000</w:t>
      </w:r>
    </w:p>
    <w:p>
      <w:pPr>
        <w:pStyle w:val="BodyText"/>
        <w:spacing w:line="316" w:lineRule="auto" w:before="8"/>
        <w:ind w:right="1118"/>
        <w:jc w:val="left"/>
      </w:pPr>
      <w:r>
        <w:rPr>
          <w:spacing w:val="-2"/>
        </w:rPr>
        <w:t>元；不送红股，以资本公积每十股转增六股。剩余未分配利润结转以后年度。本利润分配及资本公积转增股本方案已实施完</w:t>
      </w:r>
      <w:r>
        <w:rPr>
          <w:spacing w:val="-66"/>
        </w:rPr>
        <w:t> </w:t>
      </w:r>
      <w:r>
        <w:rPr>
          <w:spacing w:val="-66"/>
        </w:rPr>
      </w:r>
      <w:r>
        <w:rPr/>
        <w:t>毕。</w:t>
      </w:r>
    </w:p>
    <w:p>
      <w:pPr>
        <w:pStyle w:val="BodyText"/>
        <w:spacing w:line="468" w:lineRule="exact" w:before="10"/>
        <w:ind w:left="513" w:right="1168" w:firstLine="1"/>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Times New Roman" w:hAnsi="Times New Roman" w:cs="Times New Roman" w:eastAsia="Times New Roman" w:hint="default"/>
          <w:b/>
          <w:bCs/>
        </w:rPr>
        <w:t>2017</w:t>
      </w:r>
      <w:r>
        <w:rPr>
          <w:rFonts w:ascii="宋体" w:hAnsi="宋体" w:cs="宋体" w:eastAsia="宋体" w:hint="default"/>
          <w:b/>
          <w:bCs/>
        </w:rPr>
        <w:t>年度利润分配预案</w:t>
      </w:r>
      <w:r>
        <w:rPr>
          <w:rFonts w:ascii="宋体" w:hAnsi="宋体" w:cs="宋体" w:eastAsia="宋体" w:hint="default"/>
          <w:b/>
          <w:bCs/>
          <w:w w:val="99"/>
        </w:rPr>
        <w:t> </w:t>
      </w:r>
      <w:r>
        <w:rPr/>
        <w:t>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192,000,000</w:t>
      </w:r>
      <w:r>
        <w:rPr/>
        <w:t>股为基数，向全体股东每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0.5</w:t>
      </w:r>
      <w:r>
        <w:rPr/>
        <w:t>元（含税），共计派发现金股利</w:t>
      </w:r>
    </w:p>
    <w:p>
      <w:pPr>
        <w:pStyle w:val="BodyText"/>
        <w:spacing w:line="300" w:lineRule="auto" w:before="8"/>
        <w:ind w:right="1118"/>
        <w:jc w:val="left"/>
      </w:pPr>
      <w:r>
        <w:rPr>
          <w:rFonts w:ascii="Times New Roman" w:hAnsi="Times New Roman" w:cs="Times New Roman" w:eastAsia="Times New Roman" w:hint="default"/>
          <w:spacing w:val="-2"/>
        </w:rPr>
        <w:t>9,600,000</w:t>
      </w:r>
      <w:r>
        <w:rPr>
          <w:spacing w:val="-2"/>
        </w:rPr>
        <w:t>元；不送红股，不以公积金转增股本。剩余未分配利润结转以后年度。该利润分配方案尚需提交公司</w:t>
      </w:r>
      <w:r>
        <w:rPr>
          <w:rFonts w:ascii="Times New Roman" w:hAnsi="Times New Roman" w:cs="Times New Roman" w:eastAsia="Times New Roman" w:hint="default"/>
          <w:spacing w:val="-2"/>
        </w:rPr>
        <w:t>2017</w:t>
      </w:r>
      <w:r>
        <w:rPr>
          <w:spacing w:val="-2"/>
        </w:rPr>
        <w:t>年度股东</w:t>
      </w:r>
      <w:r>
        <w:rPr>
          <w:spacing w:val="-53"/>
        </w:rPr>
        <w:t> </w:t>
      </w:r>
      <w:r>
        <w:rPr/>
        <w:t>大会审议。</w:t>
      </w:r>
    </w:p>
    <w:p>
      <w:pPr>
        <w:spacing w:line="240" w:lineRule="auto" w:before="1"/>
        <w:rPr>
          <w:rFonts w:ascii="宋体" w:hAnsi="宋体" w:cs="宋体" w:eastAsia="宋体" w:hint="default"/>
          <w:sz w:val="11"/>
          <w:szCs w:val="11"/>
        </w:rPr>
      </w:pPr>
    </w:p>
    <w:p>
      <w:pPr>
        <w:pStyle w:val="BodyText"/>
        <w:spacing w:line="240" w:lineRule="auto" w:before="44"/>
        <w:ind w:right="0"/>
        <w:jc w:val="left"/>
      </w:pPr>
      <w:r>
        <w:rPr/>
        <w:t>公司近三年（包括本报告期）普通股现金分红情况表</w:t>
      </w:r>
    </w:p>
    <w:p>
      <w:pPr>
        <w:pStyle w:val="BodyText"/>
        <w:spacing w:line="240" w:lineRule="auto" w:before="116"/>
        <w:ind w:left="0" w:right="1130"/>
        <w:jc w:val="right"/>
      </w:pPr>
      <w:r>
        <w:rPr/>
        <w:t>单位：元</w:t>
      </w:r>
    </w:p>
    <w:p>
      <w:pPr>
        <w:spacing w:after="0" w:line="240" w:lineRule="auto"/>
        <w:jc w:val="right"/>
        <w:sectPr>
          <w:pgSz w:w="11910" w:h="16840"/>
          <w:pgMar w:header="877" w:footer="979" w:top="1100" w:bottom="1160" w:left="980" w:right="0"/>
        </w:sectPr>
      </w:pPr>
    </w:p>
    <w:p>
      <w:pPr>
        <w:spacing w:line="240" w:lineRule="auto" w:before="12"/>
        <w:rPr>
          <w:rFonts w:ascii="宋体" w:hAnsi="宋体" w:cs="宋体" w:eastAsia="宋体" w:hint="default"/>
          <w:sz w:val="2"/>
          <w:szCs w:val="2"/>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7"/>
          <w:szCs w:val="27"/>
        </w:rPr>
      </w:pPr>
    </w:p>
    <w:tbl>
      <w:tblPr>
        <w:tblW w:w="0" w:type="auto"/>
        <w:jc w:val="left"/>
        <w:tblInd w:w="246" w:type="dxa"/>
        <w:tblLayout w:type="fixed"/>
        <w:tblCellMar>
          <w:top w:w="0" w:type="dxa"/>
          <w:left w:w="0" w:type="dxa"/>
          <w:bottom w:w="0" w:type="dxa"/>
          <w:right w:w="0" w:type="dxa"/>
        </w:tblCellMar>
        <w:tblLook w:val="01E0"/>
      </w:tblPr>
      <w:tblGrid>
        <w:gridCol w:w="1395"/>
        <w:gridCol w:w="2705"/>
        <w:gridCol w:w="3261"/>
        <w:gridCol w:w="2410"/>
        <w:gridCol w:w="2268"/>
        <w:gridCol w:w="2268"/>
      </w:tblGrid>
      <w:tr>
        <w:trPr>
          <w:trHeight w:val="162"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7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04" w:right="94" w:hanging="810"/>
              <w:jc w:val="left"/>
              <w:rPr>
                <w:rFonts w:ascii="宋体" w:hAnsi="宋体" w:cs="宋体" w:eastAsia="宋体" w:hint="default"/>
                <w:sz w:val="18"/>
                <w:szCs w:val="18"/>
              </w:rPr>
            </w:pPr>
            <w:r>
              <w:rPr>
                <w:rFonts w:ascii="宋体" w:hAnsi="宋体" w:cs="宋体" w:eastAsia="宋体" w:hint="default"/>
                <w:sz w:val="18"/>
                <w:szCs w:val="18"/>
              </w:rPr>
              <w:t>分红年度合并报表中归属于上市公司普 通股股东的净利润</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20" w:right="29" w:hanging="90"/>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7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3261"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shd w:val="clear" w:color="auto" w:fill="D2D2D2"/>
          </w:tcPr>
          <w:p>
            <w:pPr/>
          </w:p>
        </w:tc>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以其他方式现金分红的金额</w:t>
            </w:r>
          </w:p>
        </w:tc>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以其他方式现金分红的比例</w:t>
            </w:r>
          </w:p>
        </w:tc>
      </w:tr>
      <w:tr>
        <w:trPr>
          <w:trHeight w:val="161"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705"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1"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30,446,607.75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41,047,172.04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42,207,584.60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40" w:right="0"/>
        <w:jc w:val="left"/>
      </w:pPr>
      <w:r>
        <w:rPr/>
        <w:t>公司报告期内盈利且母公司可供普通股股东分配利润为正但未提出普通股现金红利分配预案</w:t>
      </w:r>
    </w:p>
    <w:p>
      <w:pPr>
        <w:pStyle w:val="BodyText"/>
        <w:spacing w:line="240" w:lineRule="auto" w:before="116"/>
        <w:ind w:left="2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240" w:right="0"/>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44"/>
        <w:ind w:left="0" w:right="1017"/>
        <w:jc w:val="right"/>
      </w:pPr>
      <w:r>
        <w:rPr/>
        <w:pict>
          <v:shape style="position:absolute;margin-left:65.25pt;margin-top:-233.068283pt;width:723.15pt;height:252.8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14"/>
                    <w:gridCol w:w="10534"/>
                  </w:tblGrid>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10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10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10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10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192,000,000</w:t>
                        </w:r>
                      </w:p>
                    </w:tc>
                  </w:tr>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10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9,600,000</w:t>
                        </w:r>
                      </w:p>
                    </w:tc>
                  </w:tr>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10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156,507,835.39</w:t>
                        </w:r>
                      </w:p>
                    </w:tc>
                  </w:tr>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10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144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144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144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144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经立信会计师事务所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审计，母公司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年度实现净利润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19,645,457.63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元，按照母公司报告期内实现净利润的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1,964,545.76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元，加母公司年初</w:t>
                        </w:r>
                      </w:p>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150,826,923.52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扣除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年度对股东已实施的现金分红</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 </w:t>
                        </w:r>
                        <w:r>
                          <w:rPr>
                            <w:rFonts w:ascii="宋体" w:hAnsi="宋体" w:cs="宋体" w:eastAsia="宋体" w:hint="default"/>
                            <w:spacing w:val="-11"/>
                            <w:sz w:val="18"/>
                            <w:szCs w:val="18"/>
                          </w:rPr>
                          <w:t>，母公司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156,507,835.39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年利润分配预案为以现有股</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万股作为股本基数</w:t>
                        </w:r>
                        <w:r>
                          <w:rPr>
                            <w:rFonts w:ascii="宋体" w:hAnsi="宋体" w:cs="宋体" w:eastAsia="宋体" w:hint="default"/>
                            <w:spacing w:val="-15"/>
                            <w:sz w:val="18"/>
                            <w:szCs w:val="18"/>
                          </w:rPr>
                          <w:t>，</w:t>
                        </w:r>
                        <w:r>
                          <w:rPr>
                            <w:rFonts w:ascii="宋体" w:hAnsi="宋体" w:cs="宋体" w:eastAsia="宋体" w:hint="default"/>
                            <w:sz w:val="18"/>
                            <w:szCs w:val="18"/>
                          </w:rPr>
                          <w:t>向全体股东每十股派发现金股利人民币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合计派发现金股利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5"/>
                            <w:sz w:val="18"/>
                            <w:szCs w:val="18"/>
                          </w:rPr>
                          <w:t>，</w:t>
                        </w:r>
                        <w:r>
                          <w:rPr>
                            <w:rFonts w:ascii="宋体" w:hAnsi="宋体" w:cs="宋体" w:eastAsia="宋体" w:hint="default"/>
                            <w:sz w:val="18"/>
                            <w:szCs w:val="18"/>
                          </w:rPr>
                          <w:t>不送红股</w:t>
                        </w:r>
                        <w:r>
                          <w:rPr>
                            <w:rFonts w:ascii="宋体" w:hAnsi="宋体" w:cs="宋体" w:eastAsia="宋体" w:hint="default"/>
                            <w:spacing w:val="-15"/>
                            <w:sz w:val="18"/>
                            <w:szCs w:val="18"/>
                          </w:rPr>
                          <w:t>，</w:t>
                        </w:r>
                        <w:r>
                          <w:rPr>
                            <w:rFonts w:ascii="宋体" w:hAnsi="宋体" w:cs="宋体" w:eastAsia="宋体" w:hint="default"/>
                            <w:sz w:val="18"/>
                            <w:szCs w:val="18"/>
                          </w:rPr>
                          <w:t>不以公积金转增股本</w:t>
                        </w:r>
                        <w:r>
                          <w:rPr>
                            <w:rFonts w:ascii="宋体" w:hAnsi="宋体" w:cs="宋体" w:eastAsia="宋体" w:hint="default"/>
                            <w:spacing w:val="-15"/>
                            <w:sz w:val="18"/>
                            <w:szCs w:val="18"/>
                          </w:rPr>
                          <w:t>。</w:t>
                        </w:r>
                        <w:r>
                          <w:rPr>
                            <w:rFonts w:ascii="宋体" w:hAnsi="宋体" w:cs="宋体" w:eastAsia="宋体" w:hint="default"/>
                            <w:sz w:val="18"/>
                            <w:szCs w:val="18"/>
                          </w:rPr>
                          <w:t>剩余未分配利润结转以后年度</w:t>
                        </w:r>
                      </w:p>
                    </w:tc>
                  </w:tr>
                </w:tbl>
                <w:p>
                  <w:pPr/>
                </w:p>
              </w:txbxContent>
            </v:textbox>
            <w10:wrap type="none"/>
          </v:shape>
        </w:pict>
      </w:r>
      <w:r>
        <w:rPr/>
        <w:t>。</w:t>
      </w:r>
    </w:p>
    <w:p>
      <w:pPr>
        <w:spacing w:after="0" w:line="240" w:lineRule="auto"/>
        <w:jc w:val="right"/>
        <w:sectPr>
          <w:headerReference w:type="default" r:id="rId17"/>
          <w:footerReference w:type="default" r:id="rId18"/>
          <w:pgSz w:w="16840" w:h="11910" w:orient="landscape"/>
          <w:pgMar w:header="867" w:footer="979" w:top="1060" w:bottom="1160" w:left="1200" w:right="0"/>
          <w:pgNumType w:start="30"/>
        </w:sectPr>
      </w:pPr>
    </w:p>
    <w:p>
      <w:pPr>
        <w:pStyle w:val="Heading2"/>
        <w:spacing w:line="240" w:lineRule="auto" w:before="30"/>
        <w:ind w:left="440" w:right="0"/>
        <w:jc w:val="left"/>
        <w:rPr>
          <w:b w:val="0"/>
          <w:bCs w:val="0"/>
        </w:rPr>
      </w:pPr>
      <w:r>
        <w:rPr/>
        <w:pict>
          <v:group style="position:absolute;margin-left:70.5pt;margin-top:2.255627pt;width:701pt;height:.1pt;mso-position-horizontal-relative:page;mso-position-vertical-relative:paragraph;z-index:-897664"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三、承诺事项履行情况" w:id="67"/>
      <w:bookmarkEnd w:id="67"/>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440" w:right="0"/>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587"/>
        <w:gridCol w:w="2271"/>
        <w:gridCol w:w="1561"/>
        <w:gridCol w:w="5331"/>
        <w:gridCol w:w="1585"/>
        <w:gridCol w:w="1419"/>
        <w:gridCol w:w="851"/>
      </w:tblGrid>
      <w:tr>
        <w:trPr>
          <w:trHeight w:val="401" w:hRule="exact"/>
        </w:trPr>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4"/>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5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2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31"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25"/>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22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31"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25"/>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22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31"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7" w:type="dxa"/>
            <w:vMerge w:val="restart"/>
            <w:tcBorders>
              <w:top w:val="single" w:sz="4" w:space="0" w:color="000000"/>
              <w:left w:val="single" w:sz="4" w:space="0" w:color="000000"/>
              <w:right w:val="single" w:sz="4" w:space="0" w:color="000000"/>
            </w:tcBorders>
            <w:shd w:val="clear" w:color="auto" w:fill="D2D2D2"/>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4"/>
              <w:jc w:val="left"/>
              <w:rPr>
                <w:rFonts w:ascii="宋体" w:hAnsi="宋体" w:cs="宋体" w:eastAsia="宋体" w:hint="default"/>
                <w:sz w:val="18"/>
                <w:szCs w:val="18"/>
              </w:rPr>
            </w:pP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r>
              <w:rPr>
                <w:rFonts w:ascii="Times New Roman" w:hAnsi="Times New Roman" w:cs="Times New Roman" w:eastAsia="Times New Roman" w:hint="default"/>
                <w:sz w:val="18"/>
                <w:szCs w:val="18"/>
              </w:rPr>
              <w:t>;</w:t>
            </w:r>
            <w:r>
              <w:rPr>
                <w:rFonts w:ascii="宋体" w:hAnsi="宋体" w:cs="宋体" w:eastAsia="宋体" w:hint="default"/>
                <w:sz w:val="18"/>
                <w:szCs w:val="18"/>
              </w:rPr>
              <w:t>孙忠 良</w:t>
            </w:r>
            <w:r>
              <w:rPr>
                <w:rFonts w:ascii="Times New Roman" w:hAnsi="Times New Roman" w:cs="Times New Roman" w:eastAsia="Times New Roman" w:hint="default"/>
                <w:sz w:val="18"/>
                <w:szCs w:val="18"/>
              </w:rPr>
              <w:t>;</w:t>
            </w:r>
            <w:r>
              <w:rPr>
                <w:rFonts w:ascii="宋体" w:hAnsi="宋体" w:cs="宋体" w:eastAsia="宋体" w:hint="default"/>
                <w:sz w:val="18"/>
                <w:szCs w:val="18"/>
              </w:rPr>
              <w:t>苏州恒久荣盛科技投资有 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46"/>
              <w:jc w:val="right"/>
              <w:rPr>
                <w:rFonts w:ascii="宋体" w:hAnsi="宋体" w:cs="宋体" w:eastAsia="宋体" w:hint="default"/>
                <w:sz w:val="18"/>
                <w:szCs w:val="18"/>
              </w:rPr>
            </w:pPr>
            <w:r>
              <w:rPr>
                <w:rFonts w:ascii="宋体" w:hAnsi="宋体" w:cs="宋体" w:eastAsia="宋体" w:hint="default"/>
                <w:sz w:val="18"/>
                <w:szCs w:val="18"/>
              </w:rPr>
              <w:t>股份限售承诺</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自公司股票在证券交易所上市之日起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个月内，本人不转让或者委</w:t>
            </w:r>
            <w:r>
              <w:rPr>
                <w:rFonts w:ascii="宋体" w:hAnsi="宋体" w:cs="宋体" w:eastAsia="宋体" w:hint="default"/>
                <w:sz w:val="18"/>
                <w:szCs w:val="18"/>
              </w:rPr>
              <w:t> 托他人管理本人现已持有的公司股份，也不由公司回购本人持有的 该部分股份。</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1254" w:hRule="exact"/>
        </w:trPr>
        <w:tc>
          <w:tcPr>
            <w:tcW w:w="1587" w:type="dxa"/>
            <w:vMerge/>
            <w:tcBorders>
              <w:left w:val="single" w:sz="4" w:space="0" w:color="000000"/>
              <w:bottom w:val="nil" w:sz="6" w:space="0" w:color="auto"/>
              <w:right w:val="single" w:sz="4" w:space="0" w:color="000000"/>
            </w:tcBorders>
            <w:shd w:val="clear" w:color="auto" w:fill="D2D2D2"/>
          </w:tcPr>
          <w:p>
            <w:pPr/>
          </w:p>
        </w:tc>
        <w:tc>
          <w:tcPr>
            <w:tcW w:w="2271" w:type="dxa"/>
            <w:vMerge w:val="restart"/>
            <w:tcBorders>
              <w:top w:val="single" w:sz="4" w:space="0" w:color="000000"/>
              <w:left w:val="single" w:sz="9" w:space="0" w:color="D2D2D2"/>
              <w:right w:val="single" w:sz="4" w:space="0" w:color="000000"/>
            </w:tcBorders>
          </w:tcPr>
          <w:p>
            <w:pPr>
              <w:pStyle w:val="TableParagraph"/>
              <w:spacing w:line="304" w:lineRule="auto" w:before="52"/>
              <w:ind w:left="17" w:right="21"/>
              <w:jc w:val="both"/>
              <w:rPr>
                <w:rFonts w:ascii="宋体" w:hAnsi="宋体" w:cs="宋体" w:eastAsia="宋体" w:hint="default"/>
                <w:sz w:val="18"/>
                <w:szCs w:val="18"/>
              </w:rPr>
            </w:pPr>
            <w:r>
              <w:rPr>
                <w:rFonts w:ascii="宋体" w:hAnsi="宋体" w:cs="宋体" w:eastAsia="宋体" w:hint="default"/>
                <w:sz w:val="18"/>
                <w:szCs w:val="18"/>
              </w:rPr>
              <w:t>江苏省苏高新风险投资股份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北京邦诺投资管理 中心（有限合伙）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江苏昌盛 阜创业投资有限公司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上海安 </w:t>
            </w:r>
            <w:r>
              <w:rPr>
                <w:rFonts w:ascii="宋体" w:hAnsi="宋体" w:cs="宋体" w:eastAsia="宋体" w:hint="default"/>
                <w:spacing w:val="-13"/>
                <w:sz w:val="18"/>
                <w:szCs w:val="18"/>
              </w:rPr>
              <w:t>益文恒投资中心（有限合伙）</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苏州亨通永源创业投资企业</w:t>
            </w:r>
          </w:p>
          <w:p>
            <w:pPr>
              <w:pStyle w:val="TableParagraph"/>
              <w:spacing w:line="300" w:lineRule="auto" w:before="28"/>
              <w:ind w:left="17" w:right="24"/>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苏州工业园区 辰融创业投资有限公司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赵夕 明</w:t>
            </w:r>
            <w:r>
              <w:rPr>
                <w:rFonts w:ascii="Times New Roman" w:hAnsi="Times New Roman" w:cs="Times New Roman" w:eastAsia="Times New Roman" w:hint="default"/>
                <w:sz w:val="18"/>
                <w:szCs w:val="18"/>
              </w:rPr>
              <w:t>;</w:t>
            </w:r>
            <w:r>
              <w:rPr>
                <w:rFonts w:ascii="宋体" w:hAnsi="宋体" w:cs="宋体" w:eastAsia="宋体" w:hint="default"/>
                <w:sz w:val="18"/>
                <w:szCs w:val="18"/>
              </w:rPr>
              <w:t>顾文明</w:t>
            </w:r>
            <w:r>
              <w:rPr>
                <w:rFonts w:ascii="Times New Roman" w:hAnsi="Times New Roman" w:cs="Times New Roman" w:eastAsia="Times New Roman" w:hint="default"/>
                <w:sz w:val="18"/>
                <w:szCs w:val="18"/>
              </w:rPr>
              <w:t>;</w:t>
            </w:r>
            <w:r>
              <w:rPr>
                <w:rFonts w:ascii="宋体" w:hAnsi="宋体" w:cs="宋体" w:eastAsia="宋体" w:hint="default"/>
                <w:sz w:val="18"/>
                <w:szCs w:val="18"/>
              </w:rPr>
              <w:t>刘瑜</w:t>
            </w:r>
            <w:r>
              <w:rPr>
                <w:rFonts w:ascii="Times New Roman" w:hAnsi="Times New Roman" w:cs="Times New Roman" w:eastAsia="Times New Roman" w:hint="default"/>
                <w:sz w:val="18"/>
                <w:szCs w:val="18"/>
              </w:rPr>
              <w:t>;</w:t>
            </w:r>
            <w:r>
              <w:rPr>
                <w:rFonts w:ascii="宋体" w:hAnsi="宋体" w:cs="宋体" w:eastAsia="宋体" w:hint="default"/>
                <w:sz w:val="18"/>
                <w:szCs w:val="18"/>
              </w:rPr>
              <w:t>陈亮</w:t>
            </w:r>
            <w:r>
              <w:rPr>
                <w:rFonts w:ascii="Times New Roman" w:hAnsi="Times New Roman" w:cs="Times New Roman" w:eastAsia="Times New Roman" w:hint="default"/>
                <w:sz w:val="18"/>
                <w:szCs w:val="18"/>
              </w:rPr>
              <w:t>;</w:t>
            </w:r>
            <w:r>
              <w:rPr>
                <w:rFonts w:ascii="宋体" w:hAnsi="宋体" w:cs="宋体" w:eastAsia="宋体" w:hint="default"/>
                <w:sz w:val="18"/>
                <w:szCs w:val="18"/>
              </w:rPr>
              <w:t>闫挺</w:t>
            </w:r>
            <w:r>
              <w:rPr>
                <w:rFonts w:ascii="Times New Roman" w:hAnsi="Times New Roman" w:cs="Times New Roman" w:eastAsia="Times New Roman" w:hint="default"/>
                <w:sz w:val="18"/>
                <w:szCs w:val="18"/>
              </w:rPr>
              <w:t>; </w:t>
            </w:r>
            <w:r>
              <w:rPr>
                <w:rFonts w:ascii="宋体" w:hAnsi="宋体" w:cs="宋体" w:eastAsia="宋体" w:hint="default"/>
                <w:sz w:val="18"/>
                <w:szCs w:val="18"/>
              </w:rPr>
              <w:t>宋菊萍</w:t>
            </w:r>
            <w:r>
              <w:rPr>
                <w:rFonts w:ascii="Times New Roman" w:hAnsi="Times New Roman" w:cs="Times New Roman" w:eastAsia="Times New Roman" w:hint="default"/>
                <w:sz w:val="18"/>
                <w:szCs w:val="18"/>
              </w:rPr>
              <w:t>;</w:t>
            </w:r>
            <w:r>
              <w:rPr>
                <w:rFonts w:ascii="宋体" w:hAnsi="宋体" w:cs="宋体" w:eastAsia="宋体" w:hint="default"/>
                <w:sz w:val="18"/>
                <w:szCs w:val="18"/>
              </w:rPr>
              <w:t>裘亦荷</w:t>
            </w:r>
            <w:r>
              <w:rPr>
                <w:rFonts w:ascii="Times New Roman" w:hAnsi="Times New Roman" w:cs="Times New Roman" w:eastAsia="Times New Roman" w:hint="default"/>
                <w:sz w:val="18"/>
                <w:szCs w:val="18"/>
              </w:rPr>
              <w:t>;</w:t>
            </w:r>
            <w:r>
              <w:rPr>
                <w:rFonts w:ascii="宋体" w:hAnsi="宋体" w:cs="宋体" w:eastAsia="宋体" w:hint="default"/>
                <w:sz w:val="18"/>
                <w:szCs w:val="18"/>
              </w:rPr>
              <w:t>王新平</w:t>
            </w:r>
            <w:r>
              <w:rPr>
                <w:rFonts w:ascii="Times New Roman" w:hAnsi="Times New Roman" w:cs="Times New Roman" w:eastAsia="Times New Roman" w:hint="default"/>
                <w:sz w:val="18"/>
                <w:szCs w:val="18"/>
              </w:rPr>
              <w:t>;</w:t>
            </w:r>
            <w:r>
              <w:rPr>
                <w:rFonts w:ascii="宋体" w:hAnsi="宋体" w:cs="宋体" w:eastAsia="宋体" w:hint="default"/>
                <w:sz w:val="18"/>
                <w:szCs w:val="18"/>
              </w:rPr>
              <w:t>张培 兴</w:t>
            </w:r>
            <w:r>
              <w:rPr>
                <w:rFonts w:ascii="Times New Roman" w:hAnsi="Times New Roman" w:cs="Times New Roman" w:eastAsia="Times New Roman" w:hint="default"/>
                <w:sz w:val="18"/>
                <w:szCs w:val="18"/>
              </w:rPr>
              <w:t>;</w:t>
            </w:r>
            <w:r>
              <w:rPr>
                <w:rFonts w:ascii="宋体" w:hAnsi="宋体" w:cs="宋体" w:eastAsia="宋体" w:hint="default"/>
                <w:sz w:val="18"/>
                <w:szCs w:val="18"/>
              </w:rPr>
              <w:t>沈玉将</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z w:val="18"/>
                <w:szCs w:val="18"/>
              </w:rPr>
              <w:t>自公司股票在证券交易所上市之日起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个月内，不转让或者委托他</w:t>
            </w:r>
            <w:r>
              <w:rPr>
                <w:rFonts w:ascii="宋体" w:hAnsi="宋体" w:cs="宋体" w:eastAsia="宋体" w:hint="default"/>
                <w:sz w:val="18"/>
                <w:szCs w:val="18"/>
              </w:rPr>
              <w:t> 人管理现已持有的公司股份，也不由公司回购本人持有的公司股份</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已严格履 行完毕</w:t>
            </w:r>
          </w:p>
        </w:tc>
      </w:tr>
      <w:tr>
        <w:trPr>
          <w:trHeight w:val="704" w:hRule="exact"/>
        </w:trPr>
        <w:tc>
          <w:tcPr>
            <w:tcW w:w="15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2271" w:type="dxa"/>
            <w:vMerge/>
            <w:tcBorders>
              <w:left w:val="single" w:sz="9" w:space="0" w:color="D2D2D2"/>
              <w:right w:val="single" w:sz="4" w:space="0" w:color="000000"/>
            </w:tcBorders>
          </w:tcPr>
          <w:p>
            <w:pPr/>
          </w:p>
        </w:tc>
        <w:tc>
          <w:tcPr>
            <w:tcW w:w="1561" w:type="dxa"/>
            <w:vMerge/>
            <w:tcBorders>
              <w:left w:val="single" w:sz="4" w:space="0" w:color="000000"/>
              <w:right w:val="single" w:sz="4" w:space="0" w:color="000000"/>
            </w:tcBorders>
          </w:tcPr>
          <w:p>
            <w:pPr/>
          </w:p>
        </w:tc>
        <w:tc>
          <w:tcPr>
            <w:tcW w:w="5331" w:type="dxa"/>
            <w:vMerge/>
            <w:tcBorders>
              <w:left w:val="single" w:sz="4" w:space="0" w:color="000000"/>
              <w:right w:val="single" w:sz="4" w:space="0" w:color="000000"/>
            </w:tcBorders>
          </w:tcPr>
          <w:p>
            <w:pP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1565" w:hRule="exact"/>
        </w:trPr>
        <w:tc>
          <w:tcPr>
            <w:tcW w:w="1587" w:type="dxa"/>
            <w:vMerge w:val="restart"/>
            <w:tcBorders>
              <w:top w:val="nil" w:sz="6" w:space="0" w:color="auto"/>
              <w:left w:val="single" w:sz="4" w:space="0" w:color="000000"/>
              <w:right w:val="single" w:sz="4" w:space="0" w:color="000000"/>
            </w:tcBorders>
            <w:shd w:val="clear" w:color="auto" w:fill="D2D2D2"/>
          </w:tcPr>
          <w:p>
            <w:pPr/>
          </w:p>
        </w:tc>
        <w:tc>
          <w:tcPr>
            <w:tcW w:w="2271" w:type="dxa"/>
            <w:vMerge/>
            <w:tcBorders>
              <w:left w:val="single" w:sz="9"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5331" w:type="dxa"/>
            <w:vMerge/>
            <w:tcBorders>
              <w:left w:val="single" w:sz="4" w:space="0" w:color="000000"/>
              <w:bottom w:val="single" w:sz="4" w:space="0" w:color="000000"/>
              <w:right w:val="single" w:sz="4" w:space="0" w:color="000000"/>
            </w:tcBorders>
          </w:tcPr>
          <w:p>
            <w:pPr/>
          </w:p>
        </w:tc>
        <w:tc>
          <w:tcPr>
            <w:tcW w:w="158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r>
      <w:tr>
        <w:trPr>
          <w:trHeight w:val="715" w:hRule="exact"/>
        </w:trPr>
        <w:tc>
          <w:tcPr>
            <w:tcW w:w="1587" w:type="dxa"/>
            <w:vMerge/>
            <w:tcBorders>
              <w:left w:val="single" w:sz="4" w:space="0" w:color="000000"/>
              <w:bottom w:val="single" w:sz="4" w:space="0" w:color="000000"/>
              <w:right w:val="single" w:sz="4" w:space="0" w:color="000000"/>
            </w:tcBorders>
            <w:shd w:val="clear" w:color="auto" w:fill="D2D2D2"/>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46"/>
              <w:jc w:val="right"/>
              <w:rPr>
                <w:rFonts w:ascii="宋体" w:hAnsi="宋体" w:cs="宋体" w:eastAsia="宋体" w:hint="default"/>
                <w:sz w:val="18"/>
                <w:szCs w:val="18"/>
              </w:rPr>
            </w:pPr>
            <w:r>
              <w:rPr>
                <w:rFonts w:ascii="宋体" w:hAnsi="宋体" w:cs="宋体" w:eastAsia="宋体" w:hint="default"/>
                <w:sz w:val="18"/>
                <w:szCs w:val="18"/>
              </w:rPr>
              <w:t>股份减持承诺</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6"/>
              <w:jc w:val="left"/>
              <w:rPr>
                <w:rFonts w:ascii="宋体" w:hAnsi="宋体" w:cs="宋体" w:eastAsia="宋体" w:hint="default"/>
                <w:sz w:val="18"/>
                <w:szCs w:val="18"/>
              </w:rPr>
            </w:pPr>
            <w:r>
              <w:rPr>
                <w:rFonts w:ascii="宋体" w:hAnsi="宋体" w:cs="宋体" w:eastAsia="宋体" w:hint="default"/>
                <w:sz w:val="18"/>
                <w:szCs w:val="18"/>
              </w:rPr>
              <w:t>在本人及本人的关联自然人在苏州恒久担任董事、监事、高级管理 人员期间，每年转让的股份不超过本人持有苏州恒久股份总数的</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严格履行 承诺</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000" w:right="0"/>
        </w:sectPr>
      </w:pPr>
    </w:p>
    <w:p>
      <w:pPr>
        <w:spacing w:line="240" w:lineRule="auto" w:before="4"/>
        <w:rPr>
          <w:rFonts w:ascii="Times New Roman" w:hAnsi="Times New Roman" w:cs="Times New Roman" w:eastAsia="Times New Roman" w:hint="default"/>
          <w:sz w:val="3"/>
          <w:szCs w:val="3"/>
        </w:rPr>
      </w:pPr>
      <w:r>
        <w:rPr/>
        <w:pict>
          <v:shape style="position:absolute;margin-left:506.720001pt;margin-top:57.180008pt;width:165.95pt;height:236.1pt;mso-position-horizontal-relative:page;mso-position-vertical-relative:page;z-index:-897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0"/>
                    <w:jc w:val="left"/>
                  </w:pPr>
                  <w:r>
                    <w:rPr/>
                    <w:t>若确因自身经济需要，</w:t>
                  </w:r>
                </w:p>
              </w:txbxContent>
            </v:textbox>
            <w10:wrap type="none"/>
          </v:shape>
        </w:pict>
      </w:r>
      <w:r>
        <w:rPr/>
        <w:pict>
          <v:shape style="position:absolute;margin-left:515.651001pt;margin-top:293.740021pt;width:157pt;height:108.2pt;mso-position-horizontal-relative:page;mso-position-vertical-relative:page;z-index:-897616" type="#_x0000_t202" filled="false" stroked="false">
            <v:textbox inset="0,0,0,0">
              <w:txbxContent>
                <w:p>
                  <w:pPr>
                    <w:pStyle w:val="BodyText"/>
                    <w:spacing w:line="240" w:lineRule="auto" w:before="51"/>
                    <w:ind w:left="0" w:right="0"/>
                    <w:jc w:val="left"/>
                  </w:pPr>
                  <w:r>
                    <w:rPr/>
                    <w:t>高级管理人员期间，</w:t>
                  </w:r>
                </w:p>
              </w:txbxContent>
            </v:textbox>
            <w10:wrap type="none"/>
          </v:shape>
        </w:pict>
      </w:r>
      <w:r>
        <w:rPr/>
        <w:pict>
          <v:group style="position:absolute;margin-left:593.919983pt;margin-top:57.180008pt;width:78.75pt;height:344.75pt;mso-position-horizontal-relative:page;mso-position-vertical-relative:page;z-index:-897592" coordorigin="11878,1144" coordsize="1575,6895">
            <v:group style="position:absolute;left:11878;top:1144;width:1575;height:4722" coordorigin="11878,1144" coordsize="1575,4722">
              <v:shape style="position:absolute;left:11878;top:1144;width:1575;height:4722" coordorigin="11878,1144" coordsize="1575,4722" path="m11878,5865l13453,5865,13453,1144,11878,1144,11878,5865xe" filled="true" fillcolor="#ffffff" stroked="false">
                <v:path arrowok="t"/>
                <v:fill type="solid"/>
              </v:shape>
            </v:group>
            <v:group style="position:absolute;left:11878;top:5875;width:1575;height:2164" coordorigin="11878,5875" coordsize="1575,2164">
              <v:shape style="position:absolute;left:11878;top:5875;width:1575;height:2164" coordorigin="11878,5875" coordsize="1575,2164" path="m11878,8038l13453,8038,13453,5875,11878,5875,11878,803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8"/>
        <w:gridCol w:w="2271"/>
        <w:gridCol w:w="1561"/>
        <w:gridCol w:w="5331"/>
        <w:gridCol w:w="1585"/>
        <w:gridCol w:w="1419"/>
        <w:gridCol w:w="851"/>
      </w:tblGrid>
      <w:tr>
        <w:trPr>
          <w:trHeight w:val="336" w:hRule="exact"/>
        </w:trPr>
        <w:tc>
          <w:tcPr>
            <w:tcW w:w="1598" w:type="dxa"/>
            <w:vMerge w:val="restart"/>
            <w:tcBorders>
              <w:top w:val="single" w:sz="15" w:space="0" w:color="000000"/>
              <w:left w:val="single" w:sz="4" w:space="0" w:color="000000"/>
              <w:right w:val="single" w:sz="4" w:space="0" w:color="000000"/>
            </w:tcBorders>
            <w:shd w:val="clear" w:color="auto" w:fill="D2D2D2"/>
          </w:tcPr>
          <w:p>
            <w:pPr/>
          </w:p>
        </w:tc>
        <w:tc>
          <w:tcPr>
            <w:tcW w:w="2271" w:type="dxa"/>
            <w:vMerge w:val="restart"/>
            <w:tcBorders>
              <w:top w:val="single" w:sz="15" w:space="0" w:color="000000"/>
              <w:left w:val="single" w:sz="4" w:space="0" w:color="000000"/>
              <w:right w:val="single" w:sz="4" w:space="0" w:color="000000"/>
            </w:tcBorders>
          </w:tcPr>
          <w:p>
            <w:pPr/>
          </w:p>
        </w:tc>
        <w:tc>
          <w:tcPr>
            <w:tcW w:w="1561" w:type="dxa"/>
            <w:vMerge w:val="restart"/>
            <w:tcBorders>
              <w:top w:val="single" w:sz="15" w:space="0" w:color="000000"/>
              <w:left w:val="single" w:sz="4" w:space="0" w:color="000000"/>
              <w:right w:val="single" w:sz="4" w:space="0" w:color="000000"/>
            </w:tcBorders>
          </w:tcPr>
          <w:p>
            <w:pPr/>
          </w:p>
        </w:tc>
        <w:tc>
          <w:tcPr>
            <w:tcW w:w="5331"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；离职后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个月内，不转让本人所持有的苏州恒久股份；离职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p>
        </w:tc>
        <w:tc>
          <w:tcPr>
            <w:tcW w:w="1585" w:type="dxa"/>
            <w:vMerge w:val="restart"/>
            <w:tcBorders>
              <w:top w:val="single" w:sz="15" w:space="0" w:color="000000"/>
              <w:left w:val="single" w:sz="4" w:space="0" w:color="000000"/>
              <w:right w:val="single" w:sz="4" w:space="0" w:color="000000"/>
            </w:tcBorders>
          </w:tcPr>
          <w:p>
            <w:pPr/>
          </w:p>
        </w:tc>
        <w:tc>
          <w:tcPr>
            <w:tcW w:w="1419" w:type="dxa"/>
            <w:vMerge w:val="restart"/>
            <w:tcBorders>
              <w:top w:val="single" w:sz="15" w:space="0" w:color="000000"/>
              <w:left w:val="single" w:sz="4" w:space="0" w:color="000000"/>
              <w:right w:val="single" w:sz="4" w:space="0" w:color="000000"/>
            </w:tcBorders>
          </w:tcPr>
          <w:p>
            <w:pPr/>
          </w:p>
        </w:tc>
        <w:tc>
          <w:tcPr>
            <w:tcW w:w="851" w:type="dxa"/>
            <w:vMerge w:val="restart"/>
            <w:tcBorders>
              <w:top w:val="single" w:sz="15" w:space="0" w:color="000000"/>
              <w:left w:val="single" w:sz="4" w:space="0" w:color="000000"/>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个月内通过证券交易所挂牌交易出售苏州恒久股票数量</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占本人所持有苏州恒久股票总数的比例不超过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。本人所持苏州</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恒久股份的上述</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个月锁定期届满后两年内，</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07"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本人可通过深圳证券交易所减持本人所持苏州恒久股份，本人承诺</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按照相关法律法规及深圳证券交易所规则要求进行减持，减持方式</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包括二级市场集中竞价交易、大宗交易或其他深圳证券交易所认可</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的合法方式，但是并不能因转让苏州恒久股份影响本人的控股股东</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17"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地位；本人所持苏州恒久股份上述</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个月锁定期届满后两年内，本</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07"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人拟减持发行人股份的，则每年转让的数量不超过本人所持苏州恒</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17"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久股份数量的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；本人减持股份的价格根据当时的二级市场价格</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07"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确定，且不低于以减持日为基准经前复权计算的首次公开发行股票</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的发行价格，并应符合相关法律法规及深圳证券交易所规则要求。</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13"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在本人拟转让所持苏州恒久股份时，本人将在减持前三个交易日通</w:t>
            </w:r>
          </w:p>
        </w:tc>
        <w:tc>
          <w:tcPr>
            <w:tcW w:w="158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57" w:hRule="exact"/>
        </w:trPr>
        <w:tc>
          <w:tcPr>
            <w:tcW w:w="1598" w:type="dxa"/>
            <w:vMerge/>
            <w:tcBorders>
              <w:left w:val="single" w:sz="4" w:space="0" w:color="000000"/>
              <w:right w:val="single" w:sz="4" w:space="0" w:color="000000"/>
            </w:tcBorders>
            <w:shd w:val="clear" w:color="auto" w:fill="D2D2D2"/>
          </w:tcPr>
          <w:p>
            <w:pPr/>
          </w:p>
        </w:tc>
        <w:tc>
          <w:tcPr>
            <w:tcW w:w="2271"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53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过苏州恒久公告减持意向。</w:t>
            </w:r>
          </w:p>
        </w:tc>
        <w:tc>
          <w:tcPr>
            <w:tcW w:w="158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r>
      <w:tr>
        <w:trPr>
          <w:trHeight w:val="357" w:hRule="exact"/>
        </w:trPr>
        <w:tc>
          <w:tcPr>
            <w:tcW w:w="1598" w:type="dxa"/>
            <w:vMerge/>
            <w:tcBorders>
              <w:left w:val="single" w:sz="4" w:space="0" w:color="000000"/>
              <w:right w:val="single" w:sz="4" w:space="0" w:color="000000"/>
            </w:tcBorders>
            <w:shd w:val="clear" w:color="auto" w:fill="D2D2D2"/>
          </w:tcPr>
          <w:p>
            <w:pPr/>
          </w:p>
        </w:tc>
        <w:tc>
          <w:tcPr>
            <w:tcW w:w="2271"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3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在余荣清、兰山英在苏州恒久担任董事、监事、</w:t>
            </w:r>
          </w:p>
        </w:tc>
        <w:tc>
          <w:tcPr>
            <w:tcW w:w="1585"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每年转让的股份不超过本公司持有的苏州恒久股份总数的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个月内，不转让本公司所持有的苏州恒久股份；离任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个月内通过证券交易所挂牌交易出售本公司股票数量占本公</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司所持有苏州恒久股票总数的比例不超过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。本公司所持苏州恒</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11"/>
              <w:jc w:val="left"/>
              <w:rPr>
                <w:rFonts w:ascii="宋体" w:hAnsi="宋体" w:cs="宋体" w:eastAsia="宋体" w:hint="default"/>
                <w:sz w:val="18"/>
                <w:szCs w:val="18"/>
              </w:rPr>
            </w:pPr>
            <w:r>
              <w:rPr>
                <w:rFonts w:ascii="宋体" w:hAnsi="宋体" w:cs="宋体" w:eastAsia="宋体" w:hint="default"/>
                <w:sz w:val="18"/>
                <w:szCs w:val="18"/>
              </w:rPr>
              <w:t>久股份的上述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个月锁定期届满后两年内，若确因自身经济需要，</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3" w:right="75"/>
              <w:jc w:val="left"/>
              <w:rPr>
                <w:rFonts w:ascii="宋体" w:hAnsi="宋体" w:cs="宋体" w:eastAsia="宋体" w:hint="default"/>
                <w:sz w:val="18"/>
                <w:szCs w:val="18"/>
              </w:rPr>
            </w:pPr>
            <w:r>
              <w:rPr>
                <w:rFonts w:ascii="宋体" w:hAnsi="宋体" w:cs="宋体" w:eastAsia="宋体" w:hint="default"/>
                <w:sz w:val="18"/>
                <w:szCs w:val="18"/>
              </w:rPr>
              <w:t>苏州恒久荣盛科技投资有限 公司</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2" w:right="76"/>
              <w:jc w:val="both"/>
              <w:rPr>
                <w:rFonts w:ascii="宋体" w:hAnsi="宋体" w:cs="宋体" w:eastAsia="宋体" w:hint="default"/>
                <w:sz w:val="18"/>
                <w:szCs w:val="18"/>
              </w:rPr>
            </w:pPr>
            <w:r>
              <w:rPr>
                <w:rFonts w:ascii="宋体" w:hAnsi="宋体" w:cs="宋体" w:eastAsia="宋体" w:hint="default"/>
                <w:sz w:val="18"/>
                <w:szCs w:val="18"/>
              </w:rPr>
              <w:t>本公司可通过深圳证券交易所减持本人所持苏州恒久股份，本公司 承诺按照相关法律法规及深圳证券交易所规则要求进行减持，减持 方式包括二级市场集中竞价交易、大宗交易或其他深圳证券交易所</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2" w:right="96"/>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31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认可的合法方式；本公司所持苏州恒久股份上述</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个月锁定期届满</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后两年内，本公司拟减持发行人股份的，则每年转让的数量不超过</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本公司所持苏州恒久股份数量的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；本公司减持股份的价格根据</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当时的二级市场价格确定，且不低于以减持日为基准经前复权计算</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的首次公开发行股票的发行价格，并应符合相关法律法规及深圳证</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3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券交易所规则要求。在本公司拟转让所持苏州恒久股份时，本公司</w:t>
            </w:r>
          </w:p>
        </w:tc>
        <w:tc>
          <w:tcPr>
            <w:tcW w:w="1585"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000" w:right="0"/>
        </w:sectPr>
      </w:pPr>
    </w:p>
    <w:p>
      <w:pPr>
        <w:spacing w:line="240" w:lineRule="auto" w:before="4"/>
        <w:rPr>
          <w:rFonts w:ascii="Times New Roman" w:hAnsi="Times New Roman" w:cs="Times New Roman" w:eastAsia="Times New Roman" w:hint="default"/>
          <w:sz w:val="3"/>
          <w:szCs w:val="3"/>
        </w:rPr>
      </w:pPr>
      <w:r>
        <w:rPr/>
        <w:pict>
          <v:shape style="position:absolute;margin-left:587.73999pt;margin-top:75.300011pt;width:84.9pt;height:62.45pt;mso-position-horizontal-relative:page;mso-position-vertical-relative:page;z-index:-897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593.919983pt;margin-top:75.300011pt;width:78.75pt;height:62.45pt;mso-position-horizontal-relative:page;mso-position-vertical-relative:page;z-index:-897544" coordorigin="11878,1506" coordsize="1575,1249">
            <v:shape style="position:absolute;left:11878;top:1506;width:1575;height:1249" coordorigin="11878,1506" coordsize="1575,1249" path="m11878,2754l13453,2754,13453,1506,11878,1506,11878,2754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598"/>
        <w:gridCol w:w="2271"/>
        <w:gridCol w:w="1561"/>
        <w:gridCol w:w="5331"/>
        <w:gridCol w:w="1585"/>
        <w:gridCol w:w="1419"/>
        <w:gridCol w:w="851"/>
      </w:tblGrid>
      <w:tr>
        <w:trPr>
          <w:trHeight w:val="377" w:hRule="exact"/>
        </w:trPr>
        <w:tc>
          <w:tcPr>
            <w:tcW w:w="1598" w:type="dxa"/>
            <w:vMerge w:val="restart"/>
            <w:tcBorders>
              <w:top w:val="single" w:sz="15" w:space="0" w:color="000000"/>
              <w:left w:val="single" w:sz="4" w:space="0" w:color="000000"/>
              <w:right w:val="single" w:sz="4" w:space="0" w:color="000000"/>
            </w:tcBorders>
            <w:shd w:val="clear" w:color="auto" w:fill="D2D2D2"/>
          </w:tcPr>
          <w:p>
            <w:pPr/>
          </w:p>
        </w:tc>
        <w:tc>
          <w:tcPr>
            <w:tcW w:w="2271" w:type="dxa"/>
            <w:tcBorders>
              <w:top w:val="single" w:sz="15" w:space="0" w:color="000000"/>
              <w:left w:val="single" w:sz="4" w:space="0" w:color="000000"/>
              <w:bottom w:val="single" w:sz="4" w:space="0" w:color="000000"/>
              <w:right w:val="single" w:sz="4" w:space="0" w:color="000000"/>
            </w:tcBorders>
          </w:tcPr>
          <w:p>
            <w:pPr/>
          </w:p>
        </w:tc>
        <w:tc>
          <w:tcPr>
            <w:tcW w:w="1561" w:type="dxa"/>
            <w:tcBorders>
              <w:top w:val="single" w:sz="15" w:space="0" w:color="000000"/>
              <w:left w:val="single" w:sz="4" w:space="0" w:color="000000"/>
              <w:bottom w:val="single" w:sz="4" w:space="0" w:color="000000"/>
              <w:right w:val="single" w:sz="4" w:space="0" w:color="000000"/>
            </w:tcBorders>
          </w:tcPr>
          <w:p>
            <w:pPr/>
          </w:p>
        </w:tc>
        <w:tc>
          <w:tcPr>
            <w:tcW w:w="53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将在减持前三个交易日通过苏州恒久公告减持意向。</w:t>
            </w:r>
          </w:p>
        </w:tc>
        <w:tc>
          <w:tcPr>
            <w:tcW w:w="1585"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1598" w:type="dxa"/>
            <w:vMerge/>
            <w:tcBorders>
              <w:left w:val="single" w:sz="4" w:space="0" w:color="000000"/>
              <w:right w:val="single" w:sz="4" w:space="0" w:color="000000"/>
            </w:tcBorders>
            <w:shd w:val="clear" w:color="auto" w:fill="D2D2D2"/>
          </w:tcPr>
          <w:p>
            <w:pPr/>
          </w:p>
        </w:tc>
        <w:tc>
          <w:tcPr>
            <w:tcW w:w="2271"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3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公司股票自挂牌上市之日起三年内，一旦出现连续</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个交易日公司</w:t>
            </w:r>
          </w:p>
        </w:tc>
        <w:tc>
          <w:tcPr>
            <w:tcW w:w="1585"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股票收盘价均低于公司当日已公告每股净资产（当日已公告每股净</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资产为：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、发行人最近一期报告期期末公告的每股净资产，或者</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3" w:right="104"/>
              <w:jc w:val="left"/>
              <w:rPr>
                <w:rFonts w:ascii="宋体" w:hAnsi="宋体" w:cs="宋体" w:eastAsia="宋体" w:hint="default"/>
                <w:sz w:val="18"/>
                <w:szCs w:val="18"/>
              </w:rPr>
            </w:pP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r>
              <w:rPr>
                <w:rFonts w:ascii="Times New Roman" w:hAnsi="Times New Roman" w:cs="Times New Roman" w:eastAsia="Times New Roman" w:hint="default"/>
                <w:sz w:val="18"/>
                <w:szCs w:val="18"/>
              </w:rPr>
              <w:t>;</w:t>
            </w:r>
            <w:r>
              <w:rPr>
                <w:rFonts w:ascii="宋体" w:hAnsi="宋体" w:cs="宋体" w:eastAsia="宋体" w:hint="default"/>
                <w:sz w:val="18"/>
                <w:szCs w:val="18"/>
              </w:rPr>
              <w:t>兰山 英</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稳定股价承诺</w:t>
            </w: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7"/>
              <w:jc w:val="both"/>
              <w:rPr>
                <w:rFonts w:ascii="宋体" w:hAnsi="宋体" w:cs="宋体" w:eastAsia="宋体" w:hint="default"/>
                <w:sz w:val="18"/>
                <w:szCs w:val="18"/>
              </w:rPr>
            </w:pPr>
            <w:r>
              <w:rPr>
                <w:rFonts w:ascii="宋体" w:hAnsi="宋体" w:cs="宋体" w:eastAsia="宋体" w:hint="default"/>
                <w:sz w:val="18"/>
                <w:szCs w:val="18"/>
              </w:rPr>
              <w:t>如最近一期报告期期末财务数据公告后至下一报告期期末财务数据 公告前期间因分红、配股、转增等情况导致发行人股份或权益发生 变化时，则为经调整后的每股净资产）情形时，则触发发行人回购</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股份稳定股价的义务。本人承诺就公司稳定股价方案以本人的董事</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身份（如有）在董事会上投赞成票，并以所拥有的全部表决票数在</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3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股东大会上投赞成票。</w:t>
            </w:r>
          </w:p>
        </w:tc>
        <w:tc>
          <w:tcPr>
            <w:tcW w:w="1585"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598" w:type="dxa"/>
            <w:vMerge/>
            <w:tcBorders>
              <w:left w:val="single" w:sz="4" w:space="0" w:color="000000"/>
              <w:right w:val="single" w:sz="4" w:space="0" w:color="000000"/>
            </w:tcBorders>
            <w:shd w:val="clear" w:color="auto" w:fill="D2D2D2"/>
          </w:tcPr>
          <w:p>
            <w:pPr/>
          </w:p>
        </w:tc>
        <w:tc>
          <w:tcPr>
            <w:tcW w:w="2271"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3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公司股票自挂牌上市之日起三年内，一旦出现连续</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个交易日公司</w:t>
            </w:r>
          </w:p>
        </w:tc>
        <w:tc>
          <w:tcPr>
            <w:tcW w:w="1585"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股票收盘价均低于当日已公告每股净资产（当日已公告每股净资产</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1</w:t>
            </w:r>
            <w:r>
              <w:rPr>
                <w:rFonts w:ascii="宋体" w:hAnsi="宋体" w:cs="宋体" w:eastAsia="宋体" w:hint="default"/>
                <w:sz w:val="18"/>
                <w:szCs w:val="18"/>
              </w:rPr>
              <w:t>、发行人最近一期报告期期末公告的每股净资产，或者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最近一期报告期期末财务数据公告后至下一报告期期末财务数据公</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0" w:lineRule="auto"/>
              <w:ind w:left="23" w:right="104"/>
              <w:jc w:val="left"/>
              <w:rPr>
                <w:rFonts w:ascii="宋体" w:hAnsi="宋体" w:cs="宋体" w:eastAsia="宋体" w:hint="default"/>
                <w:sz w:val="18"/>
                <w:szCs w:val="18"/>
              </w:rPr>
            </w:pP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r>
              <w:rPr>
                <w:rFonts w:ascii="Times New Roman" w:hAnsi="Times New Roman" w:cs="Times New Roman" w:eastAsia="Times New Roman" w:hint="default"/>
                <w:sz w:val="18"/>
                <w:szCs w:val="18"/>
              </w:rPr>
              <w:t>;</w:t>
            </w:r>
            <w:r>
              <w:rPr>
                <w:rFonts w:ascii="宋体" w:hAnsi="宋体" w:cs="宋体" w:eastAsia="宋体" w:hint="default"/>
                <w:sz w:val="18"/>
                <w:szCs w:val="18"/>
              </w:rPr>
              <w:t>施建 豪</w:t>
            </w:r>
            <w:r>
              <w:rPr>
                <w:rFonts w:ascii="Times New Roman" w:hAnsi="Times New Roman" w:cs="Times New Roman" w:eastAsia="Times New Roman" w:hint="default"/>
                <w:sz w:val="18"/>
                <w:szCs w:val="18"/>
              </w:rPr>
              <w:t>;</w:t>
            </w:r>
            <w:r>
              <w:rPr>
                <w:rFonts w:ascii="宋体" w:hAnsi="宋体" w:cs="宋体" w:eastAsia="宋体" w:hint="default"/>
                <w:sz w:val="18"/>
                <w:szCs w:val="18"/>
              </w:rPr>
              <w:t>陈小华</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稳定股价承诺</w:t>
            </w: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6"/>
              <w:jc w:val="both"/>
              <w:rPr>
                <w:rFonts w:ascii="宋体" w:hAnsi="宋体" w:cs="宋体" w:eastAsia="宋体" w:hint="default"/>
                <w:sz w:val="18"/>
                <w:szCs w:val="18"/>
              </w:rPr>
            </w:pPr>
            <w:r>
              <w:rPr>
                <w:rFonts w:ascii="宋体" w:hAnsi="宋体" w:cs="宋体" w:eastAsia="宋体" w:hint="default"/>
                <w:sz w:val="18"/>
                <w:szCs w:val="18"/>
              </w:rPr>
              <w:t>告前期间因分红、配股、转增等情况导致发行人股份或权益发生变 化时，则为经调整后的每股净资产）情形时，则触发发行人回购股 份稳定股价的义务。就本人回购公司股份的相应措施，本人承诺如</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31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）公司控股股东、实际控制人增持公司股份方案实施期限届</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满之日后的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个交易日公司股票价格均低于公司当日已公告每股</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）公司控股股东、实际控制人增持股份方案实施完毕之</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3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日起的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个月内启动条件再次被触发。</w:t>
            </w:r>
          </w:p>
        </w:tc>
        <w:tc>
          <w:tcPr>
            <w:tcW w:w="1585"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98" w:type="dxa"/>
            <w:vMerge/>
            <w:tcBorders>
              <w:left w:val="single" w:sz="4" w:space="0" w:color="000000"/>
              <w:right w:val="single" w:sz="4" w:space="0" w:color="000000"/>
            </w:tcBorders>
            <w:shd w:val="clear" w:color="auto" w:fill="D2D2D2"/>
          </w:tcPr>
          <w:p>
            <w:pPr/>
          </w:p>
        </w:tc>
        <w:tc>
          <w:tcPr>
            <w:tcW w:w="2271"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3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如本公司招股说明书有虚假记载、误导性陈述或者重大遗漏，对判</w:t>
            </w:r>
          </w:p>
        </w:tc>
        <w:tc>
          <w:tcPr>
            <w:tcW w:w="1585"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断本公司是否符合法律规定的发行条件构成重大、实质影响的，本</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公司将在中国证监会认定有关违法事实后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天内启动依法回购首次</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3" w:right="75"/>
              <w:jc w:val="left"/>
              <w:rPr>
                <w:rFonts w:ascii="宋体" w:hAnsi="宋体" w:cs="宋体" w:eastAsia="宋体" w:hint="default"/>
                <w:sz w:val="18"/>
                <w:szCs w:val="18"/>
              </w:rPr>
            </w:pPr>
            <w:r>
              <w:rPr>
                <w:rFonts w:ascii="宋体" w:hAnsi="宋体" w:cs="宋体" w:eastAsia="宋体" w:hint="default"/>
                <w:sz w:val="18"/>
                <w:szCs w:val="18"/>
              </w:rPr>
              <w:t>苏州恒久光电科技股份有限 公司</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0"/>
              <w:jc w:val="left"/>
              <w:rPr>
                <w:rFonts w:ascii="宋体" w:hAnsi="宋体" w:cs="宋体" w:eastAsia="宋体" w:hint="default"/>
                <w:sz w:val="18"/>
                <w:szCs w:val="18"/>
              </w:rPr>
            </w:pPr>
            <w:r>
              <w:rPr>
                <w:rFonts w:ascii="宋体" w:hAnsi="宋体" w:cs="宋体" w:eastAsia="宋体" w:hint="default"/>
                <w:sz w:val="18"/>
                <w:szCs w:val="18"/>
              </w:rPr>
              <w:t>公开发行的全部新股工作。回购价格以本公司股票发行价格和有关 违法事实被中国证监会认定之日前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个交易日本公司股票交易均价</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307"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的孰高者确定。公司上市后发生除权除息事项的，上述发行价格及</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vMerge/>
            <w:tcBorders>
              <w:left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回购股份数量应做相应调整。如本公司招股说明书有虚假记载、误</w:t>
            </w:r>
          </w:p>
        </w:tc>
        <w:tc>
          <w:tcPr>
            <w:tcW w:w="158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2271"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3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导性陈述或者重大遗漏，致使投资者在证券交易中遭受损失的，将</w:t>
            </w:r>
          </w:p>
        </w:tc>
        <w:tc>
          <w:tcPr>
            <w:tcW w:w="1585"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0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8"/>
        <w:gridCol w:w="2271"/>
        <w:gridCol w:w="1561"/>
        <w:gridCol w:w="5331"/>
        <w:gridCol w:w="1585"/>
        <w:gridCol w:w="1419"/>
        <w:gridCol w:w="853"/>
      </w:tblGrid>
      <w:tr>
        <w:trPr>
          <w:trHeight w:val="1625" w:hRule="exact"/>
        </w:trPr>
        <w:tc>
          <w:tcPr>
            <w:tcW w:w="1598" w:type="dxa"/>
            <w:vMerge w:val="restart"/>
            <w:tcBorders>
              <w:top w:val="single" w:sz="15" w:space="0" w:color="000000"/>
              <w:left w:val="single" w:sz="4" w:space="0" w:color="000000"/>
              <w:right w:val="single" w:sz="4" w:space="0" w:color="000000"/>
            </w:tcBorders>
            <w:shd w:val="clear" w:color="auto" w:fill="D2D2D2"/>
          </w:tcPr>
          <w:p>
            <w:pPr/>
          </w:p>
        </w:tc>
        <w:tc>
          <w:tcPr>
            <w:tcW w:w="2271" w:type="dxa"/>
            <w:tcBorders>
              <w:top w:val="single" w:sz="15" w:space="0" w:color="000000"/>
              <w:left w:val="single" w:sz="4" w:space="0" w:color="000000"/>
              <w:bottom w:val="single" w:sz="4" w:space="0" w:color="000000"/>
              <w:right w:val="single" w:sz="4" w:space="0" w:color="000000"/>
            </w:tcBorders>
          </w:tcPr>
          <w:p>
            <w:pPr/>
          </w:p>
        </w:tc>
        <w:tc>
          <w:tcPr>
            <w:tcW w:w="1561" w:type="dxa"/>
            <w:tcBorders>
              <w:top w:val="single" w:sz="15" w:space="0" w:color="000000"/>
              <w:left w:val="single" w:sz="4" w:space="0" w:color="000000"/>
              <w:bottom w:val="single" w:sz="4" w:space="0" w:color="000000"/>
              <w:right w:val="single" w:sz="4" w:space="0" w:color="000000"/>
            </w:tcBorders>
          </w:tcPr>
          <w:p>
            <w:pPr/>
          </w:p>
        </w:tc>
        <w:tc>
          <w:tcPr>
            <w:tcW w:w="5331"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依法赔偿投资者损失。本公司将在该等违法事实被中国证监会认定 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天内依法赔偿投资者损失。若本公司违反上述承诺，则将在股 东大会及中国证监会指定报刊上公开就未履行上述赔偿措施向股东 和社会公众投资者道歉，并按中国证监会及有关司法机关认定的实 际损失向投资者进行赔偿。</w:t>
            </w:r>
          </w:p>
        </w:tc>
        <w:tc>
          <w:tcPr>
            <w:tcW w:w="1585"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853" w:type="dxa"/>
            <w:tcBorders>
              <w:top w:val="single" w:sz="15" w:space="0" w:color="000000"/>
              <w:left w:val="single" w:sz="4" w:space="0" w:color="000000"/>
              <w:bottom w:val="single" w:sz="4" w:space="0" w:color="000000"/>
              <w:right w:val="single" w:sz="4" w:space="0" w:color="000000"/>
            </w:tcBorders>
          </w:tcPr>
          <w:p>
            <w:pPr/>
          </w:p>
        </w:tc>
      </w:tr>
      <w:tr>
        <w:trPr>
          <w:trHeight w:val="5082" w:hRule="exact"/>
        </w:trPr>
        <w:tc>
          <w:tcPr>
            <w:tcW w:w="1598" w:type="dxa"/>
            <w:vMerge/>
            <w:tcBorders>
              <w:left w:val="single" w:sz="4" w:space="0" w:color="000000"/>
              <w:right w:val="single" w:sz="4" w:space="0" w:color="000000"/>
            </w:tcBorders>
            <w:shd w:val="clear" w:color="auto" w:fill="D2D2D2"/>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如发行人招股说明书有虚假记载、误导性陈述或者重大遗漏，对判 断发行人是否符合法律规定的发行条件构成重大、实质影响的，本 人将利用发行人的控股股东地位促成发行人在中国证监会认定有关 违法事实后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天内启动依法回购发行人首次公开发行的全部新股工 作，并在前述期限内启动依法购回本人在首次公开发行股票时公开 发售的股份工作。购回价格以发行人股票发行价格和有关违法事实 被中国证监会认定之日前三十个交易日发行人股票交易均价的孰高 者确定。如遇除权除息事项，上述发行价格及购回股份数量应作相 应调整。如发行人招股说明书有虚假记载、误导性陈述或者重大遗 漏，致使投资者在证券交易中遭受损失的，本人将在该等违法事实 被中国证监会认定后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天内依法赔偿投资者损失。若本人违反上述 承诺，则将在发行人股东大会及中国证监会指定报刊上公开就未履 行上述赔偿措施向发行人股东和社会公众投资者道歉，并在违反上 述承诺发生之日起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个工作日内，停止在发行人处领取薪酬及股东 分红，同时本人持有的发行人股份将不得转让，直至本人按上述承 诺采取相应的购回或赔偿措施并实施完毕时为止。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2547"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00" w:lineRule="auto"/>
              <w:ind w:left="23" w:right="54"/>
              <w:jc w:val="both"/>
              <w:rPr>
                <w:rFonts w:ascii="宋体" w:hAnsi="宋体" w:cs="宋体" w:eastAsia="宋体" w:hint="default"/>
                <w:sz w:val="18"/>
                <w:szCs w:val="18"/>
              </w:rPr>
            </w:pP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r>
              <w:rPr>
                <w:rFonts w:ascii="Times New Roman" w:hAnsi="Times New Roman" w:cs="Times New Roman" w:eastAsia="Times New Roman" w:hint="default"/>
                <w:sz w:val="18"/>
                <w:szCs w:val="18"/>
              </w:rPr>
              <w:t>;</w:t>
            </w:r>
            <w:r>
              <w:rPr>
                <w:rFonts w:ascii="宋体" w:hAnsi="宋体" w:cs="宋体" w:eastAsia="宋体" w:hint="default"/>
                <w:sz w:val="18"/>
                <w:szCs w:val="18"/>
              </w:rPr>
              <w:t>余仲 清</w:t>
            </w:r>
            <w:r>
              <w:rPr>
                <w:rFonts w:ascii="Times New Roman" w:hAnsi="Times New Roman" w:cs="Times New Roman" w:eastAsia="Times New Roman" w:hint="default"/>
                <w:sz w:val="18"/>
                <w:szCs w:val="18"/>
              </w:rPr>
              <w:t>;</w:t>
            </w:r>
            <w:r>
              <w:rPr>
                <w:rFonts w:ascii="宋体" w:hAnsi="宋体" w:cs="宋体" w:eastAsia="宋体" w:hint="default"/>
                <w:sz w:val="18"/>
                <w:szCs w:val="18"/>
              </w:rPr>
              <w:t>闵建国</w:t>
            </w:r>
            <w:r>
              <w:rPr>
                <w:rFonts w:ascii="Times New Roman" w:hAnsi="Times New Roman" w:cs="Times New Roman" w:eastAsia="Times New Roman" w:hint="default"/>
                <w:sz w:val="18"/>
                <w:szCs w:val="18"/>
              </w:rPr>
              <w:t>;</w:t>
            </w: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方世南</w:t>
            </w:r>
            <w:r>
              <w:rPr>
                <w:rFonts w:ascii="Times New Roman" w:hAnsi="Times New Roman" w:cs="Times New Roman" w:eastAsia="Times New Roman" w:hint="default"/>
                <w:sz w:val="18"/>
                <w:szCs w:val="18"/>
              </w:rPr>
              <w:t>;</w:t>
            </w:r>
            <w:r>
              <w:rPr>
                <w:rFonts w:ascii="宋体" w:hAnsi="宋体" w:cs="宋体" w:eastAsia="宋体" w:hint="default"/>
                <w:sz w:val="18"/>
                <w:szCs w:val="18"/>
              </w:rPr>
              <w:t>李建 康</w:t>
            </w:r>
            <w:r>
              <w:rPr>
                <w:rFonts w:ascii="Times New Roman" w:hAnsi="Times New Roman" w:cs="Times New Roman" w:eastAsia="Times New Roman" w:hint="default"/>
                <w:sz w:val="18"/>
                <w:szCs w:val="18"/>
              </w:rPr>
              <w:t>;</w:t>
            </w:r>
            <w:r>
              <w:rPr>
                <w:rFonts w:ascii="宋体" w:hAnsi="宋体" w:cs="宋体" w:eastAsia="宋体" w:hint="default"/>
                <w:sz w:val="18"/>
                <w:szCs w:val="18"/>
              </w:rPr>
              <w:t>俞雪华</w:t>
            </w:r>
            <w:r>
              <w:rPr>
                <w:rFonts w:ascii="Times New Roman" w:hAnsi="Times New Roman" w:cs="Times New Roman" w:eastAsia="Times New Roman" w:hint="default"/>
                <w:sz w:val="18"/>
                <w:szCs w:val="18"/>
              </w:rPr>
              <w:t>;</w:t>
            </w:r>
            <w:r>
              <w:rPr>
                <w:rFonts w:ascii="宋体" w:hAnsi="宋体" w:cs="宋体" w:eastAsia="宋体" w:hint="default"/>
                <w:sz w:val="18"/>
                <w:szCs w:val="18"/>
              </w:rPr>
              <w:t>赵同双</w:t>
            </w:r>
            <w:r>
              <w:rPr>
                <w:rFonts w:ascii="Times New Roman" w:hAnsi="Times New Roman" w:cs="Times New Roman" w:eastAsia="Times New Roman" w:hint="default"/>
                <w:sz w:val="18"/>
                <w:szCs w:val="18"/>
              </w:rPr>
              <w:t>;</w:t>
            </w:r>
            <w:r>
              <w:rPr>
                <w:rFonts w:ascii="宋体" w:hAnsi="宋体" w:cs="宋体" w:eastAsia="宋体" w:hint="default"/>
                <w:sz w:val="18"/>
                <w:szCs w:val="18"/>
              </w:rPr>
              <w:t>施雄</w:t>
            </w:r>
            <w:r>
              <w:rPr>
                <w:rFonts w:ascii="Times New Roman" w:hAnsi="Times New Roman" w:cs="Times New Roman" w:eastAsia="Times New Roman" w:hint="default"/>
                <w:sz w:val="18"/>
                <w:szCs w:val="18"/>
              </w:rPr>
              <w:t>;</w:t>
            </w:r>
            <w:r>
              <w:rPr>
                <w:rFonts w:ascii="宋体" w:hAnsi="宋体" w:cs="宋体" w:eastAsia="宋体" w:hint="default"/>
                <w:sz w:val="18"/>
                <w:szCs w:val="18"/>
              </w:rPr>
              <w:t>徐才 英</w:t>
            </w:r>
            <w:r>
              <w:rPr>
                <w:rFonts w:ascii="Times New Roman" w:hAnsi="Times New Roman" w:cs="Times New Roman" w:eastAsia="Times New Roman" w:hint="default"/>
                <w:sz w:val="18"/>
                <w:szCs w:val="18"/>
              </w:rPr>
              <w:t>;</w:t>
            </w:r>
            <w:r>
              <w:rPr>
                <w:rFonts w:ascii="宋体" w:hAnsi="宋体" w:cs="宋体" w:eastAsia="宋体" w:hint="default"/>
                <w:sz w:val="18"/>
                <w:szCs w:val="18"/>
              </w:rPr>
              <w:t>施建豪</w:t>
            </w:r>
            <w:r>
              <w:rPr>
                <w:rFonts w:ascii="Times New Roman" w:hAnsi="Times New Roman" w:cs="Times New Roman" w:eastAsia="Times New Roman" w:hint="default"/>
                <w:sz w:val="18"/>
                <w:szCs w:val="18"/>
              </w:rPr>
              <w:t>;</w:t>
            </w:r>
            <w:r>
              <w:rPr>
                <w:rFonts w:ascii="宋体" w:hAnsi="宋体" w:cs="宋体" w:eastAsia="宋体" w:hint="default"/>
                <w:sz w:val="18"/>
                <w:szCs w:val="18"/>
              </w:rPr>
              <w:t>陈小华</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如发行人招股说明书有虚假记载、误导性陈述或者重大遗漏，致使 投资者在证券交易中遭受损失的，本人将依法赔偿投资者损失。本 人将在该等违法事实被中国证监会认定后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天内依法赔偿投资者损 失。若本人违反上述承诺，则将在发行人股东大会及中国证监会指 定报刊上公开就未履行上述赔偿措施向发行人股东和社会公众投资 者道歉，并在违反上述赔偿措施发生之日起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个工作日内，停止在 </w:t>
            </w:r>
            <w:r>
              <w:rPr>
                <w:rFonts w:ascii="宋体" w:hAnsi="宋体" w:cs="宋体" w:eastAsia="宋体" w:hint="default"/>
                <w:spacing w:val="-5"/>
                <w:sz w:val="18"/>
                <w:szCs w:val="18"/>
              </w:rPr>
              <w:t>发行人处领取薪酬（或津贴）及股东分红（如有），同时本人持有的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发行人股份（如有）将不得转让，直至本人按上述承诺采取相应的</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98"/>
              <w:jc w:val="left"/>
              <w:rPr>
                <w:rFonts w:ascii="宋体" w:hAnsi="宋体" w:cs="宋体" w:eastAsia="宋体" w:hint="default"/>
                <w:sz w:val="18"/>
                <w:szCs w:val="18"/>
              </w:rPr>
            </w:pPr>
            <w:r>
              <w:rPr>
                <w:rFonts w:ascii="宋体" w:hAnsi="宋体" w:cs="宋体" w:eastAsia="宋体" w:hint="default"/>
                <w:sz w:val="18"/>
                <w:szCs w:val="18"/>
              </w:rPr>
              <w:t>严格履行 承诺</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0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8"/>
        <w:gridCol w:w="2271"/>
        <w:gridCol w:w="1561"/>
        <w:gridCol w:w="5331"/>
        <w:gridCol w:w="1585"/>
        <w:gridCol w:w="1419"/>
        <w:gridCol w:w="317"/>
        <w:gridCol w:w="534"/>
      </w:tblGrid>
      <w:tr>
        <w:trPr>
          <w:trHeight w:val="377" w:hRule="exact"/>
        </w:trPr>
        <w:tc>
          <w:tcPr>
            <w:tcW w:w="1598" w:type="dxa"/>
            <w:vMerge w:val="restart"/>
            <w:tcBorders>
              <w:top w:val="single" w:sz="15" w:space="0" w:color="000000"/>
              <w:left w:val="single" w:sz="4" w:space="0" w:color="000000"/>
              <w:right w:val="single" w:sz="4" w:space="0" w:color="000000"/>
            </w:tcBorders>
            <w:shd w:val="clear" w:color="auto" w:fill="D2D2D2"/>
          </w:tcPr>
          <w:p>
            <w:pPr/>
          </w:p>
        </w:tc>
        <w:tc>
          <w:tcPr>
            <w:tcW w:w="2271" w:type="dxa"/>
            <w:tcBorders>
              <w:top w:val="single" w:sz="15" w:space="0" w:color="000000"/>
              <w:left w:val="single" w:sz="4" w:space="0" w:color="000000"/>
              <w:bottom w:val="single" w:sz="4" w:space="0" w:color="000000"/>
              <w:right w:val="single" w:sz="4" w:space="0" w:color="000000"/>
            </w:tcBorders>
          </w:tcPr>
          <w:p>
            <w:pPr/>
          </w:p>
        </w:tc>
        <w:tc>
          <w:tcPr>
            <w:tcW w:w="1561" w:type="dxa"/>
            <w:tcBorders>
              <w:top w:val="single" w:sz="15" w:space="0" w:color="000000"/>
              <w:left w:val="single" w:sz="4" w:space="0" w:color="000000"/>
              <w:bottom w:val="single" w:sz="4" w:space="0" w:color="000000"/>
              <w:right w:val="single" w:sz="4" w:space="0" w:color="000000"/>
            </w:tcBorders>
          </w:tcPr>
          <w:p>
            <w:pPr/>
          </w:p>
        </w:tc>
        <w:tc>
          <w:tcPr>
            <w:tcW w:w="53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赔偿措施并实施完毕时为止。</w:t>
            </w:r>
          </w:p>
        </w:tc>
        <w:tc>
          <w:tcPr>
            <w:tcW w:w="1585"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851" w:type="dxa"/>
            <w:gridSpan w:val="2"/>
            <w:tcBorders>
              <w:top w:val="single" w:sz="6" w:space="0" w:color="000000"/>
              <w:left w:val="single" w:sz="4" w:space="0" w:color="000000"/>
              <w:bottom w:val="single" w:sz="4" w:space="0" w:color="000000"/>
              <w:right w:val="single" w:sz="4" w:space="0" w:color="000000"/>
            </w:tcBorders>
          </w:tcPr>
          <w:p>
            <w:pPr/>
          </w:p>
        </w:tc>
      </w:tr>
      <w:tr>
        <w:trPr>
          <w:trHeight w:val="3835"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孙忠良</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在本人及本人的关联自然人在苏州恒久担任董事、监事、高级管理 人员期间，每年转让的股份不超过本人持有苏州恒久股份总数的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；离职后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个月内，不转让本人所持有的苏州恒久股份；离职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p>
          <w:p>
            <w:pPr>
              <w:pStyle w:val="TableParagraph"/>
              <w:spacing w:line="312" w:lineRule="auto"/>
              <w:ind w:left="22" w:right="21"/>
              <w:jc w:val="left"/>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个月内通过证券交易所挂牌交易出售苏州恒久股票数量 占本人所持有苏州恒久股票总数的比例不超过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。本人所持苏州 恒久股份上述</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个月的锁定期届满后两年内，本人可因自身经济需 要通过深圳证券交易所减持本人所持苏州恒久股份，本人承诺按照 相关法律法规及深圳证券交易所规则要求进行减持，减持方式包括 二级市场集中竞价交易、大宗交易或其他深圳证券交易所认可的合 法方式；本人减持股份的价格根据当时的二级市场价格确定，且不 低于以减持日为基准经前复权计算的首次公开发行股票的发行价 格，并应符合相关法律法规及深圳证券交易所规则要求。</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331"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331"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4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4" w:type="dxa"/>
            <w:tcBorders>
              <w:top w:val="single" w:sz="4" w:space="0" w:color="000000"/>
              <w:left w:val="single" w:sz="4" w:space="0" w:color="000000"/>
              <w:bottom w:val="nil" w:sz="6" w:space="0" w:color="auto"/>
              <w:right w:val="nil" w:sz="6" w:space="0" w:color="auto"/>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440" w:right="0"/>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440" w:right="0"/>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40" w:right="9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338" w:lineRule="auto"/>
        <w:jc w:val="left"/>
        <w:sectPr>
          <w:pgSz w:w="16840" w:h="11910" w:orient="landscape"/>
          <w:pgMar w:header="867" w:footer="979" w:top="1060" w:bottom="1160" w:left="100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01"/>
        <w:ind w:right="0"/>
        <w:jc w:val="left"/>
        <w:rPr>
          <w:b w:val="0"/>
          <w:bCs w:val="0"/>
        </w:rPr>
      </w:pPr>
      <w:r>
        <w:rPr/>
        <w:t>（一）重要会计政策变更</w:t>
      </w:r>
      <w:r>
        <w:rPr>
          <w:b w:val="0"/>
          <w:bCs w:val="0"/>
        </w:rPr>
      </w:r>
    </w:p>
    <w:p>
      <w:pPr>
        <w:spacing w:line="240" w:lineRule="auto" w:before="10"/>
        <w:rPr>
          <w:rFonts w:ascii="宋体" w:hAnsi="宋体" w:cs="宋体" w:eastAsia="宋体" w:hint="default"/>
          <w:b/>
          <w:bCs/>
          <w:sz w:val="17"/>
          <w:szCs w:val="17"/>
        </w:rPr>
      </w:pPr>
    </w:p>
    <w:p>
      <w:pPr>
        <w:pStyle w:val="BodyText"/>
        <w:spacing w:line="300" w:lineRule="auto"/>
        <w:ind w:right="1129"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日，财政部印发了《企业会计准则第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持有待售的非流动资产、处置组和终止经营》，规范企业</w:t>
      </w:r>
      <w:r>
        <w:rPr/>
        <w:t> 持有待售的非流动资产或处置组的分类、计量和列报，以及终止经营的列报。该准则自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日起施行，对于该准则 施行日存在的持有待售的非流动资产、处置组和终止经营，应当采用未来适用法处理。</w:t>
      </w:r>
    </w:p>
    <w:p>
      <w:pPr>
        <w:spacing w:line="240" w:lineRule="auto" w:before="4"/>
        <w:rPr>
          <w:rFonts w:ascii="宋体" w:hAnsi="宋体" w:cs="宋体" w:eastAsia="宋体" w:hint="default"/>
          <w:sz w:val="14"/>
          <w:szCs w:val="14"/>
        </w:rPr>
      </w:pPr>
    </w:p>
    <w:p>
      <w:pPr>
        <w:pStyle w:val="BodyText"/>
        <w:spacing w:line="300" w:lineRule="auto"/>
        <w:ind w:right="113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日，财政部发布了《企业会计准则第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政府补助》（修订），该准则自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 </w:t>
      </w:r>
      <w:r>
        <w:rPr>
          <w:spacing w:val="-2"/>
        </w:rPr>
        <w:t>公司对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日至本准则施行日之间新增的政府补助根据本准则</w:t>
      </w:r>
      <w:r>
        <w:rPr>
          <w:spacing w:val="-52"/>
        </w:rPr>
        <w:t> </w:t>
      </w:r>
      <w:r>
        <w:rPr/>
        <w:t>进行调整。</w:t>
      </w:r>
    </w:p>
    <w:p>
      <w:pPr>
        <w:spacing w:line="240" w:lineRule="auto" w:before="4"/>
        <w:rPr>
          <w:rFonts w:ascii="宋体" w:hAnsi="宋体" w:cs="宋体" w:eastAsia="宋体" w:hint="default"/>
          <w:sz w:val="14"/>
          <w:szCs w:val="14"/>
        </w:rPr>
      </w:pPr>
    </w:p>
    <w:p>
      <w:pPr>
        <w:pStyle w:val="BodyText"/>
        <w:spacing w:line="300" w:lineRule="auto"/>
        <w:ind w:right="1121" w:firstLine="360"/>
        <w:jc w:val="left"/>
      </w:pPr>
      <w:r>
        <w:rPr>
          <w:rFonts w:ascii="Times New Roman" w:hAnsi="Times New Roman" w:cs="Times New Roman" w:eastAsia="Times New Roman" w:hint="default"/>
          <w:spacing w:val="-2"/>
        </w:rPr>
        <w:t>3</w:t>
      </w:r>
      <w:r>
        <w:rPr>
          <w:spacing w:val="-2"/>
        </w:rPr>
        <w:t>、财政部根据上述</w:t>
      </w:r>
      <w:r>
        <w:rPr>
          <w:rFonts w:ascii="Times New Roman" w:hAnsi="Times New Roman" w:cs="Times New Roman" w:eastAsia="Times New Roman" w:hint="default"/>
          <w:spacing w:val="-2"/>
        </w:rPr>
        <w:t>2</w:t>
      </w:r>
      <w:r>
        <w:rPr>
          <w:spacing w:val="-2"/>
        </w:rPr>
        <w:t>项会计准则的相关规定，对一般企业财务报表格式进行了修订，并于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日发布了《关于</w:t>
      </w:r>
      <w:r>
        <w:rPr/>
        <w:t> </w:t>
      </w:r>
      <w:r>
        <w:rPr>
          <w:spacing w:val="-3"/>
        </w:rPr>
        <w:t>修订印发一般企业财务报表格式的通知》：资产负债表新增</w:t>
      </w:r>
      <w:r>
        <w:rPr>
          <w:rFonts w:ascii="Times New Roman" w:hAnsi="Times New Roman" w:cs="Times New Roman" w:eastAsia="Times New Roman" w:hint="default"/>
          <w:spacing w:val="-3"/>
        </w:rPr>
        <w:t>“</w:t>
      </w:r>
      <w:r>
        <w:rPr>
          <w:spacing w:val="-3"/>
        </w:rPr>
        <w:t>持有待售资产</w:t>
      </w:r>
      <w:r>
        <w:rPr>
          <w:rFonts w:ascii="Times New Roman" w:hAnsi="Times New Roman" w:cs="Times New Roman" w:eastAsia="Times New Roman" w:hint="default"/>
          <w:spacing w:val="-3"/>
        </w:rPr>
        <w:t>”</w:t>
      </w:r>
      <w:r>
        <w:rPr>
          <w:spacing w:val="-3"/>
        </w:rPr>
        <w:t>行项目、</w:t>
      </w:r>
      <w:r>
        <w:rPr>
          <w:rFonts w:ascii="Times New Roman" w:hAnsi="Times New Roman" w:cs="Times New Roman" w:eastAsia="Times New Roman" w:hint="default"/>
          <w:spacing w:val="-3"/>
        </w:rPr>
        <w:t>“</w:t>
      </w:r>
      <w:r>
        <w:rPr>
          <w:spacing w:val="-3"/>
        </w:rPr>
        <w:t>持有待售负债</w:t>
      </w:r>
      <w:r>
        <w:rPr>
          <w:rFonts w:ascii="Times New Roman" w:hAnsi="Times New Roman" w:cs="Times New Roman" w:eastAsia="Times New Roman" w:hint="default"/>
          <w:spacing w:val="-3"/>
        </w:rPr>
        <w:t>”</w:t>
      </w:r>
      <w:r>
        <w:rPr>
          <w:spacing w:val="-3"/>
        </w:rPr>
        <w:t>行项目，利润表新增</w:t>
      </w:r>
      <w:r>
        <w:rPr>
          <w:rFonts w:ascii="Times New Roman" w:hAnsi="Times New Roman" w:cs="Times New Roman" w:eastAsia="Times New Roman" w:hint="default"/>
          <w:spacing w:val="-3"/>
        </w:rPr>
        <w:t>“</w:t>
      </w:r>
      <w:r>
        <w:rPr>
          <w:spacing w:val="-3"/>
        </w:rPr>
        <w:t>资</w:t>
      </w:r>
      <w:r>
        <w:rPr>
          <w:spacing w:val="-45"/>
        </w:rPr>
        <w:t> </w:t>
      </w:r>
      <w:r>
        <w:rPr/>
        <w:t>产处置收益</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行项目、净利润项新增</w:t>
      </w:r>
      <w:r>
        <w:rPr>
          <w:rFonts w:ascii="Times New Roman" w:hAnsi="Times New Roman" w:cs="Times New Roman" w:eastAsia="Times New Roman" w:hint="default"/>
        </w:rPr>
        <w:t>“</w:t>
      </w:r>
      <w:r>
        <w:rPr/>
        <w:t>（一）持续经营净利润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（二）终止经营净利润</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日，财政部发布了《关于一般企业财务报表格式有关问题的解读》，根据解读的相关规定：</w:t>
      </w:r>
      <w:r>
        <w:rPr>
          <w:spacing w:val="-18"/>
        </w:rPr>
        <w:t> </w:t>
      </w:r>
      <w:r>
        <w:rPr/>
        <w:t>对于利润表新增的</w:t>
      </w:r>
      <w:r>
        <w:rPr>
          <w:rFonts w:ascii="Times New Roman" w:hAnsi="Times New Roman" w:cs="Times New Roman" w:eastAsia="Times New Roman" w:hint="default"/>
        </w:rPr>
        <w:t>“</w:t>
      </w:r>
      <w:r>
        <w:rPr/>
        <w:t>资 </w:t>
      </w:r>
      <w:r>
        <w:rPr>
          <w:spacing w:val="-3"/>
        </w:rPr>
        <w:t>产处置收益</w:t>
      </w:r>
      <w:r>
        <w:rPr>
          <w:rFonts w:ascii="Times New Roman" w:hAnsi="Times New Roman" w:cs="Times New Roman" w:eastAsia="Times New Roman" w:hint="default"/>
          <w:spacing w:val="-3"/>
        </w:rPr>
        <w:t>”</w:t>
      </w:r>
      <w:r>
        <w:rPr>
          <w:spacing w:val="-3"/>
        </w:rPr>
        <w:t>行项目，本公司按照《企业会计准则第</w:t>
      </w:r>
      <w:r>
        <w:rPr>
          <w:rFonts w:ascii="Times New Roman" w:hAnsi="Times New Roman" w:cs="Times New Roman" w:eastAsia="Times New Roman" w:hint="default"/>
          <w:spacing w:val="-3"/>
        </w:rPr>
        <w:t>30</w:t>
      </w:r>
      <w:r>
        <w:rPr>
          <w:spacing w:val="-3"/>
        </w:rPr>
        <w:t>号</w:t>
      </w:r>
      <w:r>
        <w:rPr>
          <w:rFonts w:ascii="Times New Roman" w:hAnsi="Times New Roman" w:cs="Times New Roman" w:eastAsia="Times New Roman" w:hint="default"/>
          <w:spacing w:val="-3"/>
        </w:rPr>
        <w:t>——</w:t>
      </w:r>
      <w:r>
        <w:rPr>
          <w:spacing w:val="-3"/>
        </w:rPr>
        <w:t>财务报表列报》等的相关规定，对可比期间的比较数据按照《通</w:t>
      </w:r>
      <w:r>
        <w:rPr>
          <w:spacing w:val="-87"/>
        </w:rPr>
        <w:t> </w:t>
      </w:r>
      <w:r>
        <w:rPr>
          <w:spacing w:val="-87"/>
        </w:rPr>
      </w:r>
      <w:r>
        <w:rPr>
          <w:spacing w:val="-5"/>
        </w:rPr>
        <w:t>知》进行调整。对于利润表新增的</w:t>
      </w:r>
      <w:r>
        <w:rPr>
          <w:rFonts w:ascii="Times New Roman" w:hAnsi="Times New Roman" w:cs="Times New Roman" w:eastAsia="Times New Roman" w:hint="default"/>
          <w:spacing w:val="-5"/>
        </w:rPr>
        <w:t>“</w:t>
      </w:r>
      <w:r>
        <w:rPr>
          <w:spacing w:val="-5"/>
        </w:rPr>
        <w:t>其他收益</w:t>
      </w:r>
      <w:r>
        <w:rPr>
          <w:rFonts w:ascii="Times New Roman" w:hAnsi="Times New Roman" w:cs="Times New Roman" w:eastAsia="Times New Roman" w:hint="default"/>
          <w:spacing w:val="-5"/>
        </w:rPr>
        <w:t>”</w:t>
      </w:r>
      <w:r>
        <w:rPr>
          <w:spacing w:val="-5"/>
        </w:rPr>
        <w:t>行项目，本公司按照《企业会计准则第</w:t>
      </w:r>
      <w:r>
        <w:rPr>
          <w:rFonts w:ascii="Times New Roman" w:hAnsi="Times New Roman" w:cs="Times New Roman" w:eastAsia="Times New Roman" w:hint="default"/>
          <w:spacing w:val="-5"/>
        </w:rPr>
        <w:t>16</w:t>
      </w:r>
      <w:r>
        <w:rPr>
          <w:spacing w:val="-5"/>
        </w:rPr>
        <w:t>号</w:t>
      </w:r>
      <w:r>
        <w:rPr>
          <w:rFonts w:ascii="Times New Roman" w:hAnsi="Times New Roman" w:cs="Times New Roman" w:eastAsia="Times New Roman" w:hint="default"/>
          <w:spacing w:val="-5"/>
        </w:rPr>
        <w:t>——</w:t>
      </w:r>
      <w:r>
        <w:rPr>
          <w:spacing w:val="-5"/>
        </w:rPr>
        <w:t>政府补助》的相关规定，对</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日存在的政府补助采用未来适用法处理，无需对可比期间的比较数据进行调整。</w:t>
      </w:r>
    </w:p>
    <w:p>
      <w:pPr>
        <w:spacing w:line="240" w:lineRule="auto" w:before="1"/>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37"/>
        <w:gridCol w:w="1134"/>
        <w:gridCol w:w="3970"/>
      </w:tblGrid>
      <w:tr>
        <w:trPr>
          <w:trHeight w:val="34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78"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05"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966"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00" w:lineRule="auto"/>
              <w:ind w:left="4" w:right="4"/>
              <w:jc w:val="left"/>
              <w:rPr>
                <w:rFonts w:ascii="宋体" w:hAnsi="宋体" w:cs="宋体" w:eastAsia="宋体" w:hint="default"/>
                <w:sz w:val="18"/>
                <w:szCs w:val="18"/>
              </w:rPr>
            </w:pPr>
            <w:r>
              <w:rPr>
                <w:rFonts w:ascii="宋体" w:hAnsi="宋体" w:cs="宋体" w:eastAsia="宋体" w:hint="default"/>
                <w:spacing w:val="4"/>
                <w:sz w:val="18"/>
                <w:szCs w:val="18"/>
              </w:rPr>
              <w:t>在利润表中分别列示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持续经营净利润</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终止经营净利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0"/>
              <w:jc w:val="both"/>
              <w:rPr>
                <w:rFonts w:ascii="宋体" w:hAnsi="宋体" w:cs="宋体" w:eastAsia="宋体" w:hint="default"/>
                <w:sz w:val="18"/>
                <w:szCs w:val="18"/>
              </w:rPr>
            </w:pPr>
            <w:r>
              <w:rPr>
                <w:rFonts w:ascii="宋体" w:hAnsi="宋体" w:cs="宋体" w:eastAsia="宋体" w:hint="default"/>
                <w:sz w:val="18"/>
                <w:szCs w:val="18"/>
              </w:rPr>
              <w:t>列示持续经营净利润本期金额</w:t>
            </w:r>
            <w:r>
              <w:rPr>
                <w:rFonts w:ascii="Times New Roman" w:hAnsi="Times New Roman" w:cs="Times New Roman" w:eastAsia="Times New Roman" w:hint="default"/>
                <w:sz w:val="18"/>
                <w:szCs w:val="18"/>
              </w:rPr>
              <w:t>30,446,607.75</w:t>
            </w:r>
            <w:r>
              <w:rPr>
                <w:rFonts w:ascii="宋体" w:hAnsi="宋体" w:cs="宋体" w:eastAsia="宋体" w:hint="default"/>
                <w:sz w:val="18"/>
                <w:szCs w:val="18"/>
              </w:rPr>
              <w:t>元，上</w:t>
            </w:r>
            <w:r>
              <w:rPr>
                <w:rFonts w:ascii="宋体" w:hAnsi="宋体" w:cs="宋体" w:eastAsia="宋体" w:hint="default"/>
                <w:spacing w:val="-59"/>
                <w:sz w:val="18"/>
                <w:szCs w:val="18"/>
              </w:rPr>
              <w:t> </w:t>
            </w:r>
            <w:r>
              <w:rPr>
                <w:rFonts w:ascii="宋体" w:hAnsi="宋体" w:cs="宋体" w:eastAsia="宋体" w:hint="default"/>
                <w:sz w:val="18"/>
                <w:szCs w:val="18"/>
              </w:rPr>
              <w:t>期金额</w:t>
            </w:r>
            <w:r>
              <w:rPr>
                <w:rFonts w:ascii="Times New Roman" w:hAnsi="Times New Roman" w:cs="Times New Roman" w:eastAsia="Times New Roman" w:hint="default"/>
                <w:sz w:val="18"/>
                <w:szCs w:val="18"/>
              </w:rPr>
              <w:t>41,047,172.04</w:t>
            </w:r>
            <w:r>
              <w:rPr>
                <w:rFonts w:ascii="宋体" w:hAnsi="宋体" w:cs="宋体" w:eastAsia="宋体" w:hint="default"/>
                <w:sz w:val="18"/>
                <w:szCs w:val="18"/>
              </w:rPr>
              <w:t>元；列示终止经营净利润本期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与上期金额均为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65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z w:val="18"/>
                <w:szCs w:val="18"/>
              </w:rPr>
              <w:t>与本公司日常活动相关的政府补助，计入其他收益，不再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计入营业外收入。比较数据不调整。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本期计入其他收益：</w:t>
            </w:r>
            <w:r>
              <w:rPr>
                <w:rFonts w:ascii="Times New Roman" w:hAnsi="Times New Roman" w:cs="Times New Roman" w:eastAsia="Times New Roman" w:hint="default"/>
                <w:sz w:val="18"/>
                <w:szCs w:val="18"/>
              </w:rPr>
              <w:t>531,456.44</w:t>
            </w:r>
            <w:r>
              <w:rPr>
                <w:rFonts w:ascii="宋体" w:hAnsi="宋体" w:cs="宋体" w:eastAsia="宋体" w:hint="default"/>
                <w:sz w:val="18"/>
                <w:szCs w:val="18"/>
              </w:rPr>
              <w:t>元</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51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公司合并范围较上年同期增加了恒久高新及恒久保理，详情如下：</w:t>
      </w:r>
    </w:p>
    <w:p>
      <w:pPr>
        <w:pStyle w:val="BodyText"/>
        <w:spacing w:line="300" w:lineRule="auto" w:before="159"/>
        <w:ind w:right="1168"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日，公司设立全资子公司苏州恒久高新产业发展有限公司，注册资本</w:t>
      </w:r>
      <w:r>
        <w:rPr>
          <w:rFonts w:ascii="Times New Roman" w:hAnsi="Times New Roman" w:cs="Times New Roman" w:eastAsia="Times New Roman" w:hint="default"/>
        </w:rPr>
        <w:t>5,000</w:t>
      </w:r>
      <w:r>
        <w:rPr/>
        <w:t>万元，报告期末尚未缴纳出 资，该子公司自设立起纳入合并范围。</w:t>
      </w:r>
    </w:p>
    <w:p>
      <w:pPr>
        <w:spacing w:line="240" w:lineRule="auto" w:before="4"/>
        <w:rPr>
          <w:rFonts w:ascii="宋体" w:hAnsi="宋体" w:cs="宋体" w:eastAsia="宋体" w:hint="default"/>
          <w:sz w:val="14"/>
          <w:szCs w:val="14"/>
        </w:rPr>
      </w:pPr>
    </w:p>
    <w:p>
      <w:pPr>
        <w:pStyle w:val="BodyText"/>
        <w:spacing w:line="240" w:lineRule="auto"/>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11</w:t>
      </w:r>
      <w:r>
        <w:rPr>
          <w:spacing w:val="-3"/>
        </w:rPr>
        <w:t>日，公司设立全资子公司苏州恒久商业保理有限公司，注册资本</w:t>
      </w:r>
      <w:r>
        <w:rPr>
          <w:rFonts w:ascii="Times New Roman" w:hAnsi="Times New Roman" w:cs="Times New Roman" w:eastAsia="Times New Roman" w:hint="default"/>
          <w:spacing w:val="-3"/>
        </w:rPr>
        <w:t>10,000</w:t>
      </w:r>
      <w:r>
        <w:rPr>
          <w:spacing w:val="-3"/>
        </w:rPr>
        <w:t>万元，报告期末已实缴出资</w:t>
      </w:r>
      <w:r>
        <w:rPr>
          <w:rFonts w:ascii="Times New Roman" w:hAnsi="Times New Roman" w:cs="Times New Roman" w:eastAsia="Times New Roman" w:hint="default"/>
          <w:spacing w:val="-3"/>
        </w:rPr>
        <w:t>2,000</w:t>
      </w:r>
    </w:p>
    <w:p>
      <w:pPr>
        <w:spacing w:after="0" w:line="240" w:lineRule="auto"/>
        <w:jc w:val="left"/>
        <w:rPr>
          <w:rFonts w:ascii="Times New Roman" w:hAnsi="Times New Roman" w:cs="Times New Roman" w:eastAsia="Times New Roman" w:hint="default"/>
        </w:rPr>
        <w:sectPr>
          <w:headerReference w:type="default" r:id="rId19"/>
          <w:footerReference w:type="default" r:id="rId20"/>
          <w:pgSz w:w="11910" w:h="16840"/>
          <w:pgMar w:header="877" w:footer="979" w:top="1100" w:bottom="1160" w:left="980" w:right="0"/>
          <w:pgNumType w:start="36"/>
        </w:sect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44"/>
        <w:ind w:right="0"/>
        <w:jc w:val="left"/>
      </w:pPr>
      <w:r>
        <w:rPr/>
        <w:t>万元，该子公司自设立起纳入合并范围。</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夏利忠、葛皓宇</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夏利忠（</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、葛皓宇（</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15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left="154" w:right="0"/>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38" w:lineRule="auto"/>
        <w:jc w:val="left"/>
        <w:sectPr>
          <w:pgSz w:w="11910" w:h="16840"/>
          <w:pgMar w:header="877" w:footer="979" w:top="110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39" w:right="130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left="139" w:right="0"/>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39" w:right="117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left="139"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9"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1"/>
          <w:footerReference w:type="default" r:id="rId22"/>
          <w:pgSz w:w="16840" w:h="11910" w:orient="landscape"/>
          <w:pgMar w:header="867" w:footer="979" w:top="1060" w:bottom="1160" w:left="1300" w:right="0"/>
          <w:pgNumType w:start="39"/>
        </w:sectPr>
      </w:pPr>
    </w:p>
    <w:p>
      <w:pPr>
        <w:pStyle w:val="BodyText"/>
        <w:spacing w:line="338" w:lineRule="auto" w:before="44"/>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40" w:right="0"/>
        <w:jc w:val="left"/>
      </w:pPr>
      <w:r>
        <w:rPr/>
        <w:t>单位：万元</w:t>
      </w:r>
    </w:p>
    <w:p>
      <w:pPr>
        <w:spacing w:after="0" w:line="240" w:lineRule="auto"/>
        <w:jc w:val="left"/>
        <w:sectPr>
          <w:type w:val="continuous"/>
          <w:pgSz w:w="16840" w:h="11910" w:orient="landscape"/>
          <w:pgMar w:top="1060" w:bottom="1160" w:left="1300" w:right="0"/>
          <w:cols w:num="2" w:equalWidth="0">
            <w:col w:w="1941" w:space="11119"/>
            <w:col w:w="2480"/>
          </w:cols>
        </w:sectPr>
      </w:pP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3970"/>
        <w:gridCol w:w="2834"/>
        <w:gridCol w:w="2410"/>
        <w:gridCol w:w="2411"/>
        <w:gridCol w:w="2410"/>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14,641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券商理财产品</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8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19,641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40" w:right="0"/>
        <w:jc w:val="left"/>
      </w:pPr>
      <w:r>
        <w:rPr/>
        <w:t>单项金额重大或安全性较低、流动性较差、不保本的高风险委托理财具体情况</w:t>
      </w:r>
    </w:p>
    <w:p>
      <w:pPr>
        <w:pStyle w:val="BodyText"/>
        <w:spacing w:line="240" w:lineRule="auto" w:before="117"/>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6840" w:h="11910" w:orient="landscape"/>
          <w:pgMar w:top="1060" w:bottom="1160" w:left="1300" w:right="0"/>
        </w:sectPr>
      </w:pPr>
    </w:p>
    <w:p>
      <w:pPr>
        <w:spacing w:line="240" w:lineRule="auto" w:before="12"/>
        <w:rPr>
          <w:rFonts w:ascii="宋体" w:hAnsi="宋体" w:cs="宋体" w:eastAsia="宋体" w:hint="default"/>
          <w:sz w:val="2"/>
          <w:szCs w:val="2"/>
        </w:rPr>
      </w:pPr>
      <w:r>
        <w:rPr/>
        <w:pict>
          <v:shape style="position:absolute;margin-left:401.359985pt;margin-top:405.040009pt;width:126pt;height:53.6pt;mso-position-horizontal-relative:page;mso-position-vertical-relative:page;z-index:-897448" type="#_x0000_t202" filled="false" stroked="false">
            <v:textbox inset="0,0,0,0">
              <w:txbxContent>
                <w:p>
                  <w:pPr>
                    <w:pStyle w:val="BodyText"/>
                    <w:spacing w:line="240" w:lineRule="auto" w:before="51"/>
                    <w:ind w:left="0" w:right="0"/>
                    <w:jc w:val="left"/>
                  </w:pPr>
                  <w:r>
                    <w:rPr/>
                    <w:t>国债、金融债、央行票据、</w:t>
                  </w:r>
                </w:p>
              </w:txbxContent>
            </v:textbox>
            <w10:wrap type="none"/>
          </v:shape>
        </w:pict>
      </w:r>
    </w:p>
    <w:p>
      <w:pPr>
        <w:spacing w:line="20" w:lineRule="exact"/>
        <w:ind w:left="92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0" w:right="1436"/>
        <w:jc w:val="right"/>
      </w:pPr>
      <w:r>
        <w:rPr/>
        <w:t>单位：万元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88"/>
        <w:gridCol w:w="568"/>
        <w:gridCol w:w="850"/>
        <w:gridCol w:w="709"/>
        <w:gridCol w:w="566"/>
        <w:gridCol w:w="1559"/>
        <w:gridCol w:w="1560"/>
        <w:gridCol w:w="2127"/>
        <w:gridCol w:w="425"/>
        <w:gridCol w:w="568"/>
        <w:gridCol w:w="566"/>
        <w:gridCol w:w="568"/>
        <w:gridCol w:w="767"/>
        <w:gridCol w:w="650"/>
        <w:gridCol w:w="426"/>
        <w:gridCol w:w="566"/>
        <w:gridCol w:w="1702"/>
      </w:tblGrid>
      <w:tr>
        <w:trPr>
          <w:trHeight w:val="1962"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38" w:right="20" w:hanging="316"/>
              <w:jc w:val="left"/>
              <w:rPr>
                <w:rFonts w:ascii="宋体" w:hAnsi="宋体" w:cs="宋体" w:eastAsia="宋体" w:hint="default"/>
                <w:sz w:val="18"/>
                <w:szCs w:val="18"/>
              </w:rPr>
            </w:pPr>
            <w:r>
              <w:rPr>
                <w:rFonts w:ascii="宋体" w:hAnsi="宋体" w:cs="宋体" w:eastAsia="宋体" w:hint="default"/>
                <w:spacing w:val="-10"/>
                <w:sz w:val="18"/>
                <w:szCs w:val="18"/>
              </w:rPr>
              <w:t>受托机构名称（或受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托人姓名）</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6"/>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3" w:right="20"/>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10"/>
                <w:sz w:val="18"/>
                <w:szCs w:val="18"/>
              </w:rPr>
              <w:t>人）类</w:t>
            </w:r>
            <w:r>
              <w:rPr>
                <w:rFonts w:ascii="宋体" w:hAnsi="宋体" w:cs="宋体" w:eastAsia="宋体" w:hint="default"/>
                <w:sz w:val="18"/>
                <w:szCs w:val="18"/>
              </w:rPr>
              <w:t> 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8"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 w:right="2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9" w:right="96"/>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98" w:right="96"/>
              <w:jc w:val="left"/>
              <w:rPr>
                <w:rFonts w:ascii="宋体" w:hAnsi="宋体" w:cs="宋体" w:eastAsia="宋体" w:hint="default"/>
                <w:sz w:val="18"/>
                <w:szCs w:val="18"/>
              </w:rPr>
            </w:pPr>
            <w:r>
              <w:rPr>
                <w:rFonts w:ascii="宋体" w:hAnsi="宋体" w:cs="宋体" w:eastAsia="宋体" w:hint="default"/>
                <w:sz w:val="18"/>
                <w:szCs w:val="18"/>
              </w:rPr>
              <w:t>（如 有）</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9" w:right="96"/>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7" w:right="107"/>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 w:right="49"/>
              <w:jc w:val="both"/>
              <w:rPr>
                <w:rFonts w:ascii="宋体" w:hAnsi="宋体" w:cs="宋体" w:eastAsia="宋体" w:hint="default"/>
                <w:sz w:val="18"/>
                <w:szCs w:val="18"/>
              </w:rPr>
            </w:pPr>
            <w:r>
              <w:rPr>
                <w:rFonts w:ascii="宋体" w:hAnsi="宋体" w:cs="宋体" w:eastAsia="宋体" w:hint="default"/>
                <w:sz w:val="18"/>
                <w:szCs w:val="18"/>
              </w:rPr>
              <w:t>计提减 值准备 金额</w:t>
            </w:r>
          </w:p>
          <w:p>
            <w:pPr>
              <w:pStyle w:val="TableParagraph"/>
              <w:spacing w:line="319" w:lineRule="auto" w:before="19"/>
              <w:ind w:left="139" w:right="139"/>
              <w:jc w:val="both"/>
              <w:rPr>
                <w:rFonts w:ascii="宋体" w:hAnsi="宋体" w:cs="宋体" w:eastAsia="宋体" w:hint="default"/>
                <w:sz w:val="18"/>
                <w:szCs w:val="18"/>
              </w:rPr>
            </w:pPr>
            <w:r>
              <w:rPr>
                <w:rFonts w:ascii="宋体" w:hAnsi="宋体" w:cs="宋体" w:eastAsia="宋体" w:hint="default"/>
                <w:sz w:val="18"/>
                <w:szCs w:val="18"/>
              </w:rPr>
              <w:t>（如 有）</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 w:right="27"/>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05" w:right="35" w:hanging="270"/>
              <w:jc w:val="left"/>
              <w:rPr>
                <w:rFonts w:ascii="宋体" w:hAnsi="宋体" w:cs="宋体" w:eastAsia="宋体" w:hint="default"/>
                <w:sz w:val="18"/>
                <w:szCs w:val="18"/>
              </w:rPr>
            </w:pPr>
            <w:r>
              <w:rPr>
                <w:rFonts w:ascii="宋体" w:hAnsi="宋体" w:cs="宋体" w:eastAsia="宋体" w:hint="default"/>
                <w:sz w:val="18"/>
                <w:szCs w:val="18"/>
              </w:rPr>
              <w:t>事项概述及相关查询 索引（如有）</w:t>
            </w:r>
          </w:p>
        </w:tc>
      </w:tr>
      <w:tr>
        <w:trPr>
          <w:trHeight w:val="1338"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宁波银行股份有限 公司苏州高新技术 产业开发区支行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债券、同业资产、货币市场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工具及其他符合监管要求 </w:t>
            </w:r>
            <w:r>
              <w:rPr>
                <w:rFonts w:ascii="宋体" w:hAnsi="宋体" w:cs="宋体" w:eastAsia="宋体" w:hint="default"/>
                <w:spacing w:val="-8"/>
                <w:sz w:val="18"/>
                <w:szCs w:val="18"/>
              </w:rPr>
              <w:t>的资产、衍生产品等金融资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宁波银行股份有限 公司苏州高新技术 产业开发区支行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债券、同业资产、货币市场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工具及其他符合监管要求 </w:t>
            </w:r>
            <w:r>
              <w:rPr>
                <w:rFonts w:ascii="宋体" w:hAnsi="宋体" w:cs="宋体" w:eastAsia="宋体" w:hint="default"/>
                <w:spacing w:val="-8"/>
                <w:sz w:val="18"/>
                <w:szCs w:val="18"/>
              </w:rPr>
              <w:t>的资产、衍生产品等金融资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1962"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3"/>
              <w:jc w:val="left"/>
              <w:rPr>
                <w:rFonts w:ascii="宋体" w:hAnsi="宋体" w:cs="宋体" w:eastAsia="宋体" w:hint="default"/>
                <w:sz w:val="18"/>
                <w:szCs w:val="18"/>
              </w:rPr>
            </w:pPr>
            <w:r>
              <w:rPr>
                <w:rFonts w:ascii="宋体" w:hAnsi="宋体" w:cs="宋体" w:eastAsia="宋体" w:hint="default"/>
                <w:sz w:val="18"/>
                <w:szCs w:val="18"/>
              </w:rPr>
              <w:t>中国银河证券股份 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短期固定 收益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质押式回购业务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9" w:lineRule="auto" w:before="63"/>
              <w:ind w:left="24" w:right="20"/>
              <w:jc w:val="left"/>
              <w:rPr>
                <w:rFonts w:ascii="宋体" w:hAnsi="宋体" w:cs="宋体" w:eastAsia="宋体" w:hint="default"/>
                <w:sz w:val="18"/>
                <w:szCs w:val="18"/>
              </w:rPr>
            </w:pPr>
            <w:r>
              <w:rPr>
                <w:rFonts w:ascii="宋体" w:hAnsi="宋体" w:cs="宋体" w:eastAsia="宋体" w:hint="default"/>
                <w:spacing w:val="-16"/>
                <w:sz w:val="18"/>
                <w:szCs w:val="18"/>
              </w:rPr>
              <w:t>）《关于公司使用闲置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自有资金购买理财产 </w:t>
            </w:r>
            <w:r>
              <w:rPr>
                <w:rFonts w:ascii="宋体" w:hAnsi="宋体" w:cs="宋体" w:eastAsia="宋体" w:hint="default"/>
                <w:spacing w:val="-10"/>
                <w:sz w:val="18"/>
                <w:szCs w:val="18"/>
              </w:rPr>
              <w:t>品的公告》（公告编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2016-030</w:t>
            </w:r>
            <w:r>
              <w:rPr>
                <w:rFonts w:ascii="宋体" w:hAnsi="宋体" w:cs="宋体" w:eastAsia="宋体" w:hint="default"/>
                <w:sz w:val="18"/>
                <w:szCs w:val="18"/>
              </w:rPr>
              <w:t>）</w:t>
            </w:r>
          </w:p>
        </w:tc>
      </w:tr>
      <w:tr>
        <w:trPr>
          <w:trHeight w:val="2547"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13"/>
              <w:jc w:val="both"/>
              <w:rPr>
                <w:rFonts w:ascii="宋体" w:hAnsi="宋体" w:cs="宋体" w:eastAsia="宋体" w:hint="default"/>
                <w:sz w:val="18"/>
                <w:szCs w:val="18"/>
              </w:rPr>
            </w:pPr>
            <w:r>
              <w:rPr>
                <w:rFonts w:ascii="宋体" w:hAnsi="宋体" w:cs="宋体" w:eastAsia="宋体" w:hint="default"/>
                <w:sz w:val="18"/>
                <w:szCs w:val="18"/>
              </w:rPr>
              <w:t>中国农业银行股份 有限公司苏州高新 技术产业开发区支 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保本保证 收益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 w:right="21"/>
              <w:jc w:val="left"/>
              <w:rPr>
                <w:rFonts w:ascii="宋体" w:hAnsi="宋体" w:cs="宋体" w:eastAsia="宋体" w:hint="default"/>
                <w:sz w:val="18"/>
                <w:szCs w:val="18"/>
              </w:rPr>
            </w:pPr>
            <w:r>
              <w:rPr>
                <w:rFonts w:ascii="宋体" w:hAnsi="宋体" w:cs="宋体" w:eastAsia="宋体" w:hint="default"/>
                <w:spacing w:val="-8"/>
                <w:sz w:val="18"/>
                <w:szCs w:val="18"/>
              </w:rPr>
              <w:t>货币市场工具、较高信用等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级的信用债、非公开定向债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务融资工具、低风险同业资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金业务、掉期等可锁定风险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收益的本外币货币资金市 </w:t>
            </w:r>
            <w:r>
              <w:rPr>
                <w:rFonts w:ascii="宋体" w:hAnsi="宋体" w:cs="宋体" w:eastAsia="宋体" w:hint="default"/>
                <w:spacing w:val="-8"/>
                <w:sz w:val="18"/>
                <w:szCs w:val="18"/>
              </w:rPr>
              <w:t>场工具，商业银行或其他符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合资质的机构发行的固定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072" w:lineRule="exact"/>
              <w:ind w:right="-51"/>
              <w:jc w:val="left"/>
              <w:rPr>
                <w:rFonts w:ascii="宋体" w:hAnsi="宋体" w:cs="宋体" w:eastAsia="宋体" w:hint="default"/>
                <w:sz w:val="20"/>
                <w:szCs w:val="20"/>
              </w:rPr>
            </w:pPr>
            <w:r>
              <w:rPr>
                <w:rFonts w:ascii="宋体" w:hAnsi="宋体" w:cs="宋体" w:eastAsia="宋体" w:hint="default"/>
                <w:position w:val="-20"/>
                <w:sz w:val="20"/>
                <w:szCs w:val="20"/>
              </w:rPr>
              <w:pict>
                <v:group style="width:20.8pt;height:53.6pt;mso-position-horizontal-relative:char;mso-position-vertical-relative:line" coordorigin="0,0" coordsize="416,1072">
                  <v:group style="position:absolute;left:0;top:0;width:416;height:1072" coordorigin="0,0" coordsize="416,1072">
                    <v:shape style="position:absolute;left:0;top:0;width:416;height:1072" coordorigin="0,0" coordsize="416,1072" path="m0,1072l415,1072,415,0,0,0,0,1072xe" filled="true" fillcolor="#ffffff" stroked="false">
                      <v:path arrowok="t"/>
                      <v:fill type="solid"/>
                    </v:shape>
                  </v:group>
                </v:group>
              </w:pict>
            </w:r>
            <w:r>
              <w:rPr>
                <w:rFonts w:ascii="宋体" w:hAnsi="宋体" w:cs="宋体" w:eastAsia="宋体" w:hint="default"/>
                <w:position w:val="-20"/>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6" w:lineRule="auto" w:before="63"/>
              <w:ind w:left="24" w:right="20"/>
              <w:jc w:val="both"/>
              <w:rPr>
                <w:rFonts w:ascii="宋体" w:hAnsi="宋体" w:cs="宋体" w:eastAsia="宋体" w:hint="default"/>
                <w:sz w:val="18"/>
                <w:szCs w:val="18"/>
              </w:rPr>
            </w:pPr>
            <w:r>
              <w:rPr>
                <w:rFonts w:ascii="宋体" w:hAnsi="宋体" w:cs="宋体" w:eastAsia="宋体" w:hint="default"/>
                <w:spacing w:val="-16"/>
                <w:sz w:val="18"/>
                <w:szCs w:val="18"/>
              </w:rPr>
              <w:t>）《关于公司使用部分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闲置募集资金购买理 财产品的进展公告》</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2016-017</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6840" w:h="11910" w:orient="landscape"/>
          <w:pgMar w:header="867" w:footer="979" w:top="1060" w:bottom="1240" w:left="480" w:right="0"/>
        </w:sectPr>
      </w:pPr>
    </w:p>
    <w:p>
      <w:pPr>
        <w:spacing w:line="240" w:lineRule="auto" w:before="4"/>
        <w:rPr>
          <w:rFonts w:ascii="Times New Roman" w:hAnsi="Times New Roman" w:cs="Times New Roman" w:eastAsia="Times New Roman" w:hint="default"/>
          <w:sz w:val="3"/>
          <w:szCs w:val="3"/>
        </w:rPr>
      </w:pPr>
      <w:r>
        <w:rPr/>
        <w:pict>
          <v:shape style="position:absolute;margin-left:401.359985pt;margin-top:57.180008pt;width:126pt;height:48.9pt;mso-position-horizontal-relative:page;mso-position-vertical-relative:page;z-index:-8974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9"/>
                      <w:szCs w:val="19"/>
                    </w:rPr>
                  </w:pPr>
                </w:p>
                <w:p>
                  <w:pPr>
                    <w:pStyle w:val="BodyText"/>
                    <w:spacing w:line="240" w:lineRule="auto"/>
                    <w:ind w:left="0" w:right="0"/>
                    <w:jc w:val="left"/>
                  </w:pPr>
                  <w:r>
                    <w:rPr/>
                    <w:t>信托计划及其他投资品种。</w:t>
                  </w:r>
                </w:p>
              </w:txbxContent>
            </v:textbox>
            <w10:wrap type="none"/>
          </v:shape>
        </w:pict>
      </w:r>
      <w:r>
        <w:rPr/>
        <w:pict>
          <v:shape style="position:absolute;margin-left:401.359985pt;margin-top:106.520004pt;width:126pt;height:78pt;mso-position-horizontal-relative:page;mso-position-vertical-relative:page;z-index:-897400" type="#_x0000_t202" filled="false" stroked="false">
            <v:textbox inset="0,0,0,0">
              <w:txbxContent>
                <w:p>
                  <w:pPr>
                    <w:pStyle w:val="BodyText"/>
                    <w:spacing w:line="240" w:lineRule="auto" w:before="51"/>
                    <w:ind w:left="0" w:right="0"/>
                    <w:jc w:val="left"/>
                  </w:pPr>
                  <w:r>
                    <w:rPr/>
                    <w:t>国债、金融债、央行票据、</w:t>
                  </w:r>
                </w:p>
              </w:txbxContent>
            </v:textbox>
            <w10:wrap type="none"/>
          </v:shape>
        </w:pict>
      </w:r>
      <w:r>
        <w:rPr/>
        <w:pict>
          <v:shape style="position:absolute;margin-left:401.359985pt;margin-top:204.140015pt;width:126pt;height:78.05pt;mso-position-horizontal-relative:page;mso-position-vertical-relative:page;z-index:-8973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6"/>
                      <w:szCs w:val="16"/>
                    </w:rPr>
                  </w:pPr>
                </w:p>
                <w:p>
                  <w:pPr>
                    <w:pStyle w:val="BodyText"/>
                    <w:spacing w:line="240" w:lineRule="auto"/>
                    <w:ind w:left="0" w:right="0"/>
                    <w:jc w:val="left"/>
                  </w:pPr>
                  <w:r>
                    <w:rPr/>
                    <w:t>信托计划及其他投资品种。</w:t>
                  </w:r>
                </w:p>
              </w:txbxContent>
            </v:textbox>
            <w10:wrap type="none"/>
          </v:shape>
        </w:pict>
      </w:r>
      <w:r>
        <w:rPr/>
        <w:pict>
          <v:shape style="position:absolute;margin-left:401.359985pt;margin-top:282.640015pt;width:126pt;height:78pt;mso-position-horizontal-relative:page;mso-position-vertical-relative:page;z-index:-897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券、存款、货币市场基金、</w:t>
                  </w:r>
                </w:p>
              </w:txbxContent>
            </v:textbox>
            <w10:wrap type="none"/>
          </v:shape>
        </w:pict>
      </w:r>
      <w:r>
        <w:rPr/>
        <w:pict>
          <v:group style="position:absolute;margin-left:506.559998pt;margin-top:57.180008pt;width:20.8pt;height:127.35pt;mso-position-horizontal-relative:page;mso-position-vertical-relative:page;z-index:-897328" coordorigin="10131,1144" coordsize="416,2547">
            <v:group style="position:absolute;left:10131;top:1144;width:416;height:978" coordorigin="10131,1144" coordsize="416,978">
              <v:shape style="position:absolute;left:10131;top:1144;width:416;height:978" coordorigin="10131,1144" coordsize="416,978" path="m10131,2121l10546,2121,10546,1144,10131,1144,10131,2121xe" filled="true" fillcolor="#ffffff" stroked="false">
                <v:path arrowok="t"/>
                <v:fill type="solid"/>
              </v:shape>
            </v:group>
            <v:group style="position:absolute;left:10131;top:2130;width:416;height:1560" coordorigin="10131,2130" coordsize="416,1560">
              <v:shape style="position:absolute;left:10131;top:2130;width:416;height:1560" coordorigin="10131,2130" coordsize="416,1560" path="m10131,3690l10546,3690,10546,2130,10131,2130,10131,3690xe" filled="true" fillcolor="#ffffff" stroked="false">
                <v:path arrowok="t"/>
                <v:fill type="solid"/>
              </v:shape>
            </v:group>
            <w10:wrap type="none"/>
          </v:group>
        </w:pict>
      </w:r>
      <w:r>
        <w:rPr/>
        <w:pict>
          <v:group style="position:absolute;margin-left:506.559998pt;margin-top:204.140015pt;width:20.8pt;height:156.5pt;mso-position-horizontal-relative:page;mso-position-vertical-relative:page;z-index:-897304" coordorigin="10131,4083" coordsize="416,3130">
            <v:group style="position:absolute;left:10131;top:4083;width:416;height:1561" coordorigin="10131,4083" coordsize="416,1561">
              <v:shape style="position:absolute;left:10131;top:4083;width:416;height:1561" coordorigin="10131,4083" coordsize="416,1561" path="m10131,5643l10546,5643,10546,4083,10131,4083,10131,5643xe" filled="true" fillcolor="#ffffff" stroked="false">
                <v:path arrowok="t"/>
                <v:fill type="solid"/>
              </v:shape>
            </v:group>
            <v:group style="position:absolute;left:10131;top:5653;width:416;height:1560" coordorigin="10131,5653" coordsize="416,1560">
              <v:shape style="position:absolute;left:10131;top:5653;width:416;height:1560" coordorigin="10131,5653" coordsize="416,1560" path="m10131,7213l10546,7213,10546,5653,10131,5653,10131,7213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588"/>
        <w:gridCol w:w="568"/>
        <w:gridCol w:w="850"/>
        <w:gridCol w:w="709"/>
        <w:gridCol w:w="566"/>
        <w:gridCol w:w="1559"/>
        <w:gridCol w:w="1560"/>
        <w:gridCol w:w="2127"/>
        <w:gridCol w:w="425"/>
        <w:gridCol w:w="568"/>
        <w:gridCol w:w="566"/>
        <w:gridCol w:w="568"/>
        <w:gridCol w:w="767"/>
        <w:gridCol w:w="650"/>
        <w:gridCol w:w="426"/>
        <w:gridCol w:w="566"/>
        <w:gridCol w:w="1702"/>
      </w:tblGrid>
      <w:tr>
        <w:trPr>
          <w:trHeight w:val="1001" w:hRule="exact"/>
        </w:trPr>
        <w:tc>
          <w:tcPr>
            <w:tcW w:w="1588"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2127"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收益类投资工具</w:t>
            </w:r>
            <w:r>
              <w:rPr>
                <w:rFonts w:ascii="宋体" w:hAnsi="宋体" w:cs="宋体" w:eastAsia="宋体" w:hint="default"/>
                <w:spacing w:val="-89"/>
                <w:sz w:val="18"/>
                <w:szCs w:val="18"/>
              </w:rPr>
              <w:t>、</w:t>
            </w:r>
            <w:r>
              <w:rPr>
                <w:rFonts w:ascii="宋体" w:hAnsi="宋体" w:cs="宋体" w:eastAsia="宋体" w:hint="default"/>
                <w:sz w:val="18"/>
                <w:szCs w:val="18"/>
              </w:rPr>
              <w:t>非标准化</w:t>
            </w:r>
            <w:r>
              <w:rPr>
                <w:rFonts w:ascii="宋体" w:hAnsi="宋体" w:cs="宋体" w:eastAsia="宋体" w:hint="default"/>
                <w:sz w:val="18"/>
                <w:szCs w:val="18"/>
              </w:rPr>
              <w:t> 债权</w:t>
            </w:r>
            <w:r>
              <w:rPr>
                <w:rFonts w:ascii="宋体" w:hAnsi="宋体" w:cs="宋体" w:eastAsia="宋体" w:hint="default"/>
                <w:spacing w:val="-89"/>
                <w:sz w:val="18"/>
                <w:szCs w:val="18"/>
              </w:rPr>
              <w:t>，</w:t>
            </w:r>
            <w:r>
              <w:rPr>
                <w:rFonts w:ascii="宋体" w:hAnsi="宋体" w:cs="宋体" w:eastAsia="宋体" w:hint="default"/>
                <w:sz w:val="18"/>
                <w:szCs w:val="18"/>
              </w:rPr>
              <w:t>以及符合监管要求的</w:t>
            </w:r>
          </w:p>
        </w:tc>
        <w:tc>
          <w:tcPr>
            <w:tcW w:w="425"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767" w:type="dxa"/>
            <w:tcBorders>
              <w:top w:val="single" w:sz="15" w:space="0" w:color="000000"/>
              <w:left w:val="single" w:sz="4" w:space="0" w:color="000000"/>
              <w:bottom w:val="single" w:sz="4" w:space="0" w:color="000000"/>
              <w:right w:val="single" w:sz="4" w:space="0" w:color="000000"/>
            </w:tcBorders>
          </w:tcPr>
          <w:p>
            <w:pPr/>
          </w:p>
        </w:tc>
        <w:tc>
          <w:tcPr>
            <w:tcW w:w="650"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r>
      <w:tr>
        <w:trPr>
          <w:trHeight w:val="669" w:hRule="exact"/>
        </w:trPr>
        <w:tc>
          <w:tcPr>
            <w:tcW w:w="1588"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货币市场工具</w:t>
            </w:r>
            <w:r>
              <w:rPr>
                <w:rFonts w:ascii="宋体" w:hAnsi="宋体" w:cs="宋体" w:eastAsia="宋体" w:hint="default"/>
                <w:spacing w:val="-89"/>
                <w:sz w:val="18"/>
                <w:szCs w:val="18"/>
              </w:rPr>
              <w:t>、</w:t>
            </w:r>
            <w:r>
              <w:rPr>
                <w:rFonts w:ascii="宋体" w:hAnsi="宋体" w:cs="宋体" w:eastAsia="宋体" w:hint="default"/>
                <w:sz w:val="18"/>
                <w:szCs w:val="18"/>
              </w:rPr>
              <w:t>较高信用等</w:t>
            </w:r>
          </w:p>
        </w:tc>
        <w:tc>
          <w:tcPr>
            <w:tcW w:w="425"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67" w:type="dxa"/>
            <w:tcBorders>
              <w:top w:val="single" w:sz="4" w:space="0" w:color="000000"/>
              <w:left w:val="single" w:sz="4" w:space="0" w:color="000000"/>
              <w:bottom w:val="nil" w:sz="6" w:space="0" w:color="auto"/>
              <w:right w:val="single" w:sz="4" w:space="0" w:color="000000"/>
            </w:tcBorders>
          </w:tcPr>
          <w:p>
            <w:pPr/>
          </w:p>
        </w:tc>
        <w:tc>
          <w:tcPr>
            <w:tcW w:w="650"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58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级的信用债</w:t>
            </w:r>
            <w:r>
              <w:rPr>
                <w:rFonts w:ascii="宋体" w:hAnsi="宋体" w:cs="宋体" w:eastAsia="宋体" w:hint="default"/>
                <w:spacing w:val="-89"/>
                <w:sz w:val="18"/>
                <w:szCs w:val="18"/>
              </w:rPr>
              <w:t>、</w:t>
            </w:r>
            <w:r>
              <w:rPr>
                <w:rFonts w:ascii="宋体" w:hAnsi="宋体" w:cs="宋体" w:eastAsia="宋体" w:hint="default"/>
                <w:sz w:val="18"/>
                <w:szCs w:val="18"/>
              </w:rPr>
              <w:t>非公开定向债</w:t>
            </w:r>
          </w:p>
        </w:tc>
        <w:tc>
          <w:tcPr>
            <w:tcW w:w="425"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767"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560" w:hRule="exact"/>
        </w:trPr>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中国农业银行股份 有限公司苏州高新 技术产业开发区支 行</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保本保证 收益</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3"/>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8"/>
                <w:sz w:val="18"/>
                <w:szCs w:val="18"/>
              </w:rPr>
              <w:t>务融资工具、低风险同业资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金业务、掉期等可锁定风险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收益的本外币货币资金市 </w:t>
            </w:r>
            <w:r>
              <w:rPr>
                <w:rFonts w:ascii="宋体" w:hAnsi="宋体" w:cs="宋体" w:eastAsia="宋体" w:hint="default"/>
                <w:spacing w:val="-8"/>
                <w:sz w:val="18"/>
                <w:szCs w:val="18"/>
              </w:rPr>
              <w:t>场工具，商业银行或其他符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合资质的机构发行的固定</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20.71</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20.71</w:t>
            </w:r>
          </w:p>
        </w:tc>
        <w:tc>
          <w:tcPr>
            <w:tcW w:w="7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6" w:lineRule="auto" w:before="63"/>
              <w:ind w:left="24" w:right="20"/>
              <w:jc w:val="both"/>
              <w:rPr>
                <w:rFonts w:ascii="宋体" w:hAnsi="宋体" w:cs="宋体" w:eastAsia="宋体" w:hint="default"/>
                <w:sz w:val="18"/>
                <w:szCs w:val="18"/>
              </w:rPr>
            </w:pPr>
            <w:r>
              <w:rPr>
                <w:rFonts w:ascii="宋体" w:hAnsi="宋体" w:cs="宋体" w:eastAsia="宋体" w:hint="default"/>
                <w:spacing w:val="-16"/>
                <w:sz w:val="18"/>
                <w:szCs w:val="18"/>
              </w:rPr>
              <w:t>）《关于公司使用部分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闲置募集资金购买理 财产品的进展公告》</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8" w:hRule="exact"/>
        </w:trPr>
        <w:tc>
          <w:tcPr>
            <w:tcW w:w="158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收益类投资工具</w:t>
            </w:r>
            <w:r>
              <w:rPr>
                <w:rFonts w:ascii="宋体" w:hAnsi="宋体" w:cs="宋体" w:eastAsia="宋体" w:hint="default"/>
                <w:spacing w:val="-89"/>
                <w:sz w:val="18"/>
                <w:szCs w:val="18"/>
              </w:rPr>
              <w:t>、</w:t>
            </w:r>
            <w:r>
              <w:rPr>
                <w:rFonts w:ascii="宋体" w:hAnsi="宋体" w:cs="宋体" w:eastAsia="宋体" w:hint="default"/>
                <w:sz w:val="18"/>
                <w:szCs w:val="18"/>
              </w:rPr>
              <w:t>非标准化</w:t>
            </w:r>
          </w:p>
        </w:tc>
        <w:tc>
          <w:tcPr>
            <w:tcW w:w="425"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767"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2016-017</w:t>
            </w:r>
            <w:r>
              <w:rPr>
                <w:rFonts w:ascii="宋体" w:hAnsi="宋体" w:cs="宋体" w:eastAsia="宋体" w:hint="default"/>
                <w:sz w:val="18"/>
                <w:szCs w:val="18"/>
              </w:rPr>
              <w:t>）</w:t>
            </w:r>
          </w:p>
        </w:tc>
      </w:tr>
      <w:tr>
        <w:trPr>
          <w:trHeight w:val="664" w:hRule="exact"/>
        </w:trPr>
        <w:tc>
          <w:tcPr>
            <w:tcW w:w="158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债权</w:t>
            </w:r>
            <w:r>
              <w:rPr>
                <w:rFonts w:ascii="宋体" w:hAnsi="宋体" w:cs="宋体" w:eastAsia="宋体" w:hint="default"/>
                <w:spacing w:val="-89"/>
                <w:sz w:val="18"/>
                <w:szCs w:val="18"/>
              </w:rPr>
              <w:t>，</w:t>
            </w:r>
            <w:r>
              <w:rPr>
                <w:rFonts w:ascii="宋体" w:hAnsi="宋体" w:cs="宋体" w:eastAsia="宋体" w:hint="default"/>
                <w:sz w:val="18"/>
                <w:szCs w:val="18"/>
              </w:rPr>
              <w:t>以及符合监管要求的</w:t>
            </w:r>
          </w:p>
        </w:tc>
        <w:tc>
          <w:tcPr>
            <w:tcW w:w="425"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67"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88"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一、债券、存款等高流动性</w:t>
            </w:r>
          </w:p>
        </w:tc>
        <w:tc>
          <w:tcPr>
            <w:tcW w:w="425"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67" w:type="dxa"/>
            <w:tcBorders>
              <w:top w:val="single" w:sz="4" w:space="0" w:color="000000"/>
              <w:left w:val="single" w:sz="4" w:space="0" w:color="000000"/>
              <w:bottom w:val="nil" w:sz="6" w:space="0" w:color="auto"/>
              <w:right w:val="single" w:sz="4" w:space="0" w:color="000000"/>
            </w:tcBorders>
          </w:tcPr>
          <w:p>
            <w:pPr/>
          </w:p>
        </w:tc>
        <w:tc>
          <w:tcPr>
            <w:tcW w:w="650"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8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9"/>
                <w:sz w:val="18"/>
                <w:szCs w:val="18"/>
              </w:rPr>
              <w:t>，</w:t>
            </w:r>
            <w:r>
              <w:rPr>
                <w:rFonts w:ascii="宋体" w:hAnsi="宋体" w:cs="宋体" w:eastAsia="宋体" w:hint="default"/>
                <w:sz w:val="18"/>
                <w:szCs w:val="18"/>
              </w:rPr>
              <w:t>包括但不限于各类债</w:t>
            </w:r>
          </w:p>
        </w:tc>
        <w:tc>
          <w:tcPr>
            <w:tcW w:w="425"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767"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8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767"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560" w:hRule="exact"/>
        </w:trPr>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中国工商银行股份 有限公司苏州高新 技术产业开发区支 行</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3"/>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8"/>
                <w:sz w:val="18"/>
                <w:szCs w:val="18"/>
              </w:rPr>
              <w:t>债券基金、质押式回购等货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币市场交易工具；二、其他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资产或资产组合，包括但不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限于证券公司集合资产管 理计划或定向资产管理计</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23.56</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23.56</w:t>
            </w:r>
          </w:p>
        </w:tc>
        <w:tc>
          <w:tcPr>
            <w:tcW w:w="7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6" w:lineRule="auto" w:before="63"/>
              <w:ind w:left="24" w:right="20"/>
              <w:jc w:val="both"/>
              <w:rPr>
                <w:rFonts w:ascii="宋体" w:hAnsi="宋体" w:cs="宋体" w:eastAsia="宋体" w:hint="default"/>
                <w:sz w:val="18"/>
                <w:szCs w:val="18"/>
              </w:rPr>
            </w:pPr>
            <w:r>
              <w:rPr>
                <w:rFonts w:ascii="宋体" w:hAnsi="宋体" w:cs="宋体" w:eastAsia="宋体" w:hint="default"/>
                <w:spacing w:val="-16"/>
                <w:sz w:val="18"/>
                <w:szCs w:val="18"/>
              </w:rPr>
              <w:t>）《关于公司使用部分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闲置募集资金购买理 财产品的进展公告》</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8" w:hRule="exact"/>
        </w:trPr>
        <w:tc>
          <w:tcPr>
            <w:tcW w:w="158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w:t>
            </w:r>
            <w:r>
              <w:rPr>
                <w:rFonts w:ascii="宋体" w:hAnsi="宋体" w:cs="宋体" w:eastAsia="宋体" w:hint="default"/>
                <w:spacing w:val="-89"/>
                <w:sz w:val="18"/>
                <w:szCs w:val="18"/>
              </w:rPr>
              <w:t>、</w:t>
            </w:r>
            <w:r>
              <w:rPr>
                <w:rFonts w:ascii="宋体" w:hAnsi="宋体" w:cs="宋体" w:eastAsia="宋体" w:hint="default"/>
                <w:sz w:val="18"/>
                <w:szCs w:val="18"/>
              </w:rPr>
              <w:t>基金公司特定客户资产</w:t>
            </w:r>
          </w:p>
        </w:tc>
        <w:tc>
          <w:tcPr>
            <w:tcW w:w="425"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767"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2016-029</w:t>
            </w:r>
            <w:r>
              <w:rPr>
                <w:rFonts w:ascii="宋体" w:hAnsi="宋体" w:cs="宋体" w:eastAsia="宋体" w:hint="default"/>
                <w:sz w:val="18"/>
                <w:szCs w:val="18"/>
              </w:rPr>
              <w:t>）</w:t>
            </w:r>
          </w:p>
        </w:tc>
      </w:tr>
      <w:tr>
        <w:trPr>
          <w:trHeight w:val="307" w:hRule="exact"/>
        </w:trPr>
        <w:tc>
          <w:tcPr>
            <w:tcW w:w="158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管理计划</w:t>
            </w:r>
            <w:r>
              <w:rPr>
                <w:rFonts w:ascii="宋体" w:hAnsi="宋体" w:cs="宋体" w:eastAsia="宋体" w:hint="default"/>
                <w:spacing w:val="-89"/>
                <w:sz w:val="18"/>
                <w:szCs w:val="18"/>
              </w:rPr>
              <w:t>、</w:t>
            </w:r>
            <w:r>
              <w:rPr>
                <w:rFonts w:ascii="宋体" w:hAnsi="宋体" w:cs="宋体" w:eastAsia="宋体" w:hint="default"/>
                <w:sz w:val="18"/>
                <w:szCs w:val="18"/>
              </w:rPr>
              <w:t>保险资产管理公</w:t>
            </w:r>
          </w:p>
        </w:tc>
        <w:tc>
          <w:tcPr>
            <w:tcW w:w="425"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767"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8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司投资计划等</w:t>
            </w:r>
          </w:p>
        </w:tc>
        <w:tc>
          <w:tcPr>
            <w:tcW w:w="425"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67"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1298"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13"/>
              <w:jc w:val="both"/>
              <w:rPr>
                <w:rFonts w:ascii="宋体" w:hAnsi="宋体" w:cs="宋体" w:eastAsia="宋体" w:hint="default"/>
                <w:sz w:val="18"/>
                <w:szCs w:val="18"/>
              </w:rPr>
            </w:pPr>
            <w:r>
              <w:rPr>
                <w:rFonts w:ascii="宋体" w:hAnsi="宋体" w:cs="宋体" w:eastAsia="宋体" w:hint="default"/>
                <w:sz w:val="18"/>
                <w:szCs w:val="18"/>
              </w:rPr>
              <w:t>宁波银行股份有限 公司苏州高新技术 产业开发区支行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95"/>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3,800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债券及现金、同业资产、货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币市场工具及其他符合监 管要求的金融资产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3.00%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56.84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56.84</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6" w:lineRule="auto" w:before="63"/>
              <w:ind w:left="24" w:right="20"/>
              <w:jc w:val="left"/>
              <w:rPr>
                <w:rFonts w:ascii="宋体" w:hAnsi="宋体" w:cs="宋体" w:eastAsia="宋体" w:hint="default"/>
                <w:sz w:val="18"/>
                <w:szCs w:val="18"/>
              </w:rPr>
            </w:pPr>
            <w:r>
              <w:rPr>
                <w:rFonts w:ascii="宋体" w:hAnsi="宋体" w:cs="宋体" w:eastAsia="宋体" w:hint="default"/>
                <w:spacing w:val="-16"/>
                <w:sz w:val="18"/>
                <w:szCs w:val="18"/>
              </w:rPr>
              <w:t>）《关于公司使用部分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闲置募集资金购买理</w:t>
            </w:r>
          </w:p>
        </w:tc>
      </w:tr>
    </w:tbl>
    <w:p>
      <w:pPr>
        <w:spacing w:after="0" w:line="316" w:lineRule="auto"/>
        <w:jc w:val="left"/>
        <w:rPr>
          <w:rFonts w:ascii="宋体" w:hAnsi="宋体" w:cs="宋体" w:eastAsia="宋体" w:hint="default"/>
          <w:sz w:val="18"/>
          <w:szCs w:val="18"/>
        </w:rPr>
        <w:sectPr>
          <w:headerReference w:type="default" r:id="rId23"/>
          <w:pgSz w:w="16840" w:h="11910" w:orient="landscape"/>
          <w:pgMar w:header="867" w:footer="979" w:top="1060" w:bottom="1160" w:left="480" w:right="0"/>
        </w:sectPr>
      </w:pPr>
    </w:p>
    <w:p>
      <w:pPr>
        <w:spacing w:line="240" w:lineRule="auto" w:before="4"/>
        <w:rPr>
          <w:rFonts w:ascii="Times New Roman" w:hAnsi="Times New Roman" w:cs="Times New Roman" w:eastAsia="Times New Roman" w:hint="default"/>
          <w:sz w:val="3"/>
          <w:szCs w:val="3"/>
        </w:rPr>
      </w:pPr>
      <w:r>
        <w:rPr/>
        <w:pict>
          <v:shape style="position:absolute;margin-left:401.359985pt;margin-top:106.520004pt;width:126pt;height:78pt;mso-position-horizontal-relative:page;mso-position-vertical-relative:page;z-index:-897232" type="#_x0000_t202" filled="false" stroked="false">
            <v:textbox inset="0,0,0,0">
              <w:txbxContent>
                <w:p>
                  <w:pPr>
                    <w:pStyle w:val="BodyText"/>
                    <w:spacing w:line="240" w:lineRule="auto" w:before="51"/>
                    <w:ind w:left="0" w:right="0"/>
                    <w:jc w:val="left"/>
                  </w:pPr>
                  <w:r>
                    <w:rPr/>
                    <w:t>国债、金融债、央行票据、</w:t>
                  </w:r>
                </w:p>
              </w:txbxContent>
            </v:textbox>
            <w10:wrap type="none"/>
          </v:shape>
        </w:pict>
      </w:r>
      <w:r>
        <w:rPr/>
        <w:pict>
          <v:shape style="position:absolute;margin-left:401.359985pt;margin-top:204.140015pt;width:126pt;height:78.05pt;mso-position-horizontal-relative:page;mso-position-vertical-relative:page;z-index:-897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6"/>
                      <w:szCs w:val="16"/>
                    </w:rPr>
                  </w:pPr>
                </w:p>
                <w:p>
                  <w:pPr>
                    <w:pStyle w:val="BodyText"/>
                    <w:spacing w:line="240" w:lineRule="auto"/>
                    <w:ind w:left="0" w:right="0"/>
                    <w:jc w:val="left"/>
                  </w:pPr>
                  <w:r>
                    <w:rPr/>
                    <w:t>信托计划及其他投资品种。</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588"/>
        <w:gridCol w:w="568"/>
        <w:gridCol w:w="850"/>
        <w:gridCol w:w="709"/>
        <w:gridCol w:w="566"/>
        <w:gridCol w:w="1559"/>
        <w:gridCol w:w="1560"/>
        <w:gridCol w:w="2127"/>
        <w:gridCol w:w="425"/>
        <w:gridCol w:w="568"/>
        <w:gridCol w:w="566"/>
        <w:gridCol w:w="568"/>
        <w:gridCol w:w="767"/>
        <w:gridCol w:w="650"/>
        <w:gridCol w:w="426"/>
        <w:gridCol w:w="566"/>
        <w:gridCol w:w="1702"/>
      </w:tblGrid>
      <w:tr>
        <w:trPr>
          <w:trHeight w:val="1001" w:hRule="exact"/>
        </w:trPr>
        <w:tc>
          <w:tcPr>
            <w:tcW w:w="1588"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212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767" w:type="dxa"/>
            <w:tcBorders>
              <w:top w:val="single" w:sz="15" w:space="0" w:color="000000"/>
              <w:left w:val="single" w:sz="4" w:space="0" w:color="000000"/>
              <w:bottom w:val="single" w:sz="4" w:space="0" w:color="000000"/>
              <w:right w:val="single" w:sz="4" w:space="0" w:color="000000"/>
            </w:tcBorders>
          </w:tcPr>
          <w:p>
            <w:pPr/>
          </w:p>
        </w:tc>
        <w:tc>
          <w:tcPr>
            <w:tcW w:w="650"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财产品的进展公告》</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2016-031</w:t>
            </w:r>
            <w:r>
              <w:rPr>
                <w:rFonts w:ascii="宋体" w:hAnsi="宋体" w:cs="宋体" w:eastAsia="宋体" w:hint="default"/>
                <w:sz w:val="18"/>
                <w:szCs w:val="18"/>
              </w:rPr>
              <w:t>）</w:t>
            </w:r>
          </w:p>
        </w:tc>
      </w:tr>
      <w:tr>
        <w:trPr>
          <w:trHeight w:val="3522"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13"/>
              <w:jc w:val="both"/>
              <w:rPr>
                <w:rFonts w:ascii="宋体" w:hAnsi="宋体" w:cs="宋体" w:eastAsia="宋体" w:hint="default"/>
                <w:sz w:val="18"/>
                <w:szCs w:val="18"/>
              </w:rPr>
            </w:pPr>
            <w:r>
              <w:rPr>
                <w:rFonts w:ascii="宋体" w:hAnsi="宋体" w:cs="宋体" w:eastAsia="宋体" w:hint="default"/>
                <w:sz w:val="18"/>
                <w:szCs w:val="18"/>
              </w:rPr>
              <w:t>中国农业银行股份 有限公司苏州高新 技术产业开发区支 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20"/>
              <w:jc w:val="left"/>
              <w:rPr>
                <w:rFonts w:ascii="宋体" w:hAnsi="宋体" w:cs="宋体" w:eastAsia="宋体" w:hint="default"/>
                <w:sz w:val="18"/>
                <w:szCs w:val="18"/>
              </w:rPr>
            </w:pPr>
            <w:r>
              <w:rPr>
                <w:rFonts w:ascii="宋体" w:hAnsi="宋体" w:cs="宋体" w:eastAsia="宋体" w:hint="default"/>
                <w:spacing w:val="-8"/>
                <w:sz w:val="18"/>
                <w:szCs w:val="18"/>
              </w:rPr>
              <w:t>货币市场工具、较高信用等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级的信用债、非公开定向债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务融资工具、低风险同业资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金业务、掉期等可锁定风险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收益的本外币货币资金市 </w:t>
            </w:r>
            <w:r>
              <w:rPr>
                <w:rFonts w:ascii="宋体" w:hAnsi="宋体" w:cs="宋体" w:eastAsia="宋体" w:hint="default"/>
                <w:spacing w:val="-8"/>
                <w:sz w:val="18"/>
                <w:szCs w:val="18"/>
              </w:rPr>
              <w:t>场工具，商业银行或其他符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合资质的机构发行的固定 </w:t>
            </w:r>
            <w:r>
              <w:rPr>
                <w:rFonts w:ascii="宋体" w:hAnsi="宋体" w:cs="宋体" w:eastAsia="宋体" w:hint="default"/>
                <w:spacing w:val="-8"/>
                <w:sz w:val="18"/>
                <w:szCs w:val="18"/>
              </w:rPr>
              <w:t>收益类投资工具、非标准化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债权，以及符合监管要求的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20.8pt;height:78pt;mso-position-horizontal-relative:char;mso-position-vertical-relative:line" coordorigin="0,0" coordsize="416,1560">
                  <v:group style="position:absolute;left:0;top:0;width:416;height:1560" coordorigin="0,0" coordsize="416,1560">
                    <v:shape style="position:absolute;left:0;top:0;width:416;height:1560" coordorigin="0,0" coordsize="416,1560" path="m0,1560l415,1560,415,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协议</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20.8pt;height:78.05pt;mso-position-horizontal-relative:char;mso-position-vertical-relative:line" coordorigin="0,0" coordsize="416,1561">
                  <v:group style="position:absolute;left:0;top:0;width:416;height:1561" coordorigin="0,0" coordsize="416,1561">
                    <v:shape style="position:absolute;left:0;top:0;width:416;height:1561" coordorigin="0,0" coordsize="416,1561" path="m0,1560l415,1560,415,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44.69</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6" w:lineRule="auto" w:before="63"/>
              <w:ind w:left="24" w:right="20"/>
              <w:jc w:val="both"/>
              <w:rPr>
                <w:rFonts w:ascii="宋体" w:hAnsi="宋体" w:cs="宋体" w:eastAsia="宋体" w:hint="default"/>
                <w:sz w:val="18"/>
                <w:szCs w:val="18"/>
              </w:rPr>
            </w:pPr>
            <w:r>
              <w:rPr>
                <w:rFonts w:ascii="宋体" w:hAnsi="宋体" w:cs="宋体" w:eastAsia="宋体" w:hint="default"/>
                <w:spacing w:val="-16"/>
                <w:sz w:val="18"/>
                <w:szCs w:val="18"/>
              </w:rPr>
              <w:t>）《关于公司使用部分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闲置募集资金购买理 财产品的进展公告》</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8"/>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2017-001</w:t>
            </w:r>
            <w:r>
              <w:rPr>
                <w:rFonts w:ascii="宋体" w:hAnsi="宋体" w:cs="宋体" w:eastAsia="宋体" w:hint="default"/>
                <w:sz w:val="18"/>
                <w:szCs w:val="18"/>
              </w:rPr>
              <w:t>）</w:t>
            </w:r>
          </w:p>
        </w:tc>
      </w:tr>
      <w:tr>
        <w:trPr>
          <w:trHeight w:val="227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13"/>
              <w:jc w:val="both"/>
              <w:rPr>
                <w:rFonts w:ascii="宋体" w:hAnsi="宋体" w:cs="宋体" w:eastAsia="宋体" w:hint="default"/>
                <w:sz w:val="18"/>
                <w:szCs w:val="18"/>
              </w:rPr>
            </w:pPr>
            <w:r>
              <w:rPr>
                <w:rFonts w:ascii="宋体" w:hAnsi="宋体" w:cs="宋体" w:eastAsia="宋体" w:hint="default"/>
                <w:sz w:val="18"/>
                <w:szCs w:val="18"/>
              </w:rPr>
              <w:t>中国建设银行股份 有限公司苏州高新 技术产业开发区支 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同业存款等符合监管要求 的其他投资工具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6" w:lineRule="auto" w:before="63"/>
              <w:ind w:left="24" w:right="20"/>
              <w:jc w:val="both"/>
              <w:rPr>
                <w:rFonts w:ascii="宋体" w:hAnsi="宋体" w:cs="宋体" w:eastAsia="宋体" w:hint="default"/>
                <w:sz w:val="18"/>
                <w:szCs w:val="18"/>
              </w:rPr>
            </w:pPr>
            <w:r>
              <w:rPr>
                <w:rFonts w:ascii="宋体" w:hAnsi="宋体" w:cs="宋体" w:eastAsia="宋体" w:hint="default"/>
                <w:spacing w:val="-16"/>
                <w:sz w:val="18"/>
                <w:szCs w:val="18"/>
              </w:rPr>
              <w:t>）《关于公司使用部分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闲置募集资金购买理 财产品的进展公告》</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2017-022</w:t>
            </w:r>
            <w:r>
              <w:rPr>
                <w:rFonts w:ascii="宋体" w:hAnsi="宋体" w:cs="宋体" w:eastAsia="宋体" w:hint="default"/>
                <w:sz w:val="18"/>
                <w:szCs w:val="18"/>
              </w:rPr>
              <w:t>）</w:t>
            </w:r>
          </w:p>
        </w:tc>
      </w:tr>
      <w:tr>
        <w:trPr>
          <w:trHeight w:val="227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宁波银行股份有限 公司苏州高新技术 产业开发区支行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20"/>
              <w:jc w:val="left"/>
              <w:rPr>
                <w:rFonts w:ascii="宋体" w:hAnsi="宋体" w:cs="宋体" w:eastAsia="宋体" w:hint="default"/>
                <w:sz w:val="18"/>
                <w:szCs w:val="18"/>
              </w:rPr>
            </w:pPr>
            <w:r>
              <w:rPr>
                <w:rFonts w:ascii="宋体" w:hAnsi="宋体" w:cs="宋体" w:eastAsia="宋体" w:hint="default"/>
                <w:spacing w:val="-8"/>
                <w:sz w:val="18"/>
                <w:szCs w:val="18"/>
              </w:rPr>
              <w:t>债券及现金、同业资产、货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币市场工具及其他符合监 </w:t>
            </w:r>
            <w:r>
              <w:rPr>
                <w:rFonts w:ascii="宋体" w:hAnsi="宋体" w:cs="宋体" w:eastAsia="宋体" w:hint="default"/>
                <w:spacing w:val="-8"/>
                <w:sz w:val="18"/>
                <w:szCs w:val="18"/>
              </w:rPr>
              <w:t>管要求的金融资产（其中非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标准化债权资产）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6" w:lineRule="auto" w:before="63"/>
              <w:ind w:left="24" w:right="20"/>
              <w:jc w:val="both"/>
              <w:rPr>
                <w:rFonts w:ascii="宋体" w:hAnsi="宋体" w:cs="宋体" w:eastAsia="宋体" w:hint="default"/>
                <w:sz w:val="18"/>
                <w:szCs w:val="18"/>
              </w:rPr>
            </w:pPr>
            <w:r>
              <w:rPr>
                <w:rFonts w:ascii="宋体" w:hAnsi="宋体" w:cs="宋体" w:eastAsia="宋体" w:hint="default"/>
                <w:spacing w:val="-16"/>
                <w:sz w:val="18"/>
                <w:szCs w:val="18"/>
              </w:rPr>
              <w:t>）《关于公司使用部分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闲置募集资金购买理 财产品的进展公告》</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2017-027</w:t>
            </w:r>
            <w:r>
              <w:rPr>
                <w:rFonts w:ascii="宋体" w:hAnsi="宋体" w:cs="宋体" w:eastAsia="宋体" w:hint="default"/>
                <w:sz w:val="18"/>
                <w:szCs w:val="18"/>
              </w:rPr>
              <w:t>）</w:t>
            </w:r>
          </w:p>
        </w:tc>
      </w:tr>
      <w:tr>
        <w:trPr>
          <w:trHeight w:val="402"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6,144.7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闲置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同业存款等符合监管机构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480" w:right="0"/>
        </w:sectPr>
      </w:pPr>
    </w:p>
    <w:p>
      <w:pPr>
        <w:spacing w:line="240" w:lineRule="auto" w:before="4"/>
        <w:rPr>
          <w:rFonts w:ascii="Times New Roman" w:hAnsi="Times New Roman" w:cs="Times New Roman" w:eastAsia="Times New Roman" w:hint="default"/>
          <w:sz w:val="3"/>
          <w:szCs w:val="3"/>
        </w:rPr>
      </w:pPr>
      <w:r>
        <w:rPr/>
        <w:pict>
          <v:shape style="position:absolute;margin-left:401.359985pt;margin-top:153.320007pt;width:126pt;height:46.8pt;mso-position-horizontal-relative:page;mso-position-vertical-relative:page;z-index:-897088" type="#_x0000_t202" filled="false" stroked="false">
            <v:textbox inset="0,0,0,0">
              <w:txbxContent>
                <w:p>
                  <w:pPr>
                    <w:pStyle w:val="BodyText"/>
                    <w:spacing w:line="316" w:lineRule="auto" w:before="51"/>
                    <w:ind w:left="0" w:right="357"/>
                    <w:jc w:val="left"/>
                  </w:pPr>
                  <w:r>
                    <w:rPr/>
                    <w:t>包括但不限于债券及现金、 同业资产、货币市场工具、</w:t>
                  </w:r>
                </w:p>
              </w:txbxContent>
            </v:textbox>
            <w10:wrap type="none"/>
          </v:shape>
        </w:pict>
      </w:r>
      <w:r>
        <w:rPr/>
        <w:pict>
          <v:shape style="position:absolute;margin-left:401.359985pt;margin-top:267.040009pt;width:126pt;height:46.8pt;mso-position-horizontal-relative:page;mso-position-vertical-relative:page;z-index:-897064" type="#_x0000_t202" filled="false" stroked="false">
            <v:textbox inset="0,0,0,0">
              <w:txbxContent>
                <w:p>
                  <w:pPr>
                    <w:pStyle w:val="BodyText"/>
                    <w:spacing w:line="316" w:lineRule="auto" w:before="51"/>
                    <w:ind w:left="0" w:right="357"/>
                    <w:jc w:val="left"/>
                  </w:pPr>
                  <w:r>
                    <w:rPr/>
                    <w:t>包括但不限于债券及现金、 同业资产、货币市场工具、</w:t>
                  </w:r>
                </w:p>
              </w:txbxContent>
            </v:textbox>
            <w10:wrap type="none"/>
          </v:shape>
        </w:pict>
      </w:r>
      <w:r>
        <w:rPr/>
        <w:pict>
          <v:shape style="position:absolute;margin-left:401.359985pt;margin-top:380.740021pt;width:126pt;height:61.4pt;mso-position-horizontal-relative:page;mso-position-vertical-relative:page;z-index:-8970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购和其他货币市场类资产；</w:t>
                  </w:r>
                </w:p>
              </w:txbxContent>
            </v:textbox>
            <w10:wrap type="none"/>
          </v:shape>
        </w:pict>
      </w:r>
      <w:r>
        <w:rPr/>
        <w:pict>
          <v:shape style="position:absolute;margin-left:500.380005pt;margin-top:461.76001pt;width:26.95pt;height:61.4pt;mso-position-horizontal-relative:page;mso-position-vertical-relative:page;z-index:-897016" type="#_x0000_t202" filled="false" stroked="false">
            <v:textbox inset="0,0,0,0">
              <w:txbxContent>
                <w:p>
                  <w:pPr>
                    <w:spacing w:line="240" w:lineRule="auto" w:before="3"/>
                    <w:rPr>
                      <w:rFonts w:ascii="Times New Roman" w:hAnsi="Times New Roman" w:cs="Times New Roman" w:eastAsia="Times New Roman" w:hint="default"/>
                      <w:sz w:val="26"/>
                      <w:szCs w:val="26"/>
                    </w:rPr>
                  </w:pPr>
                </w:p>
                <w:p>
                  <w:pPr>
                    <w:pStyle w:val="BodyText"/>
                    <w:spacing w:line="240" w:lineRule="auto"/>
                    <w:ind w:left="0" w:right="0"/>
                    <w:jc w:val="left"/>
                  </w:pPr>
                  <w:r>
                    <w:rPr/>
                    <w:t>）</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588"/>
        <w:gridCol w:w="568"/>
        <w:gridCol w:w="850"/>
        <w:gridCol w:w="709"/>
        <w:gridCol w:w="566"/>
        <w:gridCol w:w="1559"/>
        <w:gridCol w:w="1560"/>
        <w:gridCol w:w="2127"/>
        <w:gridCol w:w="425"/>
        <w:gridCol w:w="568"/>
        <w:gridCol w:w="566"/>
        <w:gridCol w:w="568"/>
        <w:gridCol w:w="767"/>
        <w:gridCol w:w="650"/>
        <w:gridCol w:w="426"/>
        <w:gridCol w:w="566"/>
        <w:gridCol w:w="1702"/>
      </w:tblGrid>
      <w:tr>
        <w:trPr>
          <w:trHeight w:val="1937" w:hRule="exact"/>
        </w:trPr>
        <w:tc>
          <w:tcPr>
            <w:tcW w:w="1588"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113"/>
              <w:jc w:val="both"/>
              <w:rPr>
                <w:rFonts w:ascii="宋体" w:hAnsi="宋体" w:cs="宋体" w:eastAsia="宋体" w:hint="default"/>
                <w:sz w:val="18"/>
                <w:szCs w:val="18"/>
              </w:rPr>
            </w:pPr>
            <w:r>
              <w:rPr>
                <w:rFonts w:ascii="宋体" w:hAnsi="宋体" w:cs="宋体" w:eastAsia="宋体" w:hint="default"/>
                <w:sz w:val="18"/>
                <w:szCs w:val="18"/>
              </w:rPr>
              <w:t>有限公司苏州高新 技术产业开发区支 行</w:t>
            </w:r>
          </w:p>
        </w:tc>
        <w:tc>
          <w:tcPr>
            <w:tcW w:w="56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70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173"/>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1559"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21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要求的其他投资工具</w:t>
            </w:r>
          </w:p>
        </w:tc>
        <w:tc>
          <w:tcPr>
            <w:tcW w:w="425"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767" w:type="dxa"/>
            <w:tcBorders>
              <w:top w:val="single" w:sz="15" w:space="0" w:color="000000"/>
              <w:left w:val="single" w:sz="4" w:space="0" w:color="000000"/>
              <w:bottom w:val="single" w:sz="4" w:space="0" w:color="000000"/>
              <w:right w:val="single" w:sz="4" w:space="0" w:color="000000"/>
            </w:tcBorders>
          </w:tcPr>
          <w:p>
            <w:pPr/>
          </w:p>
        </w:tc>
        <w:tc>
          <w:tcPr>
            <w:tcW w:w="650"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6" w:lineRule="auto" w:before="63"/>
              <w:ind w:left="24" w:right="20"/>
              <w:jc w:val="both"/>
              <w:rPr>
                <w:rFonts w:ascii="宋体" w:hAnsi="宋体" w:cs="宋体" w:eastAsia="宋体" w:hint="default"/>
                <w:sz w:val="18"/>
                <w:szCs w:val="18"/>
              </w:rPr>
            </w:pPr>
            <w:r>
              <w:rPr>
                <w:rFonts w:ascii="宋体" w:hAnsi="宋体" w:cs="宋体" w:eastAsia="宋体" w:hint="default"/>
                <w:spacing w:val="-16"/>
                <w:sz w:val="18"/>
                <w:szCs w:val="18"/>
              </w:rPr>
              <w:t>）《关于公司使用部分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闲置募集资金购买理 财产品的进展公告》</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2017-033</w:t>
            </w:r>
            <w:r>
              <w:rPr>
                <w:rFonts w:ascii="宋体" w:hAnsi="宋体" w:cs="宋体" w:eastAsia="宋体" w:hint="default"/>
                <w:sz w:val="18"/>
                <w:szCs w:val="18"/>
              </w:rPr>
              <w:t>）</w:t>
            </w:r>
          </w:p>
        </w:tc>
      </w:tr>
      <w:tr>
        <w:trPr>
          <w:trHeight w:val="227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宁波银行股份有限 公司苏州高新技术 产业开发区支行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衍生工具（包括但不限于信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用风险缓释工具）及其他符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合监管要求等金融资产（其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中投资于非标准化债权资 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20.8pt;height:46.8pt;mso-position-horizontal-relative:char;mso-position-vertical-relative:line" coordorigin="0,0" coordsize="416,936">
                  <v:group style="position:absolute;left:0;top:0;width:416;height:936" coordorigin="0,0" coordsize="416,936">
                    <v:shape style="position:absolute;left:0;top:0;width:416;height:936" coordorigin="0,0" coordsize="416,936" path="m0,936l415,936,415,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协议</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92"/>
              <w:jc w:val="both"/>
              <w:rPr>
                <w:rFonts w:ascii="宋体" w:hAnsi="宋体" w:cs="宋体" w:eastAsia="宋体" w:hint="default"/>
                <w:sz w:val="18"/>
                <w:szCs w:val="18"/>
              </w:rPr>
            </w:pPr>
            <w:r>
              <w:rPr>
                <w:rFonts w:ascii="宋体" w:hAnsi="宋体" w:cs="宋体" w:eastAsia="宋体" w:hint="default"/>
                <w:sz w:val="18"/>
                <w:szCs w:val="18"/>
              </w:rPr>
              <w:t>报告期 后已收 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9" w:lineRule="auto" w:before="63"/>
              <w:ind w:left="24" w:right="20"/>
              <w:jc w:val="left"/>
              <w:rPr>
                <w:rFonts w:ascii="宋体" w:hAnsi="宋体" w:cs="宋体" w:eastAsia="宋体" w:hint="default"/>
                <w:sz w:val="18"/>
                <w:szCs w:val="18"/>
              </w:rPr>
            </w:pPr>
            <w:r>
              <w:rPr>
                <w:rFonts w:ascii="宋体" w:hAnsi="宋体" w:cs="宋体" w:eastAsia="宋体" w:hint="default"/>
                <w:spacing w:val="-16"/>
                <w:sz w:val="18"/>
                <w:szCs w:val="18"/>
              </w:rPr>
              <w:t>）《关于使用闲置自有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资金购买理财产品的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2017-017</w:t>
            </w:r>
            <w:r>
              <w:rPr>
                <w:rFonts w:ascii="宋体" w:hAnsi="宋体" w:cs="宋体" w:eastAsia="宋体" w:hint="default"/>
                <w:sz w:val="18"/>
                <w:szCs w:val="18"/>
              </w:rPr>
              <w:t>）</w:t>
            </w:r>
          </w:p>
        </w:tc>
      </w:tr>
      <w:tr>
        <w:trPr>
          <w:trHeight w:val="227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宁波银行股份有限 公司苏州高新技术 产业开发区支行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衍生工具（包括但不限于信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用风险缓释工具）及其他符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合监管要求等金融资产（其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中投资于非标准化债权资 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20.8pt;height:46.8pt;mso-position-horizontal-relative:char;mso-position-vertical-relative:line" coordorigin="0,0" coordsize="416,936">
                  <v:group style="position:absolute;left:0;top:0;width:416;height:936" coordorigin="0,0" coordsize="416,936">
                    <v:shape style="position:absolute;left:0;top:0;width:416;height:936" coordorigin="0,0" coordsize="416,936" path="m0,936l415,936,415,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协议</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92"/>
              <w:jc w:val="both"/>
              <w:rPr>
                <w:rFonts w:ascii="宋体" w:hAnsi="宋体" w:cs="宋体" w:eastAsia="宋体" w:hint="default"/>
                <w:sz w:val="18"/>
                <w:szCs w:val="18"/>
              </w:rPr>
            </w:pPr>
            <w:r>
              <w:rPr>
                <w:rFonts w:ascii="宋体" w:hAnsi="宋体" w:cs="宋体" w:eastAsia="宋体" w:hint="default"/>
                <w:sz w:val="18"/>
                <w:szCs w:val="18"/>
              </w:rPr>
              <w:t>报告期 后已收 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9" w:lineRule="auto" w:before="63"/>
              <w:ind w:left="24" w:right="20"/>
              <w:jc w:val="left"/>
              <w:rPr>
                <w:rFonts w:ascii="宋体" w:hAnsi="宋体" w:cs="宋体" w:eastAsia="宋体" w:hint="default"/>
                <w:sz w:val="18"/>
                <w:szCs w:val="18"/>
              </w:rPr>
            </w:pPr>
            <w:r>
              <w:rPr>
                <w:rFonts w:ascii="宋体" w:hAnsi="宋体" w:cs="宋体" w:eastAsia="宋体" w:hint="default"/>
                <w:spacing w:val="-16"/>
                <w:sz w:val="18"/>
                <w:szCs w:val="18"/>
              </w:rPr>
              <w:t>）《关于使用闲置自有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资金购买理财产品的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2017-017</w:t>
            </w:r>
            <w:r>
              <w:rPr>
                <w:rFonts w:ascii="宋体" w:hAnsi="宋体" w:cs="宋体" w:eastAsia="宋体" w:hint="default"/>
                <w:sz w:val="18"/>
                <w:szCs w:val="18"/>
              </w:rPr>
              <w:t>）</w:t>
            </w:r>
          </w:p>
        </w:tc>
      </w:tr>
      <w:tr>
        <w:trPr>
          <w:trHeight w:val="2859"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13"/>
              <w:jc w:val="left"/>
              <w:rPr>
                <w:rFonts w:ascii="宋体" w:hAnsi="宋体" w:cs="宋体" w:eastAsia="宋体" w:hint="default"/>
                <w:sz w:val="18"/>
                <w:szCs w:val="18"/>
              </w:rPr>
            </w:pPr>
            <w:r>
              <w:rPr>
                <w:rFonts w:ascii="宋体" w:hAnsi="宋体" w:cs="宋体" w:eastAsia="宋体" w:hint="default"/>
                <w:sz w:val="18"/>
                <w:szCs w:val="18"/>
              </w:rPr>
              <w:t>中信银行苏州高新 技术开发区支行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73"/>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）货币市场类：现金、 </w:t>
            </w:r>
            <w:r>
              <w:rPr>
                <w:rFonts w:ascii="宋体" w:hAnsi="宋体" w:cs="宋体" w:eastAsia="宋体" w:hint="default"/>
                <w:spacing w:val="-8"/>
                <w:sz w:val="18"/>
                <w:szCs w:val="18"/>
              </w:rPr>
              <w:t>存款、货币基金、质押式回</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36"/>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）固定收益类：债券、 </w:t>
            </w:r>
            <w:r>
              <w:rPr>
                <w:rFonts w:ascii="宋体" w:hAnsi="宋体" w:cs="宋体" w:eastAsia="宋体" w:hint="default"/>
                <w:spacing w:val="-8"/>
                <w:sz w:val="18"/>
                <w:szCs w:val="18"/>
              </w:rPr>
              <w:t>资产支持证券、非公开定向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债务融资工具、债券基金和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其他固定收益类资产；（</w:t>
            </w:r>
            <w:r>
              <w:rPr>
                <w:rFonts w:ascii="Times New Roman" w:hAnsi="Times New Roman" w:cs="Times New Roman" w:eastAsia="Times New Roman" w:hint="default"/>
                <w:spacing w:val="-8"/>
                <w:sz w:val="18"/>
                <w:szCs w:val="18"/>
              </w:rPr>
              <w:t>3</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非标准化债权资产和其他 </w:t>
            </w:r>
            <w:r>
              <w:rPr>
                <w:rFonts w:ascii="宋体" w:hAnsi="宋体" w:cs="宋体" w:eastAsia="宋体" w:hint="default"/>
                <w:spacing w:val="-8"/>
                <w:sz w:val="18"/>
                <w:szCs w:val="18"/>
              </w:rPr>
              <w:t>类：符合监管机构要求的基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2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20.8pt;height:61.4pt;mso-position-horizontal-relative:char;mso-position-vertical-relative:line" coordorigin="0,0" coordsize="416,1228">
                  <v:group style="position:absolute;left:0;top:0;width:416;height:1228" coordorigin="0,0" coordsize="416,1228">
                    <v:shape style="position:absolute;left:0;top:0;width:416;height:1228" coordorigin="0,0" coordsize="416,1228" path="m0,1228l415,1228,415,0,0,0,0,122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协议</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122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20.8pt;height:61.4pt;mso-position-horizontal-relative:char;mso-position-vertical-relative:line" coordorigin="0,0" coordsize="416,1228">
                  <v:group style="position:absolute;left:0;top:0;width:416;height:1228" coordorigin="0,0" coordsize="416,1228">
                    <v:shape style="position:absolute;left:0;top:0;width:416;height:1228" coordorigin="0,0" coordsize="416,1228" path="m0,1228l415,1228,415,0,0,0,0,122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92"/>
              <w:jc w:val="both"/>
              <w:rPr>
                <w:rFonts w:ascii="宋体" w:hAnsi="宋体" w:cs="宋体" w:eastAsia="宋体" w:hint="default"/>
                <w:sz w:val="18"/>
                <w:szCs w:val="18"/>
              </w:rPr>
            </w:pPr>
            <w:r>
              <w:rPr>
                <w:rFonts w:ascii="宋体" w:hAnsi="宋体" w:cs="宋体" w:eastAsia="宋体" w:hint="default"/>
                <w:sz w:val="18"/>
                <w:szCs w:val="18"/>
              </w:rPr>
              <w:t>报告期 后已收 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9" w:lineRule="auto" w:before="63"/>
              <w:ind w:left="24" w:right="20"/>
              <w:jc w:val="left"/>
              <w:rPr>
                <w:rFonts w:ascii="宋体" w:hAnsi="宋体" w:cs="宋体" w:eastAsia="宋体" w:hint="default"/>
                <w:sz w:val="18"/>
                <w:szCs w:val="18"/>
              </w:rPr>
            </w:pPr>
            <w:r>
              <w:rPr>
                <w:rFonts w:ascii="宋体" w:hAnsi="宋体" w:cs="宋体" w:eastAsia="宋体" w:hint="default"/>
                <w:spacing w:val="-16"/>
                <w:sz w:val="18"/>
                <w:szCs w:val="18"/>
              </w:rPr>
              <w:t>）《关于使用闲置自有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资金购买理财产品的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2017-017</w:t>
            </w:r>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480" w:right="0"/>
        </w:sectPr>
      </w:pPr>
    </w:p>
    <w:p>
      <w:pPr>
        <w:spacing w:line="240" w:lineRule="auto" w:before="4"/>
        <w:rPr>
          <w:rFonts w:ascii="Times New Roman" w:hAnsi="Times New Roman" w:cs="Times New Roman" w:eastAsia="Times New Roman" w:hint="default"/>
          <w:sz w:val="3"/>
          <w:szCs w:val="3"/>
        </w:rPr>
      </w:pPr>
      <w:r>
        <w:rPr/>
        <w:pict>
          <v:shape style="position:absolute;margin-left:401.359985pt;margin-top:200.12001pt;width:126pt;height:78.05pt;mso-position-horizontal-relative:page;mso-position-vertical-relative:page;z-index:-896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券、存款、货币市场基金、</w:t>
                  </w:r>
                </w:p>
              </w:txbxContent>
            </v:textbox>
            <w10:wrap type="none"/>
          </v:shape>
        </w:pict>
      </w:r>
      <w:r>
        <w:rPr/>
        <w:pict>
          <v:shape style="position:absolute;margin-left:401.359985pt;margin-top:376.240021pt;width:126pt;height:69.2pt;mso-position-horizontal-relative:page;mso-position-vertical-relative:page;z-index:-896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购和其他货币市场类资产；</w:t>
                  </w:r>
                </w:p>
              </w:txbxContent>
            </v:textbox>
            <w10:wrap type="none"/>
          </v:shape>
        </w:pict>
      </w:r>
      <w:r>
        <w:rPr/>
        <w:pict>
          <v:shape style="position:absolute;margin-left:500.380005pt;margin-top:465.059998pt;width:26.95pt;height:69.2pt;mso-position-horizontal-relative:page;mso-position-vertical-relative:page;z-index:-896896" type="#_x0000_t202" filled="false" stroked="false">
            <v:textbox inset="0,0,0,0">
              <w:txbxContent>
                <w:p>
                  <w:pPr>
                    <w:pStyle w:val="BodyText"/>
                    <w:spacing w:line="240" w:lineRule="auto" w:before="146"/>
                    <w:ind w:left="0" w:right="0"/>
                    <w:jc w:val="left"/>
                  </w:pPr>
                  <w:r>
                    <w:rPr/>
                    <w:t>）</w:t>
                  </w:r>
                </w:p>
              </w:txbxContent>
            </v:textbox>
            <w10:wrap type="none"/>
          </v:shape>
        </w:pict>
      </w:r>
      <w:r>
        <w:rPr/>
        <w:pict>
          <v:group style="position:absolute;margin-left:506.559998pt;margin-top:465.059998pt;width:20.8pt;height:69.2pt;mso-position-horizontal-relative:page;mso-position-vertical-relative:page;z-index:-896872" coordorigin="10131,9301" coordsize="416,1384">
            <v:shape style="position:absolute;left:10131;top:9301;width:416;height:1384" coordorigin="10131,9301" coordsize="416,1384" path="m10131,10685l10546,10685,10546,9301,10131,9301,10131,10685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588"/>
        <w:gridCol w:w="568"/>
        <w:gridCol w:w="850"/>
        <w:gridCol w:w="709"/>
        <w:gridCol w:w="566"/>
        <w:gridCol w:w="1559"/>
        <w:gridCol w:w="1560"/>
        <w:gridCol w:w="2127"/>
        <w:gridCol w:w="425"/>
        <w:gridCol w:w="568"/>
        <w:gridCol w:w="566"/>
        <w:gridCol w:w="568"/>
        <w:gridCol w:w="767"/>
        <w:gridCol w:w="650"/>
        <w:gridCol w:w="426"/>
        <w:gridCol w:w="566"/>
        <w:gridCol w:w="1702"/>
      </w:tblGrid>
      <w:tr>
        <w:trPr>
          <w:trHeight w:val="2873" w:hRule="exact"/>
        </w:trPr>
        <w:tc>
          <w:tcPr>
            <w:tcW w:w="1588"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2127"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金公司及其资产管理公司 </w:t>
            </w:r>
            <w:r>
              <w:rPr>
                <w:rFonts w:ascii="宋体" w:hAnsi="宋体" w:cs="宋体" w:eastAsia="宋体" w:hint="default"/>
                <w:spacing w:val="-8"/>
                <w:sz w:val="18"/>
                <w:szCs w:val="18"/>
              </w:rPr>
              <w:t>资产管理计划、证券公司及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其资产管理公司资产管理 </w:t>
            </w:r>
            <w:r>
              <w:rPr>
                <w:rFonts w:ascii="宋体" w:hAnsi="宋体" w:cs="宋体" w:eastAsia="宋体" w:hint="default"/>
                <w:spacing w:val="-8"/>
                <w:sz w:val="18"/>
                <w:szCs w:val="18"/>
              </w:rPr>
              <w:t>计划、保险资产管理公司资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产管理计划、信托计划、委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托债权投资、人民币利率互</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换、人民币利率远期、信用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风险缓释工具、国债期货及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其他资产或者资产组合。</w:t>
            </w:r>
          </w:p>
        </w:tc>
        <w:tc>
          <w:tcPr>
            <w:tcW w:w="425"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767" w:type="dxa"/>
            <w:tcBorders>
              <w:top w:val="single" w:sz="15" w:space="0" w:color="000000"/>
              <w:left w:val="single" w:sz="4" w:space="0" w:color="000000"/>
              <w:bottom w:val="single" w:sz="4" w:space="0" w:color="000000"/>
              <w:right w:val="single" w:sz="4" w:space="0" w:color="000000"/>
            </w:tcBorders>
          </w:tcPr>
          <w:p>
            <w:pPr/>
          </w:p>
        </w:tc>
        <w:tc>
          <w:tcPr>
            <w:tcW w:w="650"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r>
      <w:tr>
        <w:trPr>
          <w:trHeight w:val="3522"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13"/>
              <w:jc w:val="both"/>
              <w:rPr>
                <w:rFonts w:ascii="宋体" w:hAnsi="宋体" w:cs="宋体" w:eastAsia="宋体" w:hint="default"/>
                <w:sz w:val="18"/>
                <w:szCs w:val="18"/>
              </w:rPr>
            </w:pPr>
            <w:r>
              <w:rPr>
                <w:rFonts w:ascii="宋体" w:hAnsi="宋体" w:cs="宋体" w:eastAsia="宋体" w:hint="default"/>
                <w:sz w:val="18"/>
                <w:szCs w:val="18"/>
              </w:rPr>
              <w:t>中国工商银行股份 有限公司苏州高新 技术产业开发区支 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一、债券、存款等高流动性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资产，包括但不限于各类债</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4"/>
              <w:ind w:left="22" w:right="20"/>
              <w:jc w:val="left"/>
              <w:rPr>
                <w:rFonts w:ascii="宋体" w:hAnsi="宋体" w:cs="宋体" w:eastAsia="宋体" w:hint="default"/>
                <w:sz w:val="18"/>
                <w:szCs w:val="18"/>
              </w:rPr>
            </w:pPr>
            <w:r>
              <w:rPr>
                <w:rFonts w:ascii="宋体" w:hAnsi="宋体" w:cs="宋体" w:eastAsia="宋体" w:hint="default"/>
                <w:spacing w:val="-8"/>
                <w:sz w:val="18"/>
                <w:szCs w:val="18"/>
              </w:rPr>
              <w:t>债券基金、质押式回购等货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币市场交易工具；二、其他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资产或资产组合，包括但不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限于证券公司集合资产管 理计划或定向资产管理计 </w:t>
            </w:r>
            <w:r>
              <w:rPr>
                <w:rFonts w:ascii="宋体" w:hAnsi="宋体" w:cs="宋体" w:eastAsia="宋体" w:hint="default"/>
                <w:spacing w:val="-8"/>
                <w:sz w:val="18"/>
                <w:szCs w:val="18"/>
              </w:rPr>
              <w:t>划、基金管理公司特定客户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资产管理计划、保险资产管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理公司投资计划等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20.8pt;height:78.05pt;mso-position-horizontal-relative:char;mso-position-vertical-relative:line" coordorigin="0,0" coordsize="416,1561">
                  <v:group style="position:absolute;left:0;top:0;width:416;height:1561" coordorigin="0,0" coordsize="416,1561">
                    <v:shape style="position:absolute;left:0;top:0;width:416;height:1561" coordorigin="0,0" coordsize="416,1561" path="m0,1560l415,1560,415,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协议</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16.39</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6" w:lineRule="auto" w:before="63"/>
              <w:ind w:left="24" w:right="20"/>
              <w:jc w:val="both"/>
              <w:rPr>
                <w:rFonts w:ascii="宋体" w:hAnsi="宋体" w:cs="宋体" w:eastAsia="宋体" w:hint="default"/>
                <w:sz w:val="18"/>
                <w:szCs w:val="18"/>
              </w:rPr>
            </w:pPr>
            <w:r>
              <w:rPr>
                <w:rFonts w:ascii="宋体" w:hAnsi="宋体" w:cs="宋体" w:eastAsia="宋体" w:hint="default"/>
                <w:spacing w:val="-16"/>
                <w:sz w:val="18"/>
                <w:szCs w:val="18"/>
              </w:rPr>
              <w:t>）《关于公司使用部分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闲置募集资金购买理 财产品的进展公告》</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2017-059</w:t>
            </w:r>
            <w:r>
              <w:rPr>
                <w:rFonts w:ascii="宋体" w:hAnsi="宋体" w:cs="宋体" w:eastAsia="宋体" w:hint="default"/>
                <w:sz w:val="18"/>
                <w:szCs w:val="18"/>
              </w:rPr>
              <w:t>）</w:t>
            </w:r>
          </w:p>
        </w:tc>
      </w:tr>
      <w:tr>
        <w:trPr>
          <w:trHeight w:val="3171"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13"/>
              <w:jc w:val="left"/>
              <w:rPr>
                <w:rFonts w:ascii="宋体" w:hAnsi="宋体" w:cs="宋体" w:eastAsia="宋体" w:hint="default"/>
                <w:sz w:val="18"/>
                <w:szCs w:val="18"/>
              </w:rPr>
            </w:pPr>
            <w:r>
              <w:rPr>
                <w:rFonts w:ascii="宋体" w:hAnsi="宋体" w:cs="宋体" w:eastAsia="宋体" w:hint="default"/>
                <w:sz w:val="18"/>
                <w:szCs w:val="18"/>
              </w:rPr>
              <w:t>中信银行苏州高新 技术开发区支行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）货币市场类：现金、 </w:t>
            </w:r>
            <w:r>
              <w:rPr>
                <w:rFonts w:ascii="宋体" w:hAnsi="宋体" w:cs="宋体" w:eastAsia="宋体" w:hint="default"/>
                <w:spacing w:val="-8"/>
                <w:sz w:val="18"/>
                <w:szCs w:val="18"/>
              </w:rPr>
              <w:t>存款、货币基金、质押式回</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37"/>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）固定收益类：债券、 </w:t>
            </w:r>
            <w:r>
              <w:rPr>
                <w:rFonts w:ascii="宋体" w:hAnsi="宋体" w:cs="宋体" w:eastAsia="宋体" w:hint="default"/>
                <w:spacing w:val="-8"/>
                <w:sz w:val="18"/>
                <w:szCs w:val="18"/>
              </w:rPr>
              <w:t>资产支持证券、非公开定向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债务融资工具、债券基金和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其他固定收益类资产；（</w:t>
            </w:r>
            <w:r>
              <w:rPr>
                <w:rFonts w:ascii="Times New Roman" w:hAnsi="Times New Roman" w:cs="Times New Roman" w:eastAsia="Times New Roman" w:hint="default"/>
                <w:spacing w:val="-8"/>
                <w:sz w:val="18"/>
                <w:szCs w:val="18"/>
              </w:rPr>
              <w:t>3</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非标准化债权资产和其他 </w:t>
            </w:r>
            <w:r>
              <w:rPr>
                <w:rFonts w:ascii="宋体" w:hAnsi="宋体" w:cs="宋体" w:eastAsia="宋体" w:hint="default"/>
                <w:spacing w:val="-8"/>
                <w:sz w:val="18"/>
                <w:szCs w:val="18"/>
              </w:rPr>
              <w:t>类：符合监管机构要求的基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金公司及其资产管理公司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38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20.8pt;height:69.2pt;mso-position-horizontal-relative:char;mso-position-vertical-relative:line" coordorigin="0,0" coordsize="416,1384">
                  <v:group style="position:absolute;left:0;top:0;width:416;height:1384" coordorigin="0,0" coordsize="416,1384">
                    <v:shape style="position:absolute;left:0;top:0;width:416;height:1384" coordorigin="0,0" coordsize="416,1384" path="m0,1384l415,1384,415,0,0,0,0,1384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协议</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2"/>
              <w:jc w:val="both"/>
              <w:rPr>
                <w:rFonts w:ascii="宋体" w:hAnsi="宋体" w:cs="宋体" w:eastAsia="宋体" w:hint="default"/>
                <w:sz w:val="18"/>
                <w:szCs w:val="18"/>
              </w:rPr>
            </w:pPr>
            <w:r>
              <w:rPr>
                <w:rFonts w:ascii="宋体" w:hAnsi="宋体" w:cs="宋体" w:eastAsia="宋体" w:hint="default"/>
                <w:sz w:val="18"/>
                <w:szCs w:val="18"/>
              </w:rPr>
              <w:t>报告期 后已收 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p>
          <w:p>
            <w:pPr>
              <w:pStyle w:val="TableParagraph"/>
              <w:spacing w:line="319" w:lineRule="auto" w:before="63"/>
              <w:ind w:left="24" w:right="20"/>
              <w:jc w:val="left"/>
              <w:rPr>
                <w:rFonts w:ascii="宋体" w:hAnsi="宋体" w:cs="宋体" w:eastAsia="宋体" w:hint="default"/>
                <w:sz w:val="18"/>
                <w:szCs w:val="18"/>
              </w:rPr>
            </w:pPr>
            <w:r>
              <w:rPr>
                <w:rFonts w:ascii="宋体" w:hAnsi="宋体" w:cs="宋体" w:eastAsia="宋体" w:hint="default"/>
                <w:spacing w:val="-16"/>
                <w:sz w:val="18"/>
                <w:szCs w:val="18"/>
              </w:rPr>
              <w:t>）《关于使用闲置自有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资金购买理财产品的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2017-017</w:t>
            </w:r>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200" w:left="4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588"/>
        <w:gridCol w:w="568"/>
        <w:gridCol w:w="850"/>
        <w:gridCol w:w="709"/>
        <w:gridCol w:w="566"/>
        <w:gridCol w:w="1559"/>
        <w:gridCol w:w="1560"/>
        <w:gridCol w:w="2127"/>
        <w:gridCol w:w="425"/>
        <w:gridCol w:w="568"/>
        <w:gridCol w:w="566"/>
        <w:gridCol w:w="568"/>
        <w:gridCol w:w="767"/>
        <w:gridCol w:w="650"/>
        <w:gridCol w:w="426"/>
        <w:gridCol w:w="566"/>
        <w:gridCol w:w="1702"/>
      </w:tblGrid>
      <w:tr>
        <w:trPr>
          <w:trHeight w:val="2561" w:hRule="exact"/>
        </w:trPr>
        <w:tc>
          <w:tcPr>
            <w:tcW w:w="1588"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2127"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8"/>
                <w:sz w:val="18"/>
                <w:szCs w:val="18"/>
              </w:rPr>
              <w:t>资产管理计划、证券公司及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其资产管理公司资产管理 </w:t>
            </w:r>
            <w:r>
              <w:rPr>
                <w:rFonts w:ascii="宋体" w:hAnsi="宋体" w:cs="宋体" w:eastAsia="宋体" w:hint="default"/>
                <w:spacing w:val="-8"/>
                <w:sz w:val="18"/>
                <w:szCs w:val="18"/>
              </w:rPr>
              <w:t>计划、保险资产管理公司资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产管理计划、信托计划、委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托债权投资、人民币利率互</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换、人民币利率远期、信用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风险缓释工具、国债期货及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其他资产或者资产组合。</w:t>
            </w:r>
          </w:p>
        </w:tc>
        <w:tc>
          <w:tcPr>
            <w:tcW w:w="425"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767" w:type="dxa"/>
            <w:tcBorders>
              <w:top w:val="single" w:sz="15" w:space="0" w:color="000000"/>
              <w:left w:val="single" w:sz="4" w:space="0" w:color="000000"/>
              <w:bottom w:val="single" w:sz="4" w:space="0" w:color="000000"/>
              <w:right w:val="single" w:sz="4" w:space="0" w:color="000000"/>
            </w:tcBorders>
          </w:tcPr>
          <w:p>
            <w:pPr/>
          </w:p>
        </w:tc>
        <w:tc>
          <w:tcPr>
            <w:tcW w:w="650"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0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49,148.9</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468.81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429.12</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960" w:right="0"/>
        <w:jc w:val="left"/>
      </w:pPr>
      <w:r>
        <w:rPr/>
        <w:t>委托理财出现预期无法收回本金或存在其他可能导致减值的情形</w:t>
      </w:r>
    </w:p>
    <w:p>
      <w:pPr>
        <w:pStyle w:val="BodyText"/>
        <w:spacing w:line="240" w:lineRule="auto" w:before="117"/>
        <w:ind w:left="95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960"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959" w:right="130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left="959"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960" w:right="12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left="960" w:right="0"/>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960" w:right="0"/>
        <w:jc w:val="left"/>
        <w:rPr>
          <w:b w:val="0"/>
          <w:bCs w:val="0"/>
        </w:rPr>
      </w:pPr>
      <w:bookmarkStart w:name="1、 履行社会责任情况" w:id="99"/>
      <w:bookmarkEnd w:id="99"/>
      <w:r>
        <w:rPr>
          <w:b w:val="0"/>
          <w:bCs w:val="0"/>
        </w:rPr>
      </w:r>
      <w:r>
        <w:rPr>
          <w:rFonts w:ascii="Times New Roman" w:hAnsi="Times New Roman" w:cs="Times New Roman" w:eastAsia="Times New Roman" w:hint="default"/>
        </w:rPr>
        <w:t>1</w:t>
      </w:r>
      <w:r>
        <w:rPr/>
        <w:t>、</w:t>
      </w:r>
      <w:r>
        <w:rPr>
          <w:spacing w:val="-65"/>
        </w:rPr>
        <w:t> </w:t>
      </w:r>
      <w:r>
        <w:rPr/>
        <w:t>履行社会责任情况</w:t>
      </w:r>
      <w:r>
        <w:rPr>
          <w:b w:val="0"/>
          <w:bCs w:val="0"/>
        </w:rPr>
      </w:r>
    </w:p>
    <w:p>
      <w:pPr>
        <w:pStyle w:val="BodyText"/>
        <w:spacing w:line="460" w:lineRule="atLeast" w:before="122"/>
        <w:ind w:left="1320" w:right="0"/>
        <w:jc w:val="left"/>
      </w:pPr>
      <w:r>
        <w:rPr/>
        <w:t>公司自成立以来，致力追求企业与员工、社会、自然的和谐发展，以实际行动回报社会，创建和谐的企业发展环境，践行社会责任。 </w:t>
      </w:r>
      <w:r>
        <w:rPr>
          <w:spacing w:val="-2"/>
        </w:rPr>
        <w:t>保障股东特别是中小股东的权益，是公司最基本的社会责任。公司严格按照《公司章程》、《股东大会议事规则》的规定和要求，规范股东大会的召集、召开、表决，通过合</w:t>
      </w:r>
    </w:p>
    <w:p>
      <w:pPr>
        <w:pStyle w:val="BodyText"/>
        <w:spacing w:line="240" w:lineRule="auto" w:before="76"/>
        <w:ind w:left="960" w:right="0"/>
        <w:jc w:val="left"/>
      </w:pPr>
      <w:r>
        <w:rPr/>
        <w:t>法有效的方式，让更多的股东能够参加股东大会，确保股东对公司重大事项的知情权、参与权和表决权；认真履行信息披露义务，秉持公平、公正、公开的原则对待全体投资者。</w:t>
      </w:r>
    </w:p>
    <w:p>
      <w:pPr>
        <w:spacing w:after="0" w:line="240" w:lineRule="auto"/>
        <w:jc w:val="left"/>
        <w:sectPr>
          <w:pgSz w:w="16840" w:h="11910" w:orient="landscape"/>
          <w:pgMar w:header="867" w:footer="979" w:top="1060" w:bottom="1160" w:left="4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公司一贯奉行稳健诚信的经营策略，高度重视债权人的合法权益。在公司的经营决策过程中，公司严格遵守相关合同及</w:t>
      </w:r>
      <w:r>
        <w:rPr/>
        <w:t> 制度，充分考虑债权人的合法权益，及时向债权人通报与债权人权益相关的重大信息。</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spacing w:val="-2"/>
        </w:rPr>
        <w:t>公司坚持以人为本，把对员工负责视为自身的责任，把为员工创造未来当成长期坚持的重要使命。公司注重对员工职业</w:t>
      </w:r>
      <w:r>
        <w:rPr/>
        <w:t> 发展进行规划，为员工提供平等的发展机会，尊重和维护员工的个人利益。</w:t>
      </w:r>
    </w:p>
    <w:p>
      <w:pPr>
        <w:spacing w:line="240" w:lineRule="auto" w:before="5"/>
        <w:rPr>
          <w:rFonts w:ascii="宋体" w:hAnsi="宋体" w:cs="宋体" w:eastAsia="宋体" w:hint="default"/>
          <w:sz w:val="13"/>
          <w:szCs w:val="13"/>
        </w:rPr>
      </w:pPr>
    </w:p>
    <w:p>
      <w:pPr>
        <w:pStyle w:val="BodyText"/>
        <w:spacing w:line="316" w:lineRule="auto"/>
        <w:ind w:left="154" w:right="0" w:firstLine="360"/>
        <w:jc w:val="left"/>
      </w:pPr>
      <w:r>
        <w:rPr>
          <w:spacing w:val="-2"/>
        </w:rPr>
        <w:t>公司坚持“服务客户，信守承诺”的原则，为客户提供优质的产品；加强与供应商的沟通合作，实现互惠共赢；严格把</w:t>
      </w:r>
      <w:r>
        <w:rPr/>
        <w:t> 控产品质量，注重产品安全，保护消费者利益。</w:t>
      </w:r>
    </w:p>
    <w:p>
      <w:pPr>
        <w:spacing w:line="240" w:lineRule="auto" w:before="5"/>
        <w:rPr>
          <w:rFonts w:ascii="宋体" w:hAnsi="宋体" w:cs="宋体" w:eastAsia="宋体" w:hint="default"/>
          <w:sz w:val="13"/>
          <w:szCs w:val="13"/>
        </w:rPr>
      </w:pPr>
    </w:p>
    <w:p>
      <w:pPr>
        <w:pStyle w:val="BodyText"/>
        <w:spacing w:line="316" w:lineRule="auto"/>
        <w:ind w:left="154" w:right="0" w:firstLine="360"/>
        <w:jc w:val="left"/>
      </w:pPr>
      <w:r>
        <w:rPr>
          <w:spacing w:val="-2"/>
        </w:rPr>
        <w:t>未来，公司将积极履行社会责任，在兼顾环境保护的同时，致力于打造广受客户青睐、赢得社会信赖的知名品牌，实现</w:t>
      </w:r>
      <w:r>
        <w:rPr/>
        <w:t> 商业利益与社会责任的高度统一。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bookmarkStart w:name="公司报告年度暂未开展精准扶贫工作，也暂无后续精准扶贫计划。" w:id="101"/>
      <w:bookmarkEnd w:id="101"/>
      <w:r>
        <w:rPr/>
      </w: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5712"/>
        <w:jc w:val="left"/>
      </w:pPr>
      <w:r>
        <w:rPr/>
        <w:t>上市公司及其子公司是否属于环境保护部门公布的重点排污单位 否</w:t>
      </w:r>
    </w:p>
    <w:p>
      <w:pPr>
        <w:pStyle w:val="BodyText"/>
        <w:spacing w:line="240" w:lineRule="auto" w:before="25"/>
        <w:ind w:left="514" w:right="0"/>
        <w:jc w:val="left"/>
      </w:pPr>
      <w:r>
        <w:rPr/>
        <w:t>经公司核查，公司及子公司均不属于环境保护部门公布的重点排污单位。</w:t>
      </w:r>
    </w:p>
    <w:p>
      <w:pPr>
        <w:spacing w:line="240" w:lineRule="auto" w:before="10"/>
        <w:rPr>
          <w:rFonts w:ascii="宋体" w:hAnsi="宋体" w:cs="宋体" w:eastAsia="宋体" w:hint="default"/>
          <w:sz w:val="17"/>
          <w:szCs w:val="17"/>
        </w:rPr>
      </w:pPr>
    </w:p>
    <w:p>
      <w:pPr>
        <w:pStyle w:val="BodyText"/>
        <w:spacing w:line="319" w:lineRule="auto"/>
        <w:ind w:right="1132" w:firstLine="360"/>
        <w:jc w:val="both"/>
      </w:pPr>
      <w:r>
        <w:rPr>
          <w:spacing w:val="-2"/>
        </w:rPr>
        <w:t>公司及子公司在日常生产经营中认真执行《中华人民共和国环境保护法》、《中华人民共和国水污染防治法》、《中华</w:t>
      </w:r>
      <w:r>
        <w:rPr/>
        <w:t> </w:t>
      </w:r>
      <w:r>
        <w:rPr>
          <w:spacing w:val="-2"/>
        </w:rPr>
        <w:t>人民共和国大气污染防治法》、《中华人民共和国固体废物污染防治法》等环保方面的法律法规，报告期内未出现因违法违</w:t>
      </w:r>
      <w:r>
        <w:rPr>
          <w:spacing w:val="-66"/>
        </w:rPr>
        <w:t> </w:t>
      </w:r>
      <w:r>
        <w:rPr>
          <w:spacing w:val="-66"/>
        </w:rPr>
      </w:r>
      <w:r>
        <w:rPr/>
        <w:t>规而受到处罚的情况。</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042" w:firstLine="360"/>
        <w:jc w:val="left"/>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日召开第三届董事会第十九次会议，审议通过了《关于使用募集资金向全资子公司增资的议 案》，同意公司本次使用募集资金</w:t>
      </w:r>
      <w:r>
        <w:rPr>
          <w:rFonts w:ascii="Times New Roman" w:hAnsi="Times New Roman" w:cs="Times New Roman" w:eastAsia="Times New Roman" w:hint="default"/>
        </w:rPr>
        <w:t>4,000</w:t>
      </w:r>
      <w:r>
        <w:rPr/>
        <w:t>万元向全资子公司苏州吴中恒久光电子科技有限公司增资，其中</w:t>
      </w:r>
      <w:r>
        <w:rPr>
          <w:rFonts w:ascii="Times New Roman" w:hAnsi="Times New Roman" w:cs="Times New Roman" w:eastAsia="Times New Roman" w:hint="default"/>
        </w:rPr>
        <w:t>1,000</w:t>
      </w:r>
      <w:r>
        <w:rPr/>
        <w:t>万元用于增加 注册资本，</w:t>
      </w:r>
      <w:r>
        <w:rPr>
          <w:rFonts w:ascii="Times New Roman" w:hAnsi="Times New Roman" w:cs="Times New Roman" w:eastAsia="Times New Roman" w:hint="default"/>
        </w:rPr>
        <w:t>3,000</w:t>
      </w:r>
      <w:r>
        <w:rPr/>
        <w:t>万元计入资本公积。本次增资完成后，吴中恒久注册资本由人民币</w:t>
      </w:r>
      <w:r>
        <w:rPr>
          <w:rFonts w:ascii="Times New Roman" w:hAnsi="Times New Roman" w:cs="Times New Roman" w:eastAsia="Times New Roman" w:hint="default"/>
        </w:rPr>
        <w:t>8,000</w:t>
      </w:r>
      <w:r>
        <w:rPr/>
        <w:t>万元增加至人民币</w:t>
      </w:r>
      <w:r>
        <w:rPr>
          <w:rFonts w:ascii="Times New Roman" w:hAnsi="Times New Roman" w:cs="Times New Roman" w:eastAsia="Times New Roman" w:hint="default"/>
        </w:rPr>
        <w:t>9,000</w:t>
      </w:r>
      <w:r>
        <w:rPr/>
        <w:t>万元。公司 </w:t>
      </w:r>
      <w:r>
        <w:rPr>
          <w:spacing w:val="-1"/>
        </w:rPr>
        <w:t>仍将持有其</w:t>
      </w:r>
      <w:r>
        <w:rPr>
          <w:rFonts w:ascii="Times New Roman" w:hAnsi="Times New Roman" w:cs="Times New Roman" w:eastAsia="Times New Roman" w:hint="default"/>
          <w:spacing w:val="-1"/>
        </w:rPr>
        <w:t>100%</w:t>
      </w:r>
      <w:r>
        <w:rPr>
          <w:spacing w:val="-1"/>
        </w:rPr>
        <w:t>股权。该事项已于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21</w:t>
      </w:r>
      <w:r>
        <w:rPr>
          <w:spacing w:val="-1"/>
        </w:rPr>
        <w:t>日披露于《证券时报》、《证券日报》、《中国证券报》、《上海证券报》</w:t>
      </w:r>
      <w:r>
        <w:rPr>
          <w:spacing w:val="-85"/>
        </w:rPr>
        <w:t> </w:t>
      </w:r>
      <w:r>
        <w:rPr>
          <w:spacing w:val="-85"/>
        </w:rPr>
      </w:r>
      <w:r>
        <w:rPr>
          <w:spacing w:val="-1"/>
        </w:rPr>
        <w:t>及巨潮资讯网</w:t>
      </w:r>
      <w:hyperlink r:id="rId11">
        <w:r>
          <w:rPr>
            <w:rFonts w:ascii="Times New Roman" w:hAnsi="Times New Roman" w:cs="Times New Roman" w:eastAsia="Times New Roman" w:hint="default"/>
            <w:spacing w:val="-1"/>
          </w:rPr>
          <w:t>(http://www.cninfo.com.c</w:t>
        </w:r>
      </w:hyperlink>
      <w:r>
        <w:rPr>
          <w:rFonts w:ascii="Times New Roman" w:hAnsi="Times New Roman" w:cs="Times New Roman" w:eastAsia="Times New Roman" w:hint="default"/>
          <w:spacing w:val="-1"/>
        </w:rPr>
        <w:t>n</w:t>
      </w:r>
      <w:r>
        <w:rPr>
          <w:spacing w:val="-1"/>
        </w:rPr>
        <w:t>（公告编号：</w:t>
      </w:r>
      <w:r>
        <w:rPr>
          <w:rFonts w:ascii="Times New Roman" w:hAnsi="Times New Roman" w:cs="Times New Roman" w:eastAsia="Times New Roman" w:hint="default"/>
          <w:spacing w:val="-1"/>
        </w:rPr>
        <w:t>2017-071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月，吴中恒久已完成此次增资的工商变更登记手续，</w:t>
      </w:r>
      <w:r>
        <w:rPr>
          <w:spacing w:val="-49"/>
        </w:rPr>
        <w:t> </w:t>
      </w:r>
      <w:r>
        <w:rPr>
          <w:spacing w:val="-49"/>
        </w:rPr>
      </w:r>
      <w:r>
        <w:rPr/>
        <w:t>取得三证合一营业执照，统一社会信用代码：</w:t>
      </w:r>
      <w:r>
        <w:rPr>
          <w:rFonts w:ascii="Times New Roman" w:hAnsi="Times New Roman" w:cs="Times New Roman" w:eastAsia="Times New Roman" w:hint="default"/>
        </w:rPr>
        <w:t>91320506684920114P</w:t>
      </w:r>
      <w:r>
        <w:rPr/>
        <w:t>。</w:t>
      </w:r>
    </w:p>
    <w:p>
      <w:pPr>
        <w:spacing w:line="240" w:lineRule="auto" w:before="12"/>
        <w:rPr>
          <w:rFonts w:ascii="宋体" w:hAnsi="宋体" w:cs="宋体" w:eastAsia="宋体" w:hint="default"/>
          <w:sz w:val="12"/>
          <w:szCs w:val="12"/>
        </w:rPr>
      </w:pPr>
    </w:p>
    <w:p>
      <w:pPr>
        <w:pStyle w:val="BodyText"/>
        <w:spacing w:line="300" w:lineRule="auto"/>
        <w:ind w:left="154" w:right="1032" w:firstLine="360"/>
        <w:jc w:val="left"/>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日召开第三届董事会第十三次会议，审议通过了《关于对外投资设立商业保理公司的议案》， 同意设立全资子公司苏州恒久商业保理有限公司，注册资本</w:t>
      </w:r>
      <w:r>
        <w:rPr>
          <w:rFonts w:ascii="Times New Roman" w:hAnsi="Times New Roman" w:cs="Times New Roman" w:eastAsia="Times New Roman" w:hint="default"/>
        </w:rPr>
        <w:t>10,000</w:t>
      </w:r>
      <w:r>
        <w:rPr/>
        <w:t>万元。该事项已于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日披露于《证券时报》、</w:t>
      </w:r>
    </w:p>
    <w:p>
      <w:pPr>
        <w:pStyle w:val="BodyText"/>
        <w:spacing w:line="240" w:lineRule="auto" w:before="13"/>
        <w:ind w:left="154" w:right="0"/>
        <w:jc w:val="left"/>
      </w:pPr>
      <w:r>
        <w:rPr/>
        <w:t>《证券日报》、《中国证券报》、《上海证券报》及巨潮资讯网</w:t>
      </w:r>
      <w:hyperlink r:id="rId11">
        <w:r>
          <w:rPr>
            <w:rFonts w:ascii="Times New Roman" w:hAnsi="Times New Roman" w:cs="Times New Roman" w:eastAsia="Times New Roman" w:hint="default"/>
          </w:rPr>
          <w:t>(http://www.cninfo.co</w:t>
        </w:r>
      </w:hyperlink>
      <w:r>
        <w:rPr>
          <w:rFonts w:ascii="Times New Roman" w:hAnsi="Times New Roman" w:cs="Times New Roman" w:eastAsia="Times New Roman" w:hint="default"/>
        </w:rPr>
        <w:t>m</w:t>
      </w:r>
      <w:hyperlink r:id="rId11">
        <w:r>
          <w:rPr>
            <w:rFonts w:ascii="Times New Roman" w:hAnsi="Times New Roman" w:cs="Times New Roman" w:eastAsia="Times New Roman" w:hint="default"/>
          </w:rPr>
          <w:t>.cn</w:t>
        </w:r>
      </w:hyperlink>
      <w:r>
        <w:rPr/>
        <w:t>（公告编号：</w:t>
      </w:r>
      <w:r>
        <w:rPr>
          <w:rFonts w:ascii="Times New Roman" w:hAnsi="Times New Roman" w:cs="Times New Roman" w:eastAsia="Times New Roman" w:hint="default"/>
        </w:rPr>
        <w:t>2017-029</w:t>
      </w:r>
      <w:r>
        <w:rPr/>
        <w:t>）。</w:t>
      </w:r>
      <w:r>
        <w:rPr>
          <w:rFonts w:ascii="Times New Roman" w:hAnsi="Times New Roman" w:cs="Times New Roman" w:eastAsia="Times New Roman" w:hint="default"/>
        </w:rPr>
        <w:t>2017</w:t>
      </w:r>
      <w:r>
        <w:rPr/>
        <w:t>年</w:t>
      </w:r>
    </w:p>
    <w:p>
      <w:pPr>
        <w:pStyle w:val="BodyText"/>
        <w:spacing w:line="240" w:lineRule="auto" w:before="63"/>
        <w:ind w:right="0"/>
        <w:jc w:val="left"/>
      </w:pPr>
      <w:r>
        <w:rPr>
          <w:rFonts w:ascii="Times New Roman" w:hAnsi="Times New Roman" w:cs="Times New Roman" w:eastAsia="Times New Roman" w:hint="default"/>
        </w:rPr>
        <w:t>10</w:t>
      </w:r>
      <w:r>
        <w:rPr/>
        <w:t>月，苏州恒久商业保理有限公司取得营业执照，统一社会信用代码</w:t>
      </w:r>
      <w:r>
        <w:rPr>
          <w:rFonts w:ascii="Times New Roman" w:hAnsi="Times New Roman" w:cs="Times New Roman" w:eastAsia="Times New Roman" w:hint="default"/>
        </w:rPr>
        <w:t>91320594MA1R9QXF6J</w:t>
      </w:r>
      <w:r>
        <w:rPr/>
        <w:t>。</w:t>
      </w:r>
    </w:p>
    <w:p>
      <w:pPr>
        <w:spacing w:line="240" w:lineRule="auto" w:before="9"/>
        <w:rPr>
          <w:rFonts w:ascii="宋体" w:hAnsi="宋体" w:cs="宋体" w:eastAsia="宋体" w:hint="default"/>
          <w:sz w:val="16"/>
          <w:szCs w:val="16"/>
        </w:rPr>
      </w:pPr>
    </w:p>
    <w:p>
      <w:pPr>
        <w:pStyle w:val="BodyText"/>
        <w:spacing w:line="240" w:lineRule="auto"/>
        <w:ind w:left="51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月，公司设立全资子公司苏州恒久高新产业发展有限公司，注册资本</w:t>
      </w:r>
      <w:r>
        <w:rPr>
          <w:rFonts w:ascii="Times New Roman" w:hAnsi="Times New Roman" w:cs="Times New Roman" w:eastAsia="Times New Roman" w:hint="default"/>
        </w:rPr>
        <w:t>5,000</w:t>
      </w:r>
      <w:r>
        <w:rPr/>
        <w:t>万元人民币，已于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p>
    <w:p>
      <w:pPr>
        <w:spacing w:after="0" w:line="240" w:lineRule="auto"/>
        <w:jc w:val="left"/>
        <w:rPr>
          <w:rFonts w:ascii="Times New Roman" w:hAnsi="Times New Roman" w:cs="Times New Roman" w:eastAsia="Times New Roman" w:hint="default"/>
        </w:rPr>
        <w:sectPr>
          <w:headerReference w:type="default" r:id="rId24"/>
          <w:footerReference w:type="default" r:id="rId25"/>
          <w:pgSz w:w="11910" w:h="16840"/>
          <w:pgMar w:header="877" w:footer="979" w:top="1060" w:bottom="1160" w:left="980" w:right="0"/>
          <w:pgNumType w:start="46"/>
        </w:sect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44"/>
        <w:ind w:right="0"/>
        <w:jc w:val="left"/>
      </w:pPr>
      <w:r>
        <w:rPr/>
        <w:t>日取得营业执照，统一社会信用代码</w:t>
      </w:r>
      <w:r>
        <w:rPr>
          <w:rFonts w:ascii="Times New Roman" w:hAnsi="Times New Roman" w:cs="Times New Roman" w:eastAsia="Times New Roman" w:hint="default"/>
        </w:rPr>
        <w:t>91320505MA1R6GE41L</w:t>
      </w:r>
      <w:r>
        <w:rPr/>
        <w:t>。</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205" w:right="1041"/>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393" w:right="1041"/>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93" w:right="1041"/>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962"/>
        <w:gridCol w:w="1146"/>
        <w:gridCol w:w="851"/>
        <w:gridCol w:w="425"/>
        <w:gridCol w:w="566"/>
        <w:gridCol w:w="992"/>
        <w:gridCol w:w="994"/>
        <w:gridCol w:w="992"/>
        <w:gridCol w:w="1123"/>
        <w:gridCol w:w="794"/>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6" w:right="2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5"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-39,829,904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14,170,096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104,170,096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7,536,712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4,522,027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-12,058,739</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-7,536,712</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82,463,288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68.72%</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49,477,973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-27,771,165</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21,706,808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104,170,096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17,340,000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14.45%</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-18,346,667</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-7,942,667</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9,397,333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65,123,288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54.27%</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39,073,973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-9,424,498</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29,649,475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94,772,763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39,829,904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57,829,904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87,829,904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39,829,904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57,829,904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87,829,904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394" w:right="1041"/>
        <w:jc w:val="left"/>
      </w:pPr>
      <w:r>
        <w:rPr/>
        <w:t>股份变动的原因</w:t>
      </w:r>
    </w:p>
    <w:p>
      <w:pPr>
        <w:pStyle w:val="BodyText"/>
        <w:spacing w:line="240" w:lineRule="auto" w:before="117"/>
        <w:ind w:left="39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393" w:right="113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w:t>
      </w:r>
      <w:r>
        <w:rPr/>
        <w:t>公司召开</w:t>
      </w:r>
      <w:r>
        <w:rPr>
          <w:rFonts w:ascii="Times New Roman" w:hAnsi="Times New Roman" w:cs="Times New Roman" w:eastAsia="Times New Roman" w:hint="default"/>
        </w:rPr>
        <w:t>2016</w:t>
      </w:r>
      <w:r>
        <w:rPr/>
        <w:t>年度股东大会，审议通过了《关于公司</w:t>
      </w:r>
      <w:r>
        <w:rPr>
          <w:rFonts w:ascii="Times New Roman" w:hAnsi="Times New Roman" w:cs="Times New Roman" w:eastAsia="Times New Roman" w:hint="default"/>
        </w:rPr>
        <w:t>2016</w:t>
      </w:r>
      <w:r>
        <w:rPr/>
        <w:t>年度利润分配及资本公积转增股本预案的 </w:t>
      </w:r>
      <w:r>
        <w:rPr>
          <w:spacing w:val="-7"/>
        </w:rPr>
        <w:t>议案》，以总股本</w:t>
      </w:r>
      <w:r>
        <w:rPr>
          <w:rFonts w:ascii="Times New Roman" w:hAnsi="Times New Roman" w:cs="Times New Roman" w:eastAsia="Times New Roman" w:hint="default"/>
          <w:spacing w:val="-7"/>
        </w:rPr>
        <w:t>12,000</w:t>
      </w:r>
      <w:r>
        <w:rPr>
          <w:spacing w:val="-7"/>
        </w:rPr>
        <w:t>万股作为股本基数，向全体股东每</w:t>
      </w:r>
      <w:r>
        <w:rPr>
          <w:rFonts w:ascii="Times New Roman" w:hAnsi="Times New Roman" w:cs="Times New Roman" w:eastAsia="Times New Roman" w:hint="default"/>
          <w:spacing w:val="-7"/>
        </w:rPr>
        <w:t>10</w:t>
      </w:r>
      <w:r>
        <w:rPr>
          <w:spacing w:val="-7"/>
        </w:rPr>
        <w:t>股派发现金股利人民币</w:t>
      </w:r>
      <w:r>
        <w:rPr>
          <w:rFonts w:ascii="Times New Roman" w:hAnsi="Times New Roman" w:cs="Times New Roman" w:eastAsia="Times New Roman" w:hint="default"/>
          <w:spacing w:val="-7"/>
        </w:rPr>
        <w:t>1</w:t>
      </w:r>
      <w:r>
        <w:rPr>
          <w:spacing w:val="-7"/>
        </w:rPr>
        <w:t>元（含税），合计派发现金股利</w:t>
      </w:r>
      <w:r>
        <w:rPr>
          <w:rFonts w:ascii="Times New Roman" w:hAnsi="Times New Roman" w:cs="Times New Roman" w:eastAsia="Times New Roman" w:hint="default"/>
          <w:spacing w:val="-7"/>
        </w:rPr>
        <w:t>12,000,000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元；同时以资本公积向全体股东每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股，合计转增</w:t>
      </w:r>
      <w:r>
        <w:rPr>
          <w:rFonts w:ascii="Times New Roman" w:hAnsi="Times New Roman" w:cs="Times New Roman" w:eastAsia="Times New Roman" w:hint="default"/>
        </w:rPr>
        <w:t>7,200</w:t>
      </w:r>
      <w:r>
        <w:rPr/>
        <w:t>万股，转增后公司总股本增至</w:t>
      </w:r>
      <w:r>
        <w:rPr>
          <w:rFonts w:ascii="Times New Roman" w:hAnsi="Times New Roman" w:cs="Times New Roman" w:eastAsia="Times New Roman" w:hint="default"/>
        </w:rPr>
        <w:t>19,200</w:t>
      </w:r>
      <w:r>
        <w:rPr/>
        <w:t>万股。具体内容见</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日的《证券时报》、《证券日报》、《中国证券报》、《上海证券报》以及公司指定信息披露网站巨潮资讯网</w:t>
      </w:r>
    </w:p>
    <w:p>
      <w:pPr>
        <w:pStyle w:val="BodyText"/>
        <w:spacing w:line="240" w:lineRule="auto" w:before="13"/>
        <w:ind w:left="394" w:right="1041"/>
        <w:jc w:val="left"/>
      </w:pPr>
      <w:r>
        <w:rPr/>
        <w:t>（</w:t>
      </w:r>
      <w:hyperlink r:id="rId11">
        <w:r>
          <w:rPr>
            <w:rFonts w:ascii="Times New Roman" w:hAnsi="Times New Roman" w:cs="Times New Roman" w:eastAsia="Times New Roman" w:hint="default"/>
          </w:rPr>
          <w:t>www.cninfo.com.cn</w:t>
        </w:r>
      </w:hyperlink>
      <w:r>
        <w:rPr/>
        <w:t>）的《苏州恒久光电科技股份有限公司</w:t>
      </w:r>
      <w:r>
        <w:rPr>
          <w:rFonts w:ascii="Times New Roman" w:hAnsi="Times New Roman" w:cs="Times New Roman" w:eastAsia="Times New Roman" w:hint="default"/>
        </w:rPr>
        <w:t>2016</w:t>
      </w:r>
      <w:r>
        <w:rPr/>
        <w:t>年年度权益分派实施公告》（公告编号：</w:t>
      </w:r>
      <w:r>
        <w:rPr>
          <w:rFonts w:ascii="Times New Roman" w:hAnsi="Times New Roman" w:cs="Times New Roman" w:eastAsia="Times New Roman" w:hint="default"/>
        </w:rPr>
        <w:t>2017-025</w:t>
      </w:r>
      <w:r>
        <w:rPr/>
        <w:t>）；</w:t>
      </w:r>
    </w:p>
    <w:p>
      <w:pPr>
        <w:spacing w:line="240" w:lineRule="auto" w:before="9"/>
        <w:rPr>
          <w:rFonts w:ascii="宋体" w:hAnsi="宋体" w:cs="宋体" w:eastAsia="宋体" w:hint="default"/>
          <w:sz w:val="16"/>
          <w:szCs w:val="16"/>
        </w:rPr>
      </w:pPr>
    </w:p>
    <w:p>
      <w:pPr>
        <w:pStyle w:val="BodyText"/>
        <w:spacing w:line="309" w:lineRule="auto"/>
        <w:ind w:left="393" w:right="1041" w:firstLine="360"/>
        <w:jc w:val="left"/>
      </w:pPr>
      <w:r>
        <w:rPr>
          <w:rFonts w:ascii="Times New Roman" w:hAnsi="Times New Roman" w:cs="Times New Roman" w:eastAsia="Times New Roman" w:hint="default"/>
          <w:spacing w:val="-5"/>
        </w:rPr>
        <w:t>2</w:t>
      </w:r>
      <w:r>
        <w:rPr>
          <w:spacing w:val="-5"/>
        </w:rPr>
        <w:t>、根据江苏省苏高新风险投资股份有限公司、江苏昌盛阜创业投资有限公司、苏州亨通永源创业投资企业（有限合伙）、</w:t>
      </w:r>
      <w:r>
        <w:rPr/>
        <w:t> </w:t>
      </w:r>
      <w:r>
        <w:rPr>
          <w:spacing w:val="-4"/>
        </w:rPr>
        <w:t>上海安益文恒投资中心（有限合伙）、北京邦诺投资管理中心（有限合伙）、苏州工业园区辰融创业投资有限公司、赵夕明、</w:t>
      </w:r>
      <w:r>
        <w:rPr>
          <w:spacing w:val="-45"/>
        </w:rPr>
        <w:t> </w:t>
      </w:r>
      <w:r>
        <w:rPr>
          <w:spacing w:val="-45"/>
        </w:rPr>
      </w:r>
      <w:r>
        <w:rPr>
          <w:spacing w:val="-2"/>
        </w:rPr>
        <w:t>顾文明、陈亮、刘瑜、闫挺、宋菊萍、裘亦荷、王新平、张培兴、沈玉将在公司《首次公开发行股票招股说明书》及《首次</w:t>
      </w:r>
      <w:r>
        <w:rPr>
          <w:spacing w:val="-72"/>
        </w:rPr>
        <w:t> </w:t>
      </w:r>
      <w:r>
        <w:rPr>
          <w:spacing w:val="-72"/>
        </w:rPr>
      </w:r>
      <w:r>
        <w:rPr/>
        <w:t>公开发行股票上市公告书》中做出的承诺，上述股东于公司首次公开发行股票前取得的首发前限售股份的限售期届满并于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日上市流通。具体内容见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日的《证券时报》、《证券日报》、《中国证券报》、《上海证券报》以</w:t>
      </w:r>
      <w:r>
        <w:rPr>
          <w:spacing w:val="-56"/>
        </w:rPr>
        <w:t> </w:t>
      </w:r>
      <w:r>
        <w:rPr>
          <w:spacing w:val="-56"/>
        </w:rPr>
      </w:r>
      <w:r>
        <w:rPr/>
        <w:t>及公司指定信息披露网站巨潮资讯网（</w:t>
      </w:r>
      <w:hyperlink r:id="rId11">
        <w:r>
          <w:rPr>
            <w:rFonts w:ascii="Times New Roman" w:hAnsi="Times New Roman" w:cs="Times New Roman" w:eastAsia="Times New Roman" w:hint="default"/>
          </w:rPr>
          <w:t>www.cninfo.com.cn</w:t>
        </w:r>
      </w:hyperlink>
      <w:r>
        <w:rPr/>
        <w:t>）的《苏州恒久光电科技股份有限公司首次公开发行前已发行股 份上市流通提示性公告》（公告编号：</w:t>
      </w:r>
      <w:r>
        <w:rPr>
          <w:rFonts w:ascii="Times New Roman" w:hAnsi="Times New Roman" w:cs="Times New Roman" w:eastAsia="Times New Roman" w:hint="default"/>
        </w:rPr>
        <w:t>2017-039</w:t>
      </w:r>
      <w:r>
        <w:rPr/>
        <w:t>）。</w:t>
      </w:r>
    </w:p>
    <w:p>
      <w:pPr>
        <w:spacing w:line="240" w:lineRule="auto" w:before="6"/>
        <w:rPr>
          <w:rFonts w:ascii="宋体" w:hAnsi="宋体" w:cs="宋体" w:eastAsia="宋体" w:hint="default"/>
          <w:sz w:val="12"/>
          <w:szCs w:val="12"/>
        </w:rPr>
      </w:pPr>
    </w:p>
    <w:p>
      <w:pPr>
        <w:pStyle w:val="BodyText"/>
        <w:spacing w:line="240" w:lineRule="auto"/>
        <w:ind w:left="394" w:right="1041"/>
        <w:jc w:val="left"/>
      </w:pPr>
      <w:r>
        <w:rPr/>
        <w:t>股份变动的批准情况</w:t>
      </w:r>
    </w:p>
    <w:p>
      <w:pPr>
        <w:pStyle w:val="BodyText"/>
        <w:spacing w:line="240" w:lineRule="auto" w:before="117"/>
        <w:ind w:left="39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393" w:right="1041" w:firstLine="36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w:t>
      </w:r>
      <w:r>
        <w:rPr/>
        <w:t>公司召开</w:t>
      </w:r>
      <w:r>
        <w:rPr>
          <w:rFonts w:ascii="Times New Roman" w:hAnsi="Times New Roman" w:cs="Times New Roman" w:eastAsia="Times New Roman" w:hint="default"/>
        </w:rPr>
        <w:t>2016</w:t>
      </w:r>
      <w:r>
        <w:rPr/>
        <w:t>年度股东大会，审议通过了《关于公司</w:t>
      </w:r>
      <w:r>
        <w:rPr>
          <w:rFonts w:ascii="Times New Roman" w:hAnsi="Times New Roman" w:cs="Times New Roman" w:eastAsia="Times New Roman" w:hint="default"/>
        </w:rPr>
        <w:t>2016</w:t>
      </w:r>
      <w:r>
        <w:rPr/>
        <w:t>年度利润分配及资本公积转增股本预案的 </w:t>
      </w:r>
      <w:r>
        <w:rPr>
          <w:spacing w:val="-7"/>
        </w:rPr>
        <w:t>议案》，以总股本</w:t>
      </w:r>
      <w:r>
        <w:rPr>
          <w:rFonts w:ascii="Times New Roman" w:hAnsi="Times New Roman" w:cs="Times New Roman" w:eastAsia="Times New Roman" w:hint="default"/>
          <w:spacing w:val="-7"/>
        </w:rPr>
        <w:t>12,000</w:t>
      </w:r>
      <w:r>
        <w:rPr>
          <w:spacing w:val="-7"/>
        </w:rPr>
        <w:t>万股作为股本基数，向全体股东每</w:t>
      </w:r>
      <w:r>
        <w:rPr>
          <w:rFonts w:ascii="Times New Roman" w:hAnsi="Times New Roman" w:cs="Times New Roman" w:eastAsia="Times New Roman" w:hint="default"/>
          <w:spacing w:val="-7"/>
        </w:rPr>
        <w:t>10</w:t>
      </w:r>
      <w:r>
        <w:rPr>
          <w:spacing w:val="-7"/>
        </w:rPr>
        <w:t>股派发现金股利人民币</w:t>
      </w:r>
      <w:r>
        <w:rPr>
          <w:rFonts w:ascii="Times New Roman" w:hAnsi="Times New Roman" w:cs="Times New Roman" w:eastAsia="Times New Roman" w:hint="default"/>
          <w:spacing w:val="-7"/>
        </w:rPr>
        <w:t>1</w:t>
      </w:r>
      <w:r>
        <w:rPr>
          <w:spacing w:val="-7"/>
        </w:rPr>
        <w:t>元（含税），合计派发现金股利</w:t>
      </w:r>
      <w:r>
        <w:rPr>
          <w:rFonts w:ascii="Times New Roman" w:hAnsi="Times New Roman" w:cs="Times New Roman" w:eastAsia="Times New Roman" w:hint="default"/>
          <w:spacing w:val="-7"/>
        </w:rPr>
        <w:t>12,000,000</w:t>
      </w:r>
    </w:p>
    <w:p>
      <w:pPr>
        <w:spacing w:after="0" w:line="300" w:lineRule="auto"/>
        <w:jc w:val="left"/>
        <w:rPr>
          <w:rFonts w:ascii="Times New Roman" w:hAnsi="Times New Roman" w:cs="Times New Roman" w:eastAsia="Times New Roman" w:hint="default"/>
        </w:rPr>
        <w:sectPr>
          <w:pgSz w:w="11910" w:h="16840"/>
          <w:pgMar w:header="877" w:footer="979" w:top="1100" w:bottom="1160" w:left="740" w:right="0"/>
        </w:sectPr>
      </w:pPr>
    </w:p>
    <w:p>
      <w:pPr>
        <w:spacing w:line="240" w:lineRule="auto" w:before="11"/>
        <w:rPr>
          <w:rFonts w:ascii="Times New Roman" w:hAnsi="Times New Roman" w:cs="Times New Roman" w:eastAsia="Times New Roman" w:hint="default"/>
          <w:sz w:val="24"/>
          <w:szCs w:val="24"/>
        </w:rPr>
      </w:pPr>
    </w:p>
    <w:p>
      <w:pPr>
        <w:pStyle w:val="BodyText"/>
        <w:spacing w:line="300" w:lineRule="auto" w:before="44"/>
        <w:ind w:left="334" w:right="1122"/>
        <w:jc w:val="left"/>
      </w:pPr>
      <w:r>
        <w:rPr/>
        <w:t>元；同时以资本公积向全体股东每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股，合计转增</w:t>
      </w:r>
      <w:r>
        <w:rPr>
          <w:rFonts w:ascii="Times New Roman" w:hAnsi="Times New Roman" w:cs="Times New Roman" w:eastAsia="Times New Roman" w:hint="default"/>
        </w:rPr>
        <w:t>7,200</w:t>
      </w:r>
      <w:r>
        <w:rPr/>
        <w:t>万股，转增后公司总股本增至</w:t>
      </w:r>
      <w:r>
        <w:rPr>
          <w:rFonts w:ascii="Times New Roman" w:hAnsi="Times New Roman" w:cs="Times New Roman" w:eastAsia="Times New Roman" w:hint="default"/>
        </w:rPr>
        <w:t>19,200</w:t>
      </w:r>
      <w:r>
        <w:rPr/>
        <w:t>万股。具体内容见</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日的《证券时报》、《证券日报》、《中国证券报》、《上海证券报》以及公司指定信息披露网站巨潮资讯网</w:t>
      </w:r>
    </w:p>
    <w:p>
      <w:pPr>
        <w:pStyle w:val="BodyText"/>
        <w:spacing w:line="240" w:lineRule="auto" w:before="13"/>
        <w:ind w:left="334" w:right="1122"/>
        <w:jc w:val="left"/>
      </w:pPr>
      <w:r>
        <w:rPr/>
        <w:t>（</w:t>
      </w:r>
      <w:hyperlink r:id="rId11">
        <w:r>
          <w:rPr>
            <w:rFonts w:ascii="Times New Roman" w:hAnsi="Times New Roman" w:cs="Times New Roman" w:eastAsia="Times New Roman" w:hint="default"/>
          </w:rPr>
          <w:t>www.cninfo.com.cn</w:t>
        </w:r>
      </w:hyperlink>
      <w:r>
        <w:rPr/>
        <w:t>）的《苏州恒久光电科技股份有限公司</w:t>
      </w:r>
      <w:r>
        <w:rPr>
          <w:rFonts w:ascii="Times New Roman" w:hAnsi="Times New Roman" w:cs="Times New Roman" w:eastAsia="Times New Roman" w:hint="default"/>
        </w:rPr>
        <w:t>2016</w:t>
      </w:r>
      <w:r>
        <w:rPr/>
        <w:t>年年度权益分派实施公告》（公告编号：</w:t>
      </w:r>
      <w:r>
        <w:rPr>
          <w:rFonts w:ascii="Times New Roman" w:hAnsi="Times New Roman" w:cs="Times New Roman" w:eastAsia="Times New Roman" w:hint="default"/>
        </w:rPr>
        <w:t>2017-025</w:t>
      </w:r>
      <w:r>
        <w:rPr/>
        <w:t>）；</w:t>
      </w:r>
    </w:p>
    <w:p>
      <w:pPr>
        <w:spacing w:line="240" w:lineRule="auto" w:before="9"/>
        <w:rPr>
          <w:rFonts w:ascii="宋体" w:hAnsi="宋体" w:cs="宋体" w:eastAsia="宋体" w:hint="default"/>
          <w:sz w:val="16"/>
          <w:szCs w:val="16"/>
        </w:rPr>
      </w:pPr>
    </w:p>
    <w:p>
      <w:pPr>
        <w:pStyle w:val="BodyText"/>
        <w:spacing w:line="300" w:lineRule="auto"/>
        <w:ind w:left="333" w:right="1122"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月，公司按照相关规定向深交所、中国证券登记结算有限责任公司深圳分公司提交了《首次公开发行前已发</w:t>
      </w:r>
      <w:r>
        <w:rPr/>
        <w:t> 行股份上市流通申请书》及相关材料，经批准，公司本次解禁的首发限售股</w:t>
      </w:r>
      <w:r>
        <w:rPr>
          <w:rFonts w:ascii="Times New Roman" w:hAnsi="Times New Roman" w:cs="Times New Roman" w:eastAsia="Times New Roman" w:hint="default"/>
        </w:rPr>
        <w:t>4,131.072</w:t>
      </w:r>
      <w:r>
        <w:rPr/>
        <w:t>万股于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日起上市流通。</w:t>
      </w:r>
    </w:p>
    <w:p>
      <w:pPr>
        <w:spacing w:line="240" w:lineRule="auto" w:before="0"/>
        <w:rPr>
          <w:rFonts w:ascii="宋体" w:hAnsi="宋体" w:cs="宋体" w:eastAsia="宋体" w:hint="default"/>
          <w:sz w:val="13"/>
          <w:szCs w:val="13"/>
        </w:rPr>
      </w:pPr>
    </w:p>
    <w:p>
      <w:pPr>
        <w:pStyle w:val="BodyText"/>
        <w:spacing w:line="240" w:lineRule="auto"/>
        <w:ind w:left="333" w:right="1122"/>
        <w:jc w:val="left"/>
      </w:pPr>
      <w:r>
        <w:rPr/>
        <w:t>股份变动的过户情况</w:t>
      </w:r>
    </w:p>
    <w:p>
      <w:pPr>
        <w:pStyle w:val="BodyText"/>
        <w:spacing w:line="340" w:lineRule="auto" w:before="116"/>
        <w:ind w:left="333"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39"/>
        <w:ind w:left="333"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6"/>
          <w:szCs w:val="16"/>
        </w:rPr>
      </w:pPr>
    </w:p>
    <w:p>
      <w:pPr>
        <w:pStyle w:val="BodyText"/>
        <w:spacing w:line="300" w:lineRule="auto"/>
        <w:ind w:left="333" w:right="1126" w:firstLine="360"/>
        <w:jc w:val="left"/>
      </w:pPr>
      <w:r>
        <w:rPr>
          <w:rFonts w:ascii="Times New Roman" w:hAnsi="Times New Roman" w:cs="Times New Roman" w:eastAsia="Times New Roman" w:hint="default"/>
        </w:rPr>
        <w:t>1</w:t>
      </w:r>
      <w:r>
        <w:rPr/>
        <w:t>、基本每股收益：</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年度，公司原基本每股收益</w:t>
      </w:r>
      <w:r>
        <w:rPr>
          <w:spacing w:val="-46"/>
        </w:rPr>
        <w:t> </w:t>
      </w:r>
      <w:r>
        <w:rPr>
          <w:rFonts w:ascii="Times New Roman" w:hAnsi="Times New Roman" w:cs="Times New Roman" w:eastAsia="Times New Roman" w:hint="default"/>
        </w:rPr>
        <w:t>0.410</w:t>
      </w:r>
      <w:r>
        <w:rPr>
          <w:rFonts w:ascii="Times New Roman" w:hAnsi="Times New Roman" w:cs="Times New Roman" w:eastAsia="Times New Roman" w:hint="default"/>
          <w:spacing w:val="-1"/>
        </w:rPr>
        <w:t> </w:t>
      </w:r>
      <w:r>
        <w:rPr/>
        <w:t>元，报告期内实施每十股转增六股的权益分派方案后，基本 每股收益调整为</w:t>
      </w:r>
      <w:r>
        <w:rPr>
          <w:spacing w:val="-46"/>
        </w:rPr>
        <w:t> </w:t>
      </w:r>
      <w:r>
        <w:rPr>
          <w:rFonts w:ascii="Times New Roman" w:hAnsi="Times New Roman" w:cs="Times New Roman" w:eastAsia="Times New Roman" w:hint="default"/>
        </w:rPr>
        <w:t>0.256</w:t>
      </w:r>
      <w:r>
        <w:rPr>
          <w:rFonts w:ascii="Times New Roman" w:hAnsi="Times New Roman" w:cs="Times New Roman" w:eastAsia="Times New Roman" w:hint="default"/>
          <w:spacing w:val="-1"/>
        </w:rPr>
        <w:t> </w:t>
      </w:r>
      <w:r>
        <w:rPr/>
        <w:t>元，下降了</w:t>
      </w:r>
      <w:r>
        <w:rPr>
          <w:spacing w:val="-46"/>
        </w:rPr>
        <w:t> </w:t>
      </w:r>
      <w:r>
        <w:rPr>
          <w:rFonts w:ascii="Times New Roman" w:hAnsi="Times New Roman" w:cs="Times New Roman" w:eastAsia="Times New Roman" w:hint="default"/>
        </w:rPr>
        <w:t>37.56%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年度，按报告期期初股本计算，基本每股收益为</w:t>
      </w:r>
      <w:r>
        <w:rPr>
          <w:spacing w:val="-46"/>
        </w:rPr>
        <w:t> </w:t>
      </w:r>
      <w:r>
        <w:rPr>
          <w:rFonts w:ascii="Times New Roman" w:hAnsi="Times New Roman" w:cs="Times New Roman" w:eastAsia="Times New Roman" w:hint="default"/>
        </w:rPr>
        <w:t>0.254</w:t>
      </w:r>
      <w:r>
        <w:rPr>
          <w:rFonts w:ascii="Times New Roman" w:hAnsi="Times New Roman" w:cs="Times New Roman" w:eastAsia="Times New Roman" w:hint="default"/>
          <w:spacing w:val="-1"/>
        </w:rPr>
        <w:t> </w:t>
      </w:r>
      <w:r>
        <w:rPr/>
        <w:t>元，实施每十股转 增六股的权益分派方案后，基本每股收益为</w:t>
      </w:r>
      <w:r>
        <w:rPr>
          <w:spacing w:val="-46"/>
        </w:rPr>
        <w:t> </w:t>
      </w:r>
      <w:r>
        <w:rPr>
          <w:rFonts w:ascii="Times New Roman" w:hAnsi="Times New Roman" w:cs="Times New Roman" w:eastAsia="Times New Roman" w:hint="default"/>
        </w:rPr>
        <w:t>0.159 </w:t>
      </w:r>
      <w:r>
        <w:rPr/>
        <w:t>元，下降了</w:t>
      </w:r>
      <w:r>
        <w:rPr>
          <w:spacing w:val="-46"/>
        </w:rPr>
        <w:t> </w:t>
      </w:r>
      <w:r>
        <w:rPr>
          <w:rFonts w:ascii="Times New Roman" w:hAnsi="Times New Roman" w:cs="Times New Roman" w:eastAsia="Times New Roman" w:hint="default"/>
        </w:rPr>
        <w:t>37.40%</w:t>
      </w:r>
      <w:r>
        <w:rPr/>
        <w:t>。</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00" w:lineRule="auto"/>
        <w:ind w:left="333" w:right="1067" w:firstLine="360"/>
        <w:jc w:val="left"/>
      </w:pPr>
      <w:r>
        <w:rPr>
          <w:rFonts w:ascii="Times New Roman" w:hAnsi="Times New Roman" w:cs="Times New Roman" w:eastAsia="Times New Roman" w:hint="default"/>
        </w:rPr>
        <w:t>2</w:t>
      </w:r>
      <w:r>
        <w:rPr/>
        <w:t>、归属于公司普通股股东的每股净资产：</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spacing w:val="-3"/>
        </w:rPr>
        <w:t>年末，按公司原股本</w:t>
      </w:r>
      <w:r>
        <w:rPr>
          <w:spacing w:val="-59"/>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4"/>
        </w:rPr>
        <w:t> </w:t>
      </w:r>
      <w:r>
        <w:rPr/>
        <w:t>万股计算，归属于公司普通股股东的每股净 资产为</w:t>
      </w:r>
      <w:r>
        <w:rPr>
          <w:spacing w:val="-46"/>
        </w:rPr>
        <w:t> </w:t>
      </w:r>
      <w:r>
        <w:rPr>
          <w:rFonts w:ascii="Times New Roman" w:hAnsi="Times New Roman" w:cs="Times New Roman" w:eastAsia="Times New Roman" w:hint="default"/>
        </w:rPr>
        <w:t>4.36</w:t>
      </w:r>
      <w:r>
        <w:rPr>
          <w:rFonts w:ascii="Times New Roman" w:hAnsi="Times New Roman" w:cs="Times New Roman" w:eastAsia="Times New Roman" w:hint="default"/>
          <w:spacing w:val="-1"/>
        </w:rPr>
        <w:t> </w:t>
      </w:r>
      <w:r>
        <w:rPr/>
        <w:t>元，实施每十股转增六股的权益分派方案后，归属于公司普通股股东的每股净资产为</w:t>
      </w:r>
      <w:r>
        <w:rPr>
          <w:spacing w:val="-45"/>
        </w:rPr>
        <w:t> </w:t>
      </w:r>
      <w:r>
        <w:rPr>
          <w:rFonts w:ascii="Times New Roman" w:hAnsi="Times New Roman" w:cs="Times New Roman" w:eastAsia="Times New Roman" w:hint="default"/>
        </w:rPr>
        <w:t>2.72</w:t>
      </w:r>
      <w:r>
        <w:rPr>
          <w:rFonts w:ascii="Times New Roman" w:hAnsi="Times New Roman" w:cs="Times New Roman" w:eastAsia="Times New Roman" w:hint="default"/>
          <w:spacing w:val="-1"/>
        </w:rPr>
        <w:t> </w:t>
      </w:r>
      <w:r>
        <w:rPr/>
        <w:t>元，下降了</w:t>
      </w:r>
      <w:r>
        <w:rPr>
          <w:spacing w:val="-46"/>
        </w:rPr>
        <w:t> </w:t>
      </w:r>
      <w:r>
        <w:rPr>
          <w:rFonts w:ascii="Times New Roman" w:hAnsi="Times New Roman" w:cs="Times New Roman" w:eastAsia="Times New Roman" w:hint="default"/>
        </w:rPr>
        <w:t>37.61%</w:t>
      </w:r>
      <w:r>
        <w:rPr/>
        <w:t>；</w:t>
      </w:r>
    </w:p>
    <w:p>
      <w:pPr>
        <w:pStyle w:val="BodyText"/>
        <w:spacing w:line="302" w:lineRule="auto" w:before="13"/>
        <w:ind w:left="333" w:right="112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年末，按报告期期初股本计算，归属于公司普通股股东的每股净资产为</w:t>
      </w:r>
      <w:r>
        <w:rPr>
          <w:spacing w:val="-45"/>
        </w:rPr>
        <w:t> </w:t>
      </w:r>
      <w:r>
        <w:rPr>
          <w:rFonts w:ascii="Times New Roman" w:hAnsi="Times New Roman" w:cs="Times New Roman" w:eastAsia="Times New Roman" w:hint="default"/>
        </w:rPr>
        <w:t>4.51</w:t>
      </w:r>
      <w:r>
        <w:rPr>
          <w:rFonts w:ascii="Times New Roman" w:hAnsi="Times New Roman" w:cs="Times New Roman" w:eastAsia="Times New Roman" w:hint="default"/>
          <w:spacing w:val="-1"/>
        </w:rPr>
        <w:t> </w:t>
      </w:r>
      <w:r>
        <w:rPr/>
        <w:t>元，实施每十股转增六股的权益分派方案 后，归属于公司普通股股东的每股净资产为</w:t>
      </w:r>
      <w:r>
        <w:rPr>
          <w:spacing w:val="-46"/>
        </w:rPr>
        <w:t> </w:t>
      </w:r>
      <w:r>
        <w:rPr>
          <w:rFonts w:ascii="Times New Roman" w:hAnsi="Times New Roman" w:cs="Times New Roman" w:eastAsia="Times New Roman" w:hint="default"/>
        </w:rPr>
        <w:t>2.82 </w:t>
      </w:r>
      <w:r>
        <w:rPr/>
        <w:t>元，下降了</w:t>
      </w:r>
      <w:r>
        <w:rPr>
          <w:spacing w:val="-46"/>
        </w:rPr>
        <w:t> </w:t>
      </w:r>
      <w:r>
        <w:rPr>
          <w:rFonts w:ascii="Times New Roman" w:hAnsi="Times New Roman" w:cs="Times New Roman" w:eastAsia="Times New Roman" w:hint="default"/>
        </w:rPr>
        <w:t>37.47%</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240" w:lineRule="auto"/>
        <w:ind w:left="333" w:right="1122"/>
        <w:jc w:val="left"/>
      </w:pPr>
      <w:r>
        <w:rPr/>
        <w:t>公司认为必要或证券监管机构要求披露的其他内容</w:t>
      </w:r>
    </w:p>
    <w:p>
      <w:pPr>
        <w:pStyle w:val="BodyText"/>
        <w:spacing w:line="240" w:lineRule="auto" w:before="117"/>
        <w:ind w:left="333"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333" w:right="1122"/>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333"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552"/>
        <w:gridCol w:w="1134"/>
        <w:gridCol w:w="993"/>
        <w:gridCol w:w="992"/>
        <w:gridCol w:w="1064"/>
        <w:gridCol w:w="1913"/>
        <w:gridCol w:w="1417"/>
      </w:tblGrid>
      <w:tr>
        <w:trPr>
          <w:trHeight w:val="71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2" w:right="109"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1" w:right="39"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6" w:right="77"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47,428,800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28,457,280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75,886,080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兰山英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8,746,667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5,248,000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13,994,667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江苏省苏高新风险投资股份有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7,536,712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12,058,739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4,522,027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苏州恒久荣盛科技投资有限公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5,873,333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3,524,000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9,397,333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江苏昌盛阜创业投资有限公司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3,644,445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5,831,112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2,186,667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苏州亨通永源创业投资企业（有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上海安益文恒投资中心（有限合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2"/>
                <w:sz w:val="18"/>
                <w:szCs w:val="18"/>
              </w:rPr>
              <w:t>北京邦诺投资管理中心（有限合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79" w:top="1100" w:bottom="1160" w:left="800" w:right="0"/>
        </w:sectPr>
      </w:pPr>
    </w:p>
    <w:p>
      <w:pPr>
        <w:spacing w:line="240" w:lineRule="auto" w:before="6"/>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552"/>
        <w:gridCol w:w="1134"/>
        <w:gridCol w:w="993"/>
        <w:gridCol w:w="992"/>
        <w:gridCol w:w="1064"/>
        <w:gridCol w:w="1913"/>
        <w:gridCol w:w="1417"/>
      </w:tblGrid>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苏州工业园区辰融创业投资有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1,822,222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2,915,555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1,093,333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2,099,200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赵夕明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1,093,333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1,749,333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顾文明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911,112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1,457,779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546,667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孙忠良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728,888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291,555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首次公开发行股票限售</w:t>
            </w:r>
            <w:r>
              <w:rPr>
                <w:rFonts w:ascii="Times New Roman" w:hAnsi="Times New Roman" w:cs="Times New Roman" w:eastAsia="Times New Roman" w:hint="default"/>
                <w:sz w:val="18"/>
                <w:szCs w:val="18"/>
              </w:rPr>
              <w:t>/ </w:t>
            </w:r>
            <w:r>
              <w:rPr>
                <w:rFonts w:ascii="宋体" w:hAnsi="宋体" w:cs="宋体" w:eastAsia="宋体" w:hint="default"/>
                <w:sz w:val="18"/>
                <w:szCs w:val="18"/>
              </w:rPr>
              <w:t>类高管锁定股份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高管锁定</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宋菊萍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裘亦荷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597,688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956,301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358,613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王新平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张培兴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310,950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首次公开发行股票限售</w:t>
            </w:r>
            <w:r>
              <w:rPr>
                <w:rFonts w:ascii="Times New Roman" w:hAnsi="Times New Roman" w:cs="Times New Roman" w:eastAsia="Times New Roman" w:hint="default"/>
                <w:sz w:val="18"/>
                <w:szCs w:val="18"/>
              </w:rPr>
              <w:t>/ </w:t>
            </w:r>
            <w:r>
              <w:rPr>
                <w:rFonts w:ascii="宋体" w:hAnsi="宋体" w:cs="宋体" w:eastAsia="宋体" w:hint="default"/>
                <w:sz w:val="18"/>
                <w:szCs w:val="18"/>
              </w:rPr>
              <w:t>高管锁定股份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高管锁定</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沈玉将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196,800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314,880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118,080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39,845,654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54,015,750</w:t>
            </w:r>
          </w:p>
        </w:tc>
        <w:tc>
          <w:tcPr>
            <w:tcW w:w="106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104,170,096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334" w:right="1122"/>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33" w:right="1122"/>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33"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333" w:right="1122"/>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33"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333" w:right="113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w:t>
      </w:r>
      <w:r>
        <w:rPr/>
        <w:t>公司召开</w:t>
      </w:r>
      <w:r>
        <w:rPr>
          <w:rFonts w:ascii="Times New Roman" w:hAnsi="Times New Roman" w:cs="Times New Roman" w:eastAsia="Times New Roman" w:hint="default"/>
        </w:rPr>
        <w:t>2016</w:t>
      </w:r>
      <w:r>
        <w:rPr/>
        <w:t>年度股东大会，审议通过了《关于公司</w:t>
      </w:r>
      <w:r>
        <w:rPr>
          <w:rFonts w:ascii="Times New Roman" w:hAnsi="Times New Roman" w:cs="Times New Roman" w:eastAsia="Times New Roman" w:hint="default"/>
        </w:rPr>
        <w:t>2016</w:t>
      </w:r>
      <w:r>
        <w:rPr/>
        <w:t>年度利润分配及资本公积转增股本预案的 </w:t>
      </w:r>
      <w:r>
        <w:rPr>
          <w:spacing w:val="-7"/>
        </w:rPr>
        <w:t>议案》，以总股本</w:t>
      </w:r>
      <w:r>
        <w:rPr>
          <w:rFonts w:ascii="Times New Roman" w:hAnsi="Times New Roman" w:cs="Times New Roman" w:eastAsia="Times New Roman" w:hint="default"/>
          <w:spacing w:val="-7"/>
        </w:rPr>
        <w:t>12,000</w:t>
      </w:r>
      <w:r>
        <w:rPr>
          <w:spacing w:val="-7"/>
        </w:rPr>
        <w:t>万股作为股本基数，向全体股东每</w:t>
      </w:r>
      <w:r>
        <w:rPr>
          <w:rFonts w:ascii="Times New Roman" w:hAnsi="Times New Roman" w:cs="Times New Roman" w:eastAsia="Times New Roman" w:hint="default"/>
          <w:spacing w:val="-7"/>
        </w:rPr>
        <w:t>10</w:t>
      </w:r>
      <w:r>
        <w:rPr>
          <w:spacing w:val="-7"/>
        </w:rPr>
        <w:t>股派发现金股利人民币</w:t>
      </w:r>
      <w:r>
        <w:rPr>
          <w:rFonts w:ascii="Times New Roman" w:hAnsi="Times New Roman" w:cs="Times New Roman" w:eastAsia="Times New Roman" w:hint="default"/>
          <w:spacing w:val="-7"/>
        </w:rPr>
        <w:t>1</w:t>
      </w:r>
      <w:r>
        <w:rPr>
          <w:spacing w:val="-7"/>
        </w:rPr>
        <w:t>元（含税），合计派发现金股利</w:t>
      </w:r>
      <w:r>
        <w:rPr>
          <w:rFonts w:ascii="Times New Roman" w:hAnsi="Times New Roman" w:cs="Times New Roman" w:eastAsia="Times New Roman" w:hint="default"/>
          <w:spacing w:val="-7"/>
        </w:rPr>
        <w:t>12,000,000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元；同时以资本公积向全体股东每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股，合计转增</w:t>
      </w:r>
      <w:r>
        <w:rPr>
          <w:rFonts w:ascii="Times New Roman" w:hAnsi="Times New Roman" w:cs="Times New Roman" w:eastAsia="Times New Roman" w:hint="default"/>
        </w:rPr>
        <w:t>7,200</w:t>
      </w:r>
      <w:r>
        <w:rPr/>
        <w:t>万股，转增后公司总股本增至</w:t>
      </w:r>
      <w:r>
        <w:rPr>
          <w:rFonts w:ascii="Times New Roman" w:hAnsi="Times New Roman" w:cs="Times New Roman" w:eastAsia="Times New Roman" w:hint="default"/>
        </w:rPr>
        <w:t>19,200</w:t>
      </w:r>
      <w:r>
        <w:rPr/>
        <w:t>万股。具体内容见</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日的《证券时报》、《证券日报》、《中国证券报》、《上海证券报》以及公司指定信息披露网站巨潮资讯网</w:t>
      </w:r>
    </w:p>
    <w:p>
      <w:pPr>
        <w:pStyle w:val="BodyText"/>
        <w:spacing w:line="240" w:lineRule="auto" w:before="13"/>
        <w:ind w:left="334" w:right="1122"/>
        <w:jc w:val="left"/>
      </w:pPr>
      <w:r>
        <w:rPr/>
        <w:t>（</w:t>
      </w:r>
      <w:hyperlink r:id="rId11">
        <w:r>
          <w:rPr>
            <w:rFonts w:ascii="Times New Roman" w:hAnsi="Times New Roman" w:cs="Times New Roman" w:eastAsia="Times New Roman" w:hint="default"/>
          </w:rPr>
          <w:t>www.cninfo.com.cn</w:t>
        </w:r>
      </w:hyperlink>
      <w:r>
        <w:rPr/>
        <w:t>）的《苏州恒久光电科技股份有限公司</w:t>
      </w:r>
      <w:r>
        <w:rPr>
          <w:rFonts w:ascii="Times New Roman" w:hAnsi="Times New Roman" w:cs="Times New Roman" w:eastAsia="Times New Roman" w:hint="default"/>
        </w:rPr>
        <w:t>2016</w:t>
      </w:r>
      <w:r>
        <w:rPr/>
        <w:t>年年度权益分派实施公告》（公告编号：</w:t>
      </w:r>
      <w:r>
        <w:rPr>
          <w:rFonts w:ascii="Times New Roman" w:hAnsi="Times New Roman" w:cs="Times New Roman" w:eastAsia="Times New Roman" w:hint="default"/>
        </w:rPr>
        <w:t>2017-025</w:t>
      </w:r>
      <w:r>
        <w:rPr/>
        <w:t>）。</w:t>
      </w:r>
    </w:p>
    <w:p>
      <w:pPr>
        <w:spacing w:line="240" w:lineRule="auto" w:before="9"/>
        <w:rPr>
          <w:rFonts w:ascii="宋体" w:hAnsi="宋体" w:cs="宋体" w:eastAsia="宋体" w:hint="default"/>
          <w:sz w:val="16"/>
          <w:szCs w:val="16"/>
        </w:rPr>
      </w:pPr>
    </w:p>
    <w:p>
      <w:pPr>
        <w:pStyle w:val="BodyText"/>
        <w:spacing w:line="309" w:lineRule="auto"/>
        <w:ind w:left="333" w:right="1041" w:firstLine="360"/>
        <w:jc w:val="left"/>
      </w:pPr>
      <w:r>
        <w:rPr>
          <w:rFonts w:ascii="Times New Roman" w:hAnsi="Times New Roman" w:cs="Times New Roman" w:eastAsia="Times New Roman" w:hint="default"/>
          <w:spacing w:val="-5"/>
        </w:rPr>
        <w:t>2</w:t>
      </w:r>
      <w:r>
        <w:rPr>
          <w:spacing w:val="-5"/>
        </w:rPr>
        <w:t>、根据江苏省苏高新风险投资股份有限公司、江苏昌盛阜创业投资有限公司、苏州亨通永源创业投资企业（有限合伙）、</w:t>
      </w:r>
      <w:r>
        <w:rPr/>
        <w:t> </w:t>
      </w:r>
      <w:r>
        <w:rPr>
          <w:spacing w:val="-4"/>
        </w:rPr>
        <w:t>上海安益文恒投资中心（有限合伙）、北京邦诺投资管理中心（有限合伙）、苏州工业园区辰融创业投资有限公司、赵夕明、</w:t>
      </w:r>
      <w:r>
        <w:rPr>
          <w:spacing w:val="-45"/>
        </w:rPr>
        <w:t> </w:t>
      </w:r>
      <w:r>
        <w:rPr>
          <w:spacing w:val="-45"/>
        </w:rPr>
      </w:r>
      <w:r>
        <w:rPr>
          <w:spacing w:val="-2"/>
        </w:rPr>
        <w:t>顾文明、陈亮、刘瑜、闫挺、宋菊萍、裘亦荷、王新平、张培兴、沈玉将在公司《首次公开发行股票招股说明书》及《首次</w:t>
      </w:r>
      <w:r>
        <w:rPr>
          <w:spacing w:val="-72"/>
        </w:rPr>
        <w:t> </w:t>
      </w:r>
      <w:r>
        <w:rPr>
          <w:spacing w:val="-72"/>
        </w:rPr>
      </w:r>
      <w:r>
        <w:rPr/>
        <w:t>公开发行股票上市公告书》中做出的承诺，上述股东于公司首次公开发行股票前取得的首发前限售股份的限售期届满并于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日上市流通。具体内容见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日的《证券时报》、《证券日报》、《中国证券报》、《上海证券报》以</w:t>
      </w:r>
      <w:r>
        <w:rPr>
          <w:spacing w:val="-56"/>
        </w:rPr>
        <w:t> </w:t>
      </w:r>
      <w:r>
        <w:rPr>
          <w:spacing w:val="-56"/>
        </w:rPr>
      </w:r>
      <w:r>
        <w:rPr/>
        <w:t>及公司指定信息披露网站巨潮资讯网（</w:t>
      </w:r>
      <w:hyperlink r:id="rId11">
        <w:r>
          <w:rPr>
            <w:rFonts w:ascii="Times New Roman" w:hAnsi="Times New Roman" w:cs="Times New Roman" w:eastAsia="Times New Roman" w:hint="default"/>
          </w:rPr>
          <w:t>www.cninfo.com.cn</w:t>
        </w:r>
      </w:hyperlink>
      <w:r>
        <w:rPr/>
        <w:t>）的《苏州恒久光电科技股份有限公司首次公开发行前已发行股 份上市流通提示性公告》（公告编号：</w:t>
      </w:r>
      <w:r>
        <w:rPr>
          <w:rFonts w:ascii="Times New Roman" w:hAnsi="Times New Roman" w:cs="Times New Roman" w:eastAsia="Times New Roman" w:hint="default"/>
        </w:rPr>
        <w:t>2017-039</w:t>
      </w:r>
      <w:r>
        <w:rPr/>
        <w:t>）。</w:t>
      </w:r>
    </w:p>
    <w:p>
      <w:pPr>
        <w:spacing w:after="0" w:line="309" w:lineRule="auto"/>
        <w:jc w:val="left"/>
        <w:sectPr>
          <w:pgSz w:w="11910" w:h="16840"/>
          <w:pgMar w:header="877" w:footer="979" w:top="1100" w:bottom="1160" w:left="8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139"/>
        <w:jc w:val="right"/>
      </w:pPr>
      <w:r>
        <w:rPr/>
        <w:pict>
          <v:shape style="position:absolute;margin-left:56.459999pt;margin-top:-502.828278pt;width:479.2pt;height:518.4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6"/>
                    <w:gridCol w:w="648"/>
                    <w:gridCol w:w="560"/>
                    <w:gridCol w:w="859"/>
                    <w:gridCol w:w="555"/>
                    <w:gridCol w:w="153"/>
                    <w:gridCol w:w="825"/>
                    <w:gridCol w:w="167"/>
                    <w:gridCol w:w="999"/>
                    <w:gridCol w:w="985"/>
                    <w:gridCol w:w="242"/>
                    <w:gridCol w:w="751"/>
                    <w:gridCol w:w="851"/>
                    <w:gridCol w:w="131"/>
                    <w:gridCol w:w="648"/>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16,657</w:t>
                        </w: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
                    </w:tc>
                    <w:tc>
                      <w:tcPr>
                        <w:tcW w:w="97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16,374</w:t>
                        </w:r>
                      </w:p>
                    </w:tc>
                    <w:tc>
                      <w:tcPr>
                        <w:tcW w:w="11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63"/>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7" w:type="dxa"/>
                        <w:gridSpan w:val="2"/>
                        <w:vMerge w:val="restart"/>
                        <w:tcBorders>
                          <w:top w:val="single" w:sz="4" w:space="0" w:color="000000"/>
                          <w:left w:val="single" w:sz="13"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73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414" w:type="dxa"/>
                        <w:gridSpan w:val="2"/>
                        <w:vMerge/>
                        <w:tcBorders>
                          <w:left w:val="single" w:sz="4" w:space="0" w:color="000000"/>
                          <w:bottom w:val="nil" w:sz="6" w:space="0" w:color="auto"/>
                          <w:right w:val="single" w:sz="4" w:space="0" w:color="000000"/>
                        </w:tcBorders>
                        <w:shd w:val="clear" w:color="auto" w:fill="D2D2D2"/>
                      </w:tcPr>
                      <w:p>
                        <w:pPr/>
                      </w:p>
                    </w:tc>
                    <w:tc>
                      <w:tcPr>
                        <w:tcW w:w="978" w:type="dxa"/>
                        <w:gridSpan w:val="2"/>
                        <w:vMerge/>
                        <w:tcBorders>
                          <w:left w:val="single" w:sz="9" w:space="0" w:color="D2D2D2"/>
                          <w:right w:val="single" w:sz="9" w:space="0" w:color="D2D2D2"/>
                        </w:tcBorders>
                      </w:tcPr>
                      <w:p>
                        <w:pPr/>
                      </w:p>
                    </w:tc>
                    <w:tc>
                      <w:tcPr>
                        <w:tcW w:w="1166" w:type="dxa"/>
                        <w:gridSpan w:val="2"/>
                        <w:vMerge/>
                        <w:tcBorders>
                          <w:left w:val="single" w:sz="4" w:space="0" w:color="000000"/>
                          <w:right w:val="single" w:sz="4" w:space="0" w:color="000000"/>
                        </w:tcBorders>
                        <w:shd w:val="clear" w:color="auto" w:fill="D2D2D2"/>
                      </w:tcPr>
                      <w:p>
                        <w:pPr/>
                      </w:p>
                    </w:tc>
                    <w:tc>
                      <w:tcPr>
                        <w:tcW w:w="1227" w:type="dxa"/>
                        <w:gridSpan w:val="2"/>
                        <w:vMerge/>
                        <w:tcBorders>
                          <w:left w:val="single" w:sz="13" w:space="0" w:color="D2D2D2"/>
                          <w:right w:val="single" w:sz="9" w:space="0" w:color="D2D2D2"/>
                        </w:tcBorders>
                      </w:tcPr>
                      <w:p>
                        <w:pPr/>
                      </w:p>
                    </w:tc>
                    <w:tc>
                      <w:tcPr>
                        <w:tcW w:w="173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89"/>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48" w:type="dxa"/>
                        <w:vMerge/>
                        <w:tcBorders>
                          <w:left w:val="single" w:sz="9" w:space="0" w:color="D2D2D2"/>
                          <w:right w:val="single" w:sz="4" w:space="0" w:color="000000"/>
                        </w:tcBorders>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41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2"/>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978" w:type="dxa"/>
                        <w:gridSpan w:val="2"/>
                        <w:vMerge/>
                        <w:tcBorders>
                          <w:left w:val="single" w:sz="9" w:space="0" w:color="D2D2D2"/>
                          <w:right w:val="single" w:sz="9" w:space="0" w:color="D2D2D2"/>
                        </w:tcBorders>
                      </w:tcPr>
                      <w:p>
                        <w:pPr/>
                      </w:p>
                    </w:tc>
                    <w:tc>
                      <w:tcPr>
                        <w:tcW w:w="1166" w:type="dxa"/>
                        <w:gridSpan w:val="2"/>
                        <w:vMerge/>
                        <w:tcBorders>
                          <w:left w:val="single" w:sz="4" w:space="0" w:color="000000"/>
                          <w:right w:val="single" w:sz="4" w:space="0" w:color="000000"/>
                        </w:tcBorders>
                        <w:shd w:val="clear" w:color="auto" w:fill="D2D2D2"/>
                      </w:tcPr>
                      <w:p>
                        <w:pPr/>
                      </w:p>
                    </w:tc>
                    <w:tc>
                      <w:tcPr>
                        <w:tcW w:w="1227" w:type="dxa"/>
                        <w:gridSpan w:val="2"/>
                        <w:vMerge/>
                        <w:tcBorders>
                          <w:left w:val="single" w:sz="13" w:space="0" w:color="D2D2D2"/>
                          <w:right w:val="single" w:sz="9" w:space="0" w:color="D2D2D2"/>
                        </w:tcBorders>
                      </w:tcPr>
                      <w:p>
                        <w:pPr/>
                      </w:p>
                    </w:tc>
                    <w:tc>
                      <w:tcPr>
                        <w:tcW w:w="1732" w:type="dxa"/>
                        <w:gridSpan w:val="3"/>
                        <w:vMerge/>
                        <w:tcBorders>
                          <w:left w:val="single" w:sz="4" w:space="0" w:color="000000"/>
                          <w:right w:val="single" w:sz="4" w:space="0" w:color="000000"/>
                        </w:tcBorders>
                        <w:shd w:val="clear" w:color="auto" w:fill="D2D2D2"/>
                      </w:tcPr>
                      <w:p>
                        <w:pPr/>
                      </w:p>
                    </w:tc>
                    <w:tc>
                      <w:tcPr>
                        <w:tcW w:w="648" w:type="dxa"/>
                        <w:vMerge/>
                        <w:tcBorders>
                          <w:left w:val="single" w:sz="9"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414" w:type="dxa"/>
                        <w:gridSpan w:val="2"/>
                        <w:vMerge/>
                        <w:tcBorders>
                          <w:left w:val="single" w:sz="4" w:space="0" w:color="000000"/>
                          <w:right w:val="single" w:sz="4" w:space="0" w:color="000000"/>
                        </w:tcBorders>
                        <w:shd w:val="clear" w:color="auto" w:fill="D2D2D2"/>
                      </w:tcPr>
                      <w:p>
                        <w:pPr/>
                      </w:p>
                    </w:tc>
                    <w:tc>
                      <w:tcPr>
                        <w:tcW w:w="978" w:type="dxa"/>
                        <w:gridSpan w:val="2"/>
                        <w:vMerge/>
                        <w:tcBorders>
                          <w:left w:val="single" w:sz="9" w:space="0" w:color="D2D2D2"/>
                          <w:right w:val="single" w:sz="9" w:space="0" w:color="D2D2D2"/>
                        </w:tcBorders>
                      </w:tcPr>
                      <w:p>
                        <w:pPr/>
                      </w:p>
                    </w:tc>
                    <w:tc>
                      <w:tcPr>
                        <w:tcW w:w="1166" w:type="dxa"/>
                        <w:gridSpan w:val="2"/>
                        <w:vMerge/>
                        <w:tcBorders>
                          <w:left w:val="single" w:sz="4" w:space="0" w:color="000000"/>
                          <w:right w:val="single" w:sz="4" w:space="0" w:color="000000"/>
                        </w:tcBorders>
                        <w:shd w:val="clear" w:color="auto" w:fill="D2D2D2"/>
                      </w:tcPr>
                      <w:p>
                        <w:pPr/>
                      </w:p>
                    </w:tc>
                    <w:tc>
                      <w:tcPr>
                        <w:tcW w:w="1227" w:type="dxa"/>
                        <w:gridSpan w:val="2"/>
                        <w:vMerge/>
                        <w:tcBorders>
                          <w:left w:val="single" w:sz="13" w:space="0" w:color="D2D2D2"/>
                          <w:right w:val="single" w:sz="9" w:space="0" w:color="D2D2D2"/>
                        </w:tcBorders>
                      </w:tcPr>
                      <w:p>
                        <w:pPr/>
                      </w:p>
                    </w:tc>
                    <w:tc>
                      <w:tcPr>
                        <w:tcW w:w="1732" w:type="dxa"/>
                        <w:gridSpan w:val="3"/>
                        <w:vMerge/>
                        <w:tcBorders>
                          <w:left w:val="single" w:sz="4" w:space="0" w:color="000000"/>
                          <w:right w:val="single" w:sz="4" w:space="0" w:color="000000"/>
                        </w:tcBorders>
                        <w:shd w:val="clear" w:color="auto" w:fill="D2D2D2"/>
                      </w:tcPr>
                      <w:p>
                        <w:pPr/>
                      </w:p>
                    </w:tc>
                    <w:tc>
                      <w:tcPr>
                        <w:tcW w:w="648" w:type="dxa"/>
                        <w:vMerge/>
                        <w:tcBorders>
                          <w:left w:val="single" w:sz="9" w:space="0" w:color="D2D2D2"/>
                          <w:right w:val="single" w:sz="4" w:space="0" w:color="000000"/>
                        </w:tcBorders>
                      </w:tcPr>
                      <w:p>
                        <w:pP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414" w:type="dxa"/>
                        <w:gridSpan w:val="2"/>
                        <w:vMerge/>
                        <w:tcBorders>
                          <w:left w:val="single" w:sz="4" w:space="0" w:color="000000"/>
                          <w:bottom w:val="nil" w:sz="6" w:space="0" w:color="auto"/>
                          <w:right w:val="single" w:sz="4" w:space="0" w:color="000000"/>
                        </w:tcBorders>
                        <w:shd w:val="clear" w:color="auto" w:fill="D2D2D2"/>
                      </w:tcPr>
                      <w:p>
                        <w:pPr/>
                      </w:p>
                    </w:tc>
                    <w:tc>
                      <w:tcPr>
                        <w:tcW w:w="978" w:type="dxa"/>
                        <w:gridSpan w:val="2"/>
                        <w:vMerge/>
                        <w:tcBorders>
                          <w:left w:val="single" w:sz="9" w:space="0" w:color="D2D2D2"/>
                          <w:right w:val="single" w:sz="9" w:space="0" w:color="D2D2D2"/>
                        </w:tcBorders>
                      </w:tcPr>
                      <w:p>
                        <w:pPr/>
                      </w:p>
                    </w:tc>
                    <w:tc>
                      <w:tcPr>
                        <w:tcW w:w="1166" w:type="dxa"/>
                        <w:gridSpan w:val="2"/>
                        <w:vMerge/>
                        <w:tcBorders>
                          <w:left w:val="single" w:sz="4" w:space="0" w:color="000000"/>
                          <w:right w:val="single" w:sz="4" w:space="0" w:color="000000"/>
                        </w:tcBorders>
                        <w:shd w:val="clear" w:color="auto" w:fill="D2D2D2"/>
                      </w:tcPr>
                      <w:p>
                        <w:pPr/>
                      </w:p>
                    </w:tc>
                    <w:tc>
                      <w:tcPr>
                        <w:tcW w:w="1227" w:type="dxa"/>
                        <w:gridSpan w:val="2"/>
                        <w:vMerge/>
                        <w:tcBorders>
                          <w:left w:val="single" w:sz="13" w:space="0" w:color="D2D2D2"/>
                          <w:right w:val="single" w:sz="9" w:space="0" w:color="D2D2D2"/>
                        </w:tcBorders>
                      </w:tcPr>
                      <w:p>
                        <w:pPr/>
                      </w:p>
                    </w:tc>
                    <w:tc>
                      <w:tcPr>
                        <w:tcW w:w="1732" w:type="dxa"/>
                        <w:gridSpan w:val="3"/>
                        <w:vMerge/>
                        <w:tcBorders>
                          <w:left w:val="single" w:sz="4" w:space="0" w:color="000000"/>
                          <w:right w:val="single" w:sz="4" w:space="0" w:color="000000"/>
                        </w:tcBorders>
                        <w:shd w:val="clear" w:color="auto" w:fill="D2D2D2"/>
                      </w:tcPr>
                      <w:p>
                        <w:pPr/>
                      </w:p>
                    </w:tc>
                    <w:tc>
                      <w:tcPr>
                        <w:tcW w:w="648" w:type="dxa"/>
                        <w:vMerge/>
                        <w:tcBorders>
                          <w:left w:val="single" w:sz="9"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414" w:type="dxa"/>
                        <w:gridSpan w:val="2"/>
                        <w:vMerge w:val="restart"/>
                        <w:tcBorders>
                          <w:top w:val="nil" w:sz="6" w:space="0" w:color="auto"/>
                          <w:left w:val="single" w:sz="4" w:space="0" w:color="000000"/>
                          <w:right w:val="single" w:sz="4" w:space="0" w:color="000000"/>
                        </w:tcBorders>
                        <w:shd w:val="clear" w:color="auto" w:fill="D2D2D2"/>
                      </w:tcPr>
                      <w:p>
                        <w:pPr/>
                      </w:p>
                    </w:tc>
                    <w:tc>
                      <w:tcPr>
                        <w:tcW w:w="978" w:type="dxa"/>
                        <w:gridSpan w:val="2"/>
                        <w:vMerge/>
                        <w:tcBorders>
                          <w:left w:val="single" w:sz="9" w:space="0" w:color="D2D2D2"/>
                          <w:right w:val="single" w:sz="9" w:space="0" w:color="D2D2D2"/>
                        </w:tcBorders>
                      </w:tcPr>
                      <w:p>
                        <w:pPr/>
                      </w:p>
                    </w:tc>
                    <w:tc>
                      <w:tcPr>
                        <w:tcW w:w="1166" w:type="dxa"/>
                        <w:gridSpan w:val="2"/>
                        <w:vMerge/>
                        <w:tcBorders>
                          <w:left w:val="single" w:sz="4" w:space="0" w:color="000000"/>
                          <w:right w:val="single" w:sz="4" w:space="0" w:color="000000"/>
                        </w:tcBorders>
                        <w:shd w:val="clear" w:color="auto" w:fill="D2D2D2"/>
                      </w:tcPr>
                      <w:p>
                        <w:pPr/>
                      </w:p>
                    </w:tc>
                    <w:tc>
                      <w:tcPr>
                        <w:tcW w:w="1227" w:type="dxa"/>
                        <w:gridSpan w:val="2"/>
                        <w:vMerge/>
                        <w:tcBorders>
                          <w:left w:val="single" w:sz="13" w:space="0" w:color="D2D2D2"/>
                          <w:right w:val="single" w:sz="9" w:space="0" w:color="D2D2D2"/>
                        </w:tcBorders>
                      </w:tcPr>
                      <w:p>
                        <w:pPr/>
                      </w:p>
                    </w:tc>
                    <w:tc>
                      <w:tcPr>
                        <w:tcW w:w="1732" w:type="dxa"/>
                        <w:gridSpan w:val="3"/>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9"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978" w:type="dxa"/>
                        <w:gridSpan w:val="2"/>
                        <w:vMerge/>
                        <w:tcBorders>
                          <w:left w:val="single" w:sz="9" w:space="0" w:color="D2D2D2"/>
                          <w:bottom w:val="single" w:sz="4" w:space="0" w:color="000000"/>
                          <w:right w:val="single" w:sz="9" w:space="0" w:color="D2D2D2"/>
                        </w:tcBorders>
                      </w:tcPr>
                      <w:p>
                        <w:pPr/>
                      </w:p>
                    </w:tc>
                    <w:tc>
                      <w:tcPr>
                        <w:tcW w:w="1166" w:type="dxa"/>
                        <w:gridSpan w:val="2"/>
                        <w:vMerge/>
                        <w:tcBorders>
                          <w:left w:val="single" w:sz="4" w:space="0" w:color="000000"/>
                          <w:bottom w:val="single" w:sz="4" w:space="0" w:color="000000"/>
                          <w:right w:val="single" w:sz="4" w:space="0" w:color="000000"/>
                        </w:tcBorders>
                        <w:shd w:val="clear" w:color="auto" w:fill="D2D2D2"/>
                      </w:tcPr>
                      <w:p>
                        <w:pPr/>
                      </w:p>
                    </w:tc>
                    <w:tc>
                      <w:tcPr>
                        <w:tcW w:w="1227" w:type="dxa"/>
                        <w:gridSpan w:val="2"/>
                        <w:vMerge/>
                        <w:tcBorders>
                          <w:left w:val="single" w:sz="13" w:space="0" w:color="D2D2D2"/>
                          <w:bottom w:val="single" w:sz="4" w:space="0" w:color="000000"/>
                          <w:right w:val="single" w:sz="9" w:space="0" w:color="D2D2D2"/>
                        </w:tcBorders>
                      </w:tcPr>
                      <w:p>
                        <w:pPr/>
                      </w:p>
                    </w:tc>
                    <w:tc>
                      <w:tcPr>
                        <w:tcW w:w="173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48" w:type="dxa"/>
                        <w:vMerge/>
                        <w:tcBorders>
                          <w:left w:val="single" w:sz="9"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844" w:type="dxa"/>
                        <w:gridSpan w:val="2"/>
                        <w:vMerge w:val="restart"/>
                        <w:tcBorders>
                          <w:top w:val="single" w:sz="4" w:space="0" w:color="000000"/>
                          <w:left w:val="single" w:sz="4" w:space="0" w:color="000000"/>
                          <w:right w:val="single" w:sz="4" w:space="0" w:color="000000"/>
                        </w:tcBorders>
                        <w:shd w:val="clear" w:color="auto" w:fill="D2D2D2"/>
                      </w:tcPr>
                      <w:p>
                        <w:pP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
                    </w:tc>
                    <w:tc>
                      <w:tcPr>
                        <w:tcW w:w="70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9" w:type="dxa"/>
                        <w:tcBorders>
                          <w:top w:val="single" w:sz="4" w:space="0" w:color="000000"/>
                          <w:left w:val="single" w:sz="4" w:space="0" w:color="000000"/>
                          <w:bottom w:val="nil" w:sz="6" w:space="0" w:color="auto"/>
                          <w:right w:val="single" w:sz="4" w:space="0" w:color="000000"/>
                        </w:tcBorders>
                        <w:shd w:val="clear" w:color="auto" w:fill="D2D2D2"/>
                      </w:tcPr>
                      <w:p>
                        <w:pPr/>
                      </w:p>
                    </w:tc>
                    <w:tc>
                      <w:tcPr>
                        <w:tcW w:w="9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4"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2"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844" w:type="dxa"/>
                        <w:gridSpan w:val="2"/>
                        <w:vMerge/>
                        <w:tcBorders>
                          <w:left w:val="single" w:sz="4" w:space="0" w:color="000000"/>
                          <w:bottom w:val="nil" w:sz="6" w:space="0" w:color="auto"/>
                          <w:right w:val="single" w:sz="4" w:space="0" w:color="000000"/>
                        </w:tcBorders>
                        <w:shd w:val="clear" w:color="auto" w:fill="D2D2D2"/>
                      </w:tcPr>
                      <w:p>
                        <w:pPr/>
                      </w:p>
                    </w:tc>
                    <w:tc>
                      <w:tcPr>
                        <w:tcW w:w="1418" w:type="dxa"/>
                        <w:gridSpan w:val="2"/>
                        <w:vMerge/>
                        <w:tcBorders>
                          <w:left w:val="single" w:sz="4" w:space="0" w:color="000000"/>
                          <w:bottom w:val="nil" w:sz="6" w:space="0" w:color="auto"/>
                          <w:right w:val="single" w:sz="4" w:space="0" w:color="000000"/>
                        </w:tcBorders>
                        <w:shd w:val="clear" w:color="auto" w:fill="D2D2D2"/>
                      </w:tcPr>
                      <w:p>
                        <w:pPr/>
                      </w:p>
                    </w:tc>
                    <w:tc>
                      <w:tcPr>
                        <w:tcW w:w="7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7"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 w:right="46"/>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85"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630" w:type="dxa"/>
                        <w:gridSpan w:val="3"/>
                        <w:vMerge/>
                        <w:tcBorders>
                          <w:left w:val="single" w:sz="4" w:space="0" w:color="000000"/>
                          <w:right w:val="single" w:sz="4" w:space="0" w:color="000000"/>
                        </w:tcBorders>
                        <w:shd w:val="clear" w:color="auto" w:fill="D2D2D2"/>
                      </w:tcPr>
                      <w:p>
                        <w:pPr/>
                      </w:p>
                    </w:tc>
                  </w:tr>
                  <w:tr>
                    <w:trPr>
                      <w:trHeight w:val="140" w:hRule="exact"/>
                    </w:trPr>
                    <w:tc>
                      <w:tcPr>
                        <w:tcW w:w="184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9" w:type="dxa"/>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630"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844" w:type="dxa"/>
                        <w:gridSpan w:val="2"/>
                        <w:vMerge/>
                        <w:tcBorders>
                          <w:left w:val="single" w:sz="4" w:space="0" w:color="000000"/>
                          <w:bottom w:val="nil" w:sz="6" w:space="0" w:color="auto"/>
                          <w:right w:val="single" w:sz="4" w:space="0" w:color="000000"/>
                        </w:tcBorders>
                        <w:shd w:val="clear" w:color="auto" w:fill="D2D2D2"/>
                      </w:tcPr>
                      <w:p>
                        <w:pPr/>
                      </w:p>
                    </w:tc>
                    <w:tc>
                      <w:tcPr>
                        <w:tcW w:w="1418" w:type="dxa"/>
                        <w:gridSpan w:val="2"/>
                        <w:vMerge/>
                        <w:tcBorders>
                          <w:left w:val="single" w:sz="4" w:space="0" w:color="000000"/>
                          <w:bottom w:val="nil" w:sz="6" w:space="0" w:color="auto"/>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9" w:type="dxa"/>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844" w:type="dxa"/>
                        <w:gridSpan w:val="2"/>
                        <w:vMerge w:val="restart"/>
                        <w:tcBorders>
                          <w:top w:val="nil" w:sz="6" w:space="0" w:color="auto"/>
                          <w:left w:val="single" w:sz="4" w:space="0" w:color="000000"/>
                          <w:right w:val="single" w:sz="4" w:space="0" w:color="000000"/>
                        </w:tcBorders>
                        <w:shd w:val="clear" w:color="auto" w:fill="D2D2D2"/>
                      </w:tcPr>
                      <w:p>
                        <w:pPr/>
                      </w:p>
                    </w:tc>
                    <w:tc>
                      <w:tcPr>
                        <w:tcW w:w="1418" w:type="dxa"/>
                        <w:gridSpan w:val="2"/>
                        <w:vMerge w:val="restart"/>
                        <w:tcBorders>
                          <w:top w:val="nil" w:sz="6" w:space="0" w:color="auto"/>
                          <w:left w:val="single" w:sz="4" w:space="0" w:color="000000"/>
                          <w:right w:val="single" w:sz="4" w:space="0" w:color="000000"/>
                        </w:tcBorders>
                        <w:shd w:val="clear" w:color="auto" w:fill="D2D2D2"/>
                      </w:tcPr>
                      <w:p>
                        <w:pPr/>
                      </w:p>
                    </w:tc>
                    <w:tc>
                      <w:tcPr>
                        <w:tcW w:w="708"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9" w:type="dxa"/>
                        <w:vMerge/>
                        <w:tcBorders>
                          <w:left w:val="single" w:sz="4" w:space="0" w:color="000000"/>
                          <w:bottom w:val="nil" w:sz="6" w:space="0" w:color="auto"/>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79" w:type="dxa"/>
                        <w:gridSpan w:val="2"/>
                        <w:vMerge/>
                        <w:tcBorders>
                          <w:left w:val="single" w:sz="4" w:space="0" w:color="000000"/>
                          <w:right w:val="single" w:sz="4" w:space="0" w:color="000000"/>
                        </w:tcBorders>
                        <w:shd w:val="clear" w:color="auto" w:fill="D2D2D2"/>
                      </w:tcPr>
                      <w:p>
                        <w:pPr/>
                      </w:p>
                    </w:tc>
                  </w:tr>
                  <w:tr>
                    <w:trPr>
                      <w:trHeight w:val="161" w:hRule="exact"/>
                    </w:trPr>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7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9" w:type="dxa"/>
                        <w:tcBorders>
                          <w:top w:val="nil" w:sz="6" w:space="0" w:color="auto"/>
                          <w:left w:val="single" w:sz="4" w:space="0" w:color="000000"/>
                          <w:bottom w:val="single" w:sz="4" w:space="0" w:color="000000"/>
                          <w:right w:val="single" w:sz="4" w:space="0" w:color="000000"/>
                        </w:tcBorders>
                        <w:shd w:val="clear" w:color="auto" w:fill="D2D2D2"/>
                      </w:tcPr>
                      <w:p>
                        <w:pPr/>
                      </w:p>
                    </w:tc>
                    <w:tc>
                      <w:tcPr>
                        <w:tcW w:w="985" w:type="dxa"/>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779"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39.52%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75,886,080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28,457,280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75,886,080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8" w:space="0" w:color="D2D2D2"/>
                          <w:left w:val="single" w:sz="4" w:space="0" w:color="000000"/>
                          <w:bottom w:val="single" w:sz="4" w:space="0" w:color="000000"/>
                          <w:right w:val="single" w:sz="4" w:space="0" w:color="000000"/>
                        </w:tcBorders>
                      </w:tcPr>
                      <w:p>
                        <w:pPr/>
                      </w:p>
                    </w:tc>
                    <w:tc>
                      <w:tcPr>
                        <w:tcW w:w="779" w:type="dxa"/>
                        <w:gridSpan w:val="2"/>
                        <w:tcBorders>
                          <w:top w:val="single" w:sz="48" w:space="0" w:color="D2D2D2"/>
                          <w:left w:val="single" w:sz="4" w:space="0" w:color="000000"/>
                          <w:bottom w:val="single" w:sz="4" w:space="0" w:color="000000"/>
                          <w:right w:val="single" w:sz="4" w:space="0" w:color="000000"/>
                        </w:tcBorders>
                      </w:tcPr>
                      <w:p>
                        <w:pP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兰山英</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7.29%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13,994,667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5,248,000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13,994,667</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江苏省苏高新风险投 资股份有限公司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5.28%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10,145,679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2,608,967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10,145,679</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苏州恒久荣盛科技投 资有限公司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4.89%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9,397,333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3,524,000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9,397,333</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江苏昌盛阜创业投资 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2.04%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pacing w:val="-3"/>
                            <w:sz w:val="18"/>
                          </w:rPr>
                          <w:t>3,911,111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266,666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pacing w:val="-3"/>
                            <w:sz w:val="18"/>
                          </w:rPr>
                          <w:t>3,911,111</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北京邦诺投资管理中 心（有限合伙）</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1.67%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3,200,000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1,200,000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3,200,000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7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2,240,000</w:t>
                        </w:r>
                      </w:p>
                    </w:tc>
                  </w:tr>
                  <w:tr>
                    <w:trPr>
                      <w:trHeight w:val="71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苏州亨通永源创业投 资企业（有限合伙）</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1.67%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3,200,000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1,200,000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3,200,000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上海安益文恒投资中 心（有限合伙）</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1.58%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3,040,000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1,040,000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3,040,000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1.09%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2,099,200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787,200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2,099,200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叶晓明</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1.08%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2,080,000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2,080,000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2,080,000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名股东的情况（如有）（参见注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30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74" w:hRule="exact"/>
                    </w:trPr>
                    <w:tc>
                      <w:tcPr>
                        <w:tcW w:w="32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07"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2"/>
                            <w:sz w:val="18"/>
                            <w:szCs w:val="18"/>
                          </w:rPr>
                          <w:t>上述股东中，余荣清为本公司控股股东、实际控制人；余荣清与自然人股东兰山</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英系夫妻关系，余仲清为余荣清的哥哥，余荣清、兰山英、余仲清系一致行动人</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44"/>
        <w:ind w:left="0" w:right="1139"/>
        <w:jc w:val="right"/>
      </w:pPr>
      <w:r>
        <w:rPr/>
        <w:pict>
          <v:shape style="position:absolute;margin-left:56.459999pt;margin-top:-315.988281pt;width:479.2pt;height:433.8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2"/>
                    <w:gridCol w:w="3610"/>
                    <w:gridCol w:w="1349"/>
                    <w:gridCol w:w="1348"/>
                  </w:tblGrid>
                  <w:tr>
                    <w:trPr>
                      <w:trHeight w:val="67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0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余荣清持有苏州恒久荣盛科技投资有限公司</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88%</w:t>
                        </w:r>
                        <w:r>
                          <w:rPr>
                            <w:rFonts w:ascii="宋体" w:hAnsi="宋体" w:cs="宋体" w:eastAsia="宋体" w:hint="default"/>
                            <w:spacing w:val="-4"/>
                            <w:sz w:val="18"/>
                            <w:szCs w:val="18"/>
                          </w:rPr>
                          <w:t>股权，兰山英持有苏州恒久荣盛</w:t>
                        </w:r>
                        <w:r>
                          <w:rPr>
                            <w:rFonts w:ascii="宋体" w:hAnsi="宋体" w:cs="宋体" w:eastAsia="宋体" w:hint="default"/>
                            <w:sz w:val="18"/>
                            <w:szCs w:val="18"/>
                          </w:rPr>
                          <w:t> 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股权。除此之外，其他股东之间不存在关联关系。</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32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2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262" w:type="dxa"/>
                        <w:vMerge/>
                        <w:tcBorders>
                          <w:left w:val="single" w:sz="4" w:space="0" w:color="000000"/>
                          <w:bottom w:val="nil" w:sz="6" w:space="0" w:color="auto"/>
                          <w:right w:val="single" w:sz="4" w:space="0" w:color="000000"/>
                        </w:tcBorders>
                        <w:shd w:val="clear" w:color="auto" w:fill="D2D2D2"/>
                      </w:tcPr>
                      <w:p>
                        <w:pPr/>
                      </w:p>
                    </w:tc>
                    <w:tc>
                      <w:tcPr>
                        <w:tcW w:w="3610"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2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江苏省苏高新风险投资股份有限公司</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10,145,679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10,145,679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江苏昌盛阜创业投资有限公司</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3,911,111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3,911,111</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北京邦诺投资管理中心（有限合伙）</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苏州亨通永源创业投资企业（有限合伙）</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上海安益文恒投资中心（有限合伙）</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叶晓明</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顾文明</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1,605,479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1,605,479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姚真明</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1,601,970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1,601,970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黄解平</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1,312,020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刘瑜</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1,312,000</w:t>
                        </w:r>
                      </w:p>
                    </w:tc>
                  </w:tr>
                  <w:tr>
                    <w:trPr>
                      <w:trHeight w:val="1650"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p>
                      <w:p>
                        <w:pPr>
                          <w:pStyle w:val="TableParagraph"/>
                          <w:spacing w:line="302" w:lineRule="auto" w:before="62"/>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间关联关系或一致行动的说明</w:t>
                        </w:r>
                      </w:p>
                    </w:tc>
                    <w:tc>
                      <w:tcPr>
                        <w:tcW w:w="63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名无限售条件普通股股东中，刘瑜与陈亮系母子关系，除上述股东外</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公司未知其他股东之间是否存在关联关系或属于一致行动人，也未知前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w:t>
                        </w:r>
                      </w:p>
                      <w:p>
                        <w:pPr>
                          <w:pStyle w:val="TableParagraph"/>
                          <w:spacing w:line="309"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限售流通股股东和前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名普通股股东之间是否存在关联关系或属于一致行动 </w:t>
                        </w:r>
                        <w:r>
                          <w:rPr>
                            <w:rFonts w:ascii="宋体" w:hAnsi="宋体" w:cs="宋体" w:eastAsia="宋体" w:hint="default"/>
                            <w:spacing w:val="-2"/>
                            <w:sz w:val="18"/>
                            <w:szCs w:val="18"/>
                          </w:rPr>
                          <w:t>人，也未知前述股东是否属于《上市公司股东持股变动信息披露管理办法》中规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定的一致行动人。</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 </w:t>
                        </w:r>
                        <w:r>
                          <w:rPr>
                            <w:rFonts w:ascii="宋体" w:hAnsi="宋体" w:cs="宋体" w:eastAsia="宋体" w:hint="default"/>
                            <w:spacing w:val="-9"/>
                            <w:sz w:val="18"/>
                            <w:szCs w:val="18"/>
                          </w:rPr>
                          <w:t>况说明（如有）（参见注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3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余荣清</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控股股东报告期内变更</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公司报告期控股股东未发生变更。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余荣清</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14"/>
          <w:szCs w:val="14"/>
        </w:rPr>
      </w:pPr>
    </w:p>
    <w:p>
      <w:pPr>
        <w:spacing w:line="3420" w:lineRule="exact"/>
        <w:ind w:left="1356"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92247" cy="217170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26" cstate="print"/>
                    <a:stretch>
                      <a:fillRect/>
                    </a:stretch>
                  </pic:blipFill>
                  <pic:spPr>
                    <a:xfrm>
                      <a:off x="0" y="0"/>
                      <a:ext cx="4592247" cy="2171700"/>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10"/>
        <w:rPr>
          <w:rFonts w:ascii="宋体" w:hAnsi="宋体" w:cs="宋体" w:eastAsia="宋体" w:hint="default"/>
          <w:sz w:val="16"/>
          <w:szCs w:val="16"/>
        </w:rPr>
      </w:pPr>
    </w:p>
    <w:p>
      <w:pPr>
        <w:pStyle w:val="BodyText"/>
        <w:spacing w:line="240" w:lineRule="auto"/>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240" w:right="0"/>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713" w:right="0"/>
        <w:jc w:val="left"/>
        <w:rPr>
          <w:b w:val="0"/>
          <w:bCs w:val="0"/>
        </w:rPr>
      </w:pPr>
      <w:bookmarkStart w:name="一、董事、监事和高级管理人员持股变动                      "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709"/>
        <w:gridCol w:w="1240"/>
        <w:gridCol w:w="532"/>
        <w:gridCol w:w="425"/>
        <w:gridCol w:w="426"/>
        <w:gridCol w:w="1559"/>
        <w:gridCol w:w="1560"/>
        <w:gridCol w:w="991"/>
        <w:gridCol w:w="710"/>
        <w:gridCol w:w="708"/>
        <w:gridCol w:w="994"/>
        <w:gridCol w:w="992"/>
      </w:tblGrid>
      <w:tr>
        <w:trPr>
          <w:trHeight w:val="1337"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80" w:right="7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80"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7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30" w:right="4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77"/>
                <w:sz w:val="18"/>
                <w:szCs w:val="18"/>
              </w:rPr>
              <w:t>、</w:t>
            </w:r>
            <w:r>
              <w:rPr>
                <w:rFonts w:ascii="宋体" w:hAnsi="宋体" w:cs="宋体" w:eastAsia="宋体" w:hint="default"/>
                <w:sz w:val="18"/>
                <w:szCs w:val="18"/>
              </w:rPr>
              <w:t>总经理</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47,428,800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28,457,280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75,886,080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兰山英</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7"/>
                <w:sz w:val="18"/>
                <w:szCs w:val="18"/>
              </w:rPr>
              <w:t>、</w:t>
            </w:r>
            <w:r>
              <w:rPr>
                <w:rFonts w:ascii="宋体" w:hAnsi="宋体" w:cs="宋体" w:eastAsia="宋体" w:hint="default"/>
                <w:sz w:val="18"/>
                <w:szCs w:val="18"/>
              </w:rPr>
              <w:t>副总经理</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8,746,667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5,248,000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13,994,667</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张培兴</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7"/>
                <w:sz w:val="18"/>
                <w:szCs w:val="18"/>
              </w:rPr>
              <w:t>、</w:t>
            </w:r>
            <w:r>
              <w:rPr>
                <w:rFonts w:ascii="宋体" w:hAnsi="宋体" w:cs="宋体" w:eastAsia="宋体" w:hint="default"/>
                <w:sz w:val="18"/>
                <w:szCs w:val="18"/>
              </w:rPr>
              <w:t>副总经理</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808,200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1,312,000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787,200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2,099,200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方明</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俞雪华</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李建康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赵同双</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施雄</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徐才英</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孙仕杰</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1"/>
              <w:jc w:val="both"/>
              <w:rPr>
                <w:rFonts w:ascii="宋体" w:hAnsi="宋体" w:cs="宋体" w:eastAsia="宋体" w:hint="default"/>
                <w:sz w:val="18"/>
                <w:szCs w:val="18"/>
              </w:rPr>
            </w:pPr>
            <w:r>
              <w:rPr>
                <w:rFonts w:ascii="宋体" w:hAnsi="宋体" w:cs="宋体" w:eastAsia="宋体" w:hint="default"/>
                <w:spacing w:val="-11"/>
                <w:sz w:val="18"/>
                <w:szCs w:val="18"/>
              </w:rPr>
              <w:t>副总经理、董事</w:t>
            </w:r>
            <w:r>
              <w:rPr>
                <w:rFonts w:ascii="宋体" w:hAnsi="宋体" w:cs="宋体" w:eastAsia="宋体" w:hint="default"/>
                <w:sz w:val="18"/>
                <w:szCs w:val="18"/>
              </w:rPr>
              <w:t> </w:t>
            </w:r>
            <w:r>
              <w:rPr>
                <w:rFonts w:ascii="宋体" w:hAnsi="宋体" w:cs="宋体" w:eastAsia="宋体" w:hint="default"/>
                <w:spacing w:val="-11"/>
                <w:sz w:val="18"/>
                <w:szCs w:val="18"/>
              </w:rPr>
              <w:t>会秘书、财务负</w:t>
            </w:r>
            <w:r>
              <w:rPr>
                <w:rFonts w:ascii="宋体" w:hAnsi="宋体" w:cs="宋体" w:eastAsia="宋体" w:hint="default"/>
                <w:sz w:val="18"/>
                <w:szCs w:val="18"/>
              </w:rPr>
              <w:t> 责人</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施建豪</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夏惠华</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99"/>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57,979,467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34,787,680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92,788,147</w:t>
            </w:r>
          </w:p>
        </w:tc>
      </w:tr>
    </w:tbl>
    <w:p>
      <w:pPr>
        <w:spacing w:line="240" w:lineRule="auto" w:before="2"/>
        <w:rPr>
          <w:rFonts w:ascii="宋体" w:hAnsi="宋体" w:cs="宋体" w:eastAsia="宋体" w:hint="default"/>
          <w:b/>
          <w:bCs/>
          <w:sz w:val="18"/>
          <w:szCs w:val="18"/>
        </w:rPr>
      </w:pPr>
    </w:p>
    <w:p>
      <w:pPr>
        <w:pStyle w:val="Heading2"/>
        <w:spacing w:line="240" w:lineRule="auto" w:before="26"/>
        <w:ind w:left="714"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744" w:type="dxa"/>
        <w:tblLayout w:type="fixed"/>
        <w:tblCellMar>
          <w:top w:w="0" w:type="dxa"/>
          <w:left w:w="0" w:type="dxa"/>
          <w:bottom w:w="0" w:type="dxa"/>
          <w:right w:w="0" w:type="dxa"/>
        </w:tblCellMar>
        <w:tblLook w:val="01E0"/>
      </w:tblPr>
      <w:tblGrid>
        <w:gridCol w:w="1331"/>
        <w:gridCol w:w="1330"/>
        <w:gridCol w:w="1330"/>
        <w:gridCol w:w="1964"/>
        <w:gridCol w:w="3614"/>
      </w:tblGrid>
      <w:tr>
        <w:trPr>
          <w:trHeight w:val="402" w:hRule="exact"/>
        </w:trPr>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夏惠华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公司内部工作调整</w:t>
            </w:r>
          </w:p>
        </w:tc>
      </w:tr>
    </w:tbl>
    <w:p>
      <w:pPr>
        <w:spacing w:line="240" w:lineRule="auto" w:before="2"/>
        <w:rPr>
          <w:rFonts w:ascii="宋体" w:hAnsi="宋体" w:cs="宋体" w:eastAsia="宋体" w:hint="default"/>
          <w:sz w:val="18"/>
          <w:szCs w:val="18"/>
        </w:rPr>
      </w:pPr>
    </w:p>
    <w:p>
      <w:pPr>
        <w:pStyle w:val="Heading2"/>
        <w:spacing w:line="240" w:lineRule="auto" w:before="26"/>
        <w:ind w:left="714" w:right="0"/>
        <w:jc w:val="left"/>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13" w:right="0"/>
        <w:jc w:val="left"/>
      </w:pPr>
      <w:r>
        <w:rPr/>
        <w:t>公司现任董事、监事、高级管理人员专业背景、主要工作经历以及目前在公司的主要职责</w:t>
      </w:r>
    </w:p>
    <w:p>
      <w:pPr>
        <w:spacing w:after="0" w:line="240" w:lineRule="auto"/>
        <w:jc w:val="left"/>
        <w:sectPr>
          <w:pgSz w:w="11910" w:h="16840"/>
          <w:pgMar w:header="877" w:footer="979" w:top="1100" w:bottom="1160" w:left="420" w:right="0"/>
        </w:sectPr>
      </w:pPr>
    </w:p>
    <w:p>
      <w:pPr>
        <w:spacing w:line="240" w:lineRule="auto" w:before="12"/>
        <w:rPr>
          <w:rFonts w:ascii="宋体" w:hAnsi="宋体" w:cs="宋体" w:eastAsia="宋体" w:hint="default"/>
          <w:sz w:val="21"/>
          <w:szCs w:val="21"/>
        </w:rPr>
      </w:pPr>
    </w:p>
    <w:p>
      <w:pPr>
        <w:pStyle w:val="Heading4"/>
        <w:spacing w:line="240" w:lineRule="auto" w:before="44"/>
        <w:ind w:right="0"/>
        <w:jc w:val="left"/>
        <w:rPr>
          <w:b w:val="0"/>
          <w:bCs w:val="0"/>
        </w:rPr>
      </w:pPr>
      <w:r>
        <w:rPr/>
        <w:t>（一）董事会成员简介</w:t>
      </w:r>
      <w:r>
        <w:rPr>
          <w:b w:val="0"/>
          <w:bCs w:val="0"/>
        </w:rPr>
      </w:r>
    </w:p>
    <w:p>
      <w:pPr>
        <w:spacing w:line="240" w:lineRule="auto" w:before="10"/>
        <w:rPr>
          <w:rFonts w:ascii="宋体" w:hAnsi="宋体" w:cs="宋体" w:eastAsia="宋体" w:hint="default"/>
          <w:b/>
          <w:bCs/>
          <w:sz w:val="17"/>
          <w:szCs w:val="17"/>
        </w:rPr>
      </w:pPr>
    </w:p>
    <w:p>
      <w:pPr>
        <w:pStyle w:val="BodyText"/>
        <w:spacing w:line="300" w:lineRule="auto"/>
        <w:ind w:left="154" w:right="1132" w:firstLine="361"/>
        <w:jc w:val="right"/>
      </w:pPr>
      <w:r>
        <w:rPr>
          <w:rFonts w:ascii="宋体" w:hAnsi="宋体" w:cs="宋体" w:eastAsia="宋体" w:hint="default"/>
          <w:b/>
          <w:bCs/>
          <w:spacing w:val="-2"/>
        </w:rPr>
        <w:t>余荣清</w:t>
      </w:r>
      <w:r>
        <w:rPr>
          <w:spacing w:val="-2"/>
        </w:rPr>
        <w:t>，男，</w:t>
      </w:r>
      <w:r>
        <w:rPr>
          <w:rFonts w:ascii="Times New Roman" w:hAnsi="Times New Roman" w:cs="Times New Roman" w:eastAsia="Times New Roman" w:hint="default"/>
          <w:spacing w:val="-2"/>
        </w:rPr>
        <w:t>1967</w:t>
      </w:r>
      <w:r>
        <w:rPr>
          <w:spacing w:val="-2"/>
        </w:rPr>
        <w:t>年出生，博士学位，中国国籍，无境外永久居留权。</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2002</w:t>
      </w:r>
      <w:r>
        <w:rPr>
          <w:spacing w:val="-2"/>
        </w:rPr>
        <w:t>年任职于三菱信息电子公司从事研</w:t>
      </w:r>
      <w:r>
        <w:rPr/>
        <w:t> 发及生产制程的技术管理工作；</w:t>
      </w:r>
      <w:r>
        <w:rPr>
          <w:spacing w:val="-20"/>
        </w:rPr>
        <w:t> </w:t>
      </w:r>
      <w:r>
        <w:rPr>
          <w:rFonts w:ascii="Times New Roman" w:hAnsi="Times New Roman" w:cs="Times New Roman" w:eastAsia="Times New Roman" w:hint="default"/>
        </w:rPr>
        <w:t>2002</w:t>
      </w:r>
      <w:r>
        <w:rPr/>
        <w:t>年起先后担任恒久有限董事、总经理、董事长等职务；现任本公司董事长、总经理。</w:t>
      </w:r>
    </w:p>
    <w:p>
      <w:pPr>
        <w:spacing w:line="240" w:lineRule="auto" w:before="12"/>
        <w:rPr>
          <w:rFonts w:ascii="宋体" w:hAnsi="宋体" w:cs="宋体" w:eastAsia="宋体" w:hint="default"/>
          <w:sz w:val="12"/>
          <w:szCs w:val="12"/>
        </w:rPr>
      </w:pPr>
    </w:p>
    <w:p>
      <w:pPr>
        <w:pStyle w:val="BodyText"/>
        <w:spacing w:line="300" w:lineRule="auto"/>
        <w:ind w:left="154" w:right="1032" w:firstLine="361"/>
        <w:jc w:val="left"/>
      </w:pPr>
      <w:r>
        <w:rPr>
          <w:rFonts w:ascii="宋体" w:hAnsi="宋体" w:cs="宋体" w:eastAsia="宋体" w:hint="default"/>
          <w:b/>
          <w:bCs/>
        </w:rPr>
        <w:t>兰山英</w:t>
      </w:r>
      <w:r>
        <w:rPr/>
        <w:t>，女，</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12</w:t>
      </w:r>
      <w:r>
        <w:rPr/>
        <w:t>月出生，本科学历，中国国籍，无境外永久居留权。</w:t>
      </w:r>
      <w:r>
        <w:rPr>
          <w:spacing w:val="-19"/>
        </w:rPr>
        <w:t> </w:t>
      </w:r>
      <w:r>
        <w:rPr>
          <w:rFonts w:ascii="Times New Roman" w:hAnsi="Times New Roman" w:cs="Times New Roman" w:eastAsia="Times New Roman" w:hint="default"/>
        </w:rPr>
        <w:t>1992</w:t>
      </w:r>
      <w:r>
        <w:rPr/>
        <w:t>年至</w:t>
      </w:r>
      <w:r>
        <w:rPr>
          <w:rFonts w:ascii="Times New Roman" w:hAnsi="Times New Roman" w:cs="Times New Roman" w:eastAsia="Times New Roman" w:hint="default"/>
        </w:rPr>
        <w:t>2002</w:t>
      </w:r>
      <w:r>
        <w:rPr/>
        <w:t>年先后在厦门和新加坡从事 行政管理、贸易及杂志出版等工作，</w:t>
      </w:r>
      <w:r>
        <w:rPr>
          <w:rFonts w:ascii="Times New Roman" w:hAnsi="Times New Roman" w:cs="Times New Roman" w:eastAsia="Times New Roman" w:hint="default"/>
        </w:rPr>
        <w:t>2002</w:t>
      </w:r>
      <w:r>
        <w:rPr/>
        <w:t>年起先后负责恒久有限的行政、人事、财务及外联等管理工作；现任本公司董事、 副总经理。</w:t>
      </w:r>
    </w:p>
    <w:p>
      <w:pPr>
        <w:spacing w:line="240" w:lineRule="auto" w:before="4"/>
        <w:rPr>
          <w:rFonts w:ascii="宋体" w:hAnsi="宋体" w:cs="宋体" w:eastAsia="宋体" w:hint="default"/>
          <w:sz w:val="14"/>
          <w:szCs w:val="14"/>
        </w:rPr>
      </w:pPr>
    </w:p>
    <w:p>
      <w:pPr>
        <w:pStyle w:val="BodyText"/>
        <w:spacing w:line="300" w:lineRule="auto"/>
        <w:ind w:right="1130" w:firstLine="361"/>
        <w:jc w:val="both"/>
      </w:pPr>
      <w:r>
        <w:rPr>
          <w:rFonts w:ascii="宋体" w:hAnsi="宋体" w:cs="宋体" w:eastAsia="宋体" w:hint="default"/>
          <w:b/>
          <w:bCs/>
          <w:spacing w:val="-2"/>
        </w:rPr>
        <w:t>张培兴</w:t>
      </w:r>
      <w:r>
        <w:rPr>
          <w:spacing w:val="-2"/>
        </w:rPr>
        <w:t>，男，</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1</w:t>
      </w:r>
      <w:r>
        <w:rPr>
          <w:spacing w:val="-2"/>
        </w:rPr>
        <w:t>月出生，本科学历，中国国籍，无境外永久居留权，</w:t>
      </w:r>
      <w:r>
        <w:rPr>
          <w:spacing w:val="-3"/>
        </w:rPr>
        <w:t> </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3</w:t>
      </w:r>
      <w:r>
        <w:rPr>
          <w:spacing w:val="-1"/>
        </w:rPr>
        <w:t>月期间，先后在江苏泰</w:t>
      </w:r>
      <w:r>
        <w:rPr/>
        <w:t> </w:t>
      </w:r>
      <w:r>
        <w:rPr>
          <w:spacing w:val="-2"/>
        </w:rPr>
        <w:t>州微生物化学制药厂、开封赵州桥生物化学厂等单位担任过总工程师、副厂长、副总经理等职务；</w:t>
      </w:r>
      <w:r>
        <w:rPr>
          <w:rFonts w:ascii="Times New Roman" w:hAnsi="Times New Roman" w:cs="Times New Roman" w:eastAsia="Times New Roman" w:hint="default"/>
          <w:spacing w:val="-2"/>
        </w:rPr>
        <w:t>2002</w:t>
      </w:r>
      <w:r>
        <w:rPr>
          <w:spacing w:val="-2"/>
        </w:rPr>
        <w:t>年起先后担任恒久有</w:t>
      </w:r>
      <w:r>
        <w:rPr>
          <w:spacing w:val="-61"/>
        </w:rPr>
        <w:t> </w:t>
      </w:r>
      <w:r>
        <w:rPr/>
        <w:t>限工程技术部总监、苏州恒久工程技术部总监、总工程师、董事、副总经理等职务；现任本公司董事、副总经理。</w:t>
      </w:r>
    </w:p>
    <w:p>
      <w:pPr>
        <w:spacing w:line="240" w:lineRule="auto" w:before="4"/>
        <w:rPr>
          <w:rFonts w:ascii="宋体" w:hAnsi="宋体" w:cs="宋体" w:eastAsia="宋体" w:hint="default"/>
          <w:sz w:val="14"/>
          <w:szCs w:val="14"/>
        </w:rPr>
      </w:pPr>
    </w:p>
    <w:p>
      <w:pPr>
        <w:pStyle w:val="BodyText"/>
        <w:spacing w:line="300" w:lineRule="auto"/>
        <w:ind w:right="1132" w:firstLine="361"/>
        <w:jc w:val="both"/>
      </w:pPr>
      <w:r>
        <w:rPr>
          <w:rFonts w:ascii="宋体" w:hAnsi="宋体" w:cs="宋体" w:eastAsia="宋体" w:hint="default"/>
          <w:b/>
          <w:bCs/>
        </w:rPr>
        <w:t>余仲清</w:t>
      </w:r>
      <w:r>
        <w:rPr/>
        <w:t>，男，</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7</w:t>
      </w:r>
      <w:r>
        <w:rPr/>
        <w:t>月出生，中国国籍，无境外永久居留权，先后在张家港德丰租赁站和张家港市天铭纺织印染有限 公司从事行政后勤管理工作； </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月期间曾担任恒久有限及苏州恒久的监事；现任本公司董事、行政管理</w:t>
      </w:r>
      <w:r>
        <w:rPr>
          <w:spacing w:val="-83"/>
        </w:rPr>
        <w:t> </w:t>
      </w:r>
      <w:r>
        <w:rPr>
          <w:spacing w:val="-83"/>
        </w:rPr>
      </w:r>
      <w:r>
        <w:rPr/>
        <w:t>部副经理。</w:t>
      </w:r>
    </w:p>
    <w:p>
      <w:pPr>
        <w:spacing w:line="240" w:lineRule="auto" w:before="4"/>
        <w:rPr>
          <w:rFonts w:ascii="宋体" w:hAnsi="宋体" w:cs="宋体" w:eastAsia="宋体" w:hint="default"/>
          <w:sz w:val="14"/>
          <w:szCs w:val="14"/>
        </w:rPr>
      </w:pPr>
    </w:p>
    <w:p>
      <w:pPr>
        <w:pStyle w:val="BodyText"/>
        <w:spacing w:line="309" w:lineRule="auto"/>
        <w:ind w:left="154" w:right="1130" w:firstLine="361"/>
        <w:jc w:val="both"/>
      </w:pPr>
      <w:r>
        <w:rPr>
          <w:rFonts w:ascii="宋体" w:hAnsi="宋体" w:cs="宋体" w:eastAsia="宋体" w:hint="default"/>
          <w:b/>
          <w:bCs/>
          <w:spacing w:val="-2"/>
        </w:rPr>
        <w:t>方明</w:t>
      </w:r>
      <w:r>
        <w:rPr>
          <w:spacing w:val="-2"/>
        </w:rPr>
        <w:t>，男，</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10</w:t>
      </w:r>
      <w:r>
        <w:rPr>
          <w:spacing w:val="-2"/>
        </w:rPr>
        <w:t>月出生，研究生学历，中国国籍，无境外永久居留权。先后在艾利（中国）有限公司、上海马克热</w:t>
      </w:r>
      <w:r>
        <w:rPr/>
        <w:t> </w:t>
      </w:r>
      <w:r>
        <w:rPr>
          <w:spacing w:val="-2"/>
        </w:rPr>
        <w:t>敏品有限公司、比利时特胺有限公司上海代表处、司普斯金属制品（中国）有限公司等公司工作，曾担任财务经理、财务董</w:t>
      </w:r>
      <w:r>
        <w:rPr>
          <w:spacing w:val="-68"/>
        </w:rPr>
        <w:t> </w:t>
      </w:r>
      <w:r>
        <w:rPr>
          <w:spacing w:val="-68"/>
        </w:rPr>
      </w:r>
      <w:r>
        <w:rPr/>
        <w:t>事及财务总监等工作；现任本公司董事。</w:t>
      </w:r>
    </w:p>
    <w:p>
      <w:pPr>
        <w:spacing w:line="240" w:lineRule="auto" w:before="10"/>
        <w:rPr>
          <w:rFonts w:ascii="宋体" w:hAnsi="宋体" w:cs="宋体" w:eastAsia="宋体" w:hint="default"/>
          <w:sz w:val="13"/>
          <w:szCs w:val="13"/>
        </w:rPr>
      </w:pPr>
    </w:p>
    <w:p>
      <w:pPr>
        <w:pStyle w:val="BodyText"/>
        <w:spacing w:line="312" w:lineRule="auto"/>
        <w:ind w:right="1131" w:firstLine="361"/>
        <w:jc w:val="both"/>
      </w:pPr>
      <w:r>
        <w:rPr>
          <w:rFonts w:ascii="宋体" w:hAnsi="宋体" w:cs="宋体" w:eastAsia="宋体" w:hint="default"/>
          <w:b/>
          <w:bCs/>
          <w:spacing w:val="-2"/>
        </w:rPr>
        <w:t>闵建国</w:t>
      </w:r>
      <w:r>
        <w:rPr>
          <w:spacing w:val="-2"/>
        </w:rPr>
        <w:t>，男，</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7</w:t>
      </w:r>
      <w:r>
        <w:rPr>
          <w:spacing w:val="-2"/>
        </w:rPr>
        <w:t>月出生，大专学历，中国国籍，无境外永久居留权。</w:t>
      </w:r>
      <w:r>
        <w:rPr>
          <w:spacing w:val="-6"/>
        </w:rPr>
        <w:t> </w:t>
      </w:r>
      <w:r>
        <w:rPr>
          <w:spacing w:val="-1"/>
        </w:rPr>
        <w:t>先后在苏州长风机械总厂三分厂、苏州颖星</w:t>
      </w:r>
      <w:r>
        <w:rPr/>
        <w:t> </w:t>
      </w:r>
      <w:r>
        <w:rPr>
          <w:spacing w:val="-2"/>
        </w:rPr>
        <w:t>水产有限公司、苏州新区银梦服饰公司、苏州百汇连锁总公司、苏州高新区经济发展集团总公司等单位工作，曾担任财务部</w:t>
      </w:r>
      <w:r>
        <w:rPr>
          <w:spacing w:val="-66"/>
        </w:rPr>
        <w:t> </w:t>
      </w:r>
      <w:r>
        <w:rPr>
          <w:spacing w:val="-66"/>
        </w:rPr>
      </w:r>
      <w:r>
        <w:rPr>
          <w:spacing w:val="-2"/>
        </w:rPr>
        <w:t>经理、主任等职务。现任苏州高新创业投资集团有限公司董事长；苏州高投创业投资管理有限公司等公司董事；苏州科技城</w:t>
      </w:r>
      <w:r>
        <w:rPr>
          <w:spacing w:val="-66"/>
        </w:rPr>
        <w:t> </w:t>
      </w:r>
      <w:r>
        <w:rPr>
          <w:spacing w:val="-66"/>
        </w:rPr>
      </w:r>
      <w:r>
        <w:rPr/>
        <w:t>发展集团有限公司监事等职务；现任本公司董事。</w:t>
      </w:r>
    </w:p>
    <w:p>
      <w:pPr>
        <w:spacing w:line="240" w:lineRule="auto" w:before="9"/>
        <w:rPr>
          <w:rFonts w:ascii="宋体" w:hAnsi="宋体" w:cs="宋体" w:eastAsia="宋体" w:hint="default"/>
          <w:sz w:val="13"/>
          <w:szCs w:val="13"/>
        </w:rPr>
      </w:pPr>
    </w:p>
    <w:p>
      <w:pPr>
        <w:pStyle w:val="BodyText"/>
        <w:spacing w:line="314" w:lineRule="auto"/>
        <w:ind w:right="1131" w:firstLine="361"/>
        <w:jc w:val="both"/>
      </w:pPr>
      <w:r>
        <w:rPr>
          <w:rFonts w:ascii="宋体" w:hAnsi="宋体" w:cs="宋体" w:eastAsia="宋体" w:hint="default"/>
          <w:b/>
          <w:bCs/>
          <w:spacing w:val="-2"/>
        </w:rPr>
        <w:t>方世南</w:t>
      </w:r>
      <w:r>
        <w:rPr>
          <w:spacing w:val="-2"/>
        </w:rPr>
        <w:t>，男，</w:t>
      </w:r>
      <w:r>
        <w:rPr>
          <w:rFonts w:ascii="Times New Roman" w:hAnsi="Times New Roman" w:cs="Times New Roman" w:eastAsia="Times New Roman" w:hint="default"/>
          <w:spacing w:val="-2"/>
        </w:rPr>
        <w:t>1954</w:t>
      </w:r>
      <w:r>
        <w:rPr>
          <w:spacing w:val="-2"/>
        </w:rPr>
        <w:t>年</w:t>
      </w:r>
      <w:r>
        <w:rPr>
          <w:rFonts w:ascii="Times New Roman" w:hAnsi="Times New Roman" w:cs="Times New Roman" w:eastAsia="Times New Roman" w:hint="default"/>
          <w:spacing w:val="-2"/>
        </w:rPr>
        <w:t>6</w:t>
      </w:r>
      <w:r>
        <w:rPr>
          <w:spacing w:val="-2"/>
        </w:rPr>
        <w:t>月出生，本科学历，中国国籍，无境外永久居留权</w:t>
      </w:r>
      <w:r>
        <w:rPr>
          <w:spacing w:val="10"/>
        </w:rPr>
        <w:t> </w:t>
      </w:r>
      <w:r>
        <w:rPr>
          <w:spacing w:val="-2"/>
        </w:rPr>
        <w:t>。先后在江苏师院先后担任助教、讲师、副教</w:t>
      </w:r>
      <w:r>
        <w:rPr/>
        <w:t> </w:t>
      </w:r>
      <w:r>
        <w:rPr>
          <w:spacing w:val="-2"/>
        </w:rPr>
        <w:t>授、教授等职务。现任苏州大学政治与公共管理学院教授、博士生导师，享受国务院政府特殊津贴专家，并兼任马克思主义</w:t>
      </w:r>
      <w:r>
        <w:rPr>
          <w:spacing w:val="-66"/>
        </w:rPr>
        <w:t> </w:t>
      </w:r>
      <w:r>
        <w:rPr>
          <w:spacing w:val="-66"/>
        </w:rPr>
      </w:r>
      <w:r>
        <w:rPr>
          <w:spacing w:val="-2"/>
        </w:rPr>
        <w:t>研究院副院长。方先生还担任苏州市基层党建研究所副所长、苏州市公共关系协会会长、中国人学学会常务理事、苏州市专</w:t>
      </w:r>
      <w:r>
        <w:rPr>
          <w:spacing w:val="-66"/>
        </w:rPr>
        <w:t> </w:t>
      </w:r>
      <w:r>
        <w:rPr>
          <w:spacing w:val="-66"/>
        </w:rPr>
      </w:r>
      <w:r>
        <w:rPr>
          <w:spacing w:val="-2"/>
        </w:rPr>
        <w:t>家咨询团团长、中国马克思主义哲学是学会理事等职务；兼任苏州赛腾精密电子科技股份有限公司独立董事；现任本公司独</w:t>
      </w:r>
      <w:r>
        <w:rPr>
          <w:spacing w:val="-66"/>
        </w:rPr>
        <w:t> </w:t>
      </w:r>
      <w:r>
        <w:rPr>
          <w:spacing w:val="-66"/>
        </w:rPr>
      </w:r>
      <w:r>
        <w:rPr/>
        <w:t>立董事。</w:t>
      </w:r>
    </w:p>
    <w:p>
      <w:pPr>
        <w:spacing w:line="240" w:lineRule="auto" w:before="7"/>
        <w:rPr>
          <w:rFonts w:ascii="宋体" w:hAnsi="宋体" w:cs="宋体" w:eastAsia="宋体" w:hint="default"/>
          <w:sz w:val="13"/>
          <w:szCs w:val="13"/>
        </w:rPr>
      </w:pPr>
    </w:p>
    <w:p>
      <w:pPr>
        <w:pStyle w:val="BodyText"/>
        <w:spacing w:line="300" w:lineRule="auto"/>
        <w:ind w:left="154" w:right="1050" w:firstLine="361"/>
        <w:jc w:val="both"/>
      </w:pPr>
      <w:r>
        <w:rPr>
          <w:rFonts w:ascii="宋体" w:hAnsi="宋体" w:cs="宋体" w:eastAsia="宋体" w:hint="default"/>
          <w:b/>
          <w:bCs/>
        </w:rPr>
        <w:t>俞雪华</w:t>
      </w:r>
      <w:r>
        <w:rPr/>
        <w:t>，男，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6</w:t>
      </w:r>
      <w:r>
        <w:rPr/>
        <w:t>月出生，研究生学历，副教授，中国国籍，无境外永久居留权。曾就职于南京农业大学，自</w:t>
      </w:r>
      <w:r>
        <w:rPr>
          <w:rFonts w:ascii="Times New Roman" w:hAnsi="Times New Roman" w:cs="Times New Roman" w:eastAsia="Times New Roman" w:hint="default"/>
        </w:rPr>
        <w:t>1993 </w:t>
      </w:r>
      <w:r>
        <w:rPr/>
        <w:t>年</w:t>
      </w:r>
      <w:r>
        <w:rPr>
          <w:rFonts w:ascii="Times New Roman" w:hAnsi="Times New Roman" w:cs="Times New Roman" w:eastAsia="Times New Roman" w:hint="default"/>
        </w:rPr>
        <w:t>9</w:t>
      </w:r>
      <w:r>
        <w:rPr/>
        <w:t>月至今任教于苏州大学商学院，目前担任苏州大学商学院院长助理、会计学副教授、硕士生导师；兼任苏州科斯伍德油 墨股份有限公司、苏州金螳螂建筑装饰股份有限公司、江苏恒立液压股份有限公司等公司独立董事；现任本公司独立董事。</w:t>
      </w:r>
    </w:p>
    <w:p>
      <w:pPr>
        <w:spacing w:line="240" w:lineRule="auto" w:before="4"/>
        <w:rPr>
          <w:rFonts w:ascii="宋体" w:hAnsi="宋体" w:cs="宋体" w:eastAsia="宋体" w:hint="default"/>
          <w:sz w:val="14"/>
          <w:szCs w:val="14"/>
        </w:rPr>
      </w:pPr>
    </w:p>
    <w:p>
      <w:pPr>
        <w:pStyle w:val="BodyText"/>
        <w:spacing w:line="300" w:lineRule="auto"/>
        <w:ind w:left="154" w:right="1132" w:firstLine="361"/>
        <w:jc w:val="both"/>
      </w:pPr>
      <w:r>
        <w:rPr>
          <w:rFonts w:ascii="宋体" w:hAnsi="宋体" w:cs="宋体" w:eastAsia="宋体" w:hint="default"/>
          <w:b/>
          <w:bCs/>
          <w:spacing w:val="-2"/>
        </w:rPr>
        <w:t>李建康</w:t>
      </w:r>
      <w:r>
        <w:rPr>
          <w:spacing w:val="-2"/>
        </w:rPr>
        <w:t>，男，</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10</w:t>
      </w:r>
      <w:r>
        <w:rPr>
          <w:spacing w:val="-2"/>
        </w:rPr>
        <w:t>月出生，博士学位，教授，中国国籍，无境外永久居留权。先后在太原理工大学、苏州科技学院</w:t>
      </w:r>
      <w:r>
        <w:rPr/>
        <w:t> 任教，</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月至今在苏州市职业大学任教；现任本公司独立董事。</w:t>
      </w:r>
    </w:p>
    <w:p>
      <w:pPr>
        <w:spacing w:line="468" w:lineRule="exact" w:before="5"/>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（二）监事会成员简介</w:t>
      </w:r>
      <w:r>
        <w:rPr>
          <w:rFonts w:ascii="宋体" w:hAnsi="宋体" w:cs="宋体" w:eastAsia="宋体" w:hint="default"/>
          <w:b/>
          <w:bCs/>
          <w:w w:val="99"/>
          <w:sz w:val="18"/>
          <w:szCs w:val="18"/>
        </w:rPr>
        <w:t> </w:t>
      </w:r>
      <w:r>
        <w:rPr>
          <w:rFonts w:ascii="宋体" w:hAnsi="宋体" w:cs="宋体" w:eastAsia="宋体" w:hint="default"/>
          <w:b/>
          <w:bCs/>
          <w:spacing w:val="-4"/>
          <w:sz w:val="18"/>
          <w:szCs w:val="18"/>
        </w:rPr>
        <w:t>赵同双</w:t>
      </w:r>
      <w:r>
        <w:rPr>
          <w:rFonts w:ascii="宋体" w:hAnsi="宋体" w:cs="宋体" w:eastAsia="宋体" w:hint="default"/>
          <w:spacing w:val="-4"/>
          <w:sz w:val="18"/>
          <w:szCs w:val="18"/>
        </w:rPr>
        <w:t>，男，</w:t>
      </w:r>
      <w:r>
        <w:rPr>
          <w:rFonts w:ascii="Times New Roman" w:hAnsi="Times New Roman" w:cs="Times New Roman" w:eastAsia="Times New Roman" w:hint="default"/>
          <w:spacing w:val="-4"/>
          <w:sz w:val="18"/>
          <w:szCs w:val="18"/>
        </w:rPr>
        <w:t>1970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月出生，硕士学历，中国国籍，无境外永久居留权，中国注册税务师、律师。先后在维德木业（苏</w:t>
      </w:r>
    </w:p>
    <w:p>
      <w:pPr>
        <w:pStyle w:val="BodyText"/>
        <w:spacing w:line="309" w:lineRule="auto" w:before="8"/>
        <w:ind w:right="1133"/>
        <w:jc w:val="both"/>
      </w:pPr>
      <w:r>
        <w:rPr>
          <w:spacing w:val="-2"/>
        </w:rPr>
        <w:t>州）有限公司、苏州正华律师事务所、苏州益友天元律师事务所、江苏维世德（苏州）律师事务所等单位工作，担任过总经</w:t>
      </w:r>
      <w:r>
        <w:rPr>
          <w:spacing w:val="-72"/>
        </w:rPr>
        <w:t> </w:t>
      </w:r>
      <w:r>
        <w:rPr>
          <w:spacing w:val="-72"/>
        </w:rPr>
      </w:r>
      <w:r>
        <w:rPr/>
        <w:t>理办公室秘书、律师、负责人等职务。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月至今，担任上海市锦天城（苏州）律师事务所律师职务；兼任苏州仲裁委 员会仲裁员、湛江国际仲裁院仲裁员等职务；现任本公司监事。</w:t>
      </w:r>
    </w:p>
    <w:p>
      <w:pPr>
        <w:spacing w:line="240" w:lineRule="auto" w:before="11"/>
        <w:rPr>
          <w:rFonts w:ascii="宋体" w:hAnsi="宋体" w:cs="宋体" w:eastAsia="宋体" w:hint="default"/>
          <w:sz w:val="13"/>
          <w:szCs w:val="13"/>
        </w:rPr>
      </w:pPr>
    </w:p>
    <w:p>
      <w:pPr>
        <w:pStyle w:val="BodyText"/>
        <w:spacing w:line="300" w:lineRule="auto"/>
        <w:ind w:right="1130" w:firstLine="361"/>
        <w:jc w:val="both"/>
      </w:pPr>
      <w:r>
        <w:rPr>
          <w:rFonts w:ascii="宋体" w:hAnsi="宋体" w:cs="宋体" w:eastAsia="宋体" w:hint="default"/>
          <w:b/>
          <w:bCs/>
        </w:rPr>
        <w:t>施雄</w:t>
      </w:r>
      <w:r>
        <w:rPr/>
        <w:t>，男，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7</w:t>
      </w:r>
      <w:r>
        <w:rPr/>
        <w:t>月出生，本科学历，中国国籍，无境外永久居留权。先后任职于江苏苏鑫装饰（集团）公司和江苏 </w:t>
      </w:r>
      <w:r>
        <w:rPr>
          <w:spacing w:val="-2"/>
        </w:rPr>
        <w:t>金奕达铜业股份有限公司等公司，先后担任人事部经理兼董事长秘书和综合办公室主任等职务，</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月在本</w:t>
      </w:r>
      <w:r>
        <w:rPr>
          <w:spacing w:val="-54"/>
        </w:rPr>
        <w:t> </w:t>
      </w:r>
      <w:r>
        <w:rPr>
          <w:spacing w:val="-2"/>
        </w:rPr>
        <w:t>公司工作，先后任行政总监、董事会办公室副主任等职。</w:t>
      </w:r>
      <w:r>
        <w:rPr>
          <w:rFonts w:ascii="Times New Roman" w:hAnsi="Times New Roman" w:cs="Times New Roman" w:eastAsia="Times New Roman" w:hint="default"/>
          <w:spacing w:val="-2"/>
        </w:rPr>
        <w:t>2015</w:t>
      </w:r>
      <w:r>
        <w:rPr>
          <w:spacing w:val="-2"/>
        </w:rPr>
        <w:t>年至今在苏州中徽纳米科技有限公司任营销总监；现任本公司</w:t>
      </w:r>
      <w:r>
        <w:rPr>
          <w:spacing w:val="-61"/>
        </w:rPr>
        <w:t> </w:t>
      </w:r>
      <w:r>
        <w:rPr>
          <w:spacing w:val="-61"/>
        </w:rPr>
      </w:r>
      <w:r>
        <w:rPr/>
        <w:t>监事。</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735" w:right="0"/>
        <w:jc w:val="left"/>
      </w:pPr>
      <w:r>
        <w:rPr>
          <w:rFonts w:ascii="宋体" w:hAnsi="宋体" w:cs="宋体" w:eastAsia="宋体" w:hint="default"/>
          <w:b/>
          <w:bCs/>
        </w:rPr>
        <w:t>徐才英</w:t>
      </w:r>
      <w:r>
        <w:rPr/>
        <w:t>，女，</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w:t>
      </w:r>
      <w:r>
        <w:rPr/>
        <w:t>月出生，本科学历，中国国籍，无境外永久居留权。</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月先后任职于劲佳光电</w:t>
      </w:r>
    </w:p>
    <w:p>
      <w:pPr>
        <w:pStyle w:val="BodyText"/>
        <w:spacing w:line="300" w:lineRule="auto" w:before="63"/>
        <w:ind w:left="373" w:right="0"/>
        <w:jc w:val="left"/>
      </w:pPr>
      <w:r>
        <w:rPr>
          <w:spacing w:val="-2"/>
        </w:rPr>
        <w:t>（昆山）有限公司、恩而希光电（苏州）有限公司等公司，先后担任助理工程师和高级工程师等职务，</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月至今在本</w:t>
      </w:r>
      <w:r>
        <w:rPr>
          <w:spacing w:val="-60"/>
        </w:rPr>
        <w:t> </w:t>
      </w:r>
      <w:r>
        <w:rPr/>
        <w:t>公司任生产工程师、生产部副经理；现任本公司监事。</w:t>
      </w:r>
    </w:p>
    <w:p>
      <w:pPr>
        <w:spacing w:line="240" w:lineRule="auto" w:before="4"/>
        <w:rPr>
          <w:rFonts w:ascii="宋体" w:hAnsi="宋体" w:cs="宋体" w:eastAsia="宋体" w:hint="default"/>
          <w:sz w:val="14"/>
          <w:szCs w:val="14"/>
        </w:rPr>
      </w:pPr>
    </w:p>
    <w:p>
      <w:pPr>
        <w:spacing w:line="477" w:lineRule="auto" w:before="0"/>
        <w:ind w:left="735" w:right="6069" w:firstLine="0"/>
        <w:jc w:val="left"/>
        <w:rPr>
          <w:rFonts w:ascii="宋体" w:hAnsi="宋体" w:cs="宋体" w:eastAsia="宋体" w:hint="default"/>
          <w:sz w:val="18"/>
          <w:szCs w:val="18"/>
        </w:rPr>
      </w:pPr>
      <w:r>
        <w:rPr>
          <w:rFonts w:ascii="宋体" w:hAnsi="宋体" w:cs="宋体" w:eastAsia="宋体" w:hint="default"/>
          <w:b/>
          <w:bCs/>
          <w:sz w:val="18"/>
          <w:szCs w:val="18"/>
        </w:rPr>
        <w:t>（三）高级管理人员简介</w:t>
      </w:r>
      <w:r>
        <w:rPr>
          <w:rFonts w:ascii="宋体" w:hAnsi="宋体" w:cs="宋体" w:eastAsia="宋体" w:hint="default"/>
          <w:b/>
          <w:bCs/>
          <w:w w:val="99"/>
          <w:sz w:val="18"/>
          <w:szCs w:val="18"/>
        </w:rPr>
        <w:t> </w:t>
      </w:r>
      <w:r>
        <w:rPr>
          <w:rFonts w:ascii="宋体" w:hAnsi="宋体" w:cs="宋体" w:eastAsia="宋体" w:hint="default"/>
          <w:b/>
          <w:bCs/>
          <w:sz w:val="18"/>
          <w:szCs w:val="18"/>
        </w:rPr>
        <w:t>余荣清</w:t>
      </w:r>
      <w:r>
        <w:rPr>
          <w:rFonts w:ascii="宋体" w:hAnsi="宋体" w:cs="宋体" w:eastAsia="宋体" w:hint="default"/>
          <w:sz w:val="18"/>
          <w:szCs w:val="18"/>
        </w:rPr>
        <w:t>，现任公司总经理，详见董事主要工作经历。 </w:t>
      </w:r>
      <w:r>
        <w:rPr>
          <w:rFonts w:ascii="宋体" w:hAnsi="宋体" w:cs="宋体" w:eastAsia="宋体" w:hint="default"/>
          <w:b/>
          <w:bCs/>
          <w:sz w:val="18"/>
          <w:szCs w:val="18"/>
        </w:rPr>
        <w:t>兰山英</w:t>
      </w:r>
      <w:r>
        <w:rPr>
          <w:rFonts w:ascii="宋体" w:hAnsi="宋体" w:cs="宋体" w:eastAsia="宋体" w:hint="default"/>
          <w:sz w:val="18"/>
          <w:szCs w:val="18"/>
        </w:rPr>
        <w:t>，现任公司副总经理，详见董事主要工作经历。 </w:t>
      </w:r>
      <w:r>
        <w:rPr>
          <w:rFonts w:ascii="宋体" w:hAnsi="宋体" w:cs="宋体" w:eastAsia="宋体" w:hint="default"/>
          <w:b/>
          <w:bCs/>
          <w:sz w:val="18"/>
          <w:szCs w:val="18"/>
        </w:rPr>
        <w:t>张培兴</w:t>
      </w:r>
      <w:r>
        <w:rPr>
          <w:rFonts w:ascii="宋体" w:hAnsi="宋体" w:cs="宋体" w:eastAsia="宋体" w:hint="default"/>
          <w:sz w:val="18"/>
          <w:szCs w:val="18"/>
        </w:rPr>
        <w:t>，现任公司副总经理，详见董事主要工作经历。</w:t>
      </w:r>
    </w:p>
    <w:p>
      <w:pPr>
        <w:pStyle w:val="BodyText"/>
        <w:spacing w:line="309" w:lineRule="auto" w:before="54"/>
        <w:ind w:left="374" w:right="1129" w:firstLine="361"/>
        <w:jc w:val="both"/>
      </w:pPr>
      <w:r>
        <w:rPr>
          <w:rFonts w:ascii="宋体" w:hAnsi="宋体" w:cs="宋体" w:eastAsia="宋体" w:hint="default"/>
          <w:b/>
          <w:bCs/>
        </w:rPr>
        <w:t>孙仕杰</w:t>
      </w:r>
      <w:r>
        <w:rPr/>
        <w:t>，女，</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1</w:t>
      </w:r>
      <w:r>
        <w:rPr/>
        <w:t>月出生，双专科学历，中国国籍，无境外永久居留权，中国注册会计师。先后于苏州市嘉泰联合 </w:t>
      </w:r>
      <w:r>
        <w:rPr>
          <w:spacing w:val="-2"/>
        </w:rPr>
        <w:t>会计师事务所、江苏隆泰嘉信投资股份有限公司、法泰电器（江苏）股份有限公司任审计部审计经理、投资总监、董事会秘</w:t>
      </w:r>
      <w:r>
        <w:rPr>
          <w:spacing w:val="-67"/>
        </w:rPr>
        <w:t> </w:t>
      </w:r>
      <w:r>
        <w:rPr>
          <w:spacing w:val="-67"/>
        </w:rPr>
      </w:r>
      <w:r>
        <w:rPr/>
        <w:t>书等职务；现任公司副总经理、董事会秘书、财务负责人。</w:t>
      </w:r>
    </w:p>
    <w:p>
      <w:pPr>
        <w:spacing w:line="240" w:lineRule="auto" w:before="10"/>
        <w:rPr>
          <w:rFonts w:ascii="宋体" w:hAnsi="宋体" w:cs="宋体" w:eastAsia="宋体" w:hint="default"/>
          <w:sz w:val="13"/>
          <w:szCs w:val="13"/>
        </w:rPr>
      </w:pPr>
    </w:p>
    <w:p>
      <w:pPr>
        <w:pStyle w:val="BodyText"/>
        <w:spacing w:line="309" w:lineRule="auto"/>
        <w:ind w:left="374" w:right="1133" w:firstLine="361"/>
        <w:jc w:val="both"/>
      </w:pPr>
      <w:r>
        <w:rPr>
          <w:rFonts w:ascii="宋体" w:hAnsi="宋体" w:cs="宋体" w:eastAsia="宋体" w:hint="default"/>
          <w:b/>
          <w:bCs/>
        </w:rPr>
        <w:t>施建豪</w:t>
      </w:r>
      <w:r>
        <w:rPr/>
        <w:t>，男，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月出生，本科学历，中国国籍，无境外永久居留权，高级经济师。先后于苏州开关厂、苏州阿尔 </w:t>
      </w:r>
      <w:r>
        <w:rPr>
          <w:spacing w:val="-2"/>
        </w:rPr>
        <w:t>斯通开关有限公司、苏州小羚羊电动车有限公司等公司历任厂办秘书、团委书记、合同执行科科长、生产部副经理、总经理</w:t>
      </w:r>
      <w:r>
        <w:rPr>
          <w:spacing w:val="-66"/>
        </w:rPr>
        <w:t> </w:t>
      </w:r>
      <w:r>
        <w:rPr>
          <w:spacing w:val="-66"/>
        </w:rPr>
      </w:r>
      <w:r>
        <w:rPr/>
        <w:t>等职务；现任公司副总经理。</w:t>
      </w:r>
    </w:p>
    <w:p>
      <w:pPr>
        <w:spacing w:line="240" w:lineRule="auto" w:before="11"/>
        <w:rPr>
          <w:rFonts w:ascii="宋体" w:hAnsi="宋体" w:cs="宋体" w:eastAsia="宋体" w:hint="default"/>
          <w:sz w:val="13"/>
          <w:szCs w:val="13"/>
        </w:rPr>
      </w:pPr>
    </w:p>
    <w:p>
      <w:pPr>
        <w:pStyle w:val="BodyText"/>
        <w:spacing w:line="240" w:lineRule="auto"/>
        <w:ind w:left="374" w:right="0"/>
        <w:jc w:val="left"/>
      </w:pPr>
      <w:r>
        <w:rPr/>
        <w:t>在股东单位任职情况</w:t>
      </w:r>
    </w:p>
    <w:p>
      <w:pPr>
        <w:pStyle w:val="BodyText"/>
        <w:spacing w:line="240" w:lineRule="auto" w:before="116"/>
        <w:ind w:left="3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369" w:type="dxa"/>
        <w:tblLayout w:type="fixed"/>
        <w:tblCellMar>
          <w:top w:w="0" w:type="dxa"/>
          <w:left w:w="0" w:type="dxa"/>
          <w:bottom w:w="0" w:type="dxa"/>
          <w:right w:w="0" w:type="dxa"/>
        </w:tblCellMar>
        <w:tblLook w:val="01E0"/>
      </w:tblPr>
      <w:tblGrid>
        <w:gridCol w:w="1217"/>
        <w:gridCol w:w="3231"/>
        <w:gridCol w:w="1076"/>
        <w:gridCol w:w="1707"/>
        <w:gridCol w:w="853"/>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1"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苏州恒久荣盛科技投资有限公司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江苏省苏高新风险投资股份有限公司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374" w:right="0"/>
        <w:jc w:val="left"/>
      </w:pPr>
      <w:r>
        <w:rPr/>
        <w:t>在其他单位任职情况</w:t>
      </w:r>
    </w:p>
    <w:p>
      <w:pPr>
        <w:pStyle w:val="BodyText"/>
        <w:spacing w:line="240" w:lineRule="auto" w:before="117"/>
        <w:ind w:left="3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851"/>
        <w:gridCol w:w="3261"/>
        <w:gridCol w:w="1559"/>
        <w:gridCol w:w="1560"/>
        <w:gridCol w:w="1559"/>
        <w:gridCol w:w="1348"/>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3"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8" w:right="37"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苏州吴中恒久光电子科技有限公司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苏州恒久数码科技有限公司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0"/>
              <w:jc w:val="left"/>
              <w:rPr>
                <w:rFonts w:ascii="Times New Roman" w:hAnsi="Times New Roman" w:cs="Times New Roman" w:eastAsia="Times New Roman" w:hint="default"/>
                <w:sz w:val="18"/>
                <w:szCs w:val="18"/>
              </w:rPr>
            </w:pPr>
            <w:r>
              <w:rPr>
                <w:rFonts w:ascii="Times New Roman"/>
                <w:sz w:val="18"/>
              </w:rPr>
              <w:t>GOLDENGREEN TECHNOLOGIES</w:t>
            </w:r>
            <w:r>
              <w:rPr>
                <w:rFonts w:ascii="Times New Roman"/>
                <w:spacing w:val="-6"/>
                <w:sz w:val="18"/>
              </w:rPr>
              <w:t> </w:t>
            </w:r>
            <w:r>
              <w:rPr>
                <w:rFonts w:ascii="Times New Roman"/>
                <w:sz w:val="18"/>
              </w:rPr>
              <w:t>EU</w:t>
            </w:r>
            <w:r>
              <w:rPr>
                <w:rFonts w:ascii="Times New Roman"/>
                <w:w w:val="99"/>
                <w:sz w:val="18"/>
              </w:rPr>
              <w:t> </w:t>
            </w:r>
            <w:r>
              <w:rPr>
                <w:rFonts w:ascii="Times New Roman"/>
                <w:sz w:val="18"/>
              </w:rPr>
              <w:t>LIMITED</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76"/>
              <w:jc w:val="left"/>
              <w:rPr>
                <w:rFonts w:ascii="Times New Roman" w:hAnsi="Times New Roman" w:cs="Times New Roman" w:eastAsia="Times New Roman" w:hint="default"/>
                <w:sz w:val="18"/>
                <w:szCs w:val="18"/>
              </w:rPr>
            </w:pPr>
            <w:r>
              <w:rPr>
                <w:rFonts w:ascii="Times New Roman"/>
                <w:sz w:val="18"/>
              </w:rPr>
              <w:t>GOLDENGREEN</w:t>
            </w:r>
            <w:r>
              <w:rPr>
                <w:rFonts w:ascii="Times New Roman"/>
                <w:spacing w:val="-6"/>
                <w:sz w:val="18"/>
              </w:rPr>
              <w:t> </w:t>
            </w:r>
            <w:r>
              <w:rPr>
                <w:rFonts w:ascii="Times New Roman"/>
                <w:sz w:val="18"/>
              </w:rPr>
              <w:t>TECHNOLOGIES</w:t>
            </w:r>
            <w:r>
              <w:rPr>
                <w:rFonts w:ascii="Times New Roman"/>
                <w:w w:val="99"/>
                <w:sz w:val="18"/>
              </w:rPr>
              <w:t> </w:t>
            </w:r>
            <w:r>
              <w:rPr>
                <w:rFonts w:ascii="Times New Roman"/>
                <w:sz w:val="18"/>
              </w:rPr>
              <w:t>INTERNATIONAL</w:t>
            </w:r>
            <w:r>
              <w:rPr>
                <w:rFonts w:ascii="Times New Roman"/>
                <w:spacing w:val="-29"/>
                <w:sz w:val="18"/>
              </w:rPr>
              <w:t> </w:t>
            </w:r>
            <w:r>
              <w:rPr>
                <w:rFonts w:ascii="Times New Roman"/>
                <w:sz w:val="18"/>
              </w:rPr>
              <w:t>LIMITED</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苏州高新创业投资集团有限公司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苏州高新区创业科技投资管理有限公司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江苏融徳鑫融资租赁有限公司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江苏省苏高新风险投资股份有限公司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苏州高投创业投资管理有限公司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7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851"/>
        <w:gridCol w:w="3261"/>
        <w:gridCol w:w="1559"/>
        <w:gridCol w:w="1560"/>
        <w:gridCol w:w="1559"/>
        <w:gridCol w:w="1348"/>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苏州高远创业投资有限公司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苏州高锦创业投资有限公司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苏州高新新联创业投资管理有限公司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苏州高新友利创业投资有限公司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苏州新麟创业投资有限公司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12"/>
              <w:jc w:val="left"/>
              <w:rPr>
                <w:rFonts w:ascii="宋体" w:hAnsi="宋体" w:cs="宋体" w:eastAsia="宋体" w:hint="default"/>
                <w:sz w:val="18"/>
                <w:szCs w:val="18"/>
              </w:rPr>
            </w:pPr>
            <w:r>
              <w:rPr>
                <w:rFonts w:ascii="宋体" w:hAnsi="宋体" w:cs="宋体" w:eastAsia="宋体" w:hint="default"/>
                <w:sz w:val="18"/>
                <w:szCs w:val="18"/>
              </w:rPr>
              <w:t>苏州新麟二期创业投资企业（有限合伙）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执行事务合伙人委 派代表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苏州明鑫高投创业投资有限公司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苏州高新创业投资集团融联管理有限公 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苏州国发高新创业投资管理有限公司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苏州高新国发创业投资有限公司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苏州高华创业投资管理有限公司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苏州高新华富创业投资企业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联合管理委员会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苏州高新启源创业投资有限公司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航天高新（苏州）创业投资管理有限公司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苏州高新润智创业投资管理有限公司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苏州芳磊蜂窝复合材料有限公司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苏州中晟宏芯信息科技有限公司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苏州旭捷投资管理有限公司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苏州科技城发展集团有限公司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苏州高新创业投资集团中小企业天使投 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12"/>
              <w:jc w:val="left"/>
              <w:rPr>
                <w:rFonts w:ascii="宋体" w:hAnsi="宋体" w:cs="宋体" w:eastAsia="宋体" w:hint="default"/>
                <w:sz w:val="18"/>
                <w:szCs w:val="18"/>
              </w:rPr>
            </w:pPr>
            <w:r>
              <w:rPr>
                <w:rFonts w:ascii="宋体" w:hAnsi="宋体" w:cs="宋体" w:eastAsia="宋体" w:hint="default"/>
                <w:sz w:val="18"/>
                <w:szCs w:val="18"/>
              </w:rPr>
              <w:t>苏州新麟三期创业投资企业（有限合伙）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执行事务合伙人委 派代表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苏州福履投资管理有限公司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苏州高新创业投资集团融享投资管理有 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苏州太湖金谷建设发展有限公司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苏州中茵泰格科技有限公司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苏州大学马克思主义学院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苏州大学马克思主义研究院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苏州市基层党建研究所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苏州市公共关系协会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中国人学学会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7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851"/>
        <w:gridCol w:w="3261"/>
        <w:gridCol w:w="1559"/>
        <w:gridCol w:w="1560"/>
        <w:gridCol w:w="1559"/>
        <w:gridCol w:w="1348"/>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苏州市专家咨询团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团长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苏州市市委政策研究室</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特聘研究员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中国马克思主义哲学史学会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苏州赛腾精密电子科技股份有限公司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俞雪华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苏州大学商学院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院长助理、会计学 副教授、硕士生导 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俞雪华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苏州科斯伍德油墨股份有限公司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俞雪华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苏州金螳螂建筑装饰股份有限公司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俞雪华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江苏恒立液压股份有限公司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李建康</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苏州市职业大学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赵同双</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上海锦天城（苏州）律师事务所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赵同双</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苏州仲裁委员会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赵同双</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湛江国际仲裁院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施雄</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苏州中徽纳米科技有限公司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营销总监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374" w:right="0"/>
        <w:jc w:val="left"/>
      </w:pPr>
      <w:r>
        <w:rPr/>
        <w:t>公司现任及报告期内离任董事、监事和高级管理人员近三年证券监管机构处罚的情况</w:t>
      </w:r>
    </w:p>
    <w:p>
      <w:pPr>
        <w:pStyle w:val="BodyText"/>
        <w:spacing w:line="240" w:lineRule="auto" w:before="117"/>
        <w:ind w:left="3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373"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731" w:right="0" w:hanging="358"/>
        <w:jc w:val="left"/>
      </w:pPr>
      <w:r>
        <w:rPr/>
        <w:t>董事、监事、高级管理人员报酬的决策程序、确定依据、实际支付情况 </w:t>
      </w:r>
      <w:r>
        <w:rPr>
          <w:spacing w:val="-2"/>
        </w:rPr>
        <w:t>公司董事、监事、高级管理人员薪酬决策程序：公司董事、高级管理人员薪酬由董事会薪酬与考核委员会拟定方案，其</w:t>
      </w:r>
    </w:p>
    <w:p>
      <w:pPr>
        <w:pStyle w:val="BodyText"/>
        <w:spacing w:line="224" w:lineRule="exact"/>
        <w:ind w:left="373" w:right="0"/>
        <w:jc w:val="left"/>
      </w:pPr>
      <w:r>
        <w:rPr/>
        <w:t>中公司董事的薪酬计划，报经董事会同意后，提交股东大会审议通过方可实施；公司高级管理人员的薪酬分配方案须报董事</w:t>
      </w:r>
    </w:p>
    <w:p>
      <w:pPr>
        <w:pStyle w:val="BodyText"/>
        <w:spacing w:line="240" w:lineRule="auto" w:before="76"/>
        <w:ind w:left="373" w:right="0"/>
        <w:jc w:val="left"/>
      </w:pPr>
      <w:r>
        <w:rPr/>
        <w:t>会批准。公司监事的薪酬须报经监事会同意后，提交股东大会审议通过方可实施。</w:t>
      </w:r>
    </w:p>
    <w:p>
      <w:pPr>
        <w:spacing w:line="240" w:lineRule="auto" w:before="10"/>
        <w:rPr>
          <w:rFonts w:ascii="宋体" w:hAnsi="宋体" w:cs="宋体" w:eastAsia="宋体" w:hint="default"/>
          <w:sz w:val="17"/>
          <w:szCs w:val="17"/>
        </w:rPr>
      </w:pPr>
    </w:p>
    <w:p>
      <w:pPr>
        <w:pStyle w:val="BodyText"/>
        <w:spacing w:line="316" w:lineRule="auto"/>
        <w:ind w:left="373" w:right="1130" w:firstLine="357"/>
        <w:jc w:val="both"/>
      </w:pPr>
      <w:r>
        <w:rPr>
          <w:spacing w:val="-2"/>
        </w:rPr>
        <w:t>公司董事、监事、高级管理人员薪酬的确定依据：公司建立了与公司运营发展需要相匹配的合理、有效的绩效考核评价</w:t>
      </w:r>
      <w:r>
        <w:rPr/>
        <w:t> </w:t>
      </w:r>
      <w:r>
        <w:rPr>
          <w:spacing w:val="-2"/>
        </w:rPr>
        <w:t>体系。公司的董事、监事、高级管理人员薪酬严格按照公司的薪酬制度，依据行业薪酬水平、岗位职责和履职情况，并结合</w:t>
      </w:r>
      <w:r>
        <w:rPr>
          <w:spacing w:val="-67"/>
        </w:rPr>
        <w:t> </w:t>
      </w:r>
      <w:r>
        <w:rPr>
          <w:spacing w:val="-67"/>
        </w:rPr>
      </w:r>
      <w:r>
        <w:rPr/>
        <w:t>公司年度经营情况确定。</w:t>
      </w:r>
    </w:p>
    <w:p>
      <w:pPr>
        <w:spacing w:line="240" w:lineRule="auto" w:before="5"/>
        <w:rPr>
          <w:rFonts w:ascii="宋体" w:hAnsi="宋体" w:cs="宋体" w:eastAsia="宋体" w:hint="default"/>
          <w:sz w:val="13"/>
          <w:szCs w:val="13"/>
        </w:rPr>
      </w:pPr>
    </w:p>
    <w:p>
      <w:pPr>
        <w:pStyle w:val="BodyText"/>
        <w:spacing w:line="316" w:lineRule="auto"/>
        <w:ind w:left="373" w:right="1133" w:firstLine="360"/>
        <w:jc w:val="both"/>
      </w:pPr>
      <w:r>
        <w:rPr>
          <w:spacing w:val="-2"/>
        </w:rPr>
        <w:t>公司董事、监事、高级管理人员报酬的实际支付情况：严格按照董事、监事、高级管理人员薪酬的决策程序与确定依据</w:t>
      </w:r>
      <w:r>
        <w:rPr/>
        <w:t> 按月支付薪酬。</w:t>
      </w:r>
    </w:p>
    <w:p>
      <w:pPr>
        <w:spacing w:line="240" w:lineRule="auto" w:before="5"/>
        <w:rPr>
          <w:rFonts w:ascii="宋体" w:hAnsi="宋体" w:cs="宋体" w:eastAsia="宋体" w:hint="default"/>
          <w:sz w:val="13"/>
          <w:szCs w:val="13"/>
        </w:rPr>
      </w:pPr>
    </w:p>
    <w:p>
      <w:pPr>
        <w:pStyle w:val="BodyText"/>
        <w:spacing w:line="240" w:lineRule="auto"/>
        <w:ind w:left="733" w:right="0"/>
        <w:jc w:val="left"/>
      </w:pPr>
      <w:r>
        <w:rPr/>
        <w:t>公司报告期内董事、监事和高级管理人员报酬情况</w:t>
      </w:r>
    </w:p>
    <w:p>
      <w:pPr>
        <w:pStyle w:val="BodyText"/>
        <w:spacing w:line="240" w:lineRule="auto" w:before="128"/>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402" w:type="dxa"/>
        <w:tblLayout w:type="fixed"/>
        <w:tblCellMar>
          <w:top w:w="0" w:type="dxa"/>
          <w:left w:w="0" w:type="dxa"/>
          <w:bottom w:w="0" w:type="dxa"/>
          <w:right w:w="0" w:type="dxa"/>
        </w:tblCellMar>
        <w:tblLook w:val="01E0"/>
      </w:tblPr>
      <w:tblGrid>
        <w:gridCol w:w="851"/>
        <w:gridCol w:w="3118"/>
        <w:gridCol w:w="709"/>
        <w:gridCol w:w="709"/>
        <w:gridCol w:w="1450"/>
        <w:gridCol w:w="1367"/>
        <w:gridCol w:w="1367"/>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余荣清</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兰山英</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张培兴</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979" w:top="1100" w:bottom="1160" w:left="760" w:right="0"/>
        </w:sectPr>
      </w:pPr>
    </w:p>
    <w:p>
      <w:pPr>
        <w:spacing w:line="240" w:lineRule="auto" w:before="6"/>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851"/>
        <w:gridCol w:w="3118"/>
        <w:gridCol w:w="709"/>
        <w:gridCol w:w="709"/>
        <w:gridCol w:w="1450"/>
        <w:gridCol w:w="1367"/>
        <w:gridCol w:w="1367"/>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余仲清</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59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方世南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64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俞雪华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李建康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徐才英</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39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孙仕杰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副总经理、董事会秘书、财务负责人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38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施建豪</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53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夏惠华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149.07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采购人员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0" w:firstLine="360"/>
        <w:jc w:val="both"/>
      </w:pPr>
      <w:r>
        <w:rPr>
          <w:spacing w:val="-2"/>
        </w:rPr>
        <w:t>公司薪酬体系参考所在地区及同行业薪酬水平，综合考虑岗位责任、岗位绩效和岗位技能等指标，通过设置管理、专业</w:t>
      </w:r>
      <w:r>
        <w:rPr/>
        <w:t> </w:t>
      </w:r>
      <w:r>
        <w:rPr>
          <w:spacing w:val="-2"/>
        </w:rPr>
        <w:t>技术、技工等职位序列和岗位职级职等，遵循薪酬与岗位价值挂钩，岗位责任与任职资格相结合。同时公司严格执行国家用</w:t>
      </w:r>
      <w:r>
        <w:rPr>
          <w:spacing w:val="-66"/>
        </w:rPr>
        <w:t> </w:t>
      </w:r>
      <w:r>
        <w:rPr>
          <w:spacing w:val="-66"/>
        </w:rPr>
      </w:r>
      <w:r>
        <w:rPr>
          <w:spacing w:val="-2"/>
        </w:rPr>
        <w:t>工制度、劳动保护制度、社会保障制度和医疗保险制度，按照国家规定为员工缴纳医疗保险、养老保险、失业保险、工伤保</w:t>
      </w:r>
      <w:r>
        <w:rPr>
          <w:spacing w:val="-68"/>
        </w:rPr>
        <w:t> </w:t>
      </w:r>
      <w:r>
        <w:rPr>
          <w:spacing w:val="-68"/>
        </w:rPr>
      </w:r>
      <w:r>
        <w:rPr/>
        <w:t>险、生育保险、公积金。</w:t>
      </w:r>
    </w:p>
    <w:p>
      <w:pPr>
        <w:spacing w:line="240" w:lineRule="auto" w:before="5"/>
        <w:rPr>
          <w:rFonts w:ascii="宋体" w:hAnsi="宋体" w:cs="宋体" w:eastAsia="宋体" w:hint="default"/>
          <w:sz w:val="13"/>
          <w:szCs w:val="13"/>
        </w:rPr>
      </w:pPr>
    </w:p>
    <w:p>
      <w:pPr>
        <w:pStyle w:val="BodyText"/>
        <w:spacing w:line="316" w:lineRule="auto"/>
        <w:ind w:left="154" w:right="1130" w:firstLine="360"/>
        <w:jc w:val="both"/>
      </w:pPr>
      <w:r>
        <w:rPr>
          <w:spacing w:val="-2"/>
        </w:rPr>
        <w:t>公司董事、监事、高级管理人员薪酬决策程序：公司董事、高级管理人员薪酬由董事会薪酬与考核委员会拟定方案，其</w:t>
      </w:r>
      <w:r>
        <w:rPr/>
        <w:t> 中公司董事的薪酬计划，报经董事会同意后，提交股东大会审议通过方可实施；</w:t>
      </w:r>
      <w:r>
        <w:rPr>
          <w:spacing w:val="8"/>
        </w:rPr>
        <w:t> </w:t>
      </w:r>
      <w:r>
        <w:rPr/>
        <w:t>公司高级管理人员的薪酬分配方案须报董</w:t>
      </w:r>
      <w:r>
        <w:rPr/>
        <w:t> 事会批准。公司监事的薪酬须报经监事会同意后，提交股东大会审议通过方可实施。</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2" w:firstLine="360"/>
        <w:jc w:val="both"/>
      </w:pPr>
      <w:r>
        <w:rPr>
          <w:spacing w:val="-2"/>
        </w:rPr>
        <w:t>公司持续注重员工的发展与人才的培养，建立了以能力提升、人才储备为导向的培训体系。根据行业特点和公司经营发</w:t>
      </w:r>
      <w:r>
        <w:rPr/>
        <w:t> 展需求，每年制订、实施培训计划。</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年，公司开展了包括生产人员技术培训、中层管理人员能力提升、销售人员服务 </w:t>
      </w:r>
      <w:r>
        <w:rPr>
          <w:spacing w:val="-2"/>
        </w:rPr>
        <w:t>与能力、上市公司规则制度培训等多次培训，涵盖内控管理、安全生产、信息披露等多方面，为促进公司持续发展和效益的</w:t>
      </w:r>
      <w:r>
        <w:rPr>
          <w:spacing w:val="-66"/>
        </w:rPr>
        <w:t> </w:t>
      </w:r>
      <w:r>
        <w:rPr>
          <w:spacing w:val="-66"/>
        </w:rPr>
      </w:r>
      <w:r>
        <w:rPr/>
        <w:t>提升，提供人力资源保障服务。</w:t>
      </w:r>
    </w:p>
    <w:p>
      <w:pPr>
        <w:spacing w:line="240" w:lineRule="auto" w:before="10"/>
        <w:rPr>
          <w:rFonts w:ascii="宋体" w:hAnsi="宋体" w:cs="宋体" w:eastAsia="宋体" w:hint="default"/>
          <w:sz w:val="22"/>
          <w:szCs w:val="22"/>
        </w:rPr>
      </w:pPr>
    </w:p>
    <w:p>
      <w:pPr>
        <w:pStyle w:val="Heading3"/>
        <w:spacing w:line="240" w:lineRule="auto"/>
        <w:ind w:left="154"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401"/>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15"/>
        </w:rPr>
        <w:t>报告期内，公司严格按照《公司法》、《证券法》、《上市公司治理准则》、《深圳证券交易所股票上市规则》、《深圳证券交</w:t>
      </w:r>
      <w:r>
        <w:rPr/>
        <w:t> </w:t>
      </w:r>
      <w:r>
        <w:rPr>
          <w:spacing w:val="-2"/>
        </w:rPr>
        <w:t>易所中小企业板上市公司规范运作指引》及中国证监会有关规定的要求，不断完善公司治理结构，建立、健全内部管理和控</w:t>
      </w:r>
      <w:r>
        <w:rPr>
          <w:spacing w:val="-65"/>
        </w:rPr>
        <w:t> </w:t>
      </w:r>
      <w:r>
        <w:rPr>
          <w:spacing w:val="-65"/>
        </w:rPr>
      </w:r>
      <w:r>
        <w:rPr>
          <w:spacing w:val="-2"/>
        </w:rPr>
        <w:t>制制度，规范公司运作，加强信息披露管理工作，提升公司的治理水平。截止报告期末，公司治理的实际状况基本符合中国</w:t>
      </w:r>
      <w:r>
        <w:rPr>
          <w:spacing w:val="-66"/>
        </w:rPr>
        <w:t> </w:t>
      </w:r>
      <w:r>
        <w:rPr>
          <w:spacing w:val="-66"/>
        </w:rPr>
      </w:r>
      <w:r>
        <w:rPr/>
        <w:t>证监会发布的有关上市公司治理的规范性文件要求。</w:t>
      </w:r>
    </w:p>
    <w:p>
      <w:pPr>
        <w:pStyle w:val="BodyText"/>
        <w:spacing w:line="468" w:lineRule="exact" w:before="10"/>
        <w:ind w:left="513" w:right="0" w:firstLine="1"/>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关于股东与股东大会</w:t>
      </w:r>
      <w:r>
        <w:rPr>
          <w:rFonts w:ascii="宋体" w:hAnsi="宋体" w:cs="宋体" w:eastAsia="宋体" w:hint="default"/>
          <w:b/>
          <w:bCs/>
          <w:w w:val="99"/>
        </w:rPr>
        <w:t> </w:t>
      </w:r>
      <w:r>
        <w:rPr>
          <w:spacing w:val="-9"/>
        </w:rPr>
        <w:t>公司严格依照《公司法》、《上市公司股东大会规则》及公司《股东大会议事规则》、《公司章程》等规定和要求，规范股</w:t>
      </w:r>
    </w:p>
    <w:p>
      <w:pPr>
        <w:pStyle w:val="BodyText"/>
        <w:spacing w:line="240" w:lineRule="auto" w:before="8"/>
        <w:ind w:right="0"/>
        <w:jc w:val="both"/>
      </w:pPr>
      <w:r>
        <w:rPr/>
        <w:t>东大会的召集、召开及表决程序，平等对待所有股东，确保全体股东特别是中小股东享有平等地位，充分行使自己的权利。</w:t>
      </w:r>
    </w:p>
    <w:p>
      <w:pPr>
        <w:pStyle w:val="BodyText"/>
        <w:spacing w:line="450" w:lineRule="atLeast" w:before="31"/>
        <w:ind w:left="513" w:right="0" w:firstLine="1"/>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关于公司与控股股东</w:t>
      </w:r>
      <w:r>
        <w:rPr>
          <w:rFonts w:ascii="宋体" w:hAnsi="宋体" w:cs="宋体" w:eastAsia="宋体" w:hint="default"/>
          <w:b/>
          <w:bCs/>
          <w:w w:val="99"/>
        </w:rPr>
        <w:t> </w:t>
      </w:r>
      <w:r>
        <w:rPr>
          <w:spacing w:val="-2"/>
        </w:rPr>
        <w:t>公司拥有独立的业务和自主经营能力，在业务、人员、资产、机构、财务上独立于控股股东，公司董事会、监事会和内</w:t>
      </w:r>
    </w:p>
    <w:p>
      <w:pPr>
        <w:pStyle w:val="BodyText"/>
        <w:spacing w:line="316" w:lineRule="auto" w:before="76"/>
        <w:ind w:right="1132"/>
        <w:jc w:val="both"/>
      </w:pPr>
      <w:r>
        <w:rPr>
          <w:spacing w:val="-2"/>
        </w:rPr>
        <w:t>部机构独立运作。公司控股股东能严格规范自己的行为，没有超越公司股东大会直接或间接干预公司的决策和经营活动的行</w:t>
      </w:r>
      <w:r>
        <w:rPr>
          <w:spacing w:val="-64"/>
        </w:rPr>
        <w:t> </w:t>
      </w:r>
      <w:r>
        <w:rPr>
          <w:spacing w:val="-64"/>
        </w:rPr>
      </w:r>
      <w:r>
        <w:rPr/>
        <w:t>为。</w:t>
      </w:r>
    </w:p>
    <w:p>
      <w:pPr>
        <w:pStyle w:val="BodyText"/>
        <w:spacing w:line="468" w:lineRule="exact" w:before="10"/>
        <w:ind w:left="513" w:right="0" w:firstLine="1"/>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关于董事和董事会</w:t>
      </w:r>
      <w:r>
        <w:rPr>
          <w:rFonts w:ascii="宋体" w:hAnsi="宋体" w:cs="宋体" w:eastAsia="宋体" w:hint="default"/>
          <w:b/>
          <w:bCs/>
          <w:w w:val="99"/>
        </w:rPr>
        <w:t> </w:t>
      </w:r>
      <w:r>
        <w:rPr>
          <w:spacing w:val="-2"/>
        </w:rPr>
        <w:t>公司严格按照《公司章程》等规定的选聘程序选举董事。公司目前有独立董事三名，占全体董事的三分之一，董事会的</w:t>
      </w:r>
    </w:p>
    <w:p>
      <w:pPr>
        <w:pStyle w:val="BodyText"/>
        <w:spacing w:line="316" w:lineRule="auto" w:before="8"/>
        <w:ind w:right="1130"/>
        <w:jc w:val="both"/>
      </w:pPr>
      <w:r>
        <w:rPr>
          <w:spacing w:val="-5"/>
        </w:rPr>
        <w:t>人数及人员构成符合法律法规和《公司章程》的要求。公司全体董事能够依据《董事会议事规则》、《独立董事制度》等开展</w:t>
      </w:r>
      <w:r>
        <w:rPr>
          <w:spacing w:val="-80"/>
        </w:rPr>
        <w:t> </w:t>
      </w:r>
      <w:r>
        <w:rPr>
          <w:spacing w:val="-80"/>
        </w:rPr>
      </w:r>
      <w:r>
        <w:rPr>
          <w:spacing w:val="-2"/>
        </w:rPr>
        <w:t>工作，出席董事会和股东大会，依法行使职权，积极参加相关知识的培训，熟悉有关法律法规。报告期内，董事会下设的各</w:t>
      </w:r>
      <w:r>
        <w:rPr>
          <w:spacing w:val="-68"/>
        </w:rPr>
        <w:t> </w:t>
      </w:r>
      <w:r>
        <w:rPr>
          <w:spacing w:val="-68"/>
        </w:rPr>
      </w:r>
      <w:r>
        <w:rPr/>
        <w:t>专门委员会按照相关工作细则各司其职，为董事会的决策提供专业的意见和参考。</w:t>
      </w:r>
    </w:p>
    <w:p>
      <w:pPr>
        <w:pStyle w:val="BodyText"/>
        <w:spacing w:line="468" w:lineRule="exact" w:before="10"/>
        <w:ind w:left="513" w:right="0" w:firstLine="1"/>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关于监事和监事会</w:t>
      </w:r>
      <w:r>
        <w:rPr>
          <w:rFonts w:ascii="宋体" w:hAnsi="宋体" w:cs="宋体" w:eastAsia="宋体" w:hint="default"/>
          <w:b/>
          <w:bCs/>
          <w:w w:val="99"/>
        </w:rPr>
        <w:t> </w:t>
      </w:r>
      <w:r>
        <w:rPr>
          <w:spacing w:val="-2"/>
        </w:rPr>
        <w:t>公司监事会的人数、成员构成及监事的任职资格符合相关法律、法规及《公司章程》的要求。公司监事能够按照《监事</w:t>
      </w:r>
    </w:p>
    <w:p>
      <w:pPr>
        <w:pStyle w:val="BodyText"/>
        <w:spacing w:line="316" w:lineRule="auto" w:before="8"/>
        <w:ind w:right="1133"/>
        <w:jc w:val="both"/>
      </w:pPr>
      <w:r>
        <w:rPr>
          <w:spacing w:val="-2"/>
        </w:rPr>
        <w:t>会议事规则》等的要求，认真履行自己的职责，对公司重大事项、财务状况、董事和高级管理人员的履职情况等进行有效监</w:t>
      </w:r>
      <w:r>
        <w:rPr>
          <w:spacing w:val="-66"/>
        </w:rPr>
        <w:t> </w:t>
      </w:r>
      <w:r>
        <w:rPr>
          <w:spacing w:val="-66"/>
        </w:rPr>
      </w:r>
      <w:r>
        <w:rPr/>
        <w:t>督并发表意见，维护公司及股东的合法权益。</w:t>
      </w:r>
    </w:p>
    <w:p>
      <w:pPr>
        <w:spacing w:line="240" w:lineRule="auto" w:before="5"/>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5</w:t>
      </w:r>
      <w:r>
        <w:rPr/>
        <w:t>、</w:t>
      </w:r>
      <w:r>
        <w:rPr>
          <w:spacing w:val="-4"/>
        </w:rPr>
        <w:t> </w:t>
      </w:r>
      <w:r>
        <w:rPr/>
        <w:t>关于内部审计制度</w:t>
      </w:r>
      <w:r>
        <w:rPr>
          <w:b w:val="0"/>
          <w:bCs w:val="0"/>
        </w:rPr>
      </w:r>
    </w:p>
    <w:p>
      <w:pPr>
        <w:spacing w:line="240" w:lineRule="auto" w:before="9"/>
        <w:rPr>
          <w:rFonts w:ascii="宋体" w:hAnsi="宋体" w:cs="宋体" w:eastAsia="宋体" w:hint="default"/>
          <w:b/>
          <w:bCs/>
          <w:sz w:val="16"/>
          <w:szCs w:val="16"/>
        </w:rPr>
      </w:pPr>
    </w:p>
    <w:p>
      <w:pPr>
        <w:pStyle w:val="BodyText"/>
        <w:spacing w:line="300" w:lineRule="auto"/>
        <w:ind w:right="1051" w:firstLine="360"/>
        <w:jc w:val="both"/>
      </w:pPr>
      <w:r>
        <w:rPr/>
        <w:t>公司设立了审计部，配置了</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名审计人员，在董事会审计委员会的领导下对公司及子公司的经济运行质量、经济效益、 内控的制度和执行、各项费用的使用以及资产情况进行审计和监督，确保公司治理规范。</w:t>
      </w:r>
    </w:p>
    <w:p>
      <w:pPr>
        <w:spacing w:line="468" w:lineRule="exact" w:before="23"/>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公司已建立较为全面、公平、透明的绩效考核与激励约束机制，董事、监事和高级管理人员的选聘和绩效评价公正，且</w:t>
      </w:r>
    </w:p>
    <w:p>
      <w:pPr>
        <w:pStyle w:val="BodyText"/>
        <w:spacing w:line="316" w:lineRule="auto" w:before="8"/>
        <w:ind w:right="1131"/>
        <w:jc w:val="both"/>
      </w:pPr>
      <w:r>
        <w:rPr>
          <w:spacing w:val="-2"/>
        </w:rPr>
        <w:t>符合有关法律、法规和公司内部规章制度的规定。公司将年度目标完成情况与考核、激励结合起来，充分调动员工的工作积</w:t>
      </w:r>
      <w:r>
        <w:rPr>
          <w:spacing w:val="-66"/>
        </w:rPr>
        <w:t> </w:t>
      </w:r>
      <w:r>
        <w:rPr>
          <w:spacing w:val="-66"/>
        </w:rPr>
      </w:r>
      <w:r>
        <w:rPr/>
        <w:t>极性，增强归属感，同时不断完善绩效评价标准，寻求更有效的激励方式，形成多层次的综合激励机制。</w:t>
      </w:r>
    </w:p>
    <w:p>
      <w:pPr>
        <w:pStyle w:val="BodyText"/>
        <w:spacing w:line="468" w:lineRule="exact" w:before="11"/>
        <w:ind w:left="514" w:right="0" w:firstLine="1"/>
        <w:jc w:val="left"/>
      </w:pPr>
      <w:r>
        <w:rPr>
          <w:rFonts w:ascii="Times New Roman" w:hAnsi="Times New Roman" w:cs="Times New Roman" w:eastAsia="Times New Roman" w:hint="default"/>
          <w:b/>
          <w:bCs/>
        </w:rPr>
        <w:t>7</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关于相关利益者</w:t>
      </w:r>
      <w:r>
        <w:rPr>
          <w:rFonts w:ascii="宋体" w:hAnsi="宋体" w:cs="宋体" w:eastAsia="宋体" w:hint="default"/>
          <w:b/>
          <w:bCs/>
          <w:w w:val="99"/>
        </w:rPr>
        <w:t> </w:t>
      </w:r>
      <w:r>
        <w:rPr>
          <w:spacing w:val="-2"/>
        </w:rPr>
        <w:t>公司充分尊重和维护相关利益者的合法权益，积极与利益相关者进行沟通和交流，实现社会、股东、公司、员工等各方</w:t>
      </w:r>
    </w:p>
    <w:p>
      <w:pPr>
        <w:pStyle w:val="BodyText"/>
        <w:spacing w:line="240" w:lineRule="auto" w:before="8"/>
        <w:ind w:left="154" w:right="0"/>
        <w:jc w:val="both"/>
      </w:pPr>
      <w:r>
        <w:rPr/>
        <w:t>利益的协调平衡，共同推动公司持续、稳健发展。</w:t>
      </w:r>
    </w:p>
    <w:p>
      <w:pPr>
        <w:spacing w:after="0" w:line="24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Heading4"/>
        <w:spacing w:line="240" w:lineRule="auto" w:before="44"/>
        <w:ind w:right="0"/>
        <w:jc w:val="left"/>
        <w:rPr>
          <w:b w:val="0"/>
          <w:bCs w:val="0"/>
        </w:rPr>
      </w:pPr>
      <w:r>
        <w:rPr>
          <w:rFonts w:ascii="Times New Roman" w:hAnsi="Times New Roman" w:cs="Times New Roman" w:eastAsia="Times New Roman" w:hint="default"/>
        </w:rPr>
        <w:t>8</w:t>
      </w:r>
      <w:r>
        <w:rPr/>
        <w:t>、</w:t>
      </w:r>
      <w:r>
        <w:rPr>
          <w:spacing w:val="-4"/>
        </w:rPr>
        <w:t> </w:t>
      </w:r>
      <w:r>
        <w:rPr/>
        <w:t>关于信息披露与透明度</w:t>
      </w:r>
      <w:r>
        <w:rPr>
          <w:b w:val="0"/>
          <w:bCs w:val="0"/>
        </w:rPr>
      </w:r>
    </w:p>
    <w:p>
      <w:pPr>
        <w:spacing w:line="240" w:lineRule="auto" w:before="9"/>
        <w:rPr>
          <w:rFonts w:ascii="宋体" w:hAnsi="宋体" w:cs="宋体" w:eastAsia="宋体" w:hint="default"/>
          <w:b/>
          <w:bCs/>
          <w:sz w:val="16"/>
          <w:szCs w:val="16"/>
        </w:rPr>
      </w:pPr>
    </w:p>
    <w:p>
      <w:pPr>
        <w:pStyle w:val="BodyText"/>
        <w:spacing w:line="319" w:lineRule="auto"/>
        <w:ind w:right="1130" w:firstLine="360"/>
        <w:jc w:val="both"/>
      </w:pPr>
      <w:r>
        <w:rPr>
          <w:spacing w:val="-5"/>
        </w:rPr>
        <w:t>公司严格按照《上市公司信息披露管理办法》和《深圳证券交易所股票上市规则》等法律法规以及《公司章程》、《信息</w:t>
      </w:r>
      <w:r>
        <w:rPr/>
        <w:t> </w:t>
      </w:r>
      <w:r>
        <w:rPr>
          <w:spacing w:val="-2"/>
        </w:rPr>
        <w:t>披露管理制度》等规定，加强信息披露事务管理，履行信息披露义务，真实、准确、完整、及时、公平地披露有关信息；公</w:t>
      </w:r>
      <w:r>
        <w:rPr>
          <w:spacing w:val="-69"/>
        </w:rPr>
        <w:t> </w:t>
      </w:r>
      <w:r>
        <w:rPr>
          <w:spacing w:val="-69"/>
        </w:rPr>
      </w:r>
      <w:r>
        <w:rPr>
          <w:spacing w:val="-11"/>
        </w:rPr>
        <w:t>司指定《证券时报》、《证券日报》、《中国证券报》、《上海证券报》和巨潮资讯网为公司信息披露的指定报纸和网站，确保公</w:t>
      </w:r>
      <w:r>
        <w:rPr/>
        <w:t> 司所有股东能够以平等的机会获得信息。</w:t>
      </w:r>
    </w:p>
    <w:p>
      <w:pPr>
        <w:spacing w:line="240" w:lineRule="auto" w:before="3"/>
        <w:rPr>
          <w:rFonts w:ascii="宋体" w:hAnsi="宋体" w:cs="宋体" w:eastAsia="宋体" w:hint="default"/>
          <w:sz w:val="13"/>
          <w:szCs w:val="13"/>
        </w:rPr>
      </w:pPr>
    </w:p>
    <w:p>
      <w:pPr>
        <w:pStyle w:val="BodyText"/>
        <w:spacing w:line="240" w:lineRule="auto"/>
        <w:ind w:left="513" w:right="0"/>
        <w:jc w:val="left"/>
      </w:pPr>
      <w:r>
        <w:rPr/>
        <w:t>公司治理的实际状况与中国证监会发布的有关上市公司治理的规范性文件是否存在重大差异</w:t>
      </w:r>
    </w:p>
    <w:p>
      <w:pPr>
        <w:spacing w:line="240" w:lineRule="auto" w:before="10"/>
        <w:rPr>
          <w:rFonts w:ascii="宋体" w:hAnsi="宋体" w:cs="宋体" w:eastAsia="宋体" w:hint="default"/>
          <w:sz w:val="17"/>
          <w:szCs w:val="17"/>
        </w:rPr>
      </w:pPr>
    </w:p>
    <w:p>
      <w:pPr>
        <w:pStyle w:val="BodyText"/>
        <w:spacing w:line="451" w:lineRule="auto"/>
        <w:ind w:left="513" w:right="31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1"/>
        <w:rPr>
          <w:rFonts w:ascii="宋体" w:hAnsi="宋体" w:cs="宋体" w:eastAsia="宋体" w:hint="default"/>
          <w:sz w:val="13"/>
          <w:szCs w:val="13"/>
        </w:rPr>
      </w:pPr>
    </w:p>
    <w:p>
      <w:pPr>
        <w:pStyle w:val="Heading2"/>
        <w:spacing w:line="240" w:lineRule="auto"/>
        <w:ind w:right="0"/>
        <w:jc w:val="both"/>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公司拥有生产所需的核心技术和能力，合法拥有专利和商标，在技术、商标、销售渠道、客户等方面不存在依赖控股股</w:t>
      </w:r>
      <w:r>
        <w:rPr/>
        <w:t> </w:t>
      </w:r>
      <w:r>
        <w:rPr>
          <w:spacing w:val="-4"/>
        </w:rPr>
        <w:t>东或实际控制人及其关联企业的情况。公司拥有独立的产供销体系，资产、业务独立完整，人员、机构、财务均与控股股东、</w:t>
      </w:r>
      <w:r>
        <w:rPr>
          <w:spacing w:val="-44"/>
        </w:rPr>
        <w:t> </w:t>
      </w:r>
      <w:r>
        <w:rPr>
          <w:spacing w:val="-44"/>
        </w:rPr>
      </w:r>
      <w:r>
        <w:rPr/>
        <w:t>实际控制人及其关联企业分开，具备独立自主经营能力。具体独立运营情况如下：</w:t>
      </w:r>
    </w:p>
    <w:p>
      <w:pPr>
        <w:pStyle w:val="BodyText"/>
        <w:spacing w:line="468" w:lineRule="exact" w:before="10"/>
        <w:ind w:left="427" w:right="1119" w:hanging="74"/>
        <w:jc w:val="left"/>
      </w:pPr>
      <w:r>
        <w:rPr>
          <w:rFonts w:ascii="宋体" w:hAnsi="宋体" w:cs="宋体" w:eastAsia="宋体" w:hint="default"/>
          <w:b/>
          <w:bCs/>
        </w:rPr>
        <w:t>（一）资产独立情况</w:t>
      </w:r>
      <w:r>
        <w:rPr>
          <w:rFonts w:ascii="宋体" w:hAnsi="宋体" w:cs="宋体" w:eastAsia="宋体" w:hint="default"/>
          <w:b/>
          <w:bCs/>
          <w:w w:val="99"/>
        </w:rPr>
        <w:t> </w:t>
      </w:r>
      <w:r>
        <w:rPr/>
        <w:t>公司拥有生产经营所需的主要生产设备、辅助生产设备、土地、房产、专利、商标等资产，具有完整的采购、生产和销</w:t>
      </w:r>
    </w:p>
    <w:p>
      <w:pPr>
        <w:pStyle w:val="BodyText"/>
        <w:spacing w:line="316" w:lineRule="auto" w:before="8"/>
        <w:ind w:left="154" w:right="1133"/>
        <w:jc w:val="both"/>
      </w:pPr>
      <w:r>
        <w:rPr>
          <w:spacing w:val="-2"/>
        </w:rPr>
        <w:t>售系统及相关配套设施。公司不存在以资产、权益或信誉为股东、董事、监事和高级管理人员的债务提供担保的情况，公司</w:t>
      </w:r>
      <w:r>
        <w:rPr>
          <w:spacing w:val="-66"/>
        </w:rPr>
        <w:t> </w:t>
      </w:r>
      <w:r>
        <w:rPr>
          <w:spacing w:val="-66"/>
        </w:rPr>
      </w:r>
      <w:r>
        <w:rPr/>
        <w:t>对其所有的资产依法拥有产权，不存在资产、资金被控股股东占用而损害公司及其股东利益的情况。</w:t>
      </w:r>
    </w:p>
    <w:p>
      <w:pPr>
        <w:pStyle w:val="BodyText"/>
        <w:spacing w:line="468" w:lineRule="exact" w:before="10"/>
        <w:ind w:left="427" w:right="1119" w:hanging="74"/>
        <w:jc w:val="left"/>
      </w:pPr>
      <w:r>
        <w:rPr>
          <w:rFonts w:ascii="宋体" w:hAnsi="宋体" w:cs="宋体" w:eastAsia="宋体" w:hint="default"/>
          <w:b/>
          <w:bCs/>
        </w:rPr>
        <w:t>（二）业务独立情况</w:t>
      </w:r>
      <w:r>
        <w:rPr>
          <w:rFonts w:ascii="宋体" w:hAnsi="宋体" w:cs="宋体" w:eastAsia="宋体" w:hint="default"/>
          <w:b/>
          <w:bCs/>
          <w:w w:val="99"/>
        </w:rPr>
        <w:t> </w:t>
      </w:r>
      <w:r>
        <w:rPr/>
        <w:t>公司由恒久有限整体变更设立，拥有独立完整的研发、生产、销售体系。公司具有独立自主进行经营活动的能力，拥有</w:t>
      </w:r>
    </w:p>
    <w:p>
      <w:pPr>
        <w:pStyle w:val="BodyText"/>
        <w:spacing w:line="316" w:lineRule="auto" w:before="8"/>
        <w:ind w:left="154" w:right="1043"/>
        <w:jc w:val="both"/>
      </w:pPr>
      <w:r>
        <w:rPr>
          <w:spacing w:val="-4"/>
        </w:rPr>
        <w:t>完整的法人财产权；拥有必要的人员、资金和技术设备，以及在此基础上按照分工协作和职权划分建立起来的一套完整体系，</w:t>
      </w:r>
      <w:r>
        <w:rPr>
          <w:spacing w:val="-44"/>
        </w:rPr>
        <w:t> </w:t>
      </w:r>
      <w:r>
        <w:rPr>
          <w:spacing w:val="-44"/>
        </w:rPr>
      </w:r>
      <w:r>
        <w:rPr/>
        <w:t>顺利组织和实施生产经营活动。公司不存在依赖控股股东、实际控制人及其关联方的情况。</w:t>
      </w:r>
    </w:p>
    <w:p>
      <w:pPr>
        <w:pStyle w:val="BodyText"/>
        <w:spacing w:line="468" w:lineRule="exact" w:before="10"/>
        <w:ind w:left="427" w:right="1119" w:hanging="74"/>
        <w:jc w:val="left"/>
      </w:pPr>
      <w:r>
        <w:rPr>
          <w:rFonts w:ascii="宋体" w:hAnsi="宋体" w:cs="宋体" w:eastAsia="宋体" w:hint="default"/>
          <w:b/>
          <w:bCs/>
        </w:rPr>
        <w:t>（三）机构独立情况</w:t>
      </w:r>
      <w:r>
        <w:rPr>
          <w:rFonts w:ascii="宋体" w:hAnsi="宋体" w:cs="宋体" w:eastAsia="宋体" w:hint="default"/>
          <w:b/>
          <w:bCs/>
          <w:w w:val="99"/>
        </w:rPr>
        <w:t> </w:t>
      </w:r>
      <w:r>
        <w:rPr/>
        <w:t>公司依法建立健全股东大会、董事会、监事会等机构，具有独立健全的法人治理结构，相关机构和人员能够依法履行职</w:t>
      </w:r>
    </w:p>
    <w:p>
      <w:pPr>
        <w:pStyle w:val="BodyText"/>
        <w:spacing w:line="240" w:lineRule="auto" w:before="8"/>
        <w:ind w:left="154" w:right="0"/>
        <w:jc w:val="both"/>
      </w:pPr>
      <w:r>
        <w:rPr/>
        <w:t>责。</w:t>
      </w:r>
    </w:p>
    <w:p>
      <w:pPr>
        <w:spacing w:line="240" w:lineRule="auto" w:before="10"/>
        <w:rPr>
          <w:rFonts w:ascii="宋体" w:hAnsi="宋体" w:cs="宋体" w:eastAsia="宋体" w:hint="default"/>
          <w:sz w:val="17"/>
          <w:szCs w:val="17"/>
        </w:rPr>
      </w:pPr>
    </w:p>
    <w:p>
      <w:pPr>
        <w:pStyle w:val="BodyText"/>
        <w:spacing w:line="316" w:lineRule="auto"/>
        <w:ind w:right="1133" w:firstLine="273"/>
        <w:jc w:val="both"/>
      </w:pPr>
      <w:r>
        <w:rPr/>
        <w:t>公司根据经营的需要设立了完整和独立的职能部门，并制定了相应的内部管理和控制制度。公司各部门之间分工明确、 </w:t>
      </w:r>
      <w:r>
        <w:rPr>
          <w:spacing w:val="-2"/>
        </w:rPr>
        <w:t>各司其职、相互配合，构成了一个有机的整体，保证了公司的高效运作。公司不存在与控股股东、实际控制人或其关联企业</w:t>
      </w:r>
      <w:r>
        <w:rPr>
          <w:spacing w:val="-66"/>
        </w:rPr>
        <w:t> </w:t>
      </w:r>
      <w:r>
        <w:rPr>
          <w:spacing w:val="-66"/>
        </w:rPr>
      </w:r>
      <w:r>
        <w:rPr/>
        <w:t>混合经营、合署办公的情况，也不存在控股股东、实际控制人干预公司机构设立的情形。</w:t>
      </w:r>
    </w:p>
    <w:p>
      <w:pPr>
        <w:pStyle w:val="BodyText"/>
        <w:spacing w:line="468" w:lineRule="exact" w:before="10"/>
        <w:ind w:left="499" w:right="0" w:hanging="146"/>
        <w:jc w:val="left"/>
      </w:pPr>
      <w:r>
        <w:rPr>
          <w:rFonts w:ascii="宋体" w:hAnsi="宋体" w:cs="宋体" w:eastAsia="宋体" w:hint="default"/>
          <w:b/>
          <w:bCs/>
        </w:rPr>
        <w:t>（四）人员独立情况</w:t>
      </w:r>
      <w:r>
        <w:rPr>
          <w:rFonts w:ascii="宋体" w:hAnsi="宋体" w:cs="宋体" w:eastAsia="宋体" w:hint="default"/>
          <w:b/>
          <w:bCs/>
          <w:spacing w:val="1"/>
          <w:w w:val="99"/>
        </w:rPr>
        <w:t> </w:t>
      </w:r>
      <w:r>
        <w:rPr>
          <w:spacing w:val="-2"/>
        </w:rPr>
        <w:t>公司建立了独立的劳动、人事和工资管理体系。公司与正式员工签订了《劳动合同》，人事及工资管理与股东单位严格</w:t>
      </w:r>
    </w:p>
    <w:p>
      <w:pPr>
        <w:pStyle w:val="BodyText"/>
        <w:spacing w:line="316" w:lineRule="auto" w:before="8"/>
        <w:ind w:right="1131"/>
        <w:jc w:val="both"/>
      </w:pPr>
      <w:r>
        <w:rPr>
          <w:spacing w:val="-2"/>
        </w:rPr>
        <w:t>分离。公司董事、监事、经理及其他高级管理人员均严格按照《公司法》、《公司章程》的有关规定，通过合法程序产生和</w:t>
      </w:r>
      <w:r>
        <w:rPr>
          <w:spacing w:val="-69"/>
        </w:rPr>
        <w:t> </w:t>
      </w:r>
      <w:r>
        <w:rPr>
          <w:spacing w:val="-69"/>
        </w:rPr>
      </w:r>
      <w:r>
        <w:rPr>
          <w:spacing w:val="-2"/>
        </w:rPr>
        <w:t>聘任，不存在法律、法规禁止的兼职情况。公司股东推荐董事和经理人选均通过合法的程序进行，不存在控股股东或实际控</w:t>
      </w:r>
      <w:r>
        <w:rPr>
          <w:spacing w:val="-66"/>
        </w:rPr>
        <w:t> </w:t>
      </w:r>
      <w:r>
        <w:rPr>
          <w:spacing w:val="-66"/>
        </w:rPr>
      </w:r>
      <w:r>
        <w:rPr>
          <w:spacing w:val="-2"/>
        </w:rPr>
        <w:t>制人干预公司董事会、股东大会已经做出的人事任免决定的情况，亦不存在控股股东或实际控制人代替董事会、股东大会直</w:t>
      </w:r>
      <w:r>
        <w:rPr>
          <w:spacing w:val="-66"/>
        </w:rPr>
        <w:t> </w:t>
      </w:r>
      <w:r>
        <w:rPr>
          <w:spacing w:val="-66"/>
        </w:rPr>
      </w:r>
      <w:r>
        <w:rPr/>
        <w:t>接审批或决策重大事项的行为。</w:t>
      </w:r>
    </w:p>
    <w:p>
      <w:pPr>
        <w:spacing w:line="240" w:lineRule="auto" w:before="5"/>
        <w:rPr>
          <w:rFonts w:ascii="宋体" w:hAnsi="宋体" w:cs="宋体" w:eastAsia="宋体" w:hint="default"/>
          <w:sz w:val="13"/>
          <w:szCs w:val="13"/>
        </w:rPr>
      </w:pPr>
    </w:p>
    <w:p>
      <w:pPr>
        <w:pStyle w:val="BodyText"/>
        <w:spacing w:line="316" w:lineRule="auto"/>
        <w:ind w:right="1120" w:firstLine="273"/>
        <w:jc w:val="left"/>
      </w:pPr>
      <w:r>
        <w:rPr/>
        <w:t>公司的总经理、副总经理、财务负责人和董事会秘书等高级管理人员未在控股股东及其控制的其他企业中领薪；公司财 务人员未在控股股东、实际控制人及其关联企业中兼职。</w:t>
      </w:r>
    </w:p>
    <w:p>
      <w:pPr>
        <w:spacing w:line="240" w:lineRule="auto" w:before="5"/>
        <w:rPr>
          <w:rFonts w:ascii="宋体" w:hAnsi="宋体" w:cs="宋体" w:eastAsia="宋体" w:hint="default"/>
          <w:sz w:val="13"/>
          <w:szCs w:val="13"/>
        </w:rPr>
      </w:pPr>
    </w:p>
    <w:p>
      <w:pPr>
        <w:pStyle w:val="Heading4"/>
        <w:spacing w:line="240" w:lineRule="auto"/>
        <w:ind w:left="354" w:right="0"/>
        <w:jc w:val="left"/>
        <w:rPr>
          <w:b w:val="0"/>
          <w:bCs w:val="0"/>
        </w:rPr>
      </w:pPr>
      <w:r>
        <w:rPr/>
        <w:t>（五）财务独立情况</w:t>
      </w:r>
      <w:r>
        <w:rPr>
          <w:b w:val="0"/>
          <w:bCs w:val="0"/>
        </w:rPr>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b/>
          <w:bCs/>
          <w:sz w:val="21"/>
          <w:szCs w:val="21"/>
        </w:rPr>
      </w:pPr>
    </w:p>
    <w:p>
      <w:pPr>
        <w:pStyle w:val="BodyText"/>
        <w:spacing w:line="316" w:lineRule="auto" w:before="44"/>
        <w:ind w:right="1048" w:firstLine="345"/>
        <w:jc w:val="left"/>
      </w:pPr>
      <w:r>
        <w:rPr/>
        <w:t>公司建立了独立的财务核算体系，制定了完善的财务管理制度。公司设立了独立的财务部门，配备了独立的财务人员。 </w:t>
      </w:r>
      <w:r>
        <w:rPr>
          <w:spacing w:val="-2"/>
        </w:rPr>
        <w:t>公司拥有独立的银行账号，资金运作独立，办理了独立的税务登记证并独立纳税，不存在与股东及其关联方共用银行账户及</w:t>
      </w:r>
      <w:r>
        <w:rPr>
          <w:spacing w:val="-66"/>
        </w:rPr>
        <w:t> </w:t>
      </w:r>
      <w:r>
        <w:rPr>
          <w:spacing w:val="-66"/>
        </w:rPr>
      </w:r>
      <w:r>
        <w:rPr/>
        <w:t>混合纳税的情形。公司能够独立做出财务决策，不存在控股股东或实际控制人干预企业资金使用的情况。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851"/>
        <w:gridCol w:w="1559"/>
        <w:gridCol w:w="1559"/>
        <w:gridCol w:w="2763"/>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5"/>
              <w:ind w:left="22" w:right="35"/>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1">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）《苏州</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恒久光电科技股份有限公司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6"/>
                <w:sz w:val="18"/>
                <w:szCs w:val="18"/>
              </w:rPr>
              <w:t>年度股东大会决议公告》（公告编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2017-024</w:t>
            </w:r>
            <w:r>
              <w:rPr>
                <w:rFonts w:ascii="宋体" w:hAnsi="宋体" w:cs="宋体" w:eastAsia="宋体" w:hint="default"/>
                <w:sz w:val="18"/>
                <w:szCs w:val="18"/>
              </w:rPr>
              <w:t>）</w:t>
            </w:r>
          </w:p>
        </w:tc>
      </w:tr>
      <w:tr>
        <w:trPr>
          <w:trHeight w:val="16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28"/>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1">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）《苏州</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恒久光电科技股份有限公司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年第一次临时股东大会决议公告》</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2017-041</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俞雪华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李建康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连续两次未亲自出席董事会的说明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4" w:lineRule="auto" w:before="42"/>
        <w:ind w:right="1033" w:firstLine="357"/>
        <w:jc w:val="left"/>
      </w:pPr>
      <w:r>
        <w:rPr/>
        <w:t>公司现有独立董事</w:t>
      </w:r>
      <w:r>
        <w:rPr>
          <w:rFonts w:ascii="Times New Roman" w:hAnsi="Times New Roman" w:cs="Times New Roman" w:eastAsia="Times New Roman" w:hint="default"/>
        </w:rPr>
        <w:t>3</w:t>
      </w:r>
      <w:r>
        <w:rPr/>
        <w:t>人，本着忠实勤勉、独立公正的原则，认真履行职责，独立董事认真负责的参加了公司报告期内的 </w:t>
      </w:r>
      <w:r>
        <w:rPr>
          <w:spacing w:val="-2"/>
        </w:rPr>
        <w:t>董事会，并认真履行独立董事责任。独立董事对公司报告期内的定期报告、关联交易、闲置募集资金理财、高级管理人员的</w:t>
      </w:r>
      <w:r>
        <w:rPr>
          <w:spacing w:val="-66"/>
        </w:rPr>
        <w:t> </w:t>
      </w:r>
      <w:r>
        <w:rPr>
          <w:spacing w:val="-66"/>
        </w:rPr>
      </w:r>
      <w:r>
        <w:rPr/>
        <w:t>聘任等议案进行了客观公正的评判。报告期内，公司独立董事未对公司本年度的董事会议案及其他非董事会议案提出异议。 </w:t>
      </w:r>
      <w:r>
        <w:rPr>
          <w:spacing w:val="-2"/>
        </w:rPr>
        <w:t>同时，为进一步完善公司治理，健全公司治理制度，独立董事深入了解公司的经营情况，进一步提高董事会决策科学性、为</w:t>
      </w:r>
      <w:r>
        <w:rPr>
          <w:spacing w:val="-66"/>
        </w:rPr>
        <w:t> </w:t>
      </w:r>
      <w:r>
        <w:rPr>
          <w:spacing w:val="-66"/>
        </w:rPr>
      </w:r>
      <w:r>
        <w:rPr/>
        <w:t>客观公正地保护广大投资者特别是中小股民的合法权益，</w:t>
      </w:r>
      <w:r>
        <w:rPr>
          <w:spacing w:val="-18"/>
        </w:rPr>
        <w:t> </w:t>
      </w:r>
      <w:r>
        <w:rPr/>
        <w:t>促进公司发展起到重要作用。</w:t>
      </w:r>
    </w:p>
    <w:p>
      <w:pPr>
        <w:spacing w:line="240" w:lineRule="auto" w:before="12"/>
        <w:rPr>
          <w:rFonts w:ascii="宋体" w:hAnsi="宋体" w:cs="宋体" w:eastAsia="宋体" w:hint="default"/>
          <w:sz w:val="20"/>
          <w:szCs w:val="20"/>
        </w:rPr>
      </w:pPr>
    </w:p>
    <w:p>
      <w:pPr>
        <w:pStyle w:val="Heading2"/>
        <w:spacing w:line="240" w:lineRule="auto"/>
        <w:ind w:left="154"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0" w:firstLine="357"/>
        <w:jc w:val="left"/>
      </w:pPr>
      <w:r>
        <w:rPr>
          <w:spacing w:val="-2"/>
        </w:rPr>
        <w:t>报告期内，董事会专门委员会根据《公司章程》和公司董事会各专门委员会工作细则，切实履职，开展了卓有成效的工</w:t>
      </w:r>
      <w:r>
        <w:rPr/>
        <w:t> 作，为公司发展提供专业建议。</w:t>
      </w:r>
    </w:p>
    <w:p>
      <w:pPr>
        <w:spacing w:line="240" w:lineRule="auto" w:before="5"/>
        <w:rPr>
          <w:rFonts w:ascii="宋体" w:hAnsi="宋体" w:cs="宋体" w:eastAsia="宋体" w:hint="default"/>
          <w:sz w:val="13"/>
          <w:szCs w:val="13"/>
        </w:rPr>
      </w:pPr>
    </w:p>
    <w:p>
      <w:pPr>
        <w:pStyle w:val="BodyText"/>
        <w:spacing w:line="316" w:lineRule="auto"/>
        <w:ind w:left="154" w:right="0" w:firstLine="357"/>
        <w:jc w:val="left"/>
      </w:pPr>
      <w:r>
        <w:rPr/>
        <w:t>报告期内，公司董事会审计委员会共召开了</w:t>
      </w:r>
      <w:r>
        <w:rPr>
          <w:rFonts w:ascii="宋体" w:hAnsi="宋体" w:cs="宋体" w:eastAsia="宋体" w:hint="default"/>
        </w:rPr>
        <w:t>7</w:t>
      </w:r>
      <w:r>
        <w:rPr/>
        <w:t>次会议，对公司定期报告、募集资金存放与使用、内审工作报告与计划、 </w:t>
      </w:r>
      <w:r>
        <w:rPr>
          <w:spacing w:val="-2"/>
        </w:rPr>
        <w:t>关联交易、内审负责人的聘任等事项进行了审议。审计委员会在详细了解公司财务状况和经营情况下，严格审查公司内控制</w:t>
      </w:r>
      <w:r>
        <w:rPr>
          <w:spacing w:val="-66"/>
        </w:rPr>
        <w:t> </w:t>
      </w:r>
      <w:r>
        <w:rPr>
          <w:spacing w:val="-66"/>
        </w:rPr>
      </w:r>
      <w:r>
        <w:rPr>
          <w:spacing w:val="-2"/>
        </w:rPr>
        <w:t>度的建立及执行情况，并认真听取并审议公司内审部门工作报告，对公司财务状况和经营情况进行有效的监督和指导。在年</w:t>
      </w:r>
      <w:r>
        <w:rPr>
          <w:spacing w:val="-66"/>
        </w:rPr>
        <w:t> </w:t>
      </w:r>
      <w:r>
        <w:rPr>
          <w:spacing w:val="-66"/>
        </w:rPr>
      </w:r>
      <w:r>
        <w:rPr>
          <w:spacing w:val="-2"/>
        </w:rPr>
        <w:t>度审计工作中，审计委员会会同外部审计机构、公司内审部和财务部共同协商确定年度财务报告审计工作的时间安排和重点</w:t>
      </w:r>
      <w:r>
        <w:rPr>
          <w:spacing w:val="-63"/>
        </w:rPr>
        <w:t> </w:t>
      </w:r>
      <w:r>
        <w:rPr>
          <w:spacing w:val="-63"/>
        </w:rPr>
      </w:r>
      <w:r>
        <w:rPr>
          <w:spacing w:val="-4"/>
        </w:rPr>
        <w:t>审计范围，并持续关注审计进程的推进，确保审计的独立性和审计工作按时保质完成。报告期内，审计委员会勤勉履行职责，</w:t>
      </w:r>
      <w:r>
        <w:rPr>
          <w:spacing w:val="-46"/>
        </w:rPr>
        <w:t> </w:t>
      </w:r>
      <w:r>
        <w:rPr>
          <w:spacing w:val="-46"/>
        </w:rPr>
      </w:r>
      <w:r>
        <w:rPr/>
        <w:t>发挥了其应有的作用。</w:t>
      </w:r>
    </w:p>
    <w:p>
      <w:pPr>
        <w:spacing w:line="240" w:lineRule="auto" w:before="5"/>
        <w:rPr>
          <w:rFonts w:ascii="宋体" w:hAnsi="宋体" w:cs="宋体" w:eastAsia="宋体" w:hint="default"/>
          <w:sz w:val="13"/>
          <w:szCs w:val="13"/>
        </w:rPr>
      </w:pPr>
    </w:p>
    <w:p>
      <w:pPr>
        <w:pStyle w:val="BodyText"/>
        <w:spacing w:line="316" w:lineRule="auto"/>
        <w:ind w:left="154" w:right="1133" w:firstLine="357"/>
        <w:jc w:val="both"/>
      </w:pPr>
      <w:r>
        <w:rPr/>
        <w:t>报告期内，董事会薪酬与考核委员会召开会议</w:t>
      </w:r>
      <w:r>
        <w:rPr>
          <w:rFonts w:ascii="宋体" w:hAnsi="宋体" w:cs="宋体" w:eastAsia="宋体" w:hint="default"/>
        </w:rPr>
        <w:t>1</w:t>
      </w:r>
      <w:r>
        <w:rPr/>
        <w:t>次，对公司董事和高级管理人员的薪酬情况进行了审核，认为现有的薪 </w:t>
      </w:r>
      <w:r>
        <w:rPr>
          <w:spacing w:val="-2"/>
        </w:rPr>
        <w:t>酬政策与方案符合公司薪酬管理的相关规定，高级管理人员的薪酬标准与其所在地区管理岗位的职责、重要性基本相符，年</w:t>
      </w:r>
      <w:r>
        <w:rPr>
          <w:spacing w:val="-66"/>
        </w:rPr>
        <w:t> </w:t>
      </w:r>
      <w:r>
        <w:rPr>
          <w:spacing w:val="-66"/>
        </w:rPr>
      </w:r>
      <w:r>
        <w:rPr/>
        <w:t>度薪酬总额与公司主要财务指标、经营目标完成情况基本相符。</w:t>
      </w:r>
    </w:p>
    <w:p>
      <w:pPr>
        <w:spacing w:line="240" w:lineRule="auto" w:before="5"/>
        <w:rPr>
          <w:rFonts w:ascii="宋体" w:hAnsi="宋体" w:cs="宋体" w:eastAsia="宋体" w:hint="default"/>
          <w:sz w:val="13"/>
          <w:szCs w:val="13"/>
        </w:rPr>
      </w:pPr>
    </w:p>
    <w:p>
      <w:pPr>
        <w:pStyle w:val="BodyText"/>
        <w:spacing w:line="316" w:lineRule="auto"/>
        <w:ind w:left="154" w:right="1133" w:firstLine="357"/>
        <w:jc w:val="both"/>
      </w:pPr>
      <w:r>
        <w:rPr/>
        <w:t>报告期内，公司董事会战略委员会共召开了</w:t>
      </w:r>
      <w:r>
        <w:rPr>
          <w:rFonts w:ascii="宋体" w:hAnsi="宋体" w:cs="宋体" w:eastAsia="宋体" w:hint="default"/>
        </w:rPr>
        <w:t>4</w:t>
      </w:r>
      <w:r>
        <w:rPr/>
        <w:t>次会议。该委员会在董事会的领导下，拟定出切合公司实际情况的、可行 </w:t>
      </w:r>
      <w:r>
        <w:rPr>
          <w:spacing w:val="-2"/>
        </w:rPr>
        <w:t>的战略发展规划，对公司对外投资等事项进行了审议，对公司重大投资决策进行研究并提出建议，积极推动公司重大决策的</w:t>
      </w:r>
      <w:r>
        <w:rPr>
          <w:spacing w:val="-66"/>
        </w:rPr>
        <w:t> </w:t>
      </w:r>
      <w:r>
        <w:rPr>
          <w:spacing w:val="-66"/>
        </w:rPr>
      </w:r>
      <w:r>
        <w:rPr/>
        <w:t>实施。</w:t>
      </w:r>
    </w:p>
    <w:p>
      <w:pPr>
        <w:spacing w:line="240" w:lineRule="auto" w:before="5"/>
        <w:rPr>
          <w:rFonts w:ascii="宋体" w:hAnsi="宋体" w:cs="宋体" w:eastAsia="宋体" w:hint="default"/>
          <w:sz w:val="13"/>
          <w:szCs w:val="13"/>
        </w:rPr>
      </w:pPr>
    </w:p>
    <w:p>
      <w:pPr>
        <w:pStyle w:val="BodyText"/>
        <w:spacing w:line="316" w:lineRule="auto"/>
        <w:ind w:right="1126" w:firstLine="357"/>
        <w:jc w:val="left"/>
      </w:pPr>
      <w:r>
        <w:rPr/>
        <w:t>报告期内，公司董事会提名委员会共召开</w:t>
      </w:r>
      <w:r>
        <w:rPr>
          <w:rFonts w:ascii="宋体" w:hAnsi="宋体" w:cs="宋体" w:eastAsia="宋体" w:hint="default"/>
        </w:rPr>
        <w:t>3</w:t>
      </w:r>
      <w:r>
        <w:rPr/>
        <w:t>次会议，对拟聘任的财务负责人、内审负责人进行资格审查，并根据现任董 事、高管人员的任职情况向董事会提出建议，确保公司管理团队的专业素质。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473" w:right="1122"/>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473" w:right="1131" w:firstLine="357"/>
        <w:jc w:val="both"/>
      </w:pPr>
      <w:r>
        <w:rPr>
          <w:spacing w:val="-2"/>
        </w:rPr>
        <w:t>公司依照相关法律规定，结合公司情况构建了薪酬与考核管理体系，制订了兼顾公平性与激励性的薪酬考核制度，由公</w:t>
      </w:r>
      <w:r>
        <w:rPr/>
        <w:t> </w:t>
      </w:r>
      <w:r>
        <w:rPr>
          <w:spacing w:val="-2"/>
        </w:rPr>
        <w:t>司董事会薪酬与考核管理委员会进行监督和考核。报告期内，公司高级管理人员勤勉履职，公司各项考评、激励机制执行良</w:t>
      </w:r>
      <w:r>
        <w:rPr>
          <w:spacing w:val="-66"/>
        </w:rPr>
        <w:t> </w:t>
      </w:r>
      <w:r>
        <w:rPr>
          <w:spacing w:val="-66"/>
        </w:rPr>
      </w:r>
      <w:r>
        <w:rPr/>
        <w:t>好，有效促进公司形成公正公平的薪酬考核体系，充分有效地调动了高级管理人员积极性。</w:t>
      </w:r>
    </w:p>
    <w:p>
      <w:pPr>
        <w:spacing w:line="240" w:lineRule="auto" w:before="8"/>
        <w:rPr>
          <w:rFonts w:ascii="宋体" w:hAnsi="宋体" w:cs="宋体" w:eastAsia="宋体" w:hint="default"/>
          <w:sz w:val="20"/>
          <w:szCs w:val="20"/>
        </w:rPr>
      </w:pPr>
    </w:p>
    <w:p>
      <w:pPr>
        <w:pStyle w:val="Heading2"/>
        <w:spacing w:line="240" w:lineRule="auto"/>
        <w:ind w:left="473" w:right="7333"/>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3" w:right="1122"/>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73"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473" w:right="7333"/>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before="44"/>
        <w:ind w:left="0" w:right="714"/>
        <w:jc w:val="right"/>
      </w:pPr>
      <w:r>
        <w:rPr/>
        <w:pict>
          <v:shape style="position:absolute;margin-left:38.639999pt;margin-top:-388.648285pt;width:518.3pt;height:468.9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9"/>
                    <w:gridCol w:w="2913"/>
                    <w:gridCol w:w="4820"/>
                  </w:tblGrid>
                  <w:tr>
                    <w:trPr>
                      <w:trHeight w:val="402"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773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32" w:type="dxa"/>
                        <w:gridSpan w:val="2"/>
                        <w:vMerge w:val="restart"/>
                        <w:tcBorders>
                          <w:top w:val="single" w:sz="4" w:space="0" w:color="000000"/>
                          <w:left w:val="single" w:sz="9" w:space="0" w:color="D2D2D2"/>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详见刊登于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）上的《苏州恒久光电科技股</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w:t>
                        </w:r>
                      </w:p>
                    </w:tc>
                  </w:tr>
                  <w:tr>
                    <w:trPr>
                      <w:trHeight w:val="391"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7732" w:type="dxa"/>
                        <w:gridSpan w:val="2"/>
                        <w:vMerge/>
                        <w:tcBorders>
                          <w:left w:val="single" w:sz="9" w:space="0" w:color="D2D2D2"/>
                          <w:right w:val="single" w:sz="4" w:space="0" w:color="000000"/>
                        </w:tcBorders>
                      </w:tcPr>
                      <w:p>
                        <w:pPr/>
                      </w:p>
                    </w:tc>
                  </w:tr>
                  <w:tr>
                    <w:trPr>
                      <w:trHeight w:val="161"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2" w:type="dxa"/>
                        <w:gridSpan w:val="2"/>
                        <w:vMerge/>
                        <w:tcBorders>
                          <w:left w:val="single" w:sz="9" w:space="0" w:color="D2D2D2"/>
                          <w:bottom w:val="single" w:sz="4" w:space="0" w:color="000000"/>
                          <w:right w:val="single" w:sz="4" w:space="0" w:color="000000"/>
                        </w:tcBorders>
                      </w:tcPr>
                      <w:p>
                        <w:pPr/>
                      </w:p>
                    </w:tc>
                  </w:tr>
                  <w:tr>
                    <w:trPr>
                      <w:trHeight w:val="714"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6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773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6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773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03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814"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 w:right="-6"/>
                          <w:jc w:val="left"/>
                          <w:rPr>
                            <w:rFonts w:ascii="宋体" w:hAnsi="宋体" w:cs="宋体" w:eastAsia="宋体" w:hint="default"/>
                            <w:sz w:val="18"/>
                            <w:szCs w:val="18"/>
                          </w:rPr>
                        </w:pPr>
                        <w:r>
                          <w:rPr>
                            <w:rFonts w:ascii="宋体" w:hAnsi="宋体" w:cs="宋体" w:eastAsia="宋体" w:hint="default"/>
                            <w:sz w:val="18"/>
                            <w:szCs w:val="18"/>
                          </w:rPr>
                          <w:t>财务报告重大缺陷的迹象包括：公司 董事、监事和高级管理人员的舞弊行 为、公司更正已公布的财务报告、注 册会计师发现的却未被公司内部控 制识别的当期财务报告中的重大错 报、审计委员会和审计部对公司的对 外财务报告和财务报告内部控制监 督无效。 财务报告重要缺陷的迹象 包括：未依照公认会计准则选择和应 用会计政策、未建立反舞弊程序和控 制措施、对于非常规或特殊交易的账 务处理没有建立相应的控制机制或 没有实施且没有相应的补偿性控制、 对于期末财务报告过程的控制存在 一项或多项缺陷且不能合理保证编 制的财务报表达到真实、准确的目 标。一般缺陷是指除上述重大缺陷、 重要缺陷之外的其他控制缺陷。</w:t>
                        </w:r>
                      </w:p>
                    </w:tc>
                    <w:tc>
                      <w:tcPr>
                        <w:tcW w:w="4820"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04"/>
                          <w:jc w:val="both"/>
                          <w:rPr>
                            <w:rFonts w:ascii="宋体" w:hAnsi="宋体" w:cs="宋体" w:eastAsia="宋体" w:hint="default"/>
                            <w:sz w:val="18"/>
                            <w:szCs w:val="18"/>
                          </w:rPr>
                        </w:pPr>
                        <w:r>
                          <w:rPr>
                            <w:rFonts w:ascii="宋体" w:hAnsi="宋体" w:cs="宋体" w:eastAsia="宋体" w:hint="default"/>
                            <w:sz w:val="18"/>
                            <w:szCs w:val="18"/>
                          </w:rPr>
                          <w:t>重大缺陷：如果缺陷发生的可能性高，会严重降低工作效率 或效果、或严重加大效果的不确定性、或使之严重偏离预期 目标，则认定为重大缺陷。比如：公司缺乏民主决策程序； 公司决策程序不科学，导致重大失误；公司违反国家法律、 法规，如环境污染，并受到处罚；公司中高级管理人员和中 高级技术人员流失严重；公司重要业务缺乏制度控制或制度 体系失效；公司内部控制重大缺陷未得到整改；公司遭受证 监会处罚或证券交易所警告；战略与运营目标或关键业绩指 标执行不合理，严重偏离且存在方向性错误，对战略与运营 目标的实现产生严重负面作用。</w:t>
                        </w:r>
                      </w:p>
                      <w:p>
                        <w:pPr>
                          <w:pStyle w:val="TableParagraph"/>
                          <w:spacing w:line="316" w:lineRule="auto" w:before="57"/>
                          <w:ind w:left="22" w:right="105"/>
                          <w:jc w:val="both"/>
                          <w:rPr>
                            <w:rFonts w:ascii="宋体" w:hAnsi="宋体" w:cs="宋体" w:eastAsia="宋体" w:hint="default"/>
                            <w:sz w:val="18"/>
                            <w:szCs w:val="18"/>
                          </w:rPr>
                        </w:pPr>
                        <w:r>
                          <w:rPr>
                            <w:rFonts w:ascii="宋体" w:hAnsi="宋体" w:cs="宋体" w:eastAsia="宋体" w:hint="default"/>
                            <w:sz w:val="18"/>
                            <w:szCs w:val="18"/>
                          </w:rPr>
                          <w:t>重要缺陷：如果缺陷发生的可能性较高，会显著降低工作效 率或效果、或显著加大效果的不确定性、或使之显著偏离预 期目标，则认定为重要缺陷，如：公司民主决策程序存在但 不够完善；公司决策程序导致出现重要失误；公司违反企业 内部规章，形成严重损失；公司关键岗位业务人员流失严重 公司重要业务制度或系统存在缺陷；公司内部控制重要缺陷 未得到整改；公司战略与运营目标或关键业绩指标执行不合 理，严重偏离，对战略与运营目标的实现产生明显的消极作 用。</w:t>
                        </w:r>
                      </w:p>
                    </w:tc>
                  </w:tr>
                  <w:tr>
                    <w:trPr>
                      <w:trHeight w:val="391"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2913" w:type="dxa"/>
                        <w:vMerge/>
                        <w:tcBorders>
                          <w:left w:val="single" w:sz="9" w:space="0" w:color="D2D2D2"/>
                          <w:right w:val="single" w:sz="4" w:space="0" w:color="000000"/>
                        </w:tcBorders>
                      </w:tcPr>
                      <w:p>
                        <w:pPr/>
                      </w:p>
                    </w:tc>
                    <w:tc>
                      <w:tcPr>
                        <w:tcW w:w="4820" w:type="dxa"/>
                        <w:vMerge/>
                        <w:tcBorders>
                          <w:left w:val="single" w:sz="4" w:space="0" w:color="000000"/>
                          <w:right w:val="single" w:sz="4" w:space="0" w:color="000000"/>
                        </w:tcBorders>
                      </w:tcPr>
                      <w:p>
                        <w:pPr/>
                      </w:p>
                    </w:tc>
                  </w:tr>
                  <w:tr>
                    <w:trPr>
                      <w:trHeight w:val="2814"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3" w:type="dxa"/>
                        <w:vMerge/>
                        <w:tcBorders>
                          <w:left w:val="single" w:sz="9" w:space="0" w:color="D2D2D2"/>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877" w:footer="979" w:top="1100" w:bottom="1160" w:left="660" w:right="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625"/>
        <w:gridCol w:w="2907"/>
        <w:gridCol w:w="4820"/>
      </w:tblGrid>
      <w:tr>
        <w:trPr>
          <w:trHeight w:val="2547" w:hRule="exact"/>
        </w:trPr>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7"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一般缺陷：如果缺陷发生的可能性较小，会降低工作效率或 效果、或加大效果的不确定性、或使之偏离预期目标，则认 定为一般缺陷，比如：公司决策程序效率不高；公司违反内 部规章，但未形成损失；公司一般岗位业务人员流失严重； 公司一般业务制度或系统存在缺陷；公司一般缺陷未得到整 改；公司战略与运营目标或关键业绩的执行存在较小范围的 不合理，目标偏离，对战略与运营目标的实现影响轻微；公 司存在的其他缺陷。</w:t>
            </w:r>
          </w:p>
        </w:tc>
      </w:tr>
      <w:tr>
        <w:trPr>
          <w:trHeight w:val="3522" w:hRule="exact"/>
        </w:trPr>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2907"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重大缺陷指考虑补偿性控制措施和 实际偏差率后，该缺陷总体影响水平 高于重要性水平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重要缺陷指考虑补偿性控制措施和 实际偏差率后，该缺陷总体影响水平 </w:t>
            </w:r>
            <w:r>
              <w:rPr>
                <w:rFonts w:ascii="宋体" w:hAnsi="宋体" w:cs="宋体" w:eastAsia="宋体" w:hint="default"/>
                <w:spacing w:val="-5"/>
                <w:sz w:val="18"/>
                <w:szCs w:val="18"/>
              </w:rPr>
              <w:t>低于重要性水平（营业收入的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但高于一般性水平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 </w:t>
            </w:r>
            <w:r>
              <w:rPr>
                <w:rFonts w:ascii="Times New Roman" w:hAnsi="Times New Roman" w:cs="Times New Roman" w:eastAsia="Times New Roman" w:hint="default"/>
                <w:sz w:val="18"/>
                <w:szCs w:val="18"/>
              </w:rPr>
              <w:t>0.1%)</w:t>
            </w:r>
            <w:r>
              <w:rPr>
                <w:rFonts w:ascii="宋体" w:hAnsi="宋体" w:cs="宋体" w:eastAsia="宋体" w:hint="default"/>
                <w:sz w:val="18"/>
                <w:szCs w:val="18"/>
              </w:rPr>
              <w:t>。一般缺陷指考虑补偿性控制 措施和实际偏差率后，该缺陷总体影 响水平低于一般性水平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c>
          <w:tcPr>
            <w:tcW w:w="4820" w:type="dxa"/>
            <w:tcBorders>
              <w:top w:val="single" w:sz="4" w:space="0" w:color="000000"/>
              <w:left w:val="single" w:sz="9" w:space="0" w:color="FFFFFF"/>
              <w:bottom w:val="single" w:sz="4" w:space="0" w:color="000000"/>
              <w:right w:val="single" w:sz="4" w:space="0" w:color="000000"/>
            </w:tcBorders>
          </w:tcPr>
          <w:p>
            <w:pPr>
              <w:pStyle w:val="TableParagraph"/>
              <w:spacing w:line="312" w:lineRule="auto" w:before="51"/>
              <w:ind w:left="16" w:right="104"/>
              <w:jc w:val="both"/>
              <w:rPr>
                <w:rFonts w:ascii="宋体" w:hAnsi="宋体" w:cs="宋体" w:eastAsia="宋体" w:hint="default"/>
                <w:sz w:val="18"/>
                <w:szCs w:val="18"/>
              </w:rPr>
            </w:pPr>
            <w:r>
              <w:rPr>
                <w:rFonts w:ascii="宋体" w:hAnsi="宋体" w:cs="宋体" w:eastAsia="宋体" w:hint="default"/>
                <w:sz w:val="18"/>
                <w:szCs w:val="18"/>
              </w:rPr>
              <w:t>重大缺陷：造成直接财产损失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万元及以上（潜在负面影 响：具有已经对外正式披露并对公司定期报告披露造成负面 影响，公司关键岗位人员流失严重，被媒体频频曝光负面新 </w:t>
            </w:r>
            <w:r>
              <w:rPr>
                <w:rFonts w:ascii="宋体" w:hAnsi="宋体" w:cs="宋体" w:eastAsia="宋体" w:hint="default"/>
                <w:spacing w:val="-9"/>
                <w:sz w:val="18"/>
                <w:szCs w:val="18"/>
              </w:rPr>
              <w:t>闻等潜在负面影响。）</w:t>
            </w:r>
          </w:p>
          <w:p>
            <w:pPr>
              <w:pStyle w:val="TableParagraph"/>
              <w:spacing w:line="312" w:lineRule="auto" w:before="22"/>
              <w:ind w:left="16" w:right="20"/>
              <w:jc w:val="left"/>
              <w:rPr>
                <w:rFonts w:ascii="宋体" w:hAnsi="宋体" w:cs="宋体" w:eastAsia="宋体" w:hint="default"/>
                <w:sz w:val="18"/>
                <w:szCs w:val="18"/>
              </w:rPr>
            </w:pPr>
            <w:r>
              <w:rPr>
                <w:rFonts w:ascii="宋体" w:hAnsi="宋体" w:cs="宋体" w:eastAsia="宋体" w:hint="default"/>
                <w:sz w:val="18"/>
                <w:szCs w:val="18"/>
              </w:rPr>
              <w:t>重要缺陷：造成直接财产损失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万元（含）至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万元（潜 在负面影响：受到国家政府部门处罚，但未对公司定期报告 披露造成负面影响，被媒体曝光且产生负面影响等潜在负面 </w:t>
            </w:r>
            <w:r>
              <w:rPr>
                <w:rFonts w:ascii="宋体" w:hAnsi="宋体" w:cs="宋体" w:eastAsia="宋体" w:hint="default"/>
                <w:spacing w:val="-23"/>
                <w:sz w:val="18"/>
                <w:szCs w:val="18"/>
              </w:rPr>
              <w:t>影响。）</w:t>
            </w:r>
          </w:p>
          <w:p>
            <w:pPr>
              <w:pStyle w:val="TableParagraph"/>
              <w:spacing w:line="309" w:lineRule="auto" w:before="22"/>
              <w:ind w:left="16" w:right="15"/>
              <w:jc w:val="left"/>
              <w:rPr>
                <w:rFonts w:ascii="宋体" w:hAnsi="宋体" w:cs="宋体" w:eastAsia="宋体" w:hint="default"/>
                <w:sz w:val="18"/>
                <w:szCs w:val="18"/>
              </w:rPr>
            </w:pPr>
            <w:r>
              <w:rPr>
                <w:rFonts w:ascii="宋体" w:hAnsi="宋体" w:cs="宋体" w:eastAsia="宋体" w:hint="default"/>
                <w:sz w:val="18"/>
                <w:szCs w:val="18"/>
              </w:rPr>
              <w:t>一般缺陷：造成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万元以下直接财产损失（潜在负面影响： 受到省级（含）以下政府部门处罚但未对公司定期报告披露 造成负面影响等潜在负面影响。</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2" w:lineRule="exact"/>
              <w:ind w:left="16"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238.2pt;height:15.6pt;mso-position-horizontal-relative:char;mso-position-vertical-relative:line" coordorigin="0,0" coordsize="4764,312">
                  <v:group style="position:absolute;left:0;top:0;width:4764;height:312" coordorigin="0,0" coordsize="4764,312">
                    <v:shape style="position:absolute;left:0;top:0;width:4764;height:312" coordorigin="0,0" coordsize="4764,312" path="m0,312l4763,312,4763,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tc>
      </w:tr>
      <w:tr>
        <w:trPr>
          <w:trHeight w:val="402" w:hRule="exact"/>
        </w:trPr>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474" w:right="1122"/>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7333"/>
        <w:jc w:val="left"/>
      </w:pPr>
      <w:r>
        <w:rPr/>
        <w:t>内部控制鉴证报告</w:t>
      </w:r>
    </w:p>
    <w:p>
      <w:pPr>
        <w:spacing w:line="240" w:lineRule="auto" w:before="0"/>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我们认为，苏州恒久公司按照财政部等五部委颁发的《企业内部控制基本规范》及相关规定于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 重大方面保持了与财务报表相关的有效的内部控制。本结论是在受到鉴证报告中指出的固有限制的条件下形成的。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9"/>
              <w:jc w:val="left"/>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日刊登于巨潮资讯网（</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）的《苏州恒久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光电科技股份有限公司内部控制鉴证报告》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474" w:right="1122"/>
        <w:jc w:val="left"/>
      </w:pPr>
      <w:r>
        <w:rPr/>
        <w:t>会计师事务所是否出具非标准意见的内部控制鉴证报告</w:t>
      </w:r>
    </w:p>
    <w:p>
      <w:pPr>
        <w:pStyle w:val="BodyText"/>
        <w:spacing w:line="340" w:lineRule="auto" w:before="116"/>
        <w:ind w:left="473"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left="473"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71" w:right="4569"/>
        <w:jc w:val="center"/>
        <w:rPr>
          <w:b w:val="0"/>
          <w:bCs w:val="0"/>
        </w:rPr>
      </w:pPr>
      <w:bookmarkStart w:name="第十一节 财务报告" w:id="154"/>
      <w:bookmarkEnd w:id="154"/>
      <w:r>
        <w:rPr>
          <w:b w:val="0"/>
          <w:bCs w:val="0"/>
        </w:rPr>
      </w:r>
      <w:bookmarkStart w:name="_bookmark10" w:id="155"/>
      <w:bookmarkEnd w:id="15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33" w:right="0"/>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ZA13248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夏利忠、葛皓宇</w:t>
            </w:r>
          </w:p>
        </w:tc>
      </w:tr>
    </w:tbl>
    <w:p>
      <w:pPr>
        <w:spacing w:after="0" w:line="240" w:lineRule="auto"/>
        <w:jc w:val="center"/>
        <w:rPr>
          <w:rFonts w:ascii="宋体" w:hAnsi="宋体" w:cs="宋体" w:eastAsia="宋体" w:hint="default"/>
          <w:sz w:val="18"/>
          <w:szCs w:val="18"/>
        </w:rPr>
        <w:sectPr>
          <w:pgSz w:w="11910" w:h="16840"/>
          <w:pgMar w:header="877" w:footer="979" w:top="1100" w:bottom="1160" w:left="900" w:right="0"/>
        </w:sectPr>
      </w:pPr>
    </w:p>
    <w:p>
      <w:pPr>
        <w:spacing w:line="240" w:lineRule="auto" w:before="0"/>
        <w:rPr>
          <w:rFonts w:ascii="宋体" w:hAnsi="宋体" w:cs="宋体" w:eastAsia="宋体" w:hint="default"/>
          <w:b/>
          <w:bCs/>
          <w:sz w:val="18"/>
          <w:szCs w:val="18"/>
        </w:rPr>
      </w:pPr>
    </w:p>
    <w:p>
      <w:pPr>
        <w:pStyle w:val="Heading4"/>
        <w:spacing w:line="240" w:lineRule="auto" w:before="125"/>
        <w:ind w:left="233" w:right="0"/>
        <w:jc w:val="left"/>
        <w:rPr>
          <w:b w:val="0"/>
          <w:bCs w:val="0"/>
        </w:rPr>
      </w:pPr>
      <w:r>
        <w:rPr>
          <w:w w:val="95"/>
        </w:rPr>
        <w:t>苏州恒久光电科技有限公司全体股东：</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8"/>
          <w:szCs w:val="18"/>
        </w:rPr>
      </w:pPr>
    </w:p>
    <w:p>
      <w:pPr>
        <w:pStyle w:val="Heading4"/>
        <w:spacing w:line="240" w:lineRule="auto"/>
        <w:ind w:left="595" w:right="0"/>
        <w:jc w:val="left"/>
        <w:rPr>
          <w:b w:val="0"/>
          <w:bCs w:val="0"/>
        </w:rPr>
      </w:pPr>
      <w:bookmarkStart w:name="一、审计意见" w:id="157"/>
      <w:bookmarkEnd w:id="157"/>
      <w:r>
        <w:rPr>
          <w:b w:val="0"/>
          <w:bCs w:val="0"/>
        </w:rPr>
      </w:r>
      <w:r>
        <w:rPr/>
        <w:t>一、审计意见</w:t>
      </w:r>
      <w:r>
        <w:rPr>
          <w:b w:val="0"/>
          <w:bCs w:val="0"/>
        </w:rPr>
      </w:r>
    </w:p>
    <w:p>
      <w:pPr>
        <w:pStyle w:val="BodyText"/>
        <w:spacing w:line="240" w:lineRule="auto" w:before="51"/>
        <w:ind w:left="233" w:right="0"/>
        <w:jc w:val="left"/>
      </w:pPr>
      <w:r>
        <w:rPr/>
        <w:br w:type="column"/>
      </w:r>
      <w:r>
        <w:rPr/>
        <w:t>审计报告正文</w:t>
      </w:r>
    </w:p>
    <w:p>
      <w:pPr>
        <w:spacing w:after="0" w:line="240" w:lineRule="auto"/>
        <w:jc w:val="left"/>
        <w:sectPr>
          <w:type w:val="continuous"/>
          <w:pgSz w:w="11910" w:h="16840"/>
          <w:pgMar w:top="1060" w:bottom="1160" w:left="900" w:right="0"/>
          <w:cols w:num="2" w:equalWidth="0">
            <w:col w:w="3304" w:space="976"/>
            <w:col w:w="6730"/>
          </w:cols>
        </w:sectPr>
      </w:pPr>
    </w:p>
    <w:p>
      <w:pPr>
        <w:spacing w:line="240" w:lineRule="auto" w:before="4"/>
        <w:rPr>
          <w:rFonts w:ascii="宋体" w:hAnsi="宋体" w:cs="宋体" w:eastAsia="宋体" w:hint="default"/>
          <w:sz w:val="8"/>
          <w:szCs w:val="8"/>
        </w:rPr>
      </w:pPr>
    </w:p>
    <w:p>
      <w:pPr>
        <w:pStyle w:val="BodyText"/>
        <w:spacing w:line="237" w:lineRule="auto" w:before="46"/>
        <w:ind w:left="233" w:right="1130" w:firstLine="360"/>
        <w:jc w:val="both"/>
      </w:pPr>
      <w:r>
        <w:rPr/>
        <w:t>我们审计了苏州恒久光电科技有限公司（以下简称苏州恒久公司）财务报表，包括</w:t>
      </w:r>
      <w:r>
        <w:rPr>
          <w:spacing w:val="-43"/>
        </w:rPr>
        <w:t> </w:t>
      </w:r>
      <w:r>
        <w:rPr>
          <w:rFonts w:ascii="宋体" w:hAnsi="宋体" w:cs="宋体" w:eastAsia="宋体" w:hint="default"/>
        </w:rPr>
        <w:t>2017</w:t>
      </w:r>
      <w:r>
        <w:rPr>
          <w:rFonts w:ascii="宋体" w:hAnsi="宋体" w:cs="宋体" w:eastAsia="宋体" w:hint="default"/>
          <w:spacing w:val="-43"/>
        </w:rPr>
        <w:t> </w:t>
      </w:r>
      <w:r>
        <w:rPr/>
        <w:t>年</w:t>
      </w:r>
      <w:r>
        <w:rPr>
          <w:spacing w:val="-44"/>
        </w:rPr>
        <w:t> </w:t>
      </w:r>
      <w:r>
        <w:rPr>
          <w:rFonts w:ascii="宋体" w:hAnsi="宋体" w:cs="宋体" w:eastAsia="宋体" w:hint="default"/>
        </w:rPr>
        <w:t>12</w:t>
      </w:r>
      <w:r>
        <w:rPr>
          <w:rFonts w:ascii="宋体" w:hAnsi="宋体" w:cs="宋体" w:eastAsia="宋体" w:hint="default"/>
          <w:spacing w:val="-45"/>
        </w:rPr>
        <w:t> </w:t>
      </w:r>
      <w:r>
        <w:rPr/>
        <w:t>月</w:t>
      </w:r>
      <w:r>
        <w:rPr>
          <w:spacing w:val="-44"/>
        </w:rPr>
        <w:t> </w:t>
      </w:r>
      <w:r>
        <w:rPr>
          <w:rFonts w:ascii="宋体" w:hAnsi="宋体" w:cs="宋体" w:eastAsia="宋体" w:hint="default"/>
        </w:rPr>
        <w:t>31</w:t>
      </w:r>
      <w:r>
        <w:rPr>
          <w:rFonts w:ascii="宋体" w:hAnsi="宋体" w:cs="宋体" w:eastAsia="宋体" w:hint="default"/>
          <w:spacing w:val="-45"/>
        </w:rPr>
        <w:t> </w:t>
      </w:r>
      <w:r>
        <w:rPr/>
        <w:t>日的合并及母公司 资产负债表，</w:t>
      </w:r>
      <w:r>
        <w:rPr>
          <w:rFonts w:ascii="宋体" w:hAnsi="宋体" w:cs="宋体" w:eastAsia="宋体" w:hint="default"/>
        </w:rPr>
        <w:t>2017</w:t>
      </w:r>
      <w:r>
        <w:rPr>
          <w:rFonts w:ascii="宋体" w:hAnsi="宋体" w:cs="宋体" w:eastAsia="宋体" w:hint="default"/>
          <w:spacing w:val="7"/>
        </w:rPr>
        <w:t> </w:t>
      </w:r>
      <w:r>
        <w:rPr/>
        <w:t>年度的合并及母公司利润表、合并及母公司现金流量表、合并及母公司所有者权益变动表以及相关财务 报表附注。</w:t>
      </w:r>
    </w:p>
    <w:p>
      <w:pPr>
        <w:pStyle w:val="BodyText"/>
        <w:spacing w:line="234" w:lineRule="exact" w:before="154"/>
        <w:ind w:left="593" w:right="0"/>
        <w:jc w:val="left"/>
        <w:rPr>
          <w:rFonts w:ascii="宋体" w:hAnsi="宋体" w:cs="宋体" w:eastAsia="宋体" w:hint="default"/>
        </w:rPr>
      </w:pPr>
      <w:r>
        <w:rPr/>
        <w:t>我们认为，后附的财务报表在所有重大方面按照企业会计准则的规定编制，公允反映了苏州恒久公司</w:t>
      </w:r>
      <w:r>
        <w:rPr>
          <w:spacing w:val="-34"/>
        </w:rPr>
        <w:t> </w:t>
      </w:r>
      <w:r>
        <w:rPr>
          <w:rFonts w:ascii="宋体" w:hAnsi="宋体" w:cs="宋体" w:eastAsia="宋体" w:hint="default"/>
        </w:rPr>
        <w:t>2017</w:t>
      </w:r>
      <w:r>
        <w:rPr>
          <w:rFonts w:ascii="宋体" w:hAnsi="宋体" w:cs="宋体" w:eastAsia="宋体" w:hint="default"/>
          <w:spacing w:val="-35"/>
        </w:rPr>
        <w:t> </w:t>
      </w:r>
      <w:r>
        <w:rPr/>
        <w:t>年</w:t>
      </w:r>
      <w:r>
        <w:rPr>
          <w:spacing w:val="-35"/>
        </w:rPr>
        <w:t> </w:t>
      </w:r>
      <w:r>
        <w:rPr>
          <w:rFonts w:ascii="宋体" w:hAnsi="宋体" w:cs="宋体" w:eastAsia="宋体" w:hint="default"/>
        </w:rPr>
        <w:t>12</w:t>
      </w:r>
      <w:r>
        <w:rPr>
          <w:rFonts w:ascii="宋体" w:hAnsi="宋体" w:cs="宋体" w:eastAsia="宋体" w:hint="default"/>
          <w:spacing w:val="-35"/>
        </w:rPr>
        <w:t> </w:t>
      </w:r>
      <w:r>
        <w:rPr/>
        <w:t>月</w:t>
      </w:r>
      <w:r>
        <w:rPr>
          <w:spacing w:val="-35"/>
        </w:rPr>
        <w:t> </w:t>
      </w:r>
      <w:r>
        <w:rPr>
          <w:rFonts w:ascii="宋体" w:hAnsi="宋体" w:cs="宋体" w:eastAsia="宋体" w:hint="default"/>
        </w:rPr>
        <w:t>31</w:t>
      </w:r>
    </w:p>
    <w:p>
      <w:pPr>
        <w:pStyle w:val="BodyText"/>
        <w:spacing w:line="234" w:lineRule="exact"/>
        <w:ind w:left="233" w:right="0"/>
        <w:jc w:val="left"/>
      </w:pPr>
      <w:r>
        <w:rPr/>
        <w:t>日的合并及母公司财务状况以及</w:t>
      </w:r>
      <w:r>
        <w:rPr>
          <w:spacing w:val="-46"/>
        </w:rPr>
        <w:t> </w:t>
      </w:r>
      <w:r>
        <w:rPr>
          <w:rFonts w:ascii="宋体" w:hAnsi="宋体" w:cs="宋体" w:eastAsia="宋体" w:hint="default"/>
        </w:rPr>
        <w:t>2017</w:t>
      </w:r>
      <w:r>
        <w:rPr>
          <w:rFonts w:ascii="宋体" w:hAnsi="宋体" w:cs="宋体" w:eastAsia="宋体" w:hint="default"/>
          <w:spacing w:val="-46"/>
        </w:rPr>
        <w:t> </w:t>
      </w:r>
      <w:r>
        <w:rPr/>
        <w:t>年度的合并及母公司经营成果和现金流量。</w:t>
      </w:r>
    </w:p>
    <w:p>
      <w:pPr>
        <w:spacing w:line="240" w:lineRule="auto" w:before="10"/>
        <w:rPr>
          <w:rFonts w:ascii="宋体" w:hAnsi="宋体" w:cs="宋体" w:eastAsia="宋体" w:hint="default"/>
          <w:sz w:val="12"/>
          <w:szCs w:val="12"/>
        </w:rPr>
      </w:pPr>
    </w:p>
    <w:p>
      <w:pPr>
        <w:pStyle w:val="BodyText"/>
        <w:spacing w:line="390" w:lineRule="atLeast"/>
        <w:ind w:left="593" w:right="0" w:firstLine="1"/>
        <w:jc w:val="left"/>
      </w:pPr>
      <w:bookmarkStart w:name="二、形成审计意见的基础" w:id="158"/>
      <w:bookmarkEnd w:id="158"/>
      <w:r>
        <w:rPr/>
      </w: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232" w:lineRule="exact" w:before="23"/>
        <w:ind w:left="233" w:right="0"/>
        <w:jc w:val="left"/>
      </w:pPr>
      <w:r>
        <w:rPr>
          <w:spacing w:val="-2"/>
        </w:rPr>
        <w:t>步阐述了我们在这些准则下的责任。按照中国注册会计师职业道德守则，我们独立于苏州恒久公司，并履行了职业道德方面</w:t>
      </w:r>
      <w:r>
        <w:rPr>
          <w:spacing w:val="-66"/>
        </w:rPr>
        <w:t> </w:t>
      </w:r>
      <w:r>
        <w:rPr>
          <w:spacing w:val="-66"/>
        </w:rPr>
      </w:r>
      <w:r>
        <w:rPr/>
        <w:t>的其他责任。我们相信，我们获取的审计证据是充分、适当的，为发表审计意见提供了基础。</w:t>
      </w:r>
    </w:p>
    <w:p>
      <w:pPr>
        <w:pStyle w:val="BodyText"/>
        <w:spacing w:line="390" w:lineRule="atLeast" w:before="145"/>
        <w:ind w:left="434" w:right="0" w:firstLine="160"/>
        <w:jc w:val="left"/>
      </w:pPr>
      <w:bookmarkStart w:name="三、关键审计事项" w:id="159"/>
      <w:bookmarkEnd w:id="159"/>
      <w:r>
        <w:rPr/>
      </w: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关键审计事项是我们根据职业判断，认为对本期财务报表审计最为重要的事项。这些事项的应对以对财务报表整体进行</w:t>
      </w:r>
    </w:p>
    <w:p>
      <w:pPr>
        <w:pStyle w:val="BodyText"/>
        <w:spacing w:line="234" w:lineRule="exact"/>
        <w:ind w:left="233" w:right="0"/>
        <w:jc w:val="left"/>
      </w:pPr>
      <w:r>
        <w:rPr/>
        <w:pict>
          <v:group style="position:absolute;margin-left:299.97998pt;margin-top:37.014359pt;width:.5pt;height:21.15pt;mso-position-horizontal-relative:page;mso-position-vertical-relative:paragraph;z-index:-896752" coordorigin="6000,740" coordsize="10,423">
            <v:group style="position:absolute;left:6000;top:740;width:10;height:20" coordorigin="6000,740" coordsize="10,20">
              <v:shape style="position:absolute;left:6000;top:740;width:10;height:20" coordorigin="6000,740" coordsize="10,20" path="m6000,759l6009,759,6009,740,6000,740,6000,759xe" filled="true" fillcolor="#000000" stroked="false">
                <v:path arrowok="t"/>
                <v:fill type="solid"/>
              </v:shape>
            </v:group>
            <v:group style="position:absolute;left:6000;top:759;width:10;height:20" coordorigin="6000,759" coordsize="10,20">
              <v:shape style="position:absolute;left:6000;top:759;width:10;height:20" coordorigin="6000,759" coordsize="10,20" path="m6000,779l6009,779,6009,759,6000,759,6000,779xe" filled="true" fillcolor="#000000" stroked="false">
                <v:path arrowok="t"/>
                <v:fill type="solid"/>
              </v:shape>
            </v:group>
            <v:group style="position:absolute;left:6000;top:779;width:10;height:20" coordorigin="6000,779" coordsize="10,20">
              <v:shape style="position:absolute;left:6000;top:779;width:10;height:20" coordorigin="6000,779" coordsize="10,20" path="m6000,798l6009,798,6009,779,6000,779,6000,798xe" filled="true" fillcolor="#000000" stroked="false">
                <v:path arrowok="t"/>
                <v:fill type="solid"/>
              </v:shape>
            </v:group>
            <v:group style="position:absolute;left:6000;top:798;width:10;height:20" coordorigin="6000,798" coordsize="10,20">
              <v:shape style="position:absolute;left:6000;top:798;width:10;height:20" coordorigin="6000,798" coordsize="10,20" path="m6000,817l6009,817,6009,798,6000,798,6000,817xe" filled="true" fillcolor="#000000" stroked="false">
                <v:path arrowok="t"/>
                <v:fill type="solid"/>
              </v:shape>
            </v:group>
            <v:group style="position:absolute;left:6000;top:817;width:10;height:20" coordorigin="6000,817" coordsize="10,20">
              <v:shape style="position:absolute;left:6000;top:817;width:10;height:20" coordorigin="6000,817" coordsize="10,20" path="m6000,836l6009,836,6009,817,6000,817,6000,836xe" filled="true" fillcolor="#000000" stroked="false">
                <v:path arrowok="t"/>
                <v:fill type="solid"/>
              </v:shape>
            </v:group>
            <v:group style="position:absolute;left:6000;top:836;width:10;height:20" coordorigin="6000,836" coordsize="10,20">
              <v:shape style="position:absolute;left:6000;top:836;width:10;height:20" coordorigin="6000,836" coordsize="10,20" path="m6000,855l6009,855,6009,836,6000,836,6000,855xe" filled="true" fillcolor="#000000" stroked="false">
                <v:path arrowok="t"/>
                <v:fill type="solid"/>
              </v:shape>
            </v:group>
            <v:group style="position:absolute;left:6000;top:855;width:10;height:20" coordorigin="6000,855" coordsize="10,20">
              <v:shape style="position:absolute;left:6000;top:855;width:10;height:20" coordorigin="6000,855" coordsize="10,20" path="m6000,875l6009,875,6009,855,6000,855,6000,875xe" filled="true" fillcolor="#000000" stroked="false">
                <v:path arrowok="t"/>
                <v:fill type="solid"/>
              </v:shape>
            </v:group>
            <v:group style="position:absolute;left:6000;top:875;width:10;height:20" coordorigin="6000,875" coordsize="10,20">
              <v:shape style="position:absolute;left:6000;top:875;width:10;height:20" coordorigin="6000,875" coordsize="10,20" path="m6000,894l6009,894,6009,875,6000,875,6000,894xe" filled="true" fillcolor="#000000" stroked="false">
                <v:path arrowok="t"/>
                <v:fill type="solid"/>
              </v:shape>
            </v:group>
            <v:group style="position:absolute;left:6000;top:894;width:10;height:20" coordorigin="6000,894" coordsize="10,20">
              <v:shape style="position:absolute;left:6000;top:894;width:10;height:20" coordorigin="6000,894" coordsize="10,20" path="m6000,913l6009,913,6009,894,6000,894,6000,913xe" filled="true" fillcolor="#000000" stroked="false">
                <v:path arrowok="t"/>
                <v:fill type="solid"/>
              </v:shape>
            </v:group>
            <v:group style="position:absolute;left:6000;top:913;width:10;height:20" coordorigin="6000,913" coordsize="10,20">
              <v:shape style="position:absolute;left:6000;top:913;width:10;height:20" coordorigin="6000,913" coordsize="10,20" path="m6000,932l6009,932,6009,913,6000,913,6000,932xe" filled="true" fillcolor="#000000" stroked="false">
                <v:path arrowok="t"/>
                <v:fill type="solid"/>
              </v:shape>
            </v:group>
            <v:group style="position:absolute;left:6000;top:932;width:10;height:20" coordorigin="6000,932" coordsize="10,20">
              <v:shape style="position:absolute;left:6000;top:932;width:10;height:20" coordorigin="6000,932" coordsize="10,20" path="m6000,951l6009,951,6009,932,6000,932,6000,951xe" filled="true" fillcolor="#000000" stroked="false">
                <v:path arrowok="t"/>
                <v:fill type="solid"/>
              </v:shape>
            </v:group>
            <v:group style="position:absolute;left:6000;top:951;width:10;height:20" coordorigin="6000,951" coordsize="10,20">
              <v:shape style="position:absolute;left:6000;top:951;width:10;height:20" coordorigin="6000,951" coordsize="10,20" path="m6000,971l6009,971,6009,951,6000,951,6000,971xe" filled="true" fillcolor="#000000" stroked="false">
                <v:path arrowok="t"/>
                <v:fill type="solid"/>
              </v:shape>
            </v:group>
            <v:group style="position:absolute;left:6000;top:971;width:10;height:20" coordorigin="6000,971" coordsize="10,20">
              <v:shape style="position:absolute;left:6000;top:971;width:10;height:20" coordorigin="6000,971" coordsize="10,20" path="m6000,990l6009,990,6009,971,6000,971,6000,990xe" filled="true" fillcolor="#000000" stroked="false">
                <v:path arrowok="t"/>
                <v:fill type="solid"/>
              </v:shape>
            </v:group>
            <v:group style="position:absolute;left:6000;top:990;width:10;height:20" coordorigin="6000,990" coordsize="10,20">
              <v:shape style="position:absolute;left:6000;top:990;width:10;height:20" coordorigin="6000,990" coordsize="10,20" path="m6000,1009l6009,1009,6009,990,6000,990,6000,1009xe" filled="true" fillcolor="#000000" stroked="false">
                <v:path arrowok="t"/>
                <v:fill type="solid"/>
              </v:shape>
            </v:group>
            <v:group style="position:absolute;left:6000;top:1009;width:10;height:20" coordorigin="6000,1009" coordsize="10,20">
              <v:shape style="position:absolute;left:6000;top:1009;width:10;height:20" coordorigin="6000,1009" coordsize="10,20" path="m6000,1028l6009,1028,6009,1009,6000,1009,6000,1028xe" filled="true" fillcolor="#000000" stroked="false">
                <v:path arrowok="t"/>
                <v:fill type="solid"/>
              </v:shape>
            </v:group>
            <v:group style="position:absolute;left:6000;top:1028;width:10;height:20" coordorigin="6000,1028" coordsize="10,20">
              <v:shape style="position:absolute;left:6000;top:1028;width:10;height:20" coordorigin="6000,1028" coordsize="10,20" path="m6000,1047l6009,1047,6009,1028,6000,1028,6000,1047xe" filled="true" fillcolor="#000000" stroked="false">
                <v:path arrowok="t"/>
                <v:fill type="solid"/>
              </v:shape>
            </v:group>
            <v:group style="position:absolute;left:6000;top:1047;width:10;height:20" coordorigin="6000,1047" coordsize="10,20">
              <v:shape style="position:absolute;left:6000;top:1047;width:10;height:20" coordorigin="6000,1047" coordsize="10,20" path="m6000,1067l6009,1067,6009,1047,6000,1047,6000,1067xe" filled="true" fillcolor="#000000" stroked="false">
                <v:path arrowok="t"/>
                <v:fill type="solid"/>
              </v:shape>
            </v:group>
            <v:group style="position:absolute;left:6000;top:1067;width:10;height:20" coordorigin="6000,1067" coordsize="10,20">
              <v:shape style="position:absolute;left:6000;top:1067;width:10;height:20" coordorigin="6000,1067" coordsize="10,20" path="m6000,1086l6009,1086,6009,1067,6000,1067,6000,1086xe" filled="true" fillcolor="#000000" stroked="false">
                <v:path arrowok="t"/>
                <v:fill type="solid"/>
              </v:shape>
            </v:group>
            <v:group style="position:absolute;left:6000;top:1086;width:10;height:20" coordorigin="6000,1086" coordsize="10,20">
              <v:shape style="position:absolute;left:6000;top:1086;width:10;height:20" coordorigin="6000,1086" coordsize="10,20" path="m6000,1105l6009,1105,6009,1086,6000,1086,6000,1105xe" filled="true" fillcolor="#000000" stroked="false">
                <v:path arrowok="t"/>
                <v:fill type="solid"/>
              </v:shape>
            </v:group>
            <v:group style="position:absolute;left:6000;top:1105;width:10;height:20" coordorigin="6000,1105" coordsize="10,20">
              <v:shape style="position:absolute;left:6000;top:1105;width:10;height:20" coordorigin="6000,1105" coordsize="10,20" path="m6000,1124l6009,1124,6009,1105,6000,1105,6000,1124xe" filled="true" fillcolor="#000000" stroked="false">
                <v:path arrowok="t"/>
                <v:fill type="solid"/>
              </v:shape>
            </v:group>
            <v:group style="position:absolute;left:6000;top:1124;width:10;height:20" coordorigin="6000,1124" coordsize="10,20">
              <v:shape style="position:absolute;left:6000;top:1124;width:10;height:20" coordorigin="6000,1124" coordsize="10,20" path="m6000,1143l6009,1143,6009,1124,6000,1124,6000,1143xe" filled="true" fillcolor="#000000" stroked="false">
                <v:path arrowok="t"/>
                <v:fill type="solid"/>
              </v:shape>
            </v:group>
            <v:group style="position:absolute;left:6000;top:1143;width:10;height:20" coordorigin="6000,1143" coordsize="10,20">
              <v:shape style="position:absolute;left:6000;top:1143;width:10;height:20" coordorigin="6000,1143" coordsize="10,20" path="m6000,1163l6009,1163,6009,1143,6000,1143,6000,1163xe" filled="true" fillcolor="#000000" stroked="false">
                <v:path arrowok="t"/>
                <v:fill type="solid"/>
              </v:shape>
            </v:group>
            <w10:wrap type="none"/>
          </v:group>
        </w:pict>
      </w: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993"/>
        <w:gridCol w:w="4877"/>
      </w:tblGrid>
      <w:tr>
        <w:trPr>
          <w:trHeight w:val="479" w:hRule="exact"/>
        </w:trPr>
        <w:tc>
          <w:tcPr>
            <w:tcW w:w="4993" w:type="dxa"/>
            <w:tcBorders>
              <w:top w:val="single" w:sz="12" w:space="0" w:color="000000"/>
              <w:left w:val="nil" w:sz="6" w:space="0" w:color="auto"/>
              <w:bottom w:val="single" w:sz="4" w:space="0" w:color="000000"/>
              <w:right w:val="nil" w:sz="6" w:space="0" w:color="auto"/>
            </w:tcBorders>
          </w:tcPr>
          <w:p>
            <w:pPr>
              <w:pStyle w:val="TableParagraph"/>
              <w:spacing w:line="240" w:lineRule="auto" w:before="157"/>
              <w:ind w:left="12"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877" w:type="dxa"/>
            <w:tcBorders>
              <w:top w:val="single" w:sz="12" w:space="0" w:color="000000"/>
              <w:left w:val="nil" w:sz="6" w:space="0" w:color="auto"/>
              <w:bottom w:val="single" w:sz="4" w:space="0" w:color="000000"/>
              <w:right w:val="nil" w:sz="6" w:space="0" w:color="auto"/>
            </w:tcBorders>
          </w:tcPr>
          <w:p>
            <w:pPr>
              <w:pStyle w:val="TableParagraph"/>
              <w:spacing w:line="240" w:lineRule="auto" w:before="157"/>
              <w:ind w:left="1263"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470" w:hRule="exact"/>
        </w:trPr>
        <w:tc>
          <w:tcPr>
            <w:tcW w:w="4993" w:type="dxa"/>
            <w:tcBorders>
              <w:top w:val="single" w:sz="4" w:space="0" w:color="000000"/>
              <w:left w:val="nil" w:sz="6" w:space="0" w:color="auto"/>
              <w:bottom w:val="single" w:sz="4" w:space="0" w:color="000000"/>
              <w:right w:val="nil" w:sz="6" w:space="0" w:color="auto"/>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b/>
                <w:bCs/>
                <w:sz w:val="18"/>
                <w:szCs w:val="18"/>
              </w:rPr>
              <w:t>（一）应收账款的可收回性</w:t>
            </w:r>
            <w:r>
              <w:rPr>
                <w:rFonts w:ascii="宋体" w:hAnsi="宋体" w:cs="宋体" w:eastAsia="宋体" w:hint="default"/>
                <w:sz w:val="18"/>
                <w:szCs w:val="18"/>
              </w:rPr>
            </w:r>
          </w:p>
        </w:tc>
        <w:tc>
          <w:tcPr>
            <w:tcW w:w="4877" w:type="dxa"/>
            <w:tcBorders>
              <w:top w:val="single" w:sz="4" w:space="0" w:color="000000"/>
              <w:left w:val="nil" w:sz="6" w:space="0" w:color="auto"/>
              <w:bottom w:val="single" w:sz="4" w:space="0" w:color="000000"/>
              <w:right w:val="nil" w:sz="6" w:space="0" w:color="auto"/>
            </w:tcBorders>
          </w:tcPr>
          <w:p>
            <w:pPr/>
          </w:p>
        </w:tc>
      </w:tr>
      <w:tr>
        <w:trPr>
          <w:trHeight w:val="2840" w:hRule="exact"/>
        </w:trPr>
        <w:tc>
          <w:tcPr>
            <w:tcW w:w="49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86" w:lineRule="auto"/>
              <w:ind w:left="122" w:right="100"/>
              <w:jc w:val="both"/>
              <w:rPr>
                <w:rFonts w:ascii="宋体" w:hAnsi="宋体" w:cs="宋体" w:eastAsia="宋体" w:hint="default"/>
                <w:sz w:val="18"/>
                <w:szCs w:val="18"/>
              </w:rPr>
            </w:pPr>
            <w:r>
              <w:rPr>
                <w:rFonts w:ascii="宋体" w:hAnsi="宋体" w:cs="宋体" w:eastAsia="宋体" w:hint="default"/>
                <w:sz w:val="18"/>
                <w:szCs w:val="18"/>
              </w:rPr>
              <w:t>请参阅后附苏州恒久公司财务报表附注</w:t>
            </w:r>
            <w:r>
              <w:rPr>
                <w:rFonts w:ascii="宋体" w:hAnsi="宋体" w:cs="宋体" w:eastAsia="宋体" w:hint="default"/>
                <w:spacing w:val="-8"/>
                <w:sz w:val="18"/>
                <w:szCs w:val="18"/>
              </w:rPr>
              <w:t> </w:t>
            </w:r>
            <w:r>
              <w:rPr>
                <w:rFonts w:ascii="宋体" w:hAnsi="宋体" w:cs="宋体" w:eastAsia="宋体" w:hint="default"/>
                <w:sz w:val="18"/>
                <w:szCs w:val="18"/>
              </w:rPr>
              <w:t>“三、重要会计政策</w:t>
            </w:r>
            <w:r>
              <w:rPr>
                <w:rFonts w:ascii="宋体" w:hAnsi="宋体" w:cs="宋体" w:eastAsia="宋体" w:hint="default"/>
                <w:sz w:val="18"/>
                <w:szCs w:val="18"/>
              </w:rPr>
              <w:t> </w:t>
            </w:r>
            <w:r>
              <w:rPr>
                <w:rFonts w:ascii="宋体" w:hAnsi="宋体" w:cs="宋体" w:eastAsia="宋体" w:hint="default"/>
                <w:spacing w:val="2"/>
                <w:sz w:val="18"/>
                <w:szCs w:val="18"/>
              </w:rPr>
              <w:t>及会计估计”之（十）所述的会计政策及“五、合并财务报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表项目注释”之（三）应收账款的内容。</w:t>
            </w:r>
          </w:p>
          <w:p>
            <w:pPr>
              <w:pStyle w:val="TableParagraph"/>
              <w:spacing w:line="240" w:lineRule="auto" w:before="73"/>
              <w:ind w:left="122"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日，苏州恒久公司合并财务报表中应收账</w:t>
            </w:r>
          </w:p>
          <w:p>
            <w:pPr>
              <w:pStyle w:val="TableParagraph"/>
              <w:spacing w:line="388" w:lineRule="auto" w:before="144"/>
              <w:ind w:left="122" w:right="101"/>
              <w:jc w:val="both"/>
              <w:rPr>
                <w:rFonts w:ascii="宋体" w:hAnsi="宋体" w:cs="宋体" w:eastAsia="宋体" w:hint="default"/>
                <w:sz w:val="18"/>
                <w:szCs w:val="18"/>
              </w:rPr>
            </w:pPr>
            <w:r>
              <w:rPr>
                <w:rFonts w:ascii="宋体" w:hAnsi="宋体" w:cs="宋体" w:eastAsia="宋体" w:hint="default"/>
                <w:sz w:val="18"/>
                <w:szCs w:val="18"/>
              </w:rPr>
              <w:t>款账面余额 </w:t>
            </w:r>
            <w:r>
              <w:rPr>
                <w:rFonts w:ascii="宋体" w:hAnsi="宋体" w:cs="宋体" w:eastAsia="宋体" w:hint="default"/>
                <w:sz w:val="18"/>
                <w:szCs w:val="18"/>
              </w:rPr>
              <w:t>7,905.41 </w:t>
            </w:r>
            <w:r>
              <w:rPr>
                <w:rFonts w:ascii="宋体" w:hAnsi="宋体" w:cs="宋体" w:eastAsia="宋体" w:hint="default"/>
                <w:sz w:val="18"/>
                <w:szCs w:val="18"/>
              </w:rPr>
              <w:t>万元，计提的坏账准备金额为</w:t>
            </w:r>
            <w:r>
              <w:rPr>
                <w:rFonts w:ascii="宋体" w:hAnsi="宋体" w:cs="宋体" w:eastAsia="宋体" w:hint="default"/>
                <w:spacing w:val="-7"/>
                <w:sz w:val="18"/>
                <w:szCs w:val="18"/>
              </w:rPr>
              <w:t> </w:t>
            </w:r>
            <w:r>
              <w:rPr>
                <w:rFonts w:ascii="宋体" w:hAnsi="宋体" w:cs="宋体" w:eastAsia="宋体" w:hint="default"/>
                <w:sz w:val="18"/>
                <w:szCs w:val="18"/>
              </w:rPr>
              <w:t>469.17 </w:t>
            </w:r>
            <w:r>
              <w:rPr>
                <w:rFonts w:ascii="宋体" w:hAnsi="宋体" w:cs="宋体" w:eastAsia="宋体" w:hint="default"/>
                <w:sz w:val="18"/>
                <w:szCs w:val="18"/>
              </w:rPr>
              <w:t>万元。</w:t>
            </w:r>
          </w:p>
          <w:p>
            <w:pPr>
              <w:pStyle w:val="TableParagraph"/>
              <w:spacing w:line="240" w:lineRule="auto" w:before="71"/>
              <w:ind w:left="122" w:right="0"/>
              <w:jc w:val="both"/>
              <w:rPr>
                <w:rFonts w:ascii="宋体" w:hAnsi="宋体" w:cs="宋体" w:eastAsia="宋体" w:hint="default"/>
                <w:sz w:val="18"/>
                <w:szCs w:val="18"/>
              </w:rPr>
            </w:pPr>
            <w:r>
              <w:rPr>
                <w:rFonts w:ascii="宋体" w:hAnsi="宋体" w:cs="宋体" w:eastAsia="宋体" w:hint="default"/>
                <w:spacing w:val="2"/>
                <w:sz w:val="18"/>
                <w:szCs w:val="18"/>
              </w:rPr>
              <w:t>苏州恒久公司管理层在确定应收账款预计可收回金额时需要</w:t>
            </w:r>
          </w:p>
        </w:tc>
        <w:tc>
          <w:tcPr>
            <w:tcW w:w="4877" w:type="dxa"/>
            <w:tcBorders>
              <w:top w:val="single" w:sz="4" w:space="0" w:color="000000"/>
              <w:left w:val="single" w:sz="4" w:space="0" w:color="000000"/>
              <w:bottom w:val="single" w:sz="12" w:space="0" w:color="000000"/>
              <w:right w:val="nil" w:sz="6" w:space="0" w:color="auto"/>
            </w:tcBorders>
          </w:tcPr>
          <w:p>
            <w:pPr>
              <w:pStyle w:val="TableParagraph"/>
              <w:spacing w:line="427" w:lineRule="auto" w:before="157"/>
              <w:ind w:left="103" w:right="107"/>
              <w:jc w:val="left"/>
              <w:rPr>
                <w:rFonts w:ascii="宋体" w:hAnsi="宋体" w:cs="宋体" w:eastAsia="宋体" w:hint="default"/>
                <w:sz w:val="18"/>
                <w:szCs w:val="18"/>
              </w:rPr>
            </w:pPr>
            <w:r>
              <w:rPr>
                <w:rFonts w:ascii="宋体" w:hAnsi="宋体" w:cs="宋体" w:eastAsia="宋体" w:hint="default"/>
                <w:sz w:val="18"/>
                <w:szCs w:val="18"/>
              </w:rPr>
              <w:t>我们就应收账款的可收回性实施的审计程序包括： </w:t>
            </w:r>
            <w:r>
              <w:rPr>
                <w:rFonts w:ascii="宋体" w:hAnsi="宋体" w:cs="宋体" w:eastAsia="宋体" w:hint="default"/>
                <w:spacing w:val="2"/>
                <w:sz w:val="18"/>
                <w:szCs w:val="18"/>
              </w:rPr>
              <w:t>1</w:t>
            </w:r>
            <w:r>
              <w:rPr>
                <w:rFonts w:ascii="宋体" w:hAnsi="宋体" w:cs="宋体" w:eastAsia="宋体" w:hint="default"/>
                <w:spacing w:val="2"/>
                <w:sz w:val="18"/>
                <w:szCs w:val="18"/>
              </w:rPr>
              <w:t>、了解、评估并测试苏州恒久公司对应收账款账龄分析以</w:t>
            </w:r>
          </w:p>
          <w:p>
            <w:pPr>
              <w:pStyle w:val="TableParagraph"/>
              <w:spacing w:line="408" w:lineRule="auto" w:before="4"/>
              <w:ind w:left="103" w:right="87"/>
              <w:jc w:val="left"/>
              <w:rPr>
                <w:rFonts w:ascii="宋体" w:hAnsi="宋体" w:cs="宋体" w:eastAsia="宋体" w:hint="default"/>
                <w:sz w:val="18"/>
                <w:szCs w:val="18"/>
              </w:rPr>
            </w:pPr>
            <w:r>
              <w:rPr>
                <w:rFonts w:ascii="宋体" w:hAnsi="宋体" w:cs="宋体" w:eastAsia="宋体" w:hint="default"/>
                <w:sz w:val="18"/>
                <w:szCs w:val="18"/>
              </w:rPr>
              <w:t>及确定应收账款坏账准备相关的内部控制； </w:t>
            </w:r>
            <w:r>
              <w:rPr>
                <w:rFonts w:ascii="宋体" w:hAnsi="宋体" w:cs="宋体" w:eastAsia="宋体" w:hint="default"/>
                <w:spacing w:val="2"/>
                <w:sz w:val="18"/>
                <w:szCs w:val="18"/>
              </w:rPr>
              <w:t>2</w:t>
            </w:r>
            <w:r>
              <w:rPr>
                <w:rFonts w:ascii="宋体" w:hAnsi="宋体" w:cs="宋体" w:eastAsia="宋体" w:hint="default"/>
                <w:spacing w:val="2"/>
                <w:sz w:val="18"/>
                <w:szCs w:val="18"/>
              </w:rPr>
              <w:t>、复核苏州恒久公司对应收账款进行减值测试的相关考虑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及客观证据，关注管理层是否充分识别已发生减值的项目；</w:t>
            </w:r>
          </w:p>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、对于单独计提坏账准备的应收账款选取样本，复核苏州</w:t>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恒久公司对预计未来可获得的现金流量做出估计的依据及</w:t>
            </w:r>
          </w:p>
        </w:tc>
      </w:tr>
    </w:tbl>
    <w:p>
      <w:pPr>
        <w:spacing w:after="0" w:line="240" w:lineRule="auto"/>
        <w:jc w:val="left"/>
        <w:rPr>
          <w:rFonts w:ascii="宋体" w:hAnsi="宋体" w:cs="宋体" w:eastAsia="宋体" w:hint="default"/>
          <w:sz w:val="18"/>
          <w:szCs w:val="18"/>
        </w:rPr>
        <w:sectPr>
          <w:type w:val="continuous"/>
          <w:pgSz w:w="11910" w:h="16840"/>
          <w:pgMar w:top="1060" w:bottom="1160" w:left="900" w:right="0"/>
        </w:sectPr>
      </w:pPr>
    </w:p>
    <w:p>
      <w:pPr>
        <w:spacing w:line="240" w:lineRule="auto" w:before="4"/>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89672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group style="position:absolute;margin-left:299.97998pt;margin-top:74.460022pt;width:.5pt;height:21.15pt;mso-position-horizontal-relative:page;mso-position-vertical-relative:page;z-index:-896704" coordorigin="6000,1489" coordsize="10,423">
            <v:group style="position:absolute;left:6000;top:1489;width:10;height:20" coordorigin="6000,1489" coordsize="10,20">
              <v:shape style="position:absolute;left:6000;top:1489;width:10;height:20" coordorigin="6000,1489" coordsize="10,20" path="m6000,1508l6009,1508,6009,1489,6000,1489,6000,1508xe" filled="true" fillcolor="#000000" stroked="false">
                <v:path arrowok="t"/>
                <v:fill type="solid"/>
              </v:shape>
            </v:group>
            <v:group style="position:absolute;left:6000;top:1508;width:10;height:20" coordorigin="6000,1508" coordsize="10,20">
              <v:shape style="position:absolute;left:6000;top:1508;width:10;height:20" coordorigin="6000,1508" coordsize="10,20" path="m6000,1528l6009,1528,6009,1508,6000,1508,6000,1528xe" filled="true" fillcolor="#000000" stroked="false">
                <v:path arrowok="t"/>
                <v:fill type="solid"/>
              </v:shape>
            </v:group>
            <v:group style="position:absolute;left:6000;top:1528;width:10;height:20" coordorigin="6000,1528" coordsize="10,20">
              <v:shape style="position:absolute;left:6000;top:1528;width:10;height:20" coordorigin="6000,1528" coordsize="10,20" path="m6000,1547l6009,1547,6009,1528,6000,1528,6000,1547xe" filled="true" fillcolor="#000000" stroked="false">
                <v:path arrowok="t"/>
                <v:fill type="solid"/>
              </v:shape>
            </v:group>
            <v:group style="position:absolute;left:6000;top:1547;width:10;height:20" coordorigin="6000,1547" coordsize="10,20">
              <v:shape style="position:absolute;left:6000;top:1547;width:10;height:20" coordorigin="6000,1547" coordsize="10,20" path="m6000,1566l6009,1566,6009,1547,6000,1547,6000,1566xe" filled="true" fillcolor="#000000" stroked="false">
                <v:path arrowok="t"/>
                <v:fill type="solid"/>
              </v:shape>
            </v:group>
            <v:group style="position:absolute;left:6000;top:1566;width:10;height:20" coordorigin="6000,1566" coordsize="10,20">
              <v:shape style="position:absolute;left:6000;top:1566;width:10;height:20" coordorigin="6000,1566" coordsize="10,20" path="m6000,1585l6009,1585,6009,1566,6000,1566,6000,1585xe" filled="true" fillcolor="#000000" stroked="false">
                <v:path arrowok="t"/>
                <v:fill type="solid"/>
              </v:shape>
            </v:group>
            <v:group style="position:absolute;left:6000;top:1585;width:10;height:20" coordorigin="6000,1585" coordsize="10,20">
              <v:shape style="position:absolute;left:6000;top:1585;width:10;height:20" coordorigin="6000,1585" coordsize="10,20" path="m6000,1604l6009,1604,6009,1585,6000,1585,6000,1604xe" filled="true" fillcolor="#000000" stroked="false">
                <v:path arrowok="t"/>
                <v:fill type="solid"/>
              </v:shape>
            </v:group>
            <v:group style="position:absolute;left:6000;top:1604;width:10;height:20" coordorigin="6000,1604" coordsize="10,20">
              <v:shape style="position:absolute;left:6000;top:1604;width:10;height:20" coordorigin="6000,1604" coordsize="10,20" path="m6000,1624l6009,1624,6009,1604,6000,1604,6000,1624xe" filled="true" fillcolor="#000000" stroked="false">
                <v:path arrowok="t"/>
                <v:fill type="solid"/>
              </v:shape>
            </v:group>
            <v:group style="position:absolute;left:6000;top:1624;width:10;height:20" coordorigin="6000,1624" coordsize="10,20">
              <v:shape style="position:absolute;left:6000;top:1624;width:10;height:20" coordorigin="6000,1624" coordsize="10,20" path="m6000,1643l6009,1643,6009,1624,6000,1624,6000,1643xe" filled="true" fillcolor="#000000" stroked="false">
                <v:path arrowok="t"/>
                <v:fill type="solid"/>
              </v:shape>
            </v:group>
            <v:group style="position:absolute;left:6000;top:1643;width:10;height:20" coordorigin="6000,1643" coordsize="10,20">
              <v:shape style="position:absolute;left:6000;top:1643;width:10;height:20" coordorigin="6000,1643" coordsize="10,20" path="m6000,1662l6009,1662,6009,1643,6000,1643,6000,1662xe" filled="true" fillcolor="#000000" stroked="false">
                <v:path arrowok="t"/>
                <v:fill type="solid"/>
              </v:shape>
            </v:group>
            <v:group style="position:absolute;left:6000;top:1662;width:10;height:20" coordorigin="6000,1662" coordsize="10,20">
              <v:shape style="position:absolute;left:6000;top:1662;width:10;height:20" coordorigin="6000,1662" coordsize="10,20" path="m6000,1681l6009,1681,6009,1662,6000,1662,6000,1681xe" filled="true" fillcolor="#000000" stroked="false">
                <v:path arrowok="t"/>
                <v:fill type="solid"/>
              </v:shape>
            </v:group>
            <v:group style="position:absolute;left:6000;top:1681;width:10;height:20" coordorigin="6000,1681" coordsize="10,20">
              <v:shape style="position:absolute;left:6000;top:1681;width:10;height:20" coordorigin="6000,1681" coordsize="10,20" path="m6000,1700l6009,1700,6009,1681,6000,1681,6000,1700xe" filled="true" fillcolor="#000000" stroked="false">
                <v:path arrowok="t"/>
                <v:fill type="solid"/>
              </v:shape>
            </v:group>
            <v:group style="position:absolute;left:6000;top:1700;width:10;height:20" coordorigin="6000,1700" coordsize="10,20">
              <v:shape style="position:absolute;left:6000;top:1700;width:10;height:20" coordorigin="6000,1700" coordsize="10,20" path="m6000,1720l6009,1720,6009,1700,6000,1700,6000,1720xe" filled="true" fillcolor="#000000" stroked="false">
                <v:path arrowok="t"/>
                <v:fill type="solid"/>
              </v:shape>
            </v:group>
            <v:group style="position:absolute;left:6000;top:1720;width:10;height:20" coordorigin="6000,1720" coordsize="10,20">
              <v:shape style="position:absolute;left:6000;top:1720;width:10;height:20" coordorigin="6000,1720" coordsize="10,20" path="m6000,1739l6009,1739,6009,1720,6000,1720,6000,1739xe" filled="true" fillcolor="#000000" stroked="false">
                <v:path arrowok="t"/>
                <v:fill type="solid"/>
              </v:shape>
            </v:group>
            <v:group style="position:absolute;left:6000;top:1739;width:10;height:20" coordorigin="6000,1739" coordsize="10,20">
              <v:shape style="position:absolute;left:6000;top:1739;width:10;height:20" coordorigin="6000,1739" coordsize="10,20" path="m6000,1758l6009,1758,6009,1739,6000,1739,6000,1758xe" filled="true" fillcolor="#000000" stroked="false">
                <v:path arrowok="t"/>
                <v:fill type="solid"/>
              </v:shape>
            </v:group>
            <v:group style="position:absolute;left:6000;top:1758;width:10;height:20" coordorigin="6000,1758" coordsize="10,20">
              <v:shape style="position:absolute;left:6000;top:1758;width:10;height:20" coordorigin="6000,1758" coordsize="10,20" path="m6000,1777l6009,1777,6009,1758,6000,1758,6000,1777xe" filled="true" fillcolor="#000000" stroked="false">
                <v:path arrowok="t"/>
                <v:fill type="solid"/>
              </v:shape>
            </v:group>
            <v:group style="position:absolute;left:6000;top:1777;width:10;height:20" coordorigin="6000,1777" coordsize="10,20">
              <v:shape style="position:absolute;left:6000;top:1777;width:10;height:20" coordorigin="6000,1777" coordsize="10,20" path="m6000,1796l6009,1796,6009,1777,6000,1777,6000,1796xe" filled="true" fillcolor="#000000" stroked="false">
                <v:path arrowok="t"/>
                <v:fill type="solid"/>
              </v:shape>
            </v:group>
            <v:group style="position:absolute;left:6000;top:1796;width:10;height:20" coordorigin="6000,1796" coordsize="10,20">
              <v:shape style="position:absolute;left:6000;top:1796;width:10;height:20" coordorigin="6000,1796" coordsize="10,20" path="m6000,1816l6009,1816,6009,1796,6000,1796,6000,1816xe" filled="true" fillcolor="#000000" stroked="false">
                <v:path arrowok="t"/>
                <v:fill type="solid"/>
              </v:shape>
            </v:group>
            <v:group style="position:absolute;left:6000;top:1816;width:10;height:20" coordorigin="6000,1816" coordsize="10,20">
              <v:shape style="position:absolute;left:6000;top:1816;width:10;height:20" coordorigin="6000,1816" coordsize="10,20" path="m6000,1835l6009,1835,6009,1816,6000,1816,6000,1835xe" filled="true" fillcolor="#000000" stroked="false">
                <v:path arrowok="t"/>
                <v:fill type="solid"/>
              </v:shape>
            </v:group>
            <v:group style="position:absolute;left:6000;top:1835;width:10;height:20" coordorigin="6000,1835" coordsize="10,20">
              <v:shape style="position:absolute;left:6000;top:1835;width:10;height:20" coordorigin="6000,1835" coordsize="10,20" path="m6000,1854l6009,1854,6009,1835,6000,1835,6000,1854xe" filled="true" fillcolor="#000000" stroked="false">
                <v:path arrowok="t"/>
                <v:fill type="solid"/>
              </v:shape>
            </v:group>
            <v:group style="position:absolute;left:6000;top:1854;width:10;height:20" coordorigin="6000,1854" coordsize="10,20">
              <v:shape style="position:absolute;left:6000;top:1854;width:10;height:20" coordorigin="6000,1854" coordsize="10,20" path="m6000,1873l6009,1873,6009,1854,6000,1854,6000,1873xe" filled="true" fillcolor="#000000" stroked="false">
                <v:path arrowok="t"/>
                <v:fill type="solid"/>
              </v:shape>
            </v:group>
            <v:group style="position:absolute;left:6000;top:1873;width:10;height:20" coordorigin="6000,1873" coordsize="10,20">
              <v:shape style="position:absolute;left:6000;top:1873;width:10;height:20" coordorigin="6000,1873" coordsize="10,20" path="m6000,1892l6009,1892,6009,1873,6000,1873,6000,1892xe" filled="true" fillcolor="#000000" stroked="false">
                <v:path arrowok="t"/>
                <v:fill type="solid"/>
              </v:shape>
            </v:group>
            <v:group style="position:absolute;left:6000;top:1892;width:10;height:20" coordorigin="6000,1892" coordsize="10,20">
              <v:shape style="position:absolute;left:6000;top:1892;width:10;height:20" coordorigin="6000,1892" coordsize="10,20" path="m6000,1912l6009,1912,6009,1892,6000,1892,6000,1912xe" filled="true" fillcolor="#000000"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4978"/>
        <w:gridCol w:w="4877"/>
      </w:tblGrid>
      <w:tr>
        <w:trPr>
          <w:trHeight w:val="822" w:hRule="exact"/>
        </w:trPr>
        <w:tc>
          <w:tcPr>
            <w:tcW w:w="4978" w:type="dxa"/>
            <w:tcBorders>
              <w:top w:val="single" w:sz="12" w:space="0" w:color="000000"/>
              <w:left w:val="nil" w:sz="6" w:space="0" w:color="auto"/>
              <w:bottom w:val="single" w:sz="4" w:space="0" w:color="000000"/>
              <w:right w:val="nil" w:sz="6" w:space="0" w:color="auto"/>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877" w:type="dxa"/>
            <w:tcBorders>
              <w:top w:val="single" w:sz="12" w:space="0" w:color="000000"/>
              <w:left w:val="nil" w:sz="6" w:space="0" w:color="auto"/>
              <w:bottom w:val="single" w:sz="4" w:space="0" w:color="000000"/>
              <w:right w:val="nil" w:sz="6" w:space="0" w:color="auto"/>
            </w:tcBorders>
          </w:tcPr>
          <w:p>
            <w:pPr>
              <w:pStyle w:val="TableParagraph"/>
              <w:spacing w:line="240" w:lineRule="auto" w:before="157"/>
              <w:ind w:left="1263"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131" w:hRule="exact"/>
        </w:trPr>
        <w:tc>
          <w:tcPr>
            <w:tcW w:w="4978" w:type="dxa"/>
            <w:tcBorders>
              <w:top w:val="single" w:sz="4" w:space="0" w:color="000000"/>
              <w:left w:val="nil" w:sz="6" w:space="0" w:color="auto"/>
              <w:bottom w:val="single" w:sz="4" w:space="0" w:color="000000"/>
              <w:right w:val="single" w:sz="4" w:space="0" w:color="000000"/>
            </w:tcBorders>
          </w:tcPr>
          <w:p>
            <w:pPr>
              <w:pStyle w:val="TableParagraph"/>
              <w:spacing w:line="386" w:lineRule="auto" w:before="117"/>
              <w:ind w:left="108" w:right="108"/>
              <w:jc w:val="both"/>
              <w:rPr>
                <w:rFonts w:ascii="宋体" w:hAnsi="宋体" w:cs="宋体" w:eastAsia="宋体" w:hint="default"/>
                <w:sz w:val="18"/>
                <w:szCs w:val="18"/>
              </w:rPr>
            </w:pPr>
            <w:r>
              <w:rPr>
                <w:rFonts w:ascii="宋体" w:hAnsi="宋体" w:cs="宋体" w:eastAsia="宋体" w:hint="default"/>
                <w:spacing w:val="2"/>
                <w:sz w:val="18"/>
                <w:szCs w:val="18"/>
              </w:rPr>
              <w:t>评估相关客户的信用情况，包括可获抵押或质押物状况以及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实际还款情况等因素。</w:t>
            </w:r>
          </w:p>
          <w:p>
            <w:pPr>
              <w:pStyle w:val="TableParagraph"/>
              <w:spacing w:line="388" w:lineRule="auto" w:before="74"/>
              <w:ind w:left="108" w:right="108"/>
              <w:jc w:val="both"/>
              <w:rPr>
                <w:rFonts w:ascii="宋体" w:hAnsi="宋体" w:cs="宋体" w:eastAsia="宋体" w:hint="default"/>
                <w:sz w:val="18"/>
                <w:szCs w:val="18"/>
              </w:rPr>
            </w:pPr>
            <w:r>
              <w:rPr>
                <w:rFonts w:ascii="宋体" w:hAnsi="宋体" w:cs="宋体" w:eastAsia="宋体" w:hint="default"/>
                <w:spacing w:val="2"/>
                <w:sz w:val="18"/>
                <w:szCs w:val="18"/>
              </w:rPr>
              <w:t>由于苏州恒久公司管理层在确定应收账款预计可收回金额时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需要运用重大会计估计和判断，且影响金额重大，因此我们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确认应收账款的可收回性为关键审计事项。</w:t>
            </w:r>
          </w:p>
        </w:tc>
        <w:tc>
          <w:tcPr>
            <w:tcW w:w="4877" w:type="dxa"/>
            <w:tcBorders>
              <w:top w:val="single" w:sz="4" w:space="0" w:color="000000"/>
              <w:left w:val="single" w:sz="4" w:space="0" w:color="000000"/>
              <w:bottom w:val="single" w:sz="4" w:space="0" w:color="000000"/>
              <w:right w:val="nil" w:sz="6" w:space="0" w:color="auto"/>
            </w:tcBorders>
          </w:tcPr>
          <w:p>
            <w:pPr>
              <w:pStyle w:val="TableParagraph"/>
              <w:spacing w:line="386" w:lineRule="auto" w:before="117"/>
              <w:ind w:left="103" w:right="112"/>
              <w:jc w:val="left"/>
              <w:rPr>
                <w:rFonts w:ascii="宋体" w:hAnsi="宋体" w:cs="宋体" w:eastAsia="宋体" w:hint="default"/>
                <w:sz w:val="18"/>
                <w:szCs w:val="18"/>
              </w:rPr>
            </w:pPr>
            <w:r>
              <w:rPr>
                <w:rFonts w:ascii="宋体" w:hAnsi="宋体" w:cs="宋体" w:eastAsia="宋体" w:hint="default"/>
                <w:sz w:val="18"/>
                <w:szCs w:val="18"/>
              </w:rPr>
              <w:t>合理性； </w:t>
            </w:r>
            <w:r>
              <w:rPr>
                <w:rFonts w:ascii="宋体" w:hAnsi="宋体" w:cs="宋体" w:eastAsia="宋体" w:hint="default"/>
                <w:sz w:val="18"/>
                <w:szCs w:val="18"/>
              </w:rPr>
              <w:t>4</w:t>
            </w:r>
            <w:r>
              <w:rPr>
                <w:rFonts w:ascii="宋体" w:hAnsi="宋体" w:cs="宋体" w:eastAsia="宋体" w:hint="default"/>
                <w:sz w:val="18"/>
                <w:szCs w:val="18"/>
              </w:rPr>
              <w:t>、对于苏州恒久公司按照信用风险特征组合计提坏账准备 的应收账款，评价管理层确定的坏账准备计提比例是否合 理； </w:t>
            </w:r>
            <w:r>
              <w:rPr>
                <w:rFonts w:ascii="宋体" w:hAnsi="宋体" w:cs="宋体" w:eastAsia="宋体" w:hint="default"/>
                <w:sz w:val="18"/>
                <w:szCs w:val="18"/>
              </w:rPr>
              <w:t>5</w:t>
            </w:r>
            <w:r>
              <w:rPr>
                <w:rFonts w:ascii="宋体" w:hAnsi="宋体" w:cs="宋体" w:eastAsia="宋体" w:hint="default"/>
                <w:sz w:val="18"/>
                <w:szCs w:val="18"/>
              </w:rPr>
              <w:t>、实施函证程序，并将函证结果与苏州恒久公司记录的金 额进行了核对；</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2"/>
                <w:sz w:val="18"/>
                <w:szCs w:val="18"/>
              </w:rPr>
              <w:t>6</w:t>
            </w:r>
            <w:r>
              <w:rPr>
                <w:rFonts w:ascii="宋体" w:hAnsi="宋体" w:cs="宋体" w:eastAsia="宋体" w:hint="default"/>
                <w:spacing w:val="2"/>
                <w:sz w:val="18"/>
                <w:szCs w:val="18"/>
              </w:rPr>
              <w:t>、结合期后回款情况检查，评价苏州恒久公司坏账准备计</w:t>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提的合理性。</w:t>
            </w:r>
          </w:p>
        </w:tc>
      </w:tr>
      <w:tr>
        <w:trPr>
          <w:trHeight w:val="469" w:hRule="exact"/>
        </w:trPr>
        <w:tc>
          <w:tcPr>
            <w:tcW w:w="4978" w:type="dxa"/>
            <w:tcBorders>
              <w:top w:val="single" w:sz="4" w:space="0" w:color="000000"/>
              <w:left w:val="nil" w:sz="6" w:space="0" w:color="auto"/>
              <w:bottom w:val="single" w:sz="4" w:space="0" w:color="000000"/>
              <w:right w:val="nil" w:sz="6" w:space="0" w:color="auto"/>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b/>
                <w:bCs/>
                <w:sz w:val="18"/>
                <w:szCs w:val="18"/>
              </w:rPr>
              <w:t>（二）存货跌价准备的计提</w:t>
            </w:r>
            <w:r>
              <w:rPr>
                <w:rFonts w:ascii="宋体" w:hAnsi="宋体" w:cs="宋体" w:eastAsia="宋体" w:hint="default"/>
                <w:sz w:val="18"/>
                <w:szCs w:val="18"/>
              </w:rPr>
            </w:r>
          </w:p>
        </w:tc>
        <w:tc>
          <w:tcPr>
            <w:tcW w:w="4877" w:type="dxa"/>
            <w:tcBorders>
              <w:top w:val="single" w:sz="4" w:space="0" w:color="000000"/>
              <w:left w:val="nil" w:sz="6" w:space="0" w:color="auto"/>
              <w:bottom w:val="single" w:sz="4" w:space="0" w:color="000000"/>
              <w:right w:val="nil" w:sz="6" w:space="0" w:color="auto"/>
            </w:tcBorders>
          </w:tcPr>
          <w:p>
            <w:pPr/>
          </w:p>
        </w:tc>
      </w:tr>
      <w:tr>
        <w:trPr>
          <w:trHeight w:val="6381" w:hRule="exact"/>
        </w:trPr>
        <w:tc>
          <w:tcPr>
            <w:tcW w:w="49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386" w:lineRule="auto"/>
              <w:ind w:left="108" w:right="100"/>
              <w:jc w:val="both"/>
              <w:rPr>
                <w:rFonts w:ascii="宋体" w:hAnsi="宋体" w:cs="宋体" w:eastAsia="宋体" w:hint="default"/>
                <w:sz w:val="18"/>
                <w:szCs w:val="18"/>
              </w:rPr>
            </w:pPr>
            <w:r>
              <w:rPr>
                <w:rFonts w:ascii="宋体" w:hAnsi="宋体" w:cs="宋体" w:eastAsia="宋体" w:hint="default"/>
                <w:sz w:val="18"/>
                <w:szCs w:val="18"/>
              </w:rPr>
              <w:t>请参阅后附苏州恒久公司财务报表附注</w:t>
            </w:r>
            <w:r>
              <w:rPr>
                <w:rFonts w:ascii="宋体" w:hAnsi="宋体" w:cs="宋体" w:eastAsia="宋体" w:hint="default"/>
                <w:spacing w:val="-8"/>
                <w:sz w:val="18"/>
                <w:szCs w:val="18"/>
              </w:rPr>
              <w:t> </w:t>
            </w:r>
            <w:r>
              <w:rPr>
                <w:rFonts w:ascii="宋体" w:hAnsi="宋体" w:cs="宋体" w:eastAsia="宋体" w:hint="default"/>
                <w:sz w:val="18"/>
                <w:szCs w:val="18"/>
              </w:rPr>
              <w:t>“三、重要会计政策</w:t>
            </w:r>
            <w:r>
              <w:rPr>
                <w:rFonts w:ascii="宋体" w:hAnsi="宋体" w:cs="宋体" w:eastAsia="宋体" w:hint="default"/>
                <w:sz w:val="18"/>
                <w:szCs w:val="18"/>
              </w:rPr>
              <w:t> 及会计估计”之十一所述的会计政策及</w:t>
            </w:r>
            <w:r>
              <w:rPr>
                <w:rFonts w:ascii="宋体" w:hAnsi="宋体" w:cs="宋体" w:eastAsia="宋体" w:hint="default"/>
                <w:spacing w:val="-9"/>
                <w:sz w:val="18"/>
                <w:szCs w:val="18"/>
              </w:rPr>
              <w:t> </w:t>
            </w:r>
            <w:r>
              <w:rPr>
                <w:rFonts w:ascii="宋体" w:hAnsi="宋体" w:cs="宋体" w:eastAsia="宋体" w:hint="default"/>
                <w:sz w:val="18"/>
                <w:szCs w:val="18"/>
              </w:rPr>
              <w:t>“五、合并财务报表</w:t>
            </w:r>
            <w:r>
              <w:rPr>
                <w:rFonts w:ascii="宋体" w:hAnsi="宋体" w:cs="宋体" w:eastAsia="宋体" w:hint="default"/>
                <w:sz w:val="18"/>
                <w:szCs w:val="18"/>
              </w:rPr>
              <w:t> 项目注释”之（七）存货的内容。</w:t>
            </w:r>
          </w:p>
          <w:p>
            <w:pPr>
              <w:pStyle w:val="TableParagraph"/>
              <w:spacing w:line="240" w:lineRule="auto" w:before="73"/>
              <w:ind w:left="108"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宋体" w:hAnsi="宋体" w:cs="宋体" w:eastAsia="宋体" w:hint="default"/>
                <w:sz w:val="18"/>
                <w:szCs w:val="18"/>
              </w:rPr>
              <w:t>31</w:t>
            </w:r>
            <w:r>
              <w:rPr>
                <w:rFonts w:ascii="宋体" w:hAnsi="宋体" w:cs="宋体" w:eastAsia="宋体" w:hint="default"/>
                <w:spacing w:val="-2"/>
                <w:sz w:val="18"/>
                <w:szCs w:val="18"/>
              </w:rPr>
              <w:t> </w:t>
            </w:r>
            <w:r>
              <w:rPr>
                <w:rFonts w:ascii="宋体" w:hAnsi="宋体" w:cs="宋体" w:eastAsia="宋体" w:hint="default"/>
                <w:sz w:val="18"/>
                <w:szCs w:val="18"/>
              </w:rPr>
              <w:t>日，苏州恒久公司合并财务报表中存货</w:t>
            </w:r>
          </w:p>
          <w:p>
            <w:pPr>
              <w:pStyle w:val="TableParagraph"/>
              <w:spacing w:line="240" w:lineRule="auto" w:before="143"/>
              <w:ind w:left="108" w:right="0"/>
              <w:jc w:val="both"/>
              <w:rPr>
                <w:rFonts w:ascii="宋体" w:hAnsi="宋体" w:cs="宋体" w:eastAsia="宋体" w:hint="default"/>
                <w:sz w:val="18"/>
                <w:szCs w:val="18"/>
              </w:rPr>
            </w:pPr>
            <w:r>
              <w:rPr>
                <w:rFonts w:ascii="宋体" w:hAnsi="宋体" w:cs="宋体" w:eastAsia="宋体" w:hint="default"/>
                <w:spacing w:val="10"/>
                <w:sz w:val="18"/>
                <w:szCs w:val="18"/>
              </w:rPr>
              <w:t>账面余额为 </w:t>
            </w:r>
            <w:r>
              <w:rPr>
                <w:rFonts w:ascii="宋体" w:hAnsi="宋体" w:cs="宋体" w:eastAsia="宋体" w:hint="default"/>
                <w:sz w:val="18"/>
                <w:szCs w:val="18"/>
              </w:rPr>
              <w:t>9,582.46</w:t>
            </w:r>
            <w:r>
              <w:rPr>
                <w:rFonts w:ascii="宋体" w:hAnsi="宋体" w:cs="宋体" w:eastAsia="宋体" w:hint="default"/>
                <w:spacing w:val="30"/>
                <w:sz w:val="18"/>
                <w:szCs w:val="18"/>
              </w:rPr>
              <w:t> </w:t>
            </w:r>
            <w:r>
              <w:rPr>
                <w:rFonts w:ascii="宋体" w:hAnsi="宋体" w:cs="宋体" w:eastAsia="宋体" w:hint="default"/>
                <w:spacing w:val="11"/>
                <w:sz w:val="18"/>
                <w:szCs w:val="18"/>
              </w:rPr>
              <w:t>万元，计提的存货跌价准备金额为</w:t>
            </w:r>
          </w:p>
          <w:p>
            <w:pPr>
              <w:pStyle w:val="TableParagraph"/>
              <w:spacing w:line="388" w:lineRule="auto" w:before="145"/>
              <w:ind w:left="108" w:right="101"/>
              <w:jc w:val="both"/>
              <w:rPr>
                <w:rFonts w:ascii="宋体" w:hAnsi="宋体" w:cs="宋体" w:eastAsia="宋体" w:hint="default"/>
                <w:sz w:val="18"/>
                <w:szCs w:val="18"/>
              </w:rPr>
            </w:pPr>
            <w:r>
              <w:rPr>
                <w:rFonts w:ascii="宋体" w:hAnsi="宋体" w:cs="宋体" w:eastAsia="宋体" w:hint="default"/>
                <w:sz w:val="18"/>
                <w:szCs w:val="18"/>
              </w:rPr>
              <w:t>187.64</w:t>
            </w:r>
            <w:r>
              <w:rPr>
                <w:rFonts w:ascii="宋体" w:hAnsi="宋体" w:cs="宋体" w:eastAsia="宋体" w:hint="default"/>
                <w:spacing w:val="-8"/>
                <w:sz w:val="18"/>
                <w:szCs w:val="18"/>
              </w:rPr>
              <w:t> </w:t>
            </w:r>
            <w:r>
              <w:rPr>
                <w:rFonts w:ascii="宋体" w:hAnsi="宋体" w:cs="宋体" w:eastAsia="宋体" w:hint="default"/>
                <w:sz w:val="18"/>
                <w:szCs w:val="18"/>
              </w:rPr>
              <w:t>万元，期末存货采用成本与可变现净值孰低的方法进 行计量，存货跌价准备计提是否充分对财务报表影响重大。</w:t>
            </w:r>
          </w:p>
          <w:p>
            <w:pPr>
              <w:pStyle w:val="TableParagraph"/>
              <w:spacing w:line="408" w:lineRule="auto" w:before="71"/>
              <w:ind w:left="108" w:right="105"/>
              <w:jc w:val="left"/>
              <w:rPr>
                <w:rFonts w:ascii="宋体" w:hAnsi="宋体" w:cs="宋体" w:eastAsia="宋体" w:hint="default"/>
                <w:sz w:val="18"/>
                <w:szCs w:val="18"/>
              </w:rPr>
            </w:pPr>
            <w:r>
              <w:rPr>
                <w:rFonts w:ascii="宋体" w:hAnsi="宋体" w:cs="宋体" w:eastAsia="宋体" w:hint="default"/>
                <w:spacing w:val="2"/>
                <w:sz w:val="18"/>
                <w:szCs w:val="18"/>
              </w:rPr>
              <w:t>苏州恒久公司以存货的估计售价减去估计的销售费用和相关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税费后的金额，确定其可变现净值。 </w:t>
            </w:r>
            <w:r>
              <w:rPr>
                <w:rFonts w:ascii="宋体" w:hAnsi="宋体" w:cs="宋体" w:eastAsia="宋体" w:hint="default"/>
                <w:spacing w:val="2"/>
                <w:sz w:val="18"/>
                <w:szCs w:val="18"/>
              </w:rPr>
              <w:t>管理层以存货的状态估计其预计售价，在估计过程中管理层</w:t>
            </w:r>
          </w:p>
          <w:p>
            <w:pPr>
              <w:pStyle w:val="TableParagraph"/>
              <w:spacing w:line="240" w:lineRule="auto" w:before="20"/>
              <w:ind w:left="108" w:right="0"/>
              <w:jc w:val="both"/>
              <w:rPr>
                <w:rFonts w:ascii="宋体" w:hAnsi="宋体" w:cs="宋体" w:eastAsia="宋体" w:hint="default"/>
                <w:sz w:val="18"/>
                <w:szCs w:val="18"/>
              </w:rPr>
            </w:pPr>
            <w:r>
              <w:rPr>
                <w:rFonts w:ascii="宋体" w:hAnsi="宋体" w:cs="宋体" w:eastAsia="宋体" w:hint="default"/>
                <w:sz w:val="18"/>
                <w:szCs w:val="18"/>
              </w:rPr>
              <w:t>需要运用重大判断。</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86" w:lineRule="auto" w:before="132"/>
              <w:ind w:left="108" w:right="101"/>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日存货账面金额较大，并且涉及可变现净 </w:t>
            </w:r>
            <w:r>
              <w:rPr>
                <w:rFonts w:ascii="宋体" w:hAnsi="宋体" w:cs="宋体" w:eastAsia="宋体" w:hint="default"/>
                <w:spacing w:val="2"/>
                <w:sz w:val="18"/>
                <w:szCs w:val="18"/>
              </w:rPr>
              <w:t>值的估计，因此我们将其确定存货跌价准备的计提为关键审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计事项。</w:t>
            </w:r>
          </w:p>
        </w:tc>
        <w:tc>
          <w:tcPr>
            <w:tcW w:w="4877" w:type="dxa"/>
            <w:tcBorders>
              <w:top w:val="single" w:sz="4" w:space="0" w:color="000000"/>
              <w:left w:val="single" w:sz="4" w:space="0" w:color="000000"/>
              <w:bottom w:val="single" w:sz="12" w:space="0" w:color="000000"/>
              <w:right w:val="nil" w:sz="6" w:space="0" w:color="auto"/>
            </w:tcBorders>
          </w:tcPr>
          <w:p>
            <w:pPr>
              <w:pStyle w:val="TableParagraph"/>
              <w:spacing w:line="408" w:lineRule="auto" w:before="158"/>
              <w:ind w:left="103" w:right="112"/>
              <w:jc w:val="left"/>
              <w:rPr>
                <w:rFonts w:ascii="宋体" w:hAnsi="宋体" w:cs="宋体" w:eastAsia="宋体" w:hint="default"/>
                <w:sz w:val="18"/>
                <w:szCs w:val="18"/>
              </w:rPr>
            </w:pPr>
            <w:r>
              <w:rPr>
                <w:rFonts w:ascii="宋体" w:hAnsi="宋体" w:cs="宋体" w:eastAsia="宋体" w:hint="default"/>
                <w:sz w:val="18"/>
                <w:szCs w:val="18"/>
              </w:rPr>
              <w:t>我们就存货跌价准备实施的审计程序包括： </w:t>
            </w:r>
            <w:r>
              <w:rPr>
                <w:rFonts w:ascii="宋体" w:hAnsi="宋体" w:cs="宋体" w:eastAsia="宋体" w:hint="default"/>
                <w:spacing w:val="2"/>
                <w:sz w:val="18"/>
                <w:szCs w:val="18"/>
              </w:rPr>
              <w:t>1</w:t>
            </w:r>
            <w:r>
              <w:rPr>
                <w:rFonts w:ascii="宋体" w:hAnsi="宋体" w:cs="宋体" w:eastAsia="宋体" w:hint="default"/>
                <w:spacing w:val="2"/>
                <w:sz w:val="18"/>
                <w:szCs w:val="18"/>
              </w:rPr>
              <w:t>、对苏州恒久公司存货跌价准备相关的内部控制的设计与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运行进行了评估；</w:t>
            </w:r>
          </w:p>
          <w:p>
            <w:pPr>
              <w:pStyle w:val="TableParagraph"/>
              <w:spacing w:line="408" w:lineRule="auto" w:before="57"/>
              <w:ind w:left="103" w:right="107"/>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、对苏州恒久公司的存货实施监盘，检查存货的数量及状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况，并对库龄较长的存货进行检查； </w:t>
            </w:r>
            <w:r>
              <w:rPr>
                <w:rFonts w:ascii="宋体" w:hAnsi="宋体" w:cs="宋体" w:eastAsia="宋体" w:hint="default"/>
                <w:spacing w:val="2"/>
                <w:sz w:val="18"/>
                <w:szCs w:val="18"/>
              </w:rPr>
              <w:t>3</w:t>
            </w:r>
            <w:r>
              <w:rPr>
                <w:rFonts w:ascii="宋体" w:hAnsi="宋体" w:cs="宋体" w:eastAsia="宋体" w:hint="default"/>
                <w:spacing w:val="2"/>
                <w:sz w:val="18"/>
                <w:szCs w:val="18"/>
              </w:rPr>
              <w:t>、获取苏州恒久公司存货跌价准备计算表，检查是否按苏</w:t>
            </w:r>
          </w:p>
          <w:p>
            <w:pPr>
              <w:pStyle w:val="TableParagraph"/>
              <w:spacing w:line="388" w:lineRule="auto" w:before="19"/>
              <w:ind w:left="103" w:right="102"/>
              <w:jc w:val="both"/>
              <w:rPr>
                <w:rFonts w:ascii="宋体" w:hAnsi="宋体" w:cs="宋体" w:eastAsia="宋体" w:hint="default"/>
                <w:sz w:val="18"/>
                <w:szCs w:val="18"/>
              </w:rPr>
            </w:pPr>
            <w:r>
              <w:rPr>
                <w:rFonts w:ascii="宋体" w:hAnsi="宋体" w:cs="宋体" w:eastAsia="宋体" w:hint="default"/>
                <w:spacing w:val="-1"/>
                <w:sz w:val="18"/>
                <w:szCs w:val="18"/>
              </w:rPr>
              <w:t>州恒久公司相关会计政策执行，检查以前年度计提的存货跌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价准备本期的变化情况等，分析存货跌价准备计提是否充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w:t>
            </w:r>
          </w:p>
          <w:p>
            <w:pPr>
              <w:pStyle w:val="TableParagraph"/>
              <w:spacing w:line="386" w:lineRule="auto" w:before="71"/>
              <w:ind w:left="103" w:right="106"/>
              <w:jc w:val="both"/>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、对于能够获取公开市场销售价格的产品，独立查询公开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市场价格信息，将其与估计售价进行比较；对于无法获取公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开市场销售价格的产品，将产品估计售价与最近或期后的实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际售价进行比较；</w:t>
            </w:r>
          </w:p>
          <w:p>
            <w:pPr>
              <w:pStyle w:val="TableParagraph"/>
              <w:spacing w:line="386" w:lineRule="auto" w:before="73"/>
              <w:ind w:left="103" w:right="107"/>
              <w:jc w:val="left"/>
              <w:rPr>
                <w:rFonts w:ascii="宋体" w:hAnsi="宋体" w:cs="宋体" w:eastAsia="宋体" w:hint="default"/>
                <w:sz w:val="18"/>
                <w:szCs w:val="18"/>
              </w:rPr>
            </w:pPr>
            <w:r>
              <w:rPr>
                <w:rFonts w:ascii="宋体" w:hAnsi="宋体" w:cs="宋体" w:eastAsia="宋体" w:hint="default"/>
                <w:spacing w:val="2"/>
                <w:sz w:val="18"/>
                <w:szCs w:val="18"/>
              </w:rPr>
              <w:t>5</w:t>
            </w:r>
            <w:r>
              <w:rPr>
                <w:rFonts w:ascii="宋体" w:hAnsi="宋体" w:cs="宋体" w:eastAsia="宋体" w:hint="default"/>
                <w:spacing w:val="2"/>
                <w:sz w:val="18"/>
                <w:szCs w:val="18"/>
              </w:rPr>
              <w:t>、比较同类产品的历史销售费用和相关税费，对管理层估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计的销售费用和相关税费进行评估，并与资产负债表日后的</w:t>
            </w:r>
          </w:p>
          <w:p>
            <w:pPr>
              <w:pStyle w:val="TableParagraph"/>
              <w:spacing w:line="240" w:lineRule="auto" w:before="36"/>
              <w:ind w:left="103" w:right="0"/>
              <w:jc w:val="left"/>
              <w:rPr>
                <w:rFonts w:ascii="宋体" w:hAnsi="宋体" w:cs="宋体" w:eastAsia="宋体" w:hint="default"/>
                <w:sz w:val="18"/>
                <w:szCs w:val="18"/>
              </w:rPr>
            </w:pPr>
            <w:r>
              <w:rPr>
                <w:rFonts w:ascii="宋体" w:hAnsi="宋体" w:cs="宋体" w:eastAsia="宋体" w:hint="default"/>
                <w:sz w:val="18"/>
                <w:szCs w:val="18"/>
              </w:rPr>
              <w:t>实际发生额进行核对。</w:t>
            </w:r>
          </w:p>
        </w:tc>
      </w:tr>
    </w:tbl>
    <w:p>
      <w:pPr>
        <w:spacing w:line="240" w:lineRule="auto" w:before="1"/>
        <w:rPr>
          <w:rFonts w:ascii="宋体" w:hAnsi="宋体" w:cs="宋体" w:eastAsia="宋体" w:hint="default"/>
          <w:sz w:val="7"/>
          <w:szCs w:val="7"/>
        </w:rPr>
      </w:pPr>
    </w:p>
    <w:p>
      <w:pPr>
        <w:pStyle w:val="Heading4"/>
        <w:spacing w:line="240" w:lineRule="auto" w:before="44"/>
        <w:ind w:left="575" w:right="1028"/>
        <w:jc w:val="left"/>
        <w:rPr>
          <w:b w:val="0"/>
          <w:bCs w:val="0"/>
        </w:rPr>
      </w:pPr>
      <w:bookmarkStart w:name="四、其他信息" w:id="160"/>
      <w:bookmarkEnd w:id="160"/>
      <w:r>
        <w:rPr>
          <w:b w:val="0"/>
          <w:bCs w:val="0"/>
        </w:rPr>
      </w:r>
      <w:r>
        <w:rPr/>
        <w:t>四、其他信息</w:t>
      </w:r>
      <w:r>
        <w:rPr>
          <w:b w:val="0"/>
          <w:bCs w:val="0"/>
        </w:rPr>
      </w:r>
    </w:p>
    <w:p>
      <w:pPr>
        <w:spacing w:line="240" w:lineRule="auto" w:before="6"/>
        <w:rPr>
          <w:rFonts w:ascii="宋体" w:hAnsi="宋体" w:cs="宋体" w:eastAsia="宋体" w:hint="default"/>
          <w:b/>
          <w:bCs/>
          <w:sz w:val="24"/>
          <w:szCs w:val="24"/>
        </w:rPr>
      </w:pPr>
    </w:p>
    <w:p>
      <w:pPr>
        <w:pStyle w:val="BodyText"/>
        <w:spacing w:line="566" w:lineRule="auto"/>
        <w:ind w:left="573" w:right="1028"/>
        <w:jc w:val="left"/>
      </w:pPr>
      <w:bookmarkStart w:name="苏州恒久管理层对其他信息负责。其他信息包括2017年年度报告中涵盖的信息，但不包" w:id="161"/>
      <w:bookmarkEnd w:id="161"/>
      <w:r>
        <w:rPr/>
      </w:r>
      <w:r>
        <w:rPr>
          <w:spacing w:val="-2"/>
        </w:rPr>
        <w:t>苏州恒久管理层对其他信息负责。其他信息包括</w:t>
      </w:r>
      <w:r>
        <w:rPr>
          <w:spacing w:val="-37"/>
        </w:rPr>
        <w:t> </w:t>
      </w:r>
      <w:r>
        <w:rPr>
          <w:rFonts w:ascii="宋体" w:hAnsi="宋体" w:cs="宋体" w:eastAsia="宋体" w:hint="default"/>
        </w:rPr>
        <w:t>2017</w:t>
      </w:r>
      <w:r>
        <w:rPr>
          <w:rFonts w:ascii="宋体" w:hAnsi="宋体" w:cs="宋体" w:eastAsia="宋体" w:hint="default"/>
          <w:spacing w:val="-38"/>
        </w:rPr>
        <w:t> </w:t>
      </w:r>
      <w:r>
        <w:rPr>
          <w:spacing w:val="-2"/>
        </w:rPr>
        <w:t>年年度报告中涵盖的信息，但不包括财务报表和我们的审计报告。</w:t>
      </w:r>
      <w:r>
        <w:rPr/>
        <w:t> </w:t>
      </w:r>
      <w:bookmarkStart w:name="我们对财务报表发表的审计意见不涵盖其他信息，我们也不对其他信息发表任何形式的鉴证" w:id="162"/>
      <w:bookmarkEnd w:id="162"/>
      <w:r>
        <w:rPr/>
        <w:t>我们对财务报表发表的审计意见不涵盖其他信息，我们也不对其他信息发表任何形式</w:t>
      </w:r>
      <w:r>
        <w:rPr/>
        <w:t>的鉴证结论。</w:t>
      </w:r>
    </w:p>
    <w:p>
      <w:pPr>
        <w:pStyle w:val="BodyText"/>
        <w:spacing w:line="408" w:lineRule="auto" w:before="76"/>
        <w:ind w:left="213" w:right="1028" w:firstLine="360"/>
        <w:jc w:val="left"/>
      </w:pPr>
      <w:bookmarkStart w:name="结合我们对财务报表的审计，我们的责任是在能够获取上述其他信息时阅读这些信息，在此" w:id="163"/>
      <w:bookmarkEnd w:id="163"/>
      <w:r>
        <w:rPr/>
      </w:r>
      <w:r>
        <w:rPr>
          <w:spacing w:val="-2"/>
        </w:rPr>
        <w:t>结合我们对财务报表的审计，我们的责任是在能够获取上述其他信息时阅读这些信息，在此过程中，考虑其他信息是否</w:t>
      </w:r>
      <w:r>
        <w:rPr/>
        <w:t> 与财务报表或我们在审计过程中了解到的情况存在重大不一致或者似乎存在重大错报。</w:t>
      </w:r>
    </w:p>
    <w:p>
      <w:pPr>
        <w:spacing w:line="240" w:lineRule="auto" w:before="11"/>
        <w:rPr>
          <w:rFonts w:ascii="宋体" w:hAnsi="宋体" w:cs="宋体" w:eastAsia="宋体" w:hint="default"/>
          <w:sz w:val="14"/>
          <w:szCs w:val="14"/>
        </w:rPr>
      </w:pPr>
    </w:p>
    <w:p>
      <w:pPr>
        <w:pStyle w:val="BodyText"/>
        <w:spacing w:line="408" w:lineRule="auto"/>
        <w:ind w:left="213" w:right="1028" w:firstLine="360"/>
        <w:jc w:val="left"/>
      </w:pPr>
      <w:bookmarkStart w:name="基于我们已执行的工作，如果我们确定其他信息存在重大错报，我们应当报告该事实。在这" w:id="164"/>
      <w:bookmarkEnd w:id="164"/>
      <w:r>
        <w:rPr/>
      </w:r>
      <w:r>
        <w:rPr>
          <w:spacing w:val="-2"/>
        </w:rPr>
        <w:t>基于我们已执行的工作，如果我们确定其他信息存在重大错报，我们应当报告该事实。在这方面，我们无任何事项需要</w:t>
      </w:r>
      <w:r>
        <w:rPr/>
        <w:t> 报告。</w:t>
      </w:r>
    </w:p>
    <w:p>
      <w:pPr>
        <w:spacing w:after="0" w:line="408" w:lineRule="auto"/>
        <w:jc w:val="left"/>
        <w:sectPr>
          <w:pgSz w:w="11910" w:h="16840"/>
          <w:pgMar w:header="877" w:footer="979" w:top="1060" w:bottom="1160" w:left="9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ind w:right="0"/>
        <w:jc w:val="left"/>
        <w:rPr>
          <w:b w:val="0"/>
          <w:bCs w:val="0"/>
        </w:rPr>
      </w:pPr>
      <w:bookmarkStart w:name="五、管理层和治理层对财务报表的责任" w:id="165"/>
      <w:bookmarkEnd w:id="165"/>
      <w:r>
        <w:rPr>
          <w:b w:val="0"/>
          <w:bCs w:val="0"/>
        </w:rPr>
      </w:r>
      <w:r>
        <w:rPr/>
        <w:t>五、管理层和治理层对财务报表的责任</w:t>
      </w:r>
      <w:r>
        <w:rPr>
          <w:b w:val="0"/>
          <w:bCs w:val="0"/>
        </w:rPr>
      </w:r>
    </w:p>
    <w:p>
      <w:pPr>
        <w:spacing w:line="240" w:lineRule="auto" w:before="6"/>
        <w:rPr>
          <w:rFonts w:ascii="宋体" w:hAnsi="宋体" w:cs="宋体" w:eastAsia="宋体" w:hint="default"/>
          <w:b/>
          <w:bCs/>
          <w:sz w:val="24"/>
          <w:szCs w:val="24"/>
        </w:rPr>
      </w:pPr>
    </w:p>
    <w:p>
      <w:pPr>
        <w:pStyle w:val="BodyText"/>
        <w:spacing w:line="408" w:lineRule="auto"/>
        <w:ind w:right="0" w:firstLine="360"/>
        <w:jc w:val="left"/>
      </w:pPr>
      <w:bookmarkStart w:name="管理层负责按照企业会计准则的规定编制财务报表，使其实现公允反映，并设计、执行和维" w:id="166"/>
      <w:bookmarkEnd w:id="166"/>
      <w:r>
        <w:rPr/>
      </w:r>
      <w:r>
        <w:rPr>
          <w:spacing w:val="-2"/>
        </w:rPr>
        <w:t>管理层负责按照企业会计准则的规定编制财务报表，使其实现公允反映，并设计、执行和维护必要的内部控制，以使财</w:t>
      </w:r>
      <w:r>
        <w:rPr/>
        <w:t> 务报表不存在由于舞弊或错误导致的重大错报。</w:t>
      </w:r>
    </w:p>
    <w:p>
      <w:pPr>
        <w:spacing w:line="240" w:lineRule="auto" w:before="11"/>
        <w:rPr>
          <w:rFonts w:ascii="宋体" w:hAnsi="宋体" w:cs="宋体" w:eastAsia="宋体" w:hint="default"/>
          <w:sz w:val="14"/>
          <w:szCs w:val="14"/>
        </w:rPr>
      </w:pPr>
    </w:p>
    <w:p>
      <w:pPr>
        <w:pStyle w:val="BodyText"/>
        <w:spacing w:line="408" w:lineRule="auto"/>
        <w:ind w:right="1137" w:firstLine="360"/>
        <w:jc w:val="left"/>
      </w:pPr>
      <w:bookmarkStart w:name="在编制财务报表时，管理层负责评估苏州恒久公司的持续经营能力，披露与持续经营相关的" w:id="167"/>
      <w:bookmarkEnd w:id="167"/>
      <w:r>
        <w:rPr/>
      </w:r>
      <w:r>
        <w:rPr>
          <w:spacing w:val="-2"/>
        </w:rPr>
        <w:t>在编制财务报表时，管理层负责评估苏州恒久公司的持续经营能力，披露与持续经营相关的事项（如有），并运用持续</w:t>
      </w:r>
      <w:r>
        <w:rPr/>
        <w:t> 经营假设，除非计划进行清算、终止运营或别无其他现实的选择。</w:t>
      </w:r>
    </w:p>
    <w:p>
      <w:pPr>
        <w:spacing w:line="240" w:lineRule="auto" w:before="12"/>
        <w:rPr>
          <w:rFonts w:ascii="宋体" w:hAnsi="宋体" w:cs="宋体" w:eastAsia="宋体" w:hint="default"/>
          <w:sz w:val="14"/>
          <w:szCs w:val="14"/>
        </w:rPr>
      </w:pPr>
    </w:p>
    <w:p>
      <w:pPr>
        <w:pStyle w:val="BodyText"/>
        <w:spacing w:line="240" w:lineRule="auto"/>
        <w:ind w:left="513" w:right="0"/>
        <w:jc w:val="left"/>
      </w:pPr>
      <w:bookmarkStart w:name="治理层负责监督苏州恒久公司的财务报告过程。" w:id="168"/>
      <w:bookmarkEnd w:id="168"/>
      <w:r>
        <w:rPr/>
      </w:r>
      <w:r>
        <w:rPr/>
        <w:t>治理层负责监督苏州恒久公司的财务报告过程。</w:t>
      </w:r>
    </w:p>
    <w:p>
      <w:pPr>
        <w:spacing w:line="240" w:lineRule="auto" w:before="6"/>
        <w:rPr>
          <w:rFonts w:ascii="宋体" w:hAnsi="宋体" w:cs="宋体" w:eastAsia="宋体" w:hint="default"/>
          <w:sz w:val="24"/>
          <w:szCs w:val="24"/>
        </w:rPr>
      </w:pPr>
    </w:p>
    <w:p>
      <w:pPr>
        <w:spacing w:line="408" w:lineRule="auto" w:before="0"/>
        <w:ind w:left="513" w:right="0" w:firstLine="1"/>
        <w:jc w:val="left"/>
        <w:rPr>
          <w:rFonts w:ascii="宋体" w:hAnsi="宋体" w:cs="宋体" w:eastAsia="宋体" w:hint="default"/>
          <w:sz w:val="18"/>
          <w:szCs w:val="18"/>
        </w:rPr>
      </w:pPr>
      <w:bookmarkStart w:name="六、注册会计师对财务报表审计的责任" w:id="169"/>
      <w:bookmarkEnd w:id="169"/>
      <w:r>
        <w:rPr/>
      </w: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bookmarkStart w:name="我们的目标是对财务报表整体是否不存在由于舞弊或错误导致的重大错报获取合理保证，并" w:id="170"/>
      <w:bookmarkEnd w:id="170"/>
      <w:r>
        <w:rPr>
          <w:rFonts w:ascii="宋体" w:hAnsi="宋体" w:cs="宋体" w:eastAsia="宋体" w:hint="default"/>
          <w:b/>
          <w:bCs/>
          <w:w w:val="99"/>
          <w:sz w:val="18"/>
          <w:szCs w:val="18"/>
        </w:rPr>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408" w:lineRule="auto" w:before="39"/>
        <w:ind w:right="1131"/>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line="240" w:lineRule="auto" w:before="12"/>
        <w:rPr>
          <w:rFonts w:ascii="宋体" w:hAnsi="宋体" w:cs="宋体" w:eastAsia="宋体" w:hint="default"/>
          <w:sz w:val="14"/>
          <w:szCs w:val="14"/>
        </w:rPr>
      </w:pPr>
    </w:p>
    <w:p>
      <w:pPr>
        <w:pStyle w:val="BodyText"/>
        <w:spacing w:line="240" w:lineRule="auto"/>
        <w:ind w:left="513" w:right="0"/>
        <w:jc w:val="left"/>
      </w:pPr>
      <w:bookmarkStart w:name="在按照审计准则执行审计工作的过程中，我们运用职业判断，并保持职业怀疑。同时，我们" w:id="171"/>
      <w:bookmarkEnd w:id="171"/>
      <w:r>
        <w:rPr/>
      </w:r>
      <w:r>
        <w:rPr/>
        <w:t>在按照审计准则执行审计工作的过程中，我们运用职业判断，并保持职业怀疑。同时，我们也执行以下工作：</w:t>
      </w:r>
    </w:p>
    <w:p>
      <w:pPr>
        <w:spacing w:line="240" w:lineRule="auto" w:before="6"/>
        <w:rPr>
          <w:rFonts w:ascii="宋体" w:hAnsi="宋体" w:cs="宋体" w:eastAsia="宋体" w:hint="default"/>
          <w:sz w:val="24"/>
          <w:szCs w:val="24"/>
        </w:rPr>
      </w:pPr>
    </w:p>
    <w:p>
      <w:pPr>
        <w:pStyle w:val="BodyText"/>
        <w:spacing w:line="408" w:lineRule="auto"/>
        <w:ind w:left="154" w:right="1032" w:firstLine="360"/>
        <w:jc w:val="left"/>
      </w:pPr>
      <w:bookmarkStart w:name="（1）识别和评估由于舞弊或错误导致的财务报表重大错报风险，设计和实施审计程序以应" w:id="172"/>
      <w:bookmarkEnd w:id="172"/>
      <w:r>
        <w:rPr/>
      </w: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line="240" w:lineRule="auto" w:before="11"/>
        <w:rPr>
          <w:rFonts w:ascii="宋体" w:hAnsi="宋体" w:cs="宋体" w:eastAsia="宋体" w:hint="default"/>
          <w:sz w:val="14"/>
          <w:szCs w:val="14"/>
        </w:rPr>
      </w:pPr>
    </w:p>
    <w:p>
      <w:pPr>
        <w:pStyle w:val="BodyText"/>
        <w:spacing w:line="240" w:lineRule="auto"/>
        <w:ind w:left="513" w:right="0"/>
        <w:jc w:val="left"/>
      </w:pPr>
      <w:bookmarkStart w:name="（2）了解与审计相关的内部控制，以设计恰当的审计程序，但目的并非对内部控制的有效" w:id="173"/>
      <w:bookmarkEnd w:id="173"/>
      <w:r>
        <w:rPr/>
      </w:r>
      <w:r>
        <w:rPr/>
        <w:t>（</w:t>
      </w:r>
      <w:r>
        <w:rPr>
          <w:rFonts w:ascii="宋体" w:hAnsi="宋体" w:cs="宋体" w:eastAsia="宋体" w:hint="default"/>
        </w:rPr>
        <w:t>2</w:t>
      </w:r>
      <w:r>
        <w:rPr/>
        <w:t>）了解与审计相关的内部控制，以设计恰当的审计程序，但目的并非对内部控制的有效性发表意见。</w:t>
      </w:r>
    </w:p>
    <w:p>
      <w:pPr>
        <w:spacing w:line="240" w:lineRule="auto" w:before="6"/>
        <w:rPr>
          <w:rFonts w:ascii="宋体" w:hAnsi="宋体" w:cs="宋体" w:eastAsia="宋体" w:hint="default"/>
          <w:sz w:val="24"/>
          <w:szCs w:val="24"/>
        </w:rPr>
      </w:pPr>
    </w:p>
    <w:p>
      <w:pPr>
        <w:pStyle w:val="BodyText"/>
        <w:spacing w:line="240" w:lineRule="auto"/>
        <w:ind w:left="513" w:right="0"/>
        <w:jc w:val="left"/>
      </w:pPr>
      <w:bookmarkStart w:name="（3）评价管理层选用会计政策的恰当性和作出会计估计及相关披露的合理性。" w:id="174"/>
      <w:bookmarkEnd w:id="174"/>
      <w:r>
        <w:rPr/>
      </w:r>
      <w:r>
        <w:rPr/>
        <w:t>（</w:t>
      </w:r>
      <w:r>
        <w:rPr>
          <w:rFonts w:ascii="宋体" w:hAnsi="宋体" w:cs="宋体" w:eastAsia="宋体" w:hint="default"/>
        </w:rPr>
        <w:t>3</w:t>
      </w:r>
      <w:r>
        <w:rPr/>
        <w:t>）评价管理层选用会计政策的恰当性和作出会计估计及相关披露的合理性。</w:t>
      </w:r>
    </w:p>
    <w:p>
      <w:pPr>
        <w:spacing w:line="240" w:lineRule="auto" w:before="7"/>
        <w:rPr>
          <w:rFonts w:ascii="宋体" w:hAnsi="宋体" w:cs="宋体" w:eastAsia="宋体" w:hint="default"/>
          <w:sz w:val="24"/>
          <w:szCs w:val="24"/>
        </w:rPr>
      </w:pPr>
    </w:p>
    <w:p>
      <w:pPr>
        <w:pStyle w:val="BodyText"/>
        <w:spacing w:line="408" w:lineRule="auto"/>
        <w:ind w:left="154" w:right="1132" w:firstLine="360"/>
        <w:jc w:val="both"/>
      </w:pPr>
      <w:bookmarkStart w:name="（4）对管理层使用持续经营假设的恰当性得出结论。同时，根据获取的审计证据，就可能" w:id="175"/>
      <w:bookmarkEnd w:id="175"/>
      <w:r>
        <w:rPr/>
      </w:r>
      <w:r>
        <w:rPr/>
        <w:t>（</w:t>
      </w:r>
      <w:r>
        <w:rPr>
          <w:rFonts w:ascii="宋体" w:hAnsi="宋体" w:cs="宋体" w:eastAsia="宋体" w:hint="default"/>
        </w:rPr>
        <w:t>4</w:t>
      </w:r>
      <w:r>
        <w:rPr/>
        <w:t>）对管理层使用持续经营假设的恰当性得出结论。同时，根据获取的审计证据，就可能导致对苏州恒久公司持续经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论基于截至审计报告日可获得的信息。然而，未来的事项或情况可能导致苏州恒久公司不能持续经营。</w:t>
      </w:r>
    </w:p>
    <w:p>
      <w:pPr>
        <w:spacing w:line="240" w:lineRule="auto" w:before="11"/>
        <w:rPr>
          <w:rFonts w:ascii="宋体" w:hAnsi="宋体" w:cs="宋体" w:eastAsia="宋体" w:hint="default"/>
          <w:sz w:val="14"/>
          <w:szCs w:val="14"/>
        </w:rPr>
      </w:pPr>
    </w:p>
    <w:p>
      <w:pPr>
        <w:pStyle w:val="BodyText"/>
        <w:spacing w:line="240" w:lineRule="auto"/>
        <w:ind w:left="513" w:right="0"/>
        <w:jc w:val="left"/>
      </w:pPr>
      <w:bookmarkStart w:name="（5）评价财务报表的总体列报、结构和内容（包括披露），并评价财务报表是否公允反映" w:id="176"/>
      <w:bookmarkEnd w:id="176"/>
      <w:r>
        <w:rPr/>
      </w:r>
      <w:r>
        <w:rPr/>
        <w:t>（</w:t>
      </w:r>
      <w:r>
        <w:rPr>
          <w:rFonts w:ascii="宋体" w:hAnsi="宋体" w:cs="宋体" w:eastAsia="宋体" w:hint="default"/>
        </w:rPr>
        <w:t>5</w:t>
      </w:r>
      <w:r>
        <w:rPr/>
        <w:t>）评价财务报表的总体列报、结构和内容（包括披露</w:t>
      </w:r>
      <w:r>
        <w:rPr>
          <w:spacing w:val="-90"/>
        </w:rPr>
        <w:t>）</w:t>
      </w:r>
      <w:r>
        <w:rPr/>
        <w:t>，并评价财务报表是否公允反映相关交易和事项。</w:t>
      </w:r>
    </w:p>
    <w:p>
      <w:pPr>
        <w:spacing w:line="240" w:lineRule="auto" w:before="6"/>
        <w:rPr>
          <w:rFonts w:ascii="宋体" w:hAnsi="宋体" w:cs="宋体" w:eastAsia="宋体" w:hint="default"/>
          <w:sz w:val="24"/>
          <w:szCs w:val="24"/>
        </w:rPr>
      </w:pPr>
    </w:p>
    <w:p>
      <w:pPr>
        <w:pStyle w:val="BodyText"/>
        <w:spacing w:line="408" w:lineRule="auto"/>
        <w:ind w:left="154" w:right="1122" w:firstLine="360"/>
        <w:jc w:val="left"/>
      </w:pPr>
      <w:bookmarkStart w:name="（6）就苏州恒久公司中实体或业务活动的财务信息获取充分、适当的审计证据，以对财务" w:id="177"/>
      <w:bookmarkEnd w:id="177"/>
      <w:r>
        <w:rPr/>
      </w:r>
      <w:r>
        <w:rPr/>
        <w:t>（</w:t>
      </w:r>
      <w:r>
        <w:rPr>
          <w:rFonts w:ascii="宋体" w:hAnsi="宋体" w:cs="宋体" w:eastAsia="宋体" w:hint="default"/>
        </w:rPr>
        <w:t>6</w:t>
      </w:r>
      <w:r>
        <w:rPr/>
        <w:t>）就苏州恒久公司中实体或业务活动的财务信息获取充分、适当的审计证据，以对财务报表发表审计意见。我们负 责指导、监督和执行集团审计，并对审计意见承担全部责任。</w:t>
      </w:r>
    </w:p>
    <w:p>
      <w:pPr>
        <w:spacing w:line="240" w:lineRule="auto" w:before="11"/>
        <w:rPr>
          <w:rFonts w:ascii="宋体" w:hAnsi="宋体" w:cs="宋体" w:eastAsia="宋体" w:hint="default"/>
          <w:sz w:val="14"/>
          <w:szCs w:val="14"/>
        </w:rPr>
      </w:pPr>
    </w:p>
    <w:p>
      <w:pPr>
        <w:pStyle w:val="BodyText"/>
        <w:spacing w:line="408" w:lineRule="auto"/>
        <w:ind w:left="154" w:right="0" w:firstLine="360"/>
        <w:jc w:val="left"/>
      </w:pPr>
      <w:bookmarkStart w:name="我们与治理层就计划的审计范围、时间安排和重大审计发现等事项进行沟通，包括沟通我们" w:id="178"/>
      <w:bookmarkEnd w:id="178"/>
      <w:r>
        <w:rPr/>
      </w:r>
      <w:r>
        <w:rPr>
          <w:spacing w:val="-2"/>
        </w:rPr>
        <w:t>我们与治理层就计划的审计范围、时间安排和重大审计发现等事项进行沟通，包括沟通我们在审计中识别出的值得关注</w:t>
      </w:r>
      <w:r>
        <w:rPr/>
        <w:t> 的内部控制缺陷。</w:t>
      </w:r>
    </w:p>
    <w:p>
      <w:pPr>
        <w:spacing w:line="240" w:lineRule="auto" w:before="12"/>
        <w:rPr>
          <w:rFonts w:ascii="宋体" w:hAnsi="宋体" w:cs="宋体" w:eastAsia="宋体" w:hint="default"/>
          <w:sz w:val="14"/>
          <w:szCs w:val="14"/>
        </w:rPr>
      </w:pPr>
    </w:p>
    <w:p>
      <w:pPr>
        <w:pStyle w:val="BodyText"/>
        <w:spacing w:line="408" w:lineRule="auto"/>
        <w:ind w:left="154" w:right="1114" w:firstLine="360"/>
        <w:jc w:val="left"/>
      </w:pPr>
      <w:bookmarkStart w:name="我们还就已遵守与独立性相关的职业道德要求向治理层提供声明，并与治理层沟通可能被合" w:id="179"/>
      <w:bookmarkEnd w:id="179"/>
      <w:r>
        <w:rPr/>
      </w: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有关系和其他事项，以及相关的防范措施（如使用</w:t>
      </w:r>
      <w:r>
        <w:rPr>
          <w:spacing w:val="-90"/>
        </w:rPr>
        <w:t>）。</w:t>
      </w:r>
      <w:r>
        <w:rPr/>
      </w:r>
    </w:p>
    <w:p>
      <w:pPr>
        <w:spacing w:after="0" w:line="408"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408" w:lineRule="auto" w:before="44"/>
        <w:ind w:right="1133" w:firstLine="360"/>
        <w:jc w:val="both"/>
      </w:pPr>
      <w:bookmarkStart w:name="从与治理层沟通过的事项中，我们确定哪些事项对本期财务报表审计最为重要，因而构成关" w:id="180"/>
      <w:bookmarkEnd w:id="180"/>
      <w:r>
        <w:rPr/>
      </w: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4"/>
        <w:tabs>
          <w:tab w:pos="4907" w:val="left" w:leader="none"/>
        </w:tabs>
        <w:spacing w:line="240" w:lineRule="auto"/>
        <w:ind w:left="331" w:right="0"/>
        <w:jc w:val="left"/>
        <w:rPr>
          <w:b w:val="0"/>
          <w:bCs w:val="0"/>
        </w:rPr>
      </w:pPr>
      <w:r>
        <w:rPr>
          <w:w w:val="95"/>
        </w:rPr>
        <w:t>立信会计师事务所</w:t>
        <w:tab/>
      </w:r>
      <w:r>
        <w:rPr/>
        <w:t>中国注册会计师：</w:t>
      </w:r>
      <w:r>
        <w:rPr>
          <w:b w:val="0"/>
          <w:bCs w:val="0"/>
        </w:rPr>
      </w:r>
    </w:p>
    <w:p>
      <w:pPr>
        <w:pStyle w:val="Heading4"/>
        <w:tabs>
          <w:tab w:pos="4940" w:val="left" w:leader="none"/>
        </w:tabs>
        <w:spacing w:line="240" w:lineRule="auto" w:before="38"/>
        <w:ind w:left="331" w:right="0"/>
        <w:jc w:val="left"/>
        <w:rPr>
          <w:b w:val="0"/>
          <w:bCs w:val="0"/>
        </w:rPr>
      </w:pPr>
      <w:r>
        <w:rPr>
          <w:w w:val="95"/>
        </w:rPr>
        <w:t>（特殊普通合伙）</w:t>
        <w:tab/>
      </w:r>
      <w:r>
        <w:rPr/>
        <w:t>（项目合伙人）</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4"/>
          <w:szCs w:val="14"/>
        </w:rPr>
      </w:pPr>
    </w:p>
    <w:p>
      <w:pPr>
        <w:pStyle w:val="Heading4"/>
        <w:spacing w:line="240" w:lineRule="auto"/>
        <w:ind w:left="2424" w:right="2092"/>
        <w:jc w:val="center"/>
        <w:rPr>
          <w:b w:val="0"/>
          <w:bCs w:val="0"/>
        </w:rPr>
      </w:pPr>
      <w:r>
        <w:rPr/>
        <w:t>中国注册会计师：</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4"/>
          <w:szCs w:val="14"/>
        </w:rPr>
      </w:pPr>
    </w:p>
    <w:p>
      <w:pPr>
        <w:pStyle w:val="Heading4"/>
        <w:tabs>
          <w:tab w:pos="4875" w:val="left" w:leader="none"/>
        </w:tabs>
        <w:spacing w:line="240" w:lineRule="auto"/>
        <w:ind w:left="331" w:right="0"/>
        <w:jc w:val="left"/>
        <w:rPr>
          <w:b w:val="0"/>
          <w:bCs w:val="0"/>
        </w:rPr>
      </w:pPr>
      <w:r>
        <w:rPr>
          <w:w w:val="95"/>
        </w:rPr>
        <w:t>中国•上海</w:t>
        <w:tab/>
      </w:r>
      <w:r>
        <w:rPr/>
        <w:t>二</w:t>
      </w:r>
      <w:r>
        <w:rPr>
          <w:spacing w:val="-48"/>
        </w:rPr>
        <w:t> </w:t>
      </w:r>
      <w:r>
        <w:rPr>
          <w:rFonts w:ascii="宋体" w:hAnsi="宋体" w:cs="宋体" w:eastAsia="宋体" w:hint="default"/>
        </w:rPr>
        <w:t>O</w:t>
      </w:r>
      <w:r>
        <w:rPr>
          <w:rFonts w:ascii="宋体" w:hAnsi="宋体" w:cs="宋体" w:eastAsia="宋体" w:hint="default"/>
          <w:spacing w:val="-46"/>
        </w:rPr>
        <w:t> </w:t>
      </w:r>
      <w:r>
        <w:rPr/>
        <w:t>一八年四月二十三日</w:t>
      </w:r>
      <w:r>
        <w:rPr>
          <w:b w:val="0"/>
          <w:bCs w:val="0"/>
        </w:rPr>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pStyle w:val="Heading2"/>
        <w:spacing w:line="240" w:lineRule="auto" w:before="26"/>
        <w:ind w:right="0"/>
        <w:jc w:val="left"/>
        <w:rPr>
          <w:b w:val="0"/>
          <w:bCs w:val="0"/>
        </w:rPr>
      </w:pPr>
      <w:bookmarkStart w:name="二、财务报表" w:id="181"/>
      <w:bookmarkEnd w:id="18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82"/>
      <w:bookmarkEnd w:id="18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0"/>
        </w:sectPr>
      </w:pPr>
    </w:p>
    <w:p>
      <w:pPr>
        <w:pStyle w:val="BodyText"/>
        <w:spacing w:line="240" w:lineRule="auto" w:before="44"/>
        <w:ind w:right="-19"/>
        <w:jc w:val="left"/>
      </w:pPr>
      <w:r>
        <w:rPr/>
        <w:t>编制单位：苏州恒久光电科技股份有限公司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202,537,002.62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176,633,017.98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291,490.00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708,688.53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74,362,327.34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72,149,865.10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4,676,327.70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8,350,557.40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565,485.86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655,558.17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92,600.56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93,948,146.38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40,541,998.96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70,570,525.82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166,027,547.63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446,958,979.81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465,159,834.33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11,902,301.00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32,235,326.58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7,302,181.54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108,973,425.47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65,535,321.36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9,239,182.59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16,670,938.20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17,036,692.91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356,281.22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833,929.20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1,426,240.23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961,833.22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4,374,748.00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6,427,880.50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175,939,260.70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109,337,022.32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622,898,240.51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574,496,856.65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676,475.00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73,423,061.66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43,390,541.41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3,359,443.18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2,968,118.52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1,399,616.87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1,503,246.60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2,078,827.63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2,838,736.59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83,983.33</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457,165.73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218,363.50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81,478,573.40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50,919,006.62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81,941,073.40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51,419,006.62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131,626,048.15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203,626,048.15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96,631.29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663,921.96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32,351,696.89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30,387,151.13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184,882,790.78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168,400,728.79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540,957,167.11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523,077,850.03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540,957,167.11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523,077,850.03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622,898,240.51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574,496,856.65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法定代表人：余荣清</w:t>
        <w:tab/>
        <w:t>主管会计工作负责人：孙仕杰</w:t>
        <w:tab/>
        <w:t>会计机构负责人：冯芬兰</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83"/>
      <w:bookmarkEnd w:id="18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182,831,635.05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163,198,053.66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291,490.00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708,688.53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58,094,790.73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61,983,857.95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1,739,016.15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844,299.33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472,965.86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653,825.67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15,353,504.03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11,114,124.77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37,534,219.31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32,231,843.91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55,011,772.62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130,999,397.63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351,329,393.75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401,734,091.45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11,902,301.00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163,351,826.58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113,418,681.54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15,305,056.30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16,452,554.52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4,258,094.90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4,329,104.96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246,311.42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620,723.20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871,287.29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801,515.21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437,388.00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459,650.00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196,372,265.49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138,082,230.43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547,701,659.24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539,816,321.88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676,475.00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23,340,363.14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29,472,267.66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2,951,221.19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2,788,858.25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853,798.60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1,104,731.30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795,941.11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930,402.28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83,983.33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6,051,796.44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179,939.59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34,753,578.81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34,476,199.08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35,216,078.81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34,976,199.08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131,626,048.15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203,626,048.15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32,351,696.89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30,387,151.13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156,507,835.39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150,826,923.52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512,485,580.43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504,840,122.80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547,701,659.24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539,816,321.88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84"/>
      <w:bookmarkEnd w:id="18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286,359,847.67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274,682,192.25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286,359,847.67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274,682,192.25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259,591,524.05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231,694,088.73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213,756,314.31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212,405,825.68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20.819977pt;width:157.7pt;height:19.650pt;mso-position-horizontal-relative:page;mso-position-vertical-relative:page;z-index:-896656" coordorigin="4242,8416" coordsize="3154,393">
            <v:shape style="position:absolute;left:4242;top:8416;width:3154;height:393" coordorigin="4242,8416" coordsize="3154,393" path="m4242,8809l7396,8809,7396,8416,4242,8416,4242,8809xe" filled="true" fillcolor="#ffffff" stroked="false">
              <v:path arrowok="t"/>
              <v:fill type="solid"/>
            </v:shape>
            <w10:wrap type="none"/>
          </v:group>
        </w:pict>
      </w:r>
      <w:r>
        <w:rPr/>
        <w:pict>
          <v:group style="position:absolute;margin-left:212.119995pt;margin-top:557.019958pt;width:157.7pt;height:19.650pt;mso-position-horizontal-relative:page;mso-position-vertical-relative:page;z-index:-896632" coordorigin="4242,11140" coordsize="3154,393">
            <v:shape style="position:absolute;left:4242;top:11140;width:3154;height:393" coordorigin="4242,11140" coordsize="3154,393" path="m4242,11533l7396,11533,7396,11140,4242,11140,4242,1153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1,835,264.50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2,134,291.13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11,193,777.86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9,170,424.50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24,687,157.34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15,921,181.81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6,569,896.76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-9,811,276.47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1,549,113.28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1,873,642.08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-676,475.00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530,279.51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7,955,048.13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692,665.51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2,951,026.64</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531,456.44</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34,578,353.19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44,211,048.54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2,456,001.09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19,754.84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34,559,198.35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46,663,049.63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4,112,590.60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5,615,877.59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30,446,607.75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41,047,172.04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30,446,607.75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41,047,172.04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30,446,607.75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41,047,172.04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286,821.96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65"/>
              <w:jc w:val="righ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286,821.96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286,821.96</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286,821.96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29,879,317.08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41,333,994.00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29,879,317.08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41,333,994.00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0.256</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法定代表人：余荣清</w:t>
        <w:tab/>
        <w:t>主管会计工作负责人：孙仕杰</w:t>
        <w:tab/>
        <w:t>会计机构负责人：冯芬兰</w:t>
      </w:r>
    </w:p>
    <w:p>
      <w:pPr>
        <w:pStyle w:val="Heading3"/>
        <w:spacing w:line="240" w:lineRule="auto" w:before="63"/>
        <w:ind w:right="0"/>
        <w:jc w:val="left"/>
        <w:rPr>
          <w:b w:val="0"/>
          <w:bCs w:val="0"/>
        </w:rPr>
      </w:pPr>
      <w:bookmarkStart w:name="4、母公司利润表" w:id="185"/>
      <w:bookmarkEnd w:id="18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304,294,205.34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287,362,625.80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254,392,622.79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240,213,718.79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1,196,714.26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1,214,563.51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8,935,518.40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8,043,793.07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18,606,715.35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12,664,649.14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6,753,011.37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-9,795,288.59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124,976.70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1,312,923.85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-676,475.00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530,279.51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7,454,541.28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692,665.51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2,951,026.64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487,232.47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21,549,945.22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34,931,211.05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2,412,560.09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19,654.84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21,530,890.38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37,339,771.14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1,885,432.75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4,599,289.66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19,645,457.63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32,740,481.48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19,645,457.63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32,740,481.48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19,645,457.63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32,740,481.48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86"/>
      <w:bookmarkEnd w:id="18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323,329,997.75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295,277,213.68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3,042,988.09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1,933,206.92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3,518,712.16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3,524,704.98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329,891,698.00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300,735,125.58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248,979,896.63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191,090,307.72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42,515,912.74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36,596,604.44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9,944,664.70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15,696,623.33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25,720,354.49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10,575,952.55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327,160,828.56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253,959,488.04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2,730,869.44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46,775,637.54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544,952,000.00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5,004,021.49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692,665.51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550,003,021.49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108,432,665.51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31,275,477.65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22,016,530.54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475,914,118.40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507,189,596.05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300,776,530.54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42,813,425.44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-192,343,865.03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2,391,581.95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10,831,681.36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14,391,581.95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19,831,681.36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-14,391,581.95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183,668,318.64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-7,640,310.24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92,225.03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23,512,402.69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38,192,316.18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176,633,017.98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138,440,701.80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200,145,420.67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176,633,017.98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87"/>
      <w:bookmarkEnd w:id="18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348,974,687.56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325,271,783.86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3,042,988.09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1,933,206.92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3,091,846.42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3,454,054.03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355,109,522.07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330,659,044.81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297,130,454.98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246,231,214.63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20,473,692.78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20,018,687.63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5,378,101.03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9,818,053.03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15,479,608.85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9,781,594.91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338,461,857.64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285,849,550.20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16,647,664.43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44,809,494.61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472,452,000.00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107,240,000.00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4,503,514.64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692,665.51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477,002,514.64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108,432,665.51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1,477,181.95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2,353,030.75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454,414,118.40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293,760,000.00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4,303,931.04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11,044,897.92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460,195,231.39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307,157,928.67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16,807,283.25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-198,725,263.16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5,818,943.95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5,818,943.95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2,391,581.95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10,831,681.36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14,391,581.95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19,831,681.36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-8,572,638.00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183,668,318.64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-7,640,310.24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92,225.03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17,241,999.44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29,844,775.12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163,198,053.66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133,353,278.54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180,440,053.10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163,198,053.66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220" w:right="0"/>
        <w:jc w:val="left"/>
        <w:rPr>
          <w:b w:val="0"/>
          <w:bCs w:val="0"/>
        </w:rPr>
      </w:pPr>
      <w:bookmarkStart w:name="7、合并所有者权益变动表" w:id="188"/>
      <w:bookmarkEnd w:id="18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20" w:right="0"/>
        <w:jc w:val="left"/>
      </w:pPr>
      <w:r>
        <w:rPr/>
        <w:t>本期金额</w:t>
      </w:r>
    </w:p>
    <w:p>
      <w:pPr>
        <w:pStyle w:val="BodyText"/>
        <w:spacing w:line="240" w:lineRule="auto" w:before="116"/>
        <w:ind w:left="0" w:right="1436"/>
        <w:jc w:val="right"/>
      </w:pPr>
      <w:r>
        <w:rPr/>
        <w:t>单位：元</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530"/>
        <w:gridCol w:w="1429"/>
        <w:gridCol w:w="566"/>
        <w:gridCol w:w="568"/>
        <w:gridCol w:w="426"/>
        <w:gridCol w:w="1274"/>
        <w:gridCol w:w="568"/>
        <w:gridCol w:w="992"/>
        <w:gridCol w:w="568"/>
        <w:gridCol w:w="1134"/>
        <w:gridCol w:w="850"/>
        <w:gridCol w:w="1276"/>
        <w:gridCol w:w="710"/>
        <w:gridCol w:w="1276"/>
      </w:tblGrid>
      <w:tr>
        <w:trPr>
          <w:trHeight w:val="402" w:hRule="exact"/>
        </w:trPr>
        <w:tc>
          <w:tcPr>
            <w:tcW w:w="2530" w:type="dxa"/>
            <w:vMerge w:val="restart"/>
            <w:tcBorders>
              <w:top w:val="single" w:sz="4" w:space="0" w:color="000000"/>
              <w:left w:val="single" w:sz="4" w:space="0" w:color="000000"/>
              <w:right w:val="single" w:sz="4" w:space="0" w:color="000000"/>
            </w:tcBorders>
            <w:shd w:val="clear" w:color="auto" w:fill="D2D2D2"/>
          </w:tcPr>
          <w:p>
            <w:pPr/>
          </w:p>
        </w:tc>
        <w:tc>
          <w:tcPr>
            <w:tcW w:w="116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2530" w:type="dxa"/>
            <w:vMerge/>
            <w:tcBorders>
              <w:left w:val="single" w:sz="4" w:space="0" w:color="000000"/>
              <w:bottom w:val="nil" w:sz="6" w:space="0" w:color="auto"/>
              <w:right w:val="single" w:sz="4" w:space="0" w:color="000000"/>
            </w:tcBorders>
            <w:shd w:val="clear" w:color="auto" w:fill="D2D2D2"/>
          </w:tcPr>
          <w:p>
            <w:pPr/>
          </w:p>
        </w:tc>
        <w:tc>
          <w:tcPr>
            <w:tcW w:w="965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1" w:hRule="exact"/>
        </w:trPr>
        <w:tc>
          <w:tcPr>
            <w:tcW w:w="2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FFFFFF"/>
            </w:tcBorders>
            <w:shd w:val="clear" w:color="auto" w:fill="D2D2D2"/>
          </w:tcPr>
          <w:p>
            <w:pPr/>
          </w:p>
        </w:tc>
        <w:tc>
          <w:tcPr>
            <w:tcW w:w="850" w:type="dxa"/>
            <w:tcBorders>
              <w:top w:val="single" w:sz="4" w:space="0" w:color="000000"/>
              <w:left w:val="single" w:sz="4" w:space="0" w:color="FFFFFF"/>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80" w:right="7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1" w:hRule="exact"/>
        </w:trPr>
        <w:tc>
          <w:tcPr>
            <w:tcW w:w="2530"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1560" w:type="dxa"/>
            <w:gridSpan w:val="3"/>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22"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vMerge/>
            <w:tcBorders>
              <w:left w:val="single" w:sz="4" w:space="0" w:color="000000"/>
              <w:bottom w:val="nil" w:sz="6" w:space="0" w:color="auto"/>
              <w:right w:val="single" w:sz="4" w:space="0" w:color="FFFFFF"/>
            </w:tcBorders>
            <w:shd w:val="clear" w:color="auto" w:fill="D2D2D2"/>
          </w:tcPr>
          <w:p>
            <w:pPr/>
          </w:p>
        </w:tc>
        <w:tc>
          <w:tcPr>
            <w:tcW w:w="850"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03" w:hRule="exact"/>
        </w:trPr>
        <w:tc>
          <w:tcPr>
            <w:tcW w:w="2530" w:type="dxa"/>
            <w:vMerge w:val="restart"/>
            <w:tcBorders>
              <w:top w:val="nil" w:sz="6" w:space="0" w:color="auto"/>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88" w:right="9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89"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0" w:type="dxa"/>
            <w:vMerge/>
            <w:tcBorders>
              <w:left w:val="single" w:sz="4" w:space="0" w:color="FFFFFF"/>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1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80" w:hRule="exact"/>
        </w:trPr>
        <w:tc>
          <w:tcPr>
            <w:tcW w:w="2530" w:type="dxa"/>
            <w:vMerge/>
            <w:tcBorders>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FFFFFF"/>
            </w:tcBorders>
            <w:shd w:val="clear" w:color="auto" w:fill="D2D2D2"/>
          </w:tcPr>
          <w:p>
            <w:pPr/>
          </w:p>
        </w:tc>
        <w:tc>
          <w:tcPr>
            <w:tcW w:w="850" w:type="dxa"/>
            <w:vMerge/>
            <w:tcBorders>
              <w:left w:val="single" w:sz="4" w:space="0" w:color="FFFFFF"/>
              <w:right w:val="single" w:sz="4" w:space="0" w:color="000000"/>
            </w:tcBorders>
            <w:shd w:val="clear" w:color="auto" w:fill="D2D2D2"/>
          </w:tcPr>
          <w:p>
            <w:pPr/>
          </w:p>
        </w:tc>
        <w:tc>
          <w:tcPr>
            <w:tcW w:w="1276" w:type="dxa"/>
            <w:vMerge/>
            <w:tcBorders>
              <w:left w:val="single" w:sz="4" w:space="0" w:color="000000"/>
              <w:bottom w:val="single" w:sz="18" w:space="0" w:color="FFFFFF"/>
              <w:right w:val="single" w:sz="4" w:space="0" w:color="000000"/>
            </w:tcBorders>
            <w:shd w:val="clear" w:color="auto" w:fill="D2D2D2"/>
          </w:tcPr>
          <w:p>
            <w:pPr/>
          </w:p>
        </w:tc>
        <w:tc>
          <w:tcPr>
            <w:tcW w:w="710" w:type="dxa"/>
            <w:vMerge/>
            <w:tcBorders>
              <w:left w:val="single" w:sz="4" w:space="0" w:color="000000"/>
              <w:bottom w:val="single" w:sz="18" w:space="0" w:color="FFFFFF"/>
              <w:right w:val="single" w:sz="4" w:space="0" w:color="000000"/>
            </w:tcBorders>
            <w:shd w:val="clear" w:color="auto" w:fill="D2D2D2"/>
          </w:tcPr>
          <w:p>
            <w:pPr/>
          </w:p>
        </w:tc>
        <w:tc>
          <w:tcPr>
            <w:tcW w:w="1276" w:type="dxa"/>
            <w:vMerge/>
            <w:tcBorders>
              <w:left w:val="single" w:sz="4" w:space="0" w:color="000000"/>
              <w:bottom w:val="single" w:sz="18" w:space="0" w:color="FFFFFF"/>
              <w:right w:val="single" w:sz="4" w:space="0" w:color="000000"/>
            </w:tcBorders>
            <w:shd w:val="clear" w:color="auto" w:fill="D2D2D2"/>
          </w:tcPr>
          <w:p>
            <w:pPr/>
          </w:p>
        </w:tc>
      </w:tr>
      <w:tr>
        <w:trPr>
          <w:trHeight w:val="182" w:hRule="exact"/>
        </w:trPr>
        <w:tc>
          <w:tcPr>
            <w:tcW w:w="2530"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FFFFFF"/>
            </w:tcBorders>
            <w:shd w:val="clear" w:color="auto" w:fill="D2D2D2"/>
          </w:tcPr>
          <w:p>
            <w:pPr/>
          </w:p>
        </w:tc>
        <w:tc>
          <w:tcPr>
            <w:tcW w:w="850" w:type="dxa"/>
            <w:vMerge/>
            <w:tcBorders>
              <w:left w:val="single" w:sz="4" w:space="0" w:color="FFFFFF"/>
              <w:bottom w:val="nil" w:sz="6" w:space="0" w:color="auto"/>
              <w:right w:val="single" w:sz="4" w:space="0" w:color="000000"/>
            </w:tcBorders>
            <w:shd w:val="clear" w:color="auto" w:fill="D2D2D2"/>
          </w:tcPr>
          <w:p>
            <w:pPr/>
          </w:p>
        </w:tc>
        <w:tc>
          <w:tcPr>
            <w:tcW w:w="1276" w:type="dxa"/>
            <w:vMerge w:val="restart"/>
            <w:tcBorders>
              <w:top w:val="single" w:sz="18" w:space="0" w:color="FFFFFF"/>
              <w:left w:val="single" w:sz="4" w:space="0" w:color="000000"/>
              <w:right w:val="single" w:sz="4" w:space="0" w:color="000000"/>
            </w:tcBorders>
            <w:shd w:val="clear" w:color="auto" w:fill="D2D2D2"/>
          </w:tcPr>
          <w:p>
            <w:pPr/>
          </w:p>
        </w:tc>
        <w:tc>
          <w:tcPr>
            <w:tcW w:w="710" w:type="dxa"/>
            <w:vMerge w:val="restart"/>
            <w:tcBorders>
              <w:top w:val="single" w:sz="18" w:space="0" w:color="FFFFFF"/>
              <w:left w:val="single" w:sz="4" w:space="0" w:color="000000"/>
              <w:right w:val="single" w:sz="4" w:space="0" w:color="000000"/>
            </w:tcBorders>
            <w:shd w:val="clear" w:color="auto" w:fill="D2D2D2"/>
          </w:tcPr>
          <w:p>
            <w:pPr/>
          </w:p>
        </w:tc>
        <w:tc>
          <w:tcPr>
            <w:tcW w:w="1276" w:type="dxa"/>
            <w:vMerge w:val="restart"/>
            <w:tcBorders>
              <w:top w:val="single" w:sz="18" w:space="0" w:color="FFFFFF"/>
              <w:left w:val="single" w:sz="4" w:space="0" w:color="000000"/>
              <w:right w:val="single" w:sz="4" w:space="0" w:color="000000"/>
            </w:tcBorders>
            <w:shd w:val="clear" w:color="auto" w:fill="D2D2D2"/>
          </w:tcPr>
          <w:p>
            <w:pPr/>
          </w:p>
        </w:tc>
      </w:tr>
      <w:tr>
        <w:trPr>
          <w:trHeight w:val="195" w:hRule="exact"/>
        </w:trPr>
        <w:tc>
          <w:tcPr>
            <w:tcW w:w="2530"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FFFFFF"/>
            </w:tcBorders>
            <w:shd w:val="clear" w:color="auto" w:fill="D2D2D2"/>
          </w:tcPr>
          <w:p>
            <w:pPr/>
          </w:p>
        </w:tc>
        <w:tc>
          <w:tcPr>
            <w:tcW w:w="850" w:type="dxa"/>
            <w:tcBorders>
              <w:top w:val="nil" w:sz="6" w:space="0" w:color="auto"/>
              <w:left w:val="single" w:sz="4" w:space="0" w:color="FFFFFF"/>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203,626,048.15</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663,921.96</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30,387,151.13</w:t>
            </w: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168,400,728.79</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523,077,850.03</w:t>
            </w:r>
          </w:p>
        </w:tc>
      </w:tr>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203,626,048.15</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663,921.96</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30,387,151.13</w:t>
            </w: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168,400,728.79</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523,077,850.03</w:t>
            </w:r>
          </w:p>
        </w:tc>
      </w:tr>
      <w:tr>
        <w:trPr>
          <w:trHeight w:val="714"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-72,000,000.00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1,964,545.76</w:t>
            </w: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16,482,061.99</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17,879,317.08</w:t>
            </w:r>
          </w:p>
        </w:tc>
      </w:tr>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30,446,607.75</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29,879,317.08</w:t>
            </w:r>
          </w:p>
        </w:tc>
      </w:tr>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7"/>
          <w:footerReference w:type="default" r:id="rId28"/>
          <w:pgSz w:w="16840" w:h="11910" w:orient="landscape"/>
          <w:pgMar w:header="867" w:footer="979" w:top="1060" w:bottom="1160" w:left="1220" w:right="0"/>
          <w:pgNumType w:start="86"/>
        </w:sectPr>
      </w:pPr>
    </w:p>
    <w:p>
      <w:pPr>
        <w:spacing w:line="240" w:lineRule="auto" w:before="12"/>
        <w:rPr>
          <w:rFonts w:ascii="宋体" w:hAnsi="宋体" w:cs="宋体" w:eastAsia="宋体" w:hint="default"/>
          <w:sz w:val="2"/>
          <w:szCs w:val="2"/>
        </w:rPr>
      </w:pPr>
      <w:r>
        <w:rPr/>
        <w:pict>
          <v:group style="position:absolute;margin-left:195.559998pt;margin-top:177.800003pt;width:68.05pt;height:39.75pt;mso-position-horizontal-relative:page;mso-position-vertical-relative:page;z-index:-896584" coordorigin="3911,3556" coordsize="1361,795">
            <v:group style="position:absolute;left:3911;top:3556;width:1361;height:393" coordorigin="3911,3556" coordsize="1361,393">
              <v:shape style="position:absolute;left:3911;top:3556;width:1361;height:393" coordorigin="3911,3556" coordsize="1361,393" path="m3911,3948l5272,3948,5272,3556,3911,3556,3911,3948xe" filled="true" fillcolor="#ffffff" stroked="false">
                <v:path arrowok="t"/>
                <v:fill type="solid"/>
              </v:shape>
            </v:group>
            <v:group style="position:absolute;left:3911;top:3958;width:1361;height:393" coordorigin="3911,3958" coordsize="1361,393">
              <v:shape style="position:absolute;left:3911;top:3958;width:1361;height:393" coordorigin="3911,3958" coordsize="1361,393" path="m3911,4350l5272,4350,5272,3958,3911,3958,3911,4350xe" filled="true" fillcolor="#ffffff" stroked="false">
                <v:path arrowok="t"/>
                <v:fill type="solid"/>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2541"/>
        <w:gridCol w:w="207"/>
        <w:gridCol w:w="1210"/>
        <w:gridCol w:w="566"/>
        <w:gridCol w:w="568"/>
        <w:gridCol w:w="426"/>
        <w:gridCol w:w="1274"/>
        <w:gridCol w:w="568"/>
        <w:gridCol w:w="992"/>
        <w:gridCol w:w="568"/>
        <w:gridCol w:w="1134"/>
        <w:gridCol w:w="850"/>
        <w:gridCol w:w="1276"/>
        <w:gridCol w:w="710"/>
        <w:gridCol w:w="1276"/>
      </w:tblGrid>
      <w:tr>
        <w:trPr>
          <w:trHeight w:val="416" w:hRule="exact"/>
        </w:trPr>
        <w:tc>
          <w:tcPr>
            <w:tcW w:w="254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7" w:type="dxa"/>
            <w:gridSpan w:val="2"/>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1,964,545.76</w:t>
            </w:r>
          </w:p>
        </w:tc>
        <w:tc>
          <w:tcPr>
            <w:tcW w:w="850"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-13,964,545.76</w:t>
            </w:r>
          </w:p>
        </w:tc>
        <w:tc>
          <w:tcPr>
            <w:tcW w:w="710"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1,964,545.76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72,000,000.00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-72,000,000.00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207"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72,000,000.00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-72,000,000.00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7"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192,000,000.00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131,626,048.15</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96,631.29</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32,351,696.89</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184,882,790.78</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540,957,167.11</w:t>
            </w:r>
          </w:p>
        </w:tc>
      </w:tr>
    </w:tbl>
    <w:p>
      <w:pPr>
        <w:pStyle w:val="BodyText"/>
        <w:spacing w:line="240" w:lineRule="auto" w:before="51"/>
        <w:ind w:left="220" w:right="0"/>
        <w:jc w:val="left"/>
      </w:pPr>
      <w:r>
        <w:rPr/>
        <w:t>上期金额</w:t>
      </w:r>
    </w:p>
    <w:p>
      <w:pPr>
        <w:pStyle w:val="BodyText"/>
        <w:spacing w:line="240" w:lineRule="auto" w:before="117"/>
        <w:ind w:left="0" w:right="1436"/>
        <w:jc w:val="right"/>
      </w:pPr>
      <w:r>
        <w:rPr/>
        <w:t>单位：元</w:t>
      </w:r>
    </w:p>
    <w:p>
      <w:pPr>
        <w:spacing w:line="240" w:lineRule="auto" w:before="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847"/>
        <w:gridCol w:w="1264"/>
        <w:gridCol w:w="568"/>
        <w:gridCol w:w="425"/>
        <w:gridCol w:w="426"/>
        <w:gridCol w:w="1274"/>
        <w:gridCol w:w="568"/>
        <w:gridCol w:w="992"/>
        <w:gridCol w:w="568"/>
        <w:gridCol w:w="1134"/>
        <w:gridCol w:w="850"/>
        <w:gridCol w:w="1276"/>
        <w:gridCol w:w="710"/>
        <w:gridCol w:w="1276"/>
      </w:tblGrid>
      <w:tr>
        <w:trPr>
          <w:trHeight w:val="402" w:hRule="exact"/>
        </w:trPr>
        <w:tc>
          <w:tcPr>
            <w:tcW w:w="2847" w:type="dxa"/>
            <w:vMerge w:val="restart"/>
            <w:tcBorders>
              <w:top w:val="single" w:sz="4" w:space="0" w:color="000000"/>
              <w:left w:val="single" w:sz="4" w:space="0" w:color="000000"/>
              <w:right w:val="single" w:sz="4" w:space="0" w:color="000000"/>
            </w:tcBorders>
            <w:shd w:val="clear" w:color="auto" w:fill="D2D2D2"/>
          </w:tcPr>
          <w:p>
            <w:pPr/>
          </w:p>
        </w:tc>
        <w:tc>
          <w:tcPr>
            <w:tcW w:w="1132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847" w:type="dxa"/>
            <w:vMerge/>
            <w:tcBorders>
              <w:left w:val="single" w:sz="4" w:space="0" w:color="000000"/>
              <w:bottom w:val="nil" w:sz="6" w:space="0" w:color="auto"/>
              <w:right w:val="single" w:sz="4" w:space="0" w:color="000000"/>
            </w:tcBorders>
            <w:shd w:val="clear" w:color="auto" w:fill="D2D2D2"/>
          </w:tcPr>
          <w:p>
            <w:pPr/>
          </w:p>
        </w:tc>
        <w:tc>
          <w:tcPr>
            <w:tcW w:w="93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6" w:hRule="exact"/>
        </w:trPr>
        <w:tc>
          <w:tcPr>
            <w:tcW w:w="28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264" w:type="dxa"/>
            <w:vMerge w:val="restart"/>
            <w:tcBorders>
              <w:top w:val="single" w:sz="4" w:space="0" w:color="000000"/>
              <w:left w:val="single" w:sz="4" w:space="0" w:color="000000"/>
              <w:right w:val="single" w:sz="4" w:space="0" w:color="000000"/>
            </w:tcBorders>
            <w:shd w:val="clear" w:color="auto" w:fill="D2D2D2"/>
          </w:tcPr>
          <w:p>
            <w:pPr/>
          </w:p>
        </w:tc>
        <w:tc>
          <w:tcPr>
            <w:tcW w:w="141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80" w:right="7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1" w:hRule="exact"/>
        </w:trPr>
        <w:tc>
          <w:tcPr>
            <w:tcW w:w="2847" w:type="dxa"/>
            <w:vMerge/>
            <w:tcBorders>
              <w:left w:val="single" w:sz="4" w:space="0" w:color="000000"/>
              <w:bottom w:val="nil" w:sz="6" w:space="0" w:color="auto"/>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1418" w:type="dxa"/>
            <w:gridSpan w:val="3"/>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22"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04" w:hRule="exact"/>
        </w:trPr>
        <w:tc>
          <w:tcPr>
            <w:tcW w:w="2847" w:type="dxa"/>
            <w:vMerge w:val="restart"/>
            <w:tcBorders>
              <w:top w:val="nil" w:sz="6" w:space="0" w:color="auto"/>
              <w:left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88" w:right="9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6"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0"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1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79" w:hRule="exact"/>
        </w:trPr>
        <w:tc>
          <w:tcPr>
            <w:tcW w:w="2847"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18" w:space="0" w:color="FFFFFF"/>
              <w:right w:val="single" w:sz="4" w:space="0" w:color="000000"/>
            </w:tcBorders>
            <w:shd w:val="clear" w:color="auto" w:fill="D2D2D2"/>
          </w:tcPr>
          <w:p>
            <w:pPr/>
          </w:p>
        </w:tc>
        <w:tc>
          <w:tcPr>
            <w:tcW w:w="710" w:type="dxa"/>
            <w:vMerge/>
            <w:tcBorders>
              <w:left w:val="single" w:sz="4" w:space="0" w:color="000000"/>
              <w:bottom w:val="single" w:sz="18" w:space="0" w:color="FFFFFF"/>
              <w:right w:val="single" w:sz="4" w:space="0" w:color="000000"/>
            </w:tcBorders>
            <w:shd w:val="clear" w:color="auto" w:fill="D2D2D2"/>
          </w:tcPr>
          <w:p>
            <w:pPr/>
          </w:p>
        </w:tc>
        <w:tc>
          <w:tcPr>
            <w:tcW w:w="1276" w:type="dxa"/>
            <w:vMerge/>
            <w:tcBorders>
              <w:left w:val="single" w:sz="4" w:space="0" w:color="000000"/>
              <w:bottom w:val="single" w:sz="18" w:space="0" w:color="FFFFFF"/>
              <w:right w:val="single" w:sz="4" w:space="0" w:color="000000"/>
            </w:tcBorders>
            <w:shd w:val="clear" w:color="auto" w:fill="D2D2D2"/>
          </w:tcPr>
          <w:p>
            <w:pPr/>
          </w:p>
        </w:tc>
      </w:tr>
      <w:tr>
        <w:trPr>
          <w:trHeight w:val="181" w:hRule="exact"/>
        </w:trPr>
        <w:tc>
          <w:tcPr>
            <w:tcW w:w="2847" w:type="dxa"/>
            <w:vMerge/>
            <w:tcBorders>
              <w:left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18" w:space="0" w:color="FFFFFF"/>
              <w:left w:val="single" w:sz="4" w:space="0" w:color="000000"/>
              <w:right w:val="single" w:sz="4" w:space="0" w:color="000000"/>
            </w:tcBorders>
            <w:shd w:val="clear" w:color="auto" w:fill="D2D2D2"/>
          </w:tcPr>
          <w:p>
            <w:pPr/>
          </w:p>
        </w:tc>
        <w:tc>
          <w:tcPr>
            <w:tcW w:w="710" w:type="dxa"/>
            <w:vMerge w:val="restart"/>
            <w:tcBorders>
              <w:top w:val="single" w:sz="18" w:space="0" w:color="FFFFFF"/>
              <w:left w:val="single" w:sz="4" w:space="0" w:color="000000"/>
              <w:right w:val="single" w:sz="4" w:space="0" w:color="000000"/>
            </w:tcBorders>
            <w:shd w:val="clear" w:color="auto" w:fill="D2D2D2"/>
          </w:tcPr>
          <w:p>
            <w:pPr/>
          </w:p>
        </w:tc>
        <w:tc>
          <w:tcPr>
            <w:tcW w:w="1276" w:type="dxa"/>
            <w:vMerge w:val="restart"/>
            <w:tcBorders>
              <w:top w:val="single" w:sz="18" w:space="0" w:color="FFFFFF"/>
              <w:left w:val="single" w:sz="4" w:space="0" w:color="000000"/>
              <w:right w:val="single" w:sz="4" w:space="0" w:color="000000"/>
            </w:tcBorders>
            <w:shd w:val="clear" w:color="auto" w:fill="D2D2D2"/>
          </w:tcPr>
          <w:p>
            <w:pPr/>
          </w:p>
        </w:tc>
      </w:tr>
      <w:tr>
        <w:trPr>
          <w:trHeight w:val="194" w:hRule="exact"/>
        </w:trPr>
        <w:tc>
          <w:tcPr>
            <w:tcW w:w="2847" w:type="dxa"/>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90" w:right="0"/>
              <w:jc w:val="left"/>
              <w:rPr>
                <w:rFonts w:ascii="Times New Roman" w:hAnsi="Times New Roman" w:cs="Times New Roman" w:eastAsia="Times New Roman" w:hint="default"/>
                <w:sz w:val="18"/>
                <w:szCs w:val="18"/>
              </w:rPr>
            </w:pPr>
            <w:r>
              <w:rPr>
                <w:rFonts w:ascii="Times New Roman"/>
                <w:sz w:val="18"/>
              </w:rPr>
              <w:t>90,000,000.00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7" w:right="0"/>
              <w:jc w:val="left"/>
              <w:rPr>
                <w:rFonts w:ascii="Times New Roman" w:hAnsi="Times New Roman" w:cs="Times New Roman" w:eastAsia="Times New Roman" w:hint="default"/>
                <w:sz w:val="18"/>
                <w:szCs w:val="18"/>
              </w:rPr>
            </w:pPr>
            <w:r>
              <w:rPr>
                <w:rFonts w:ascii="Times New Roman"/>
                <w:sz w:val="18"/>
              </w:rPr>
              <w:t>40,957,729.51</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9" w:right="0"/>
              <w:jc w:val="left"/>
              <w:rPr>
                <w:rFonts w:ascii="Times New Roman" w:hAnsi="Times New Roman" w:cs="Times New Roman" w:eastAsia="Times New Roman" w:hint="default"/>
                <w:sz w:val="18"/>
                <w:szCs w:val="18"/>
              </w:rPr>
            </w:pPr>
            <w:r>
              <w:rPr>
                <w:rFonts w:ascii="Times New Roman"/>
                <w:sz w:val="18"/>
              </w:rPr>
              <w:t>377,100.00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27,113,102.98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 w:right="0"/>
              <w:jc w:val="left"/>
              <w:rPr>
                <w:rFonts w:ascii="Times New Roman" w:hAnsi="Times New Roman" w:cs="Times New Roman" w:eastAsia="Times New Roman" w:hint="default"/>
                <w:sz w:val="18"/>
                <w:szCs w:val="18"/>
              </w:rPr>
            </w:pPr>
            <w:r>
              <w:rPr>
                <w:rFonts w:ascii="Times New Roman"/>
                <w:sz w:val="18"/>
              </w:rPr>
              <w:t>139,627,604.90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298,075,537.39</w:t>
            </w:r>
          </w:p>
        </w:tc>
      </w:tr>
      <w:tr>
        <w:trPr>
          <w:trHeight w:val="403"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4"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2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813"/>
        <w:gridCol w:w="1288"/>
        <w:gridCol w:w="568"/>
        <w:gridCol w:w="425"/>
        <w:gridCol w:w="426"/>
        <w:gridCol w:w="1274"/>
        <w:gridCol w:w="568"/>
        <w:gridCol w:w="992"/>
        <w:gridCol w:w="568"/>
        <w:gridCol w:w="1134"/>
        <w:gridCol w:w="850"/>
        <w:gridCol w:w="1276"/>
        <w:gridCol w:w="710"/>
        <w:gridCol w:w="1276"/>
      </w:tblGrid>
      <w:tr>
        <w:trPr>
          <w:trHeight w:val="416" w:hRule="exact"/>
        </w:trPr>
        <w:tc>
          <w:tcPr>
            <w:tcW w:w="28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8" w:type="dxa"/>
            <w:tcBorders>
              <w:top w:val="single" w:sz="15" w:space="0" w:color="000000"/>
              <w:left w:val="single" w:sz="10" w:space="0" w:color="D2D2D2"/>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center"/>
              <w:rPr>
                <w:rFonts w:ascii="Times New Roman" w:hAnsi="Times New Roman" w:cs="Times New Roman" w:eastAsia="Times New Roman" w:hint="default"/>
                <w:sz w:val="18"/>
                <w:szCs w:val="18"/>
              </w:rPr>
            </w:pPr>
            <w:r>
              <w:rPr>
                <w:rFonts w:ascii="Times New Roman"/>
                <w:sz w:val="18"/>
              </w:rPr>
              <w:t>40,957,729.51</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27,113,102.98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139,627,604.90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298,075,537.39</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1"/>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号填列）</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162,668,318.64</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286,821.96</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3,274,048.15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28,773,123.89</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225,002,312.64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286,821.96</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41,047,172.04</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41,333,994.00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162,668,318.64</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192,668,318.64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162,668,318.64</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192,668,318.64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3,274,048.15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-12,274,048.15</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3,274,048.15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-3,274,048.15</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00" w:left="12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813"/>
        <w:gridCol w:w="1288"/>
        <w:gridCol w:w="568"/>
        <w:gridCol w:w="425"/>
        <w:gridCol w:w="426"/>
        <w:gridCol w:w="1274"/>
        <w:gridCol w:w="568"/>
        <w:gridCol w:w="992"/>
        <w:gridCol w:w="568"/>
        <w:gridCol w:w="1134"/>
        <w:gridCol w:w="850"/>
        <w:gridCol w:w="1276"/>
        <w:gridCol w:w="710"/>
        <w:gridCol w:w="1276"/>
      </w:tblGrid>
      <w:tr>
        <w:trPr>
          <w:trHeight w:val="416" w:hRule="exact"/>
        </w:trPr>
        <w:tc>
          <w:tcPr>
            <w:tcW w:w="28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8" w:type="dxa"/>
            <w:tcBorders>
              <w:top w:val="single" w:sz="15" w:space="0" w:color="000000"/>
              <w:left w:val="single" w:sz="10" w:space="0" w:color="D2D2D2"/>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120,000,000.00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203,626,048.15</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663,921.96</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30,387,151.13</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168,400,728.79</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523,077,850.03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220" w:right="0"/>
        <w:jc w:val="left"/>
        <w:rPr>
          <w:b w:val="0"/>
          <w:bCs w:val="0"/>
        </w:rPr>
      </w:pPr>
      <w:bookmarkStart w:name="8、母公司所有者权益变动表" w:id="189"/>
      <w:bookmarkEnd w:id="18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20" w:right="0"/>
        <w:jc w:val="left"/>
      </w:pPr>
      <w:r>
        <w:rPr/>
        <w:t>本期金额</w:t>
      </w:r>
    </w:p>
    <w:p>
      <w:pPr>
        <w:pStyle w:val="BodyText"/>
        <w:spacing w:line="240" w:lineRule="auto" w:before="117"/>
        <w:ind w:left="0" w:right="1436"/>
        <w:jc w:val="right"/>
      </w:pPr>
      <w:r>
        <w:rPr/>
        <w:t>单位：元</w:t>
      </w:r>
    </w:p>
    <w:p>
      <w:pPr>
        <w:spacing w:line="240" w:lineRule="auto" w:before="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813"/>
        <w:gridCol w:w="1288"/>
        <w:gridCol w:w="568"/>
        <w:gridCol w:w="425"/>
        <w:gridCol w:w="426"/>
        <w:gridCol w:w="1274"/>
        <w:gridCol w:w="568"/>
        <w:gridCol w:w="851"/>
        <w:gridCol w:w="709"/>
        <w:gridCol w:w="1984"/>
        <w:gridCol w:w="1985"/>
        <w:gridCol w:w="1276"/>
      </w:tblGrid>
      <w:tr>
        <w:trPr>
          <w:trHeight w:val="397" w:hRule="exact"/>
        </w:trPr>
        <w:tc>
          <w:tcPr>
            <w:tcW w:w="2813" w:type="dxa"/>
            <w:vMerge w:val="restart"/>
            <w:tcBorders>
              <w:top w:val="single" w:sz="4" w:space="0" w:color="000000"/>
              <w:left w:val="single" w:sz="4" w:space="0" w:color="000000"/>
              <w:right w:val="single" w:sz="4" w:space="0" w:color="000000"/>
            </w:tcBorders>
            <w:shd w:val="clear" w:color="auto" w:fill="D2D2D2"/>
          </w:tcPr>
          <w:p>
            <w:pPr/>
          </w:p>
        </w:tc>
        <w:tc>
          <w:tcPr>
            <w:tcW w:w="1135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8" w:hRule="exact"/>
        </w:trPr>
        <w:tc>
          <w:tcPr>
            <w:tcW w:w="2813"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
        </w:tc>
        <w:tc>
          <w:tcPr>
            <w:tcW w:w="141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FFFFFF"/>
            </w:tcBorders>
            <w:shd w:val="clear" w:color="auto" w:fill="D2D2D2"/>
          </w:tcPr>
          <w:p>
            <w:pPr/>
          </w:p>
        </w:tc>
        <w:tc>
          <w:tcPr>
            <w:tcW w:w="568" w:type="dxa"/>
            <w:tcBorders>
              <w:top w:val="single" w:sz="4" w:space="0" w:color="000000"/>
              <w:left w:val="single" w:sz="4" w:space="0" w:color="FFFFFF"/>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vMerge w:val="restart"/>
            <w:tcBorders>
              <w:top w:val="single" w:sz="4" w:space="0" w:color="000000"/>
              <w:left w:val="single" w:sz="4" w:space="0" w:color="000000"/>
              <w:right w:val="single" w:sz="4" w:space="0" w:color="000000"/>
            </w:tcBorders>
            <w:shd w:val="clear" w:color="auto" w:fill="D2D2D2"/>
          </w:tcPr>
          <w:p>
            <w:pPr/>
          </w:p>
        </w:tc>
        <w:tc>
          <w:tcPr>
            <w:tcW w:w="1985" w:type="dxa"/>
            <w:vMerge w:val="restart"/>
            <w:tcBorders>
              <w:top w:val="single" w:sz="4" w:space="0" w:color="000000"/>
              <w:left w:val="single" w:sz="4" w:space="0" w:color="000000"/>
              <w:right w:val="single" w:sz="4" w:space="0" w:color="FFFFFF"/>
            </w:tcBorders>
            <w:shd w:val="clear" w:color="auto" w:fill="D2D2D2"/>
          </w:tcPr>
          <w:p>
            <w:pPr/>
          </w:p>
        </w:tc>
        <w:tc>
          <w:tcPr>
            <w:tcW w:w="1276"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176" w:hRule="exact"/>
        </w:trPr>
        <w:tc>
          <w:tcPr>
            <w:tcW w:w="2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vMerge/>
            <w:tcBorders>
              <w:left w:val="single" w:sz="4" w:space="0" w:color="000000"/>
              <w:bottom w:val="single" w:sz="14" w:space="0" w:color="FFFFFF"/>
              <w:right w:val="single" w:sz="4" w:space="0" w:color="000000"/>
            </w:tcBorders>
            <w:shd w:val="clear" w:color="auto" w:fill="D2D2D2"/>
          </w:tcPr>
          <w:p>
            <w:pPr/>
          </w:p>
        </w:tc>
        <w:tc>
          <w:tcPr>
            <w:tcW w:w="1418" w:type="dxa"/>
            <w:gridSpan w:val="3"/>
            <w:vMerge/>
            <w:tcBorders>
              <w:left w:val="single" w:sz="4" w:space="0" w:color="000000"/>
              <w:bottom w:val="single" w:sz="14" w:space="0" w:color="FFFFFF"/>
              <w:right w:val="single" w:sz="4" w:space="0" w:color="000000"/>
            </w:tcBorders>
            <w:shd w:val="clear" w:color="auto" w:fill="D2D2D2"/>
          </w:tcPr>
          <w:p>
            <w:pPr/>
          </w:p>
        </w:tc>
        <w:tc>
          <w:tcPr>
            <w:tcW w:w="1274" w:type="dxa"/>
            <w:vMerge/>
            <w:tcBorders>
              <w:left w:val="single" w:sz="4" w:space="0" w:color="000000"/>
              <w:bottom w:val="single" w:sz="14" w:space="0" w:color="FFFFFF"/>
              <w:right w:val="single" w:sz="4" w:space="0" w:color="FFFFFF"/>
            </w:tcBorders>
            <w:shd w:val="clear" w:color="auto" w:fill="D2D2D2"/>
          </w:tcPr>
          <w:p>
            <w:pPr/>
          </w:p>
        </w:tc>
        <w:tc>
          <w:tcPr>
            <w:tcW w:w="568"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72"/>
              <w:ind w:left="98" w:right="22"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2"/>
              <w:ind w:left="239"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2"/>
              <w:ind w:left="259"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984"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FFFFFF"/>
            </w:tcBorders>
            <w:shd w:val="clear" w:color="auto" w:fill="D2D2D2"/>
          </w:tcPr>
          <w:p>
            <w:pPr/>
          </w:p>
        </w:tc>
        <w:tc>
          <w:tcPr>
            <w:tcW w:w="1276"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72"/>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7" w:hRule="exact"/>
        </w:trPr>
        <w:tc>
          <w:tcPr>
            <w:tcW w:w="2813"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35"/>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79"/>
              <w:ind w:left="188" w:right="9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79"/>
              <w:ind w:left="116"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274" w:type="dxa"/>
            <w:vMerge w:val="restart"/>
            <w:tcBorders>
              <w:top w:val="single" w:sz="14" w:space="0" w:color="FFFFFF"/>
              <w:left w:val="single" w:sz="4" w:space="0" w:color="000000"/>
              <w:right w:val="single" w:sz="4" w:space="0" w:color="FFFFFF"/>
            </w:tcBorders>
            <w:shd w:val="clear" w:color="auto" w:fill="D2D2D2"/>
          </w:tcPr>
          <w:p>
            <w:pPr>
              <w:pStyle w:val="TableParagraph"/>
              <w:spacing w:line="240" w:lineRule="auto" w:before="35"/>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FFFFFF"/>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5"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5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FFFFFF"/>
              <w:right w:val="single" w:sz="4" w:space="0" w:color="000000"/>
            </w:tcBorders>
            <w:shd w:val="clear" w:color="auto" w:fill="D2D2D2"/>
          </w:tcPr>
          <w:p>
            <w:pPr/>
          </w:p>
        </w:tc>
      </w:tr>
      <w:tr>
        <w:trPr>
          <w:trHeight w:val="197" w:hRule="exact"/>
        </w:trPr>
        <w:tc>
          <w:tcPr>
            <w:tcW w:w="2813"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FFFFFF"/>
            </w:tcBorders>
            <w:shd w:val="clear" w:color="auto" w:fill="D2D2D2"/>
          </w:tcPr>
          <w:p>
            <w:pPr/>
          </w:p>
        </w:tc>
        <w:tc>
          <w:tcPr>
            <w:tcW w:w="568" w:type="dxa"/>
            <w:vMerge/>
            <w:tcBorders>
              <w:left w:val="single" w:sz="4" w:space="0" w:color="FFFFFF"/>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984"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FFFFFF"/>
            </w:tcBorders>
            <w:shd w:val="clear" w:color="auto" w:fill="D2D2D2"/>
          </w:tcPr>
          <w:p>
            <w:pPr/>
          </w:p>
        </w:tc>
        <w:tc>
          <w:tcPr>
            <w:tcW w:w="1276" w:type="dxa"/>
            <w:vMerge/>
            <w:tcBorders>
              <w:left w:val="single" w:sz="4" w:space="0" w:color="FFFFFF"/>
              <w:right w:val="single" w:sz="4" w:space="0" w:color="000000"/>
            </w:tcBorders>
            <w:shd w:val="clear" w:color="auto" w:fill="D2D2D2"/>
          </w:tcPr>
          <w:p>
            <w:pPr/>
          </w:p>
        </w:tc>
      </w:tr>
      <w:tr>
        <w:trPr>
          <w:trHeight w:val="178" w:hRule="exact"/>
        </w:trPr>
        <w:tc>
          <w:tcPr>
            <w:tcW w:w="2813" w:type="dxa"/>
            <w:vMerge/>
            <w:tcBorders>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FFFFFF"/>
            </w:tcBorders>
            <w:shd w:val="clear" w:color="auto" w:fill="D2D2D2"/>
          </w:tcPr>
          <w:p>
            <w:pPr/>
          </w:p>
        </w:tc>
        <w:tc>
          <w:tcPr>
            <w:tcW w:w="568" w:type="dxa"/>
            <w:vMerge/>
            <w:tcBorders>
              <w:left w:val="single" w:sz="4" w:space="0" w:color="FFFFFF"/>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984" w:type="dxa"/>
            <w:vMerge w:val="restart"/>
            <w:tcBorders>
              <w:top w:val="nil" w:sz="6" w:space="0" w:color="auto"/>
              <w:left w:val="single" w:sz="4" w:space="0" w:color="000000"/>
              <w:right w:val="single" w:sz="4" w:space="0" w:color="000000"/>
            </w:tcBorders>
            <w:shd w:val="clear" w:color="auto" w:fill="D2D2D2"/>
          </w:tcPr>
          <w:p>
            <w:pPr/>
          </w:p>
        </w:tc>
        <w:tc>
          <w:tcPr>
            <w:tcW w:w="1985" w:type="dxa"/>
            <w:vMerge w:val="restart"/>
            <w:tcBorders>
              <w:top w:val="nil" w:sz="6" w:space="0" w:color="auto"/>
              <w:left w:val="single" w:sz="4" w:space="0" w:color="000000"/>
              <w:right w:val="single" w:sz="4" w:space="0" w:color="FFFFFF"/>
            </w:tcBorders>
            <w:shd w:val="clear" w:color="auto" w:fill="D2D2D2"/>
          </w:tcPr>
          <w:p>
            <w:pPr/>
          </w:p>
        </w:tc>
        <w:tc>
          <w:tcPr>
            <w:tcW w:w="1276" w:type="dxa"/>
            <w:vMerge/>
            <w:tcBorders>
              <w:left w:val="single" w:sz="4" w:space="0" w:color="FFFFFF"/>
              <w:bottom w:val="nil" w:sz="6" w:space="0" w:color="auto"/>
              <w:right w:val="single" w:sz="4" w:space="0" w:color="000000"/>
            </w:tcBorders>
            <w:shd w:val="clear" w:color="auto" w:fill="D2D2D2"/>
          </w:tcPr>
          <w:p>
            <w:pPr/>
          </w:p>
        </w:tc>
      </w:tr>
      <w:tr>
        <w:trPr>
          <w:trHeight w:val="194" w:hRule="exact"/>
        </w:trPr>
        <w:tc>
          <w:tcPr>
            <w:tcW w:w="2813"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FFFFFF"/>
            </w:tcBorders>
            <w:shd w:val="clear" w:color="auto" w:fill="D2D2D2"/>
          </w:tcPr>
          <w:p>
            <w:pPr/>
          </w:p>
        </w:tc>
        <w:tc>
          <w:tcPr>
            <w:tcW w:w="568" w:type="dxa"/>
            <w:tcBorders>
              <w:top w:val="nil" w:sz="6" w:space="0" w:color="auto"/>
              <w:left w:val="single" w:sz="4" w:space="0" w:color="FFFFFF"/>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FFFFFF"/>
            </w:tcBorders>
            <w:shd w:val="clear" w:color="auto" w:fill="D2D2D2"/>
          </w:tcPr>
          <w:p>
            <w:pPr/>
          </w:p>
        </w:tc>
        <w:tc>
          <w:tcPr>
            <w:tcW w:w="1276"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left="95" w:right="0"/>
              <w:jc w:val="center"/>
              <w:rPr>
                <w:rFonts w:ascii="Times New Roman" w:hAnsi="Times New Roman" w:cs="Times New Roman" w:eastAsia="Times New Roman" w:hint="default"/>
                <w:sz w:val="18"/>
                <w:szCs w:val="18"/>
              </w:rPr>
            </w:pPr>
            <w:r>
              <w:rPr>
                <w:rFonts w:ascii="Times New Roman"/>
                <w:sz w:val="18"/>
              </w:rPr>
              <w:t>203,626,048.15</w:t>
            </w: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30,387,151.13</w:t>
            </w:r>
          </w:p>
        </w:tc>
        <w:tc>
          <w:tcPr>
            <w:tcW w:w="198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150,826,923.52</w:t>
            </w:r>
          </w:p>
        </w:tc>
        <w:tc>
          <w:tcPr>
            <w:tcW w:w="12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504,840,122.80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
        </w:tc>
        <w:tc>
          <w:tcPr>
            <w:tcW w:w="127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
        </w:tc>
        <w:tc>
          <w:tcPr>
            <w:tcW w:w="127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
        </w:tc>
        <w:tc>
          <w:tcPr>
            <w:tcW w:w="127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left="95" w:right="0"/>
              <w:jc w:val="center"/>
              <w:rPr>
                <w:rFonts w:ascii="Times New Roman" w:hAnsi="Times New Roman" w:cs="Times New Roman" w:eastAsia="Times New Roman" w:hint="default"/>
                <w:sz w:val="18"/>
                <w:szCs w:val="18"/>
              </w:rPr>
            </w:pPr>
            <w:r>
              <w:rPr>
                <w:rFonts w:ascii="Times New Roman"/>
                <w:sz w:val="18"/>
              </w:rPr>
              <w:t>203,626,048.15</w:t>
            </w: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30,387,151.13</w:t>
            </w:r>
          </w:p>
        </w:tc>
        <w:tc>
          <w:tcPr>
            <w:tcW w:w="198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150,826,923.52</w:t>
            </w:r>
          </w:p>
        </w:tc>
        <w:tc>
          <w:tcPr>
            <w:tcW w:w="12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504,840,122.80</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11"/>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号填列）</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-72,000,000.00</w:t>
            </w: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198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5,680,911.87</w:t>
            </w:r>
          </w:p>
        </w:tc>
        <w:tc>
          <w:tcPr>
            <w:tcW w:w="12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7,645,457.63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19,645,457.63</w:t>
            </w:r>
          </w:p>
        </w:tc>
        <w:tc>
          <w:tcPr>
            <w:tcW w:w="12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19,645,457.63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
        </w:tc>
        <w:tc>
          <w:tcPr>
            <w:tcW w:w="127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
        </w:tc>
        <w:tc>
          <w:tcPr>
            <w:tcW w:w="127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
        </w:tc>
        <w:tc>
          <w:tcPr>
            <w:tcW w:w="127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
        </w:tc>
        <w:tc>
          <w:tcPr>
            <w:tcW w:w="127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
        </w:tc>
        <w:tc>
          <w:tcPr>
            <w:tcW w:w="1276" w:type="dxa"/>
            <w:tcBorders>
              <w:top w:val="single" w:sz="4" w:space="0" w:color="000000"/>
              <w:left w:val="single" w:sz="4" w:space="0" w:color="FFFFFF"/>
              <w:bottom w:val="single" w:sz="4" w:space="0" w:color="000000"/>
              <w:right w:val="single" w:sz="4" w:space="0" w:color="000000"/>
            </w:tcBorders>
          </w:tcPr>
          <w:p>
            <w:pPr/>
          </w:p>
        </w:tc>
      </w:tr>
    </w:tbl>
    <w:p>
      <w:pPr>
        <w:spacing w:after="0"/>
        <w:sectPr>
          <w:pgSz w:w="16840" w:h="11910" w:orient="landscape"/>
          <w:pgMar w:header="867" w:footer="979" w:top="1060" w:bottom="1280" w:left="1220" w:right="0"/>
        </w:sectPr>
      </w:pP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813"/>
        <w:gridCol w:w="1288"/>
        <w:gridCol w:w="568"/>
        <w:gridCol w:w="425"/>
        <w:gridCol w:w="426"/>
        <w:gridCol w:w="1274"/>
        <w:gridCol w:w="568"/>
        <w:gridCol w:w="851"/>
        <w:gridCol w:w="709"/>
        <w:gridCol w:w="1984"/>
        <w:gridCol w:w="1985"/>
        <w:gridCol w:w="1276"/>
      </w:tblGrid>
      <w:tr>
        <w:trPr>
          <w:trHeight w:val="416" w:hRule="exact"/>
        </w:trPr>
        <w:tc>
          <w:tcPr>
            <w:tcW w:w="28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8" w:type="dxa"/>
            <w:tcBorders>
              <w:top w:val="single" w:sz="15" w:space="0" w:color="000000"/>
              <w:left w:val="single" w:sz="10" w:space="0" w:color="D2D2D2"/>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9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-13,964,545.76</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-12,000,000.00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-1,964,545.76</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-12,000,000.00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-72,000,000.00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-72,000,000.00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131,626,048.15</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32,351,696.89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156,507,835.39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512,485,580.43</w:t>
            </w:r>
          </w:p>
        </w:tc>
      </w:tr>
    </w:tbl>
    <w:p>
      <w:pPr>
        <w:pStyle w:val="BodyText"/>
        <w:spacing w:line="240" w:lineRule="auto" w:before="51"/>
        <w:ind w:left="220" w:right="0"/>
        <w:jc w:val="left"/>
      </w:pPr>
      <w:r>
        <w:rPr/>
        <w:t>上期金额</w:t>
      </w:r>
    </w:p>
    <w:p>
      <w:pPr>
        <w:pStyle w:val="BodyText"/>
        <w:spacing w:line="240" w:lineRule="auto" w:before="117"/>
        <w:ind w:left="0" w:right="1436"/>
        <w:jc w:val="right"/>
      </w:pPr>
      <w:r>
        <w:rPr/>
        <w:t>单位：元</w:t>
      </w:r>
    </w:p>
    <w:p>
      <w:pPr>
        <w:spacing w:line="240" w:lineRule="auto" w:before="0"/>
        <w:rPr>
          <w:rFonts w:ascii="宋体" w:hAnsi="宋体" w:cs="宋体" w:eastAsia="宋体" w:hint="default"/>
          <w:sz w:val="8"/>
          <w:szCs w:val="8"/>
        </w:rPr>
      </w:pPr>
    </w:p>
    <w:tbl>
      <w:tblPr>
        <w:tblW w:w="0" w:type="auto"/>
        <w:jc w:val="left"/>
        <w:tblInd w:w="226" w:type="dxa"/>
        <w:tblLayout w:type="fixed"/>
        <w:tblCellMar>
          <w:top w:w="0" w:type="dxa"/>
          <w:left w:w="0" w:type="dxa"/>
          <w:bottom w:w="0" w:type="dxa"/>
          <w:right w:w="0" w:type="dxa"/>
        </w:tblCellMar>
        <w:tblLook w:val="01E0"/>
      </w:tblPr>
      <w:tblGrid>
        <w:gridCol w:w="2825"/>
        <w:gridCol w:w="1276"/>
        <w:gridCol w:w="566"/>
        <w:gridCol w:w="426"/>
        <w:gridCol w:w="426"/>
        <w:gridCol w:w="1274"/>
        <w:gridCol w:w="568"/>
        <w:gridCol w:w="851"/>
        <w:gridCol w:w="709"/>
        <w:gridCol w:w="1984"/>
        <w:gridCol w:w="1985"/>
        <w:gridCol w:w="1276"/>
      </w:tblGrid>
      <w:tr>
        <w:trPr>
          <w:trHeight w:val="402" w:hRule="exact"/>
        </w:trPr>
        <w:tc>
          <w:tcPr>
            <w:tcW w:w="2825" w:type="dxa"/>
            <w:vMerge w:val="restart"/>
            <w:tcBorders>
              <w:top w:val="single" w:sz="4" w:space="0" w:color="000000"/>
              <w:left w:val="single" w:sz="4" w:space="0" w:color="000000"/>
              <w:right w:val="single" w:sz="4" w:space="0" w:color="000000"/>
            </w:tcBorders>
            <w:shd w:val="clear" w:color="auto" w:fill="D2D2D2"/>
          </w:tcPr>
          <w:p>
            <w:pPr/>
          </w:p>
        </w:tc>
        <w:tc>
          <w:tcPr>
            <w:tcW w:w="1134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4" w:hRule="exact"/>
        </w:trPr>
        <w:tc>
          <w:tcPr>
            <w:tcW w:w="2825"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FFFFFF"/>
            </w:tcBorders>
            <w:shd w:val="clear" w:color="auto" w:fill="D2D2D2"/>
          </w:tcPr>
          <w:p>
            <w:pPr/>
          </w:p>
        </w:tc>
        <w:tc>
          <w:tcPr>
            <w:tcW w:w="568" w:type="dxa"/>
            <w:tcBorders>
              <w:top w:val="single" w:sz="4" w:space="0" w:color="000000"/>
              <w:left w:val="single" w:sz="4" w:space="0" w:color="FFFFFF"/>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vMerge w:val="restart"/>
            <w:tcBorders>
              <w:top w:val="single" w:sz="4" w:space="0" w:color="000000"/>
              <w:left w:val="single" w:sz="4" w:space="0" w:color="000000"/>
              <w:right w:val="single" w:sz="4" w:space="0" w:color="000000"/>
            </w:tcBorders>
            <w:shd w:val="clear" w:color="auto" w:fill="D2D2D2"/>
          </w:tcPr>
          <w:p>
            <w:pPr/>
          </w:p>
        </w:tc>
        <w:tc>
          <w:tcPr>
            <w:tcW w:w="1985" w:type="dxa"/>
            <w:vMerge w:val="restart"/>
            <w:tcBorders>
              <w:top w:val="single" w:sz="4" w:space="0" w:color="000000"/>
              <w:left w:val="single" w:sz="4" w:space="0" w:color="000000"/>
              <w:right w:val="single" w:sz="4" w:space="0" w:color="FFFFFF"/>
            </w:tcBorders>
            <w:shd w:val="clear" w:color="auto" w:fill="D2D2D2"/>
          </w:tcPr>
          <w:p>
            <w:pPr/>
          </w:p>
        </w:tc>
        <w:tc>
          <w:tcPr>
            <w:tcW w:w="1276"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179" w:hRule="exact"/>
        </w:trPr>
        <w:tc>
          <w:tcPr>
            <w:tcW w:w="28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gridSpan w:val="3"/>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FFFFFF"/>
            </w:tcBorders>
            <w:shd w:val="clear" w:color="auto" w:fill="D2D2D2"/>
          </w:tcPr>
          <w:p>
            <w:pPr/>
          </w:p>
        </w:tc>
        <w:tc>
          <w:tcPr>
            <w:tcW w:w="568"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2"/>
              <w:ind w:left="98" w:right="22"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59"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984"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FFFFFF"/>
            </w:tcBorders>
            <w:shd w:val="clear" w:color="auto" w:fill="D2D2D2"/>
          </w:tcPr>
          <w:p>
            <w:pPr/>
          </w:p>
        </w:tc>
        <w:tc>
          <w:tcPr>
            <w:tcW w:w="127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2"/>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5" w:hRule="exact"/>
        </w:trPr>
        <w:tc>
          <w:tcPr>
            <w:tcW w:w="2825"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88" w:right="9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17"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0"/>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FFFFFF"/>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5"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0"/>
              <w:ind w:left="5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FFFFFF"/>
              <w:right w:val="single" w:sz="4" w:space="0" w:color="000000"/>
            </w:tcBorders>
            <w:shd w:val="clear" w:color="auto" w:fill="D2D2D2"/>
          </w:tcPr>
          <w:p>
            <w:pPr/>
          </w:p>
        </w:tc>
      </w:tr>
      <w:tr>
        <w:trPr>
          <w:trHeight w:val="196" w:hRule="exact"/>
        </w:trPr>
        <w:tc>
          <w:tcPr>
            <w:tcW w:w="2825"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FFFFFF"/>
            </w:tcBorders>
            <w:shd w:val="clear" w:color="auto" w:fill="D2D2D2"/>
          </w:tcPr>
          <w:p>
            <w:pPr/>
          </w:p>
        </w:tc>
        <w:tc>
          <w:tcPr>
            <w:tcW w:w="568" w:type="dxa"/>
            <w:vMerge/>
            <w:tcBorders>
              <w:left w:val="single" w:sz="4" w:space="0" w:color="FFFFFF"/>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984"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FFFFFF"/>
            </w:tcBorders>
            <w:shd w:val="clear" w:color="auto" w:fill="D2D2D2"/>
          </w:tcPr>
          <w:p>
            <w:pPr/>
          </w:p>
        </w:tc>
        <w:tc>
          <w:tcPr>
            <w:tcW w:w="1276" w:type="dxa"/>
            <w:vMerge/>
            <w:tcBorders>
              <w:left w:val="single" w:sz="4" w:space="0" w:color="FFFFFF"/>
              <w:right w:val="single" w:sz="4" w:space="0" w:color="000000"/>
            </w:tcBorders>
            <w:shd w:val="clear" w:color="auto" w:fill="D2D2D2"/>
          </w:tcPr>
          <w:p>
            <w:pPr/>
          </w:p>
        </w:tc>
      </w:tr>
      <w:tr>
        <w:trPr>
          <w:trHeight w:val="178" w:hRule="exact"/>
        </w:trPr>
        <w:tc>
          <w:tcPr>
            <w:tcW w:w="2825"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FFFFFF"/>
            </w:tcBorders>
            <w:shd w:val="clear" w:color="auto" w:fill="D2D2D2"/>
          </w:tcPr>
          <w:p>
            <w:pPr/>
          </w:p>
        </w:tc>
        <w:tc>
          <w:tcPr>
            <w:tcW w:w="568" w:type="dxa"/>
            <w:vMerge/>
            <w:tcBorders>
              <w:left w:val="single" w:sz="4" w:space="0" w:color="FFFFFF"/>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984" w:type="dxa"/>
            <w:vMerge w:val="restart"/>
            <w:tcBorders>
              <w:top w:val="nil" w:sz="6" w:space="0" w:color="auto"/>
              <w:left w:val="single" w:sz="4" w:space="0" w:color="000000"/>
              <w:right w:val="single" w:sz="4" w:space="0" w:color="000000"/>
            </w:tcBorders>
            <w:shd w:val="clear" w:color="auto" w:fill="D2D2D2"/>
          </w:tcPr>
          <w:p>
            <w:pPr/>
          </w:p>
        </w:tc>
        <w:tc>
          <w:tcPr>
            <w:tcW w:w="1985" w:type="dxa"/>
            <w:vMerge w:val="restart"/>
            <w:tcBorders>
              <w:top w:val="nil" w:sz="6" w:space="0" w:color="auto"/>
              <w:left w:val="single" w:sz="4" w:space="0" w:color="000000"/>
              <w:right w:val="single" w:sz="4" w:space="0" w:color="FFFFFF"/>
            </w:tcBorders>
            <w:shd w:val="clear" w:color="auto" w:fill="D2D2D2"/>
          </w:tcPr>
          <w:p>
            <w:pPr/>
          </w:p>
        </w:tc>
        <w:tc>
          <w:tcPr>
            <w:tcW w:w="1276" w:type="dxa"/>
            <w:vMerge/>
            <w:tcBorders>
              <w:left w:val="single" w:sz="4" w:space="0" w:color="FFFFFF"/>
              <w:bottom w:val="nil" w:sz="6" w:space="0" w:color="auto"/>
              <w:right w:val="single" w:sz="4" w:space="0" w:color="000000"/>
            </w:tcBorders>
            <w:shd w:val="clear" w:color="auto" w:fill="D2D2D2"/>
          </w:tcPr>
          <w:p>
            <w:pPr/>
          </w:p>
        </w:tc>
      </w:tr>
      <w:tr>
        <w:trPr>
          <w:trHeight w:val="194" w:hRule="exact"/>
        </w:trPr>
        <w:tc>
          <w:tcPr>
            <w:tcW w:w="2825"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FFFFFF"/>
            </w:tcBorders>
            <w:shd w:val="clear" w:color="auto" w:fill="D2D2D2"/>
          </w:tcPr>
          <w:p>
            <w:pPr/>
          </w:p>
        </w:tc>
        <w:tc>
          <w:tcPr>
            <w:tcW w:w="568" w:type="dxa"/>
            <w:tcBorders>
              <w:top w:val="nil" w:sz="6" w:space="0" w:color="auto"/>
              <w:left w:val="single" w:sz="4" w:space="0" w:color="FFFFFF"/>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FFFFFF"/>
            </w:tcBorders>
            <w:shd w:val="clear" w:color="auto" w:fill="D2D2D2"/>
          </w:tcPr>
          <w:p>
            <w:pPr/>
          </w:p>
        </w:tc>
        <w:tc>
          <w:tcPr>
            <w:tcW w:w="1276"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6" w:right="0"/>
              <w:jc w:val="left"/>
              <w:rPr>
                <w:rFonts w:ascii="Times New Roman" w:hAnsi="Times New Roman" w:cs="Times New Roman" w:eastAsia="Times New Roman" w:hint="default"/>
                <w:sz w:val="18"/>
                <w:szCs w:val="18"/>
              </w:rPr>
            </w:pPr>
            <w:r>
              <w:rPr>
                <w:rFonts w:ascii="Times New Roman"/>
                <w:sz w:val="18"/>
              </w:rPr>
              <w:t>90,000,000.00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left="207" w:right="0"/>
              <w:jc w:val="left"/>
              <w:rPr>
                <w:rFonts w:ascii="Times New Roman" w:hAnsi="Times New Roman" w:cs="Times New Roman" w:eastAsia="Times New Roman" w:hint="default"/>
                <w:sz w:val="18"/>
                <w:szCs w:val="18"/>
              </w:rPr>
            </w:pPr>
            <w:r>
              <w:rPr>
                <w:rFonts w:ascii="Times New Roman"/>
                <w:sz w:val="18"/>
              </w:rPr>
              <w:t>40,957,729.51</w:t>
            </w: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2" w:right="0"/>
              <w:jc w:val="left"/>
              <w:rPr>
                <w:rFonts w:ascii="Times New Roman" w:hAnsi="Times New Roman" w:cs="Times New Roman" w:eastAsia="Times New Roman" w:hint="default"/>
                <w:sz w:val="18"/>
                <w:szCs w:val="18"/>
              </w:rPr>
            </w:pPr>
            <w:r>
              <w:rPr>
                <w:rFonts w:ascii="Times New Roman"/>
                <w:sz w:val="18"/>
              </w:rPr>
              <w:t>27,113,102.98</w:t>
            </w:r>
          </w:p>
        </w:tc>
        <w:tc>
          <w:tcPr>
            <w:tcW w:w="198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left="826" w:right="0"/>
              <w:jc w:val="left"/>
              <w:rPr>
                <w:rFonts w:ascii="Times New Roman" w:hAnsi="Times New Roman" w:cs="Times New Roman" w:eastAsia="Times New Roman" w:hint="default"/>
                <w:sz w:val="18"/>
                <w:szCs w:val="18"/>
              </w:rPr>
            </w:pPr>
            <w:r>
              <w:rPr>
                <w:rFonts w:ascii="Times New Roman"/>
                <w:sz w:val="18"/>
              </w:rPr>
              <w:t>130,360,490.19</w:t>
            </w:r>
          </w:p>
        </w:tc>
        <w:tc>
          <w:tcPr>
            <w:tcW w:w="12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288,431,322.68</w:t>
            </w: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0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
        </w:tc>
        <w:tc>
          <w:tcPr>
            <w:tcW w:w="127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0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
        </w:tc>
        <w:tc>
          <w:tcPr>
            <w:tcW w:w="1276"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FFFFFF"/>
            </w:tcBorders>
          </w:tcPr>
          <w:p>
            <w:pPr/>
          </w:p>
        </w:tc>
        <w:tc>
          <w:tcPr>
            <w:tcW w:w="1276" w:type="dxa"/>
            <w:tcBorders>
              <w:top w:val="single" w:sz="4" w:space="0" w:color="000000"/>
              <w:left w:val="single" w:sz="4" w:space="0" w:color="FFFFFF"/>
              <w:bottom w:val="single" w:sz="4" w:space="0" w:color="000000"/>
              <w:right w:val="single" w:sz="4" w:space="0" w:color="000000"/>
            </w:tcBorders>
          </w:tcPr>
          <w:p>
            <w:pPr/>
          </w:p>
        </w:tc>
      </w:tr>
    </w:tbl>
    <w:p>
      <w:pPr>
        <w:spacing w:after="0"/>
        <w:sectPr>
          <w:pgSz w:w="16840" w:h="11910" w:orient="landscape"/>
          <w:pgMar w:header="867" w:footer="979" w:top="1060" w:bottom="1160" w:left="12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24"/>
        <w:gridCol w:w="1288"/>
        <w:gridCol w:w="566"/>
        <w:gridCol w:w="426"/>
        <w:gridCol w:w="426"/>
        <w:gridCol w:w="1274"/>
        <w:gridCol w:w="568"/>
        <w:gridCol w:w="851"/>
        <w:gridCol w:w="709"/>
        <w:gridCol w:w="1984"/>
        <w:gridCol w:w="1985"/>
        <w:gridCol w:w="1276"/>
      </w:tblGrid>
      <w:tr>
        <w:trPr>
          <w:trHeight w:val="416" w:hRule="exact"/>
        </w:trPr>
        <w:tc>
          <w:tcPr>
            <w:tcW w:w="28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8" w:type="dxa"/>
            <w:tcBorders>
              <w:top w:val="single" w:sz="15"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566"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40,957,729.51</w:t>
            </w:r>
          </w:p>
        </w:tc>
        <w:tc>
          <w:tcPr>
            <w:tcW w:w="568"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9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27,113,102.98</w:t>
            </w:r>
          </w:p>
        </w:tc>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130,360,490.19</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288,431,322.68</w:t>
            </w:r>
          </w:p>
        </w:tc>
      </w:tr>
      <w:tr>
        <w:trPr>
          <w:trHeight w:val="714"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号填列）</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162,668,318.64</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3,274,048.15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20,466,433.33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216,408,800.12</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32,740,481.48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32,740,481.48</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162,668,318.64</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192,668,318.64</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162,668,318.64</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192,668,318.64</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3,274,048.15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-12,274,048.15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3,274,048.15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-3,274,048.15</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203,626,048.15</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30,387,151.13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150,826,923.52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504,840,122.80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2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三、公司基本情况" w:id="190"/>
      <w:bookmarkEnd w:id="190"/>
      <w:r>
        <w:rPr>
          <w:b w:val="0"/>
          <w:bCs w:val="0"/>
        </w:rPr>
      </w:r>
      <w:r>
        <w:rPr/>
        <w:t>三、公司基本情况</w:t>
      </w:r>
      <w:r>
        <w:rPr>
          <w:b w:val="0"/>
          <w:bCs w:val="0"/>
        </w:rPr>
      </w:r>
    </w:p>
    <w:p>
      <w:pPr>
        <w:pStyle w:val="BodyText"/>
        <w:spacing w:line="480" w:lineRule="atLeast" w:before="102"/>
        <w:ind w:left="513" w:right="1127" w:firstLine="1"/>
        <w:jc w:val="left"/>
      </w:pPr>
      <w:r>
        <w:rPr>
          <w:rFonts w:ascii="宋体" w:hAnsi="宋体" w:cs="宋体" w:eastAsia="宋体" w:hint="default"/>
          <w:b/>
          <w:bCs/>
        </w:rPr>
        <w:t>（一）公司概况</w:t>
      </w:r>
      <w:r>
        <w:rPr>
          <w:rFonts w:ascii="宋体" w:hAnsi="宋体" w:cs="宋体" w:eastAsia="宋体" w:hint="default"/>
          <w:b/>
          <w:bCs/>
          <w:w w:val="99"/>
        </w:rPr>
        <w:t> </w:t>
      </w:r>
      <w:r>
        <w:rPr>
          <w:spacing w:val="-1"/>
        </w:rPr>
        <w:t>苏州恒久光电科技股份有限公司（以下简称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）是由苏州恒久光电科技有限公司整体变更设立的股份有</w:t>
      </w:r>
    </w:p>
    <w:p>
      <w:pPr>
        <w:pStyle w:val="BodyText"/>
        <w:spacing w:line="240" w:lineRule="auto" w:before="63"/>
        <w:ind w:right="0"/>
        <w:jc w:val="left"/>
      </w:pPr>
      <w:r>
        <w:rPr/>
        <w:t>限公司，以截止</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日的经审计的净资产依据各股东出资比例折合为公司的股份</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spacing w:val="-3"/>
        </w:rPr>
        <w:t>万股，公司注册资本、实</w:t>
      </w:r>
    </w:p>
    <w:p>
      <w:pPr>
        <w:pStyle w:val="BodyText"/>
        <w:spacing w:line="240" w:lineRule="auto" w:before="63"/>
        <w:ind w:right="0"/>
        <w:jc w:val="left"/>
      </w:pPr>
      <w:r>
        <w:rPr/>
        <w:t>收资本（股本）为</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万元，于</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日在江苏省苏州工商行政管理局变更登记。</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根据本公司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年度股东大会决议，公司增加注册资本</w:t>
      </w:r>
      <w:r>
        <w:rPr>
          <w:spacing w:val="-50"/>
        </w:rPr>
        <w:t> </w:t>
      </w:r>
      <w:r>
        <w:rPr>
          <w:rFonts w:ascii="Times New Roman" w:hAnsi="Times New Roman" w:cs="Times New Roman" w:eastAsia="Times New Roman" w:hint="default"/>
        </w:rPr>
        <w:t>2,200</w:t>
      </w:r>
      <w:r>
        <w:rPr>
          <w:rFonts w:ascii="Times New Roman" w:hAnsi="Times New Roman" w:cs="Times New Roman" w:eastAsia="Times New Roman" w:hint="default"/>
          <w:spacing w:val="-5"/>
        </w:rPr>
        <w:t> </w:t>
      </w:r>
      <w:r>
        <w:rPr/>
        <w:t>万元，由资本公积金</w:t>
      </w:r>
      <w:r>
        <w:rPr>
          <w:spacing w:val="-50"/>
        </w:rPr>
        <w:t> </w:t>
      </w:r>
      <w:r>
        <w:rPr>
          <w:rFonts w:ascii="Times New Roman" w:hAnsi="Times New Roman" w:cs="Times New Roman" w:eastAsia="Times New Roman" w:hint="default"/>
        </w:rPr>
        <w:t>2,200</w:t>
      </w:r>
      <w:r>
        <w:rPr>
          <w:rFonts w:ascii="Times New Roman" w:hAnsi="Times New Roman" w:cs="Times New Roman" w:eastAsia="Times New Roman" w:hint="default"/>
          <w:spacing w:val="-4"/>
        </w:rPr>
        <w:t> </w:t>
      </w:r>
      <w:r>
        <w:rPr/>
        <w:t>万元转增股本</w:t>
      </w:r>
      <w:r>
        <w:rPr>
          <w:spacing w:val="-50"/>
        </w:rPr>
        <w:t> </w:t>
      </w:r>
      <w:r>
        <w:rPr>
          <w:rFonts w:ascii="Times New Roman" w:hAnsi="Times New Roman" w:cs="Times New Roman" w:eastAsia="Times New Roman" w:hint="default"/>
        </w:rPr>
        <w:t>2,200</w:t>
      </w:r>
      <w:r>
        <w:rPr>
          <w:rFonts w:ascii="Times New Roman" w:hAnsi="Times New Roman" w:cs="Times New Roman" w:eastAsia="Times New Roman" w:hint="default"/>
          <w:spacing w:val="-5"/>
        </w:rPr>
        <w:t> </w:t>
      </w:r>
      <w:r>
        <w:rPr>
          <w:spacing w:val="-3"/>
        </w:rPr>
        <w:t>万股，并</w:t>
      </w:r>
    </w:p>
    <w:p>
      <w:pPr>
        <w:pStyle w:val="BodyText"/>
        <w:spacing w:line="240" w:lineRule="auto" w:before="63"/>
        <w:ind w:right="0"/>
        <w:jc w:val="left"/>
      </w:pPr>
      <w:r>
        <w:rPr/>
        <w:t>于</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月实施完成。转增股本后，公司注册资本、实收资本（股本）变更为</w:t>
      </w:r>
      <w:r>
        <w:rPr>
          <w:spacing w:val="-48"/>
        </w:rPr>
        <w:t> </w:t>
      </w:r>
      <w:r>
        <w:rPr>
          <w:rFonts w:ascii="Times New Roman" w:hAnsi="Times New Roman" w:cs="Times New Roman" w:eastAsia="Times New Roman" w:hint="default"/>
        </w:rPr>
        <w:t>8,200</w:t>
      </w:r>
      <w:r>
        <w:rPr>
          <w:rFonts w:ascii="Times New Roman" w:hAnsi="Times New Roman" w:cs="Times New Roman" w:eastAsia="Times New Roman" w:hint="default"/>
          <w:spacing w:val="-3"/>
        </w:rPr>
        <w:t> </w:t>
      </w:r>
      <w:r>
        <w:rPr/>
        <w:t>万元。</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日，根据公司</w:t>
      </w:r>
      <w:r>
        <w:rPr>
          <w:spacing w:val="-4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年第一次临时股东大会决议，公司新增股份</w:t>
      </w:r>
      <w:r>
        <w:rPr>
          <w:spacing w:val="-41"/>
        </w:rPr>
        <w:t> </w:t>
      </w:r>
      <w:r>
        <w:rPr>
          <w:rFonts w:ascii="Times New Roman" w:hAnsi="Times New Roman" w:cs="Times New Roman" w:eastAsia="Times New Roman" w:hint="default"/>
        </w:rPr>
        <w:t>800</w:t>
      </w:r>
      <w:r>
        <w:rPr>
          <w:rFonts w:ascii="Times New Roman" w:hAnsi="Times New Roman" w:cs="Times New Roman" w:eastAsia="Times New Roman" w:hint="default"/>
          <w:spacing w:val="2"/>
        </w:rPr>
        <w:t> </w:t>
      </w:r>
      <w:r>
        <w:rPr/>
        <w:t>万股，增加注册资本</w:t>
      </w:r>
      <w:r>
        <w:rPr>
          <w:spacing w:val="-41"/>
        </w:rPr>
        <w:t> </w:t>
      </w:r>
      <w:r>
        <w:rPr>
          <w:rFonts w:ascii="Times New Roman" w:hAnsi="Times New Roman" w:cs="Times New Roman" w:eastAsia="Times New Roman" w:hint="default"/>
        </w:rPr>
        <w:t>800</w:t>
      </w:r>
      <w:r>
        <w:rPr>
          <w:rFonts w:ascii="Times New Roman" w:hAnsi="Times New Roman" w:cs="Times New Roman" w:eastAsia="Times New Roman" w:hint="default"/>
          <w:spacing w:val="3"/>
        </w:rPr>
        <w:t> </w:t>
      </w:r>
      <w:r>
        <w:rPr/>
        <w:t>万元，增</w:t>
      </w:r>
    </w:p>
    <w:p>
      <w:pPr>
        <w:pStyle w:val="BodyText"/>
        <w:spacing w:line="240" w:lineRule="auto" w:before="63"/>
        <w:ind w:right="0"/>
        <w:jc w:val="left"/>
      </w:pPr>
      <w:r>
        <w:rPr/>
        <w:t>资后，公司注册资本、实收资本（股本）变更为</w:t>
      </w:r>
      <w:r>
        <w:rPr>
          <w:spacing w:val="-45"/>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
        </w:rPr>
        <w:t> </w:t>
      </w:r>
      <w:r>
        <w:rPr/>
        <w:t>万元。</w:t>
      </w:r>
    </w:p>
    <w:p>
      <w:pPr>
        <w:spacing w:line="240" w:lineRule="auto" w:before="9"/>
        <w:rPr>
          <w:rFonts w:ascii="宋体" w:hAnsi="宋体" w:cs="宋体" w:eastAsia="宋体" w:hint="default"/>
          <w:sz w:val="16"/>
          <w:szCs w:val="16"/>
        </w:rPr>
      </w:pPr>
    </w:p>
    <w:p>
      <w:pPr>
        <w:pStyle w:val="BodyText"/>
        <w:spacing w:line="300" w:lineRule="auto"/>
        <w:ind w:right="1117" w:firstLine="360"/>
        <w:jc w:val="left"/>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[2016]1549</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文核准，本公司于</w:t>
      </w:r>
      <w:r>
        <w:rPr>
          <w:spacing w:val="-3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月采用网上向社会公众投资者定价与 网下向配售对象询价配售相结合的发行方式公开发行人民币普通股（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3,000</w:t>
      </w:r>
      <w:r>
        <w:rPr>
          <w:rFonts w:ascii="Times New Roman" w:hAnsi="Times New Roman" w:cs="Times New Roman" w:eastAsia="Times New Roman" w:hint="default"/>
          <w:spacing w:val="11"/>
        </w:rPr>
        <w:t> </w:t>
      </w:r>
      <w:r>
        <w:rPr/>
        <w:t>万股。发行后，公司注册资本、实收资本</w:t>
      </w:r>
    </w:p>
    <w:p>
      <w:pPr>
        <w:pStyle w:val="BodyText"/>
        <w:spacing w:line="240" w:lineRule="auto" w:before="13"/>
        <w:ind w:left="154" w:right="0"/>
        <w:jc w:val="left"/>
      </w:pPr>
      <w:r>
        <w:rPr/>
        <w:t>（股本）变更为</w:t>
      </w:r>
      <w:r>
        <w:rPr>
          <w:spacing w:val="-46"/>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
        </w:rPr>
        <w:t> </w:t>
      </w:r>
      <w:r>
        <w:rPr/>
        <w:t>万元。</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12 </w:t>
      </w:r>
      <w:r>
        <w:rPr/>
        <w:t>日，本公司股票在深圳证券交易所中小板上市交易，股票简称：苏州恒久，股票代码：</w:t>
      </w:r>
      <w:r>
        <w:rPr>
          <w:rFonts w:ascii="Times New Roman" w:hAnsi="Times New Roman" w:cs="Times New Roman" w:eastAsia="Times New Roman" w:hint="default"/>
        </w:rPr>
        <w:t>002808</w:t>
      </w:r>
      <w:r>
        <w:rPr/>
        <w:t>。</w:t>
      </w:r>
    </w:p>
    <w:p>
      <w:pPr>
        <w:spacing w:line="240" w:lineRule="auto" w:before="9"/>
        <w:rPr>
          <w:rFonts w:ascii="宋体" w:hAnsi="宋体" w:cs="宋体" w:eastAsia="宋体" w:hint="default"/>
          <w:sz w:val="16"/>
          <w:szCs w:val="16"/>
        </w:rPr>
      </w:pPr>
    </w:p>
    <w:p>
      <w:pPr>
        <w:pStyle w:val="BodyText"/>
        <w:spacing w:line="240" w:lineRule="auto"/>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1"/>
        </w:rPr>
        <w:t>月，根据本公司</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5"/>
        </w:rPr>
        <w:t>年度股东大会决议，公司增加注册资本</w:t>
      </w:r>
      <w:r>
        <w:rPr>
          <w:spacing w:val="-44"/>
        </w:rPr>
        <w:t> </w:t>
      </w:r>
      <w:r>
        <w:rPr>
          <w:rFonts w:ascii="Times New Roman" w:hAnsi="Times New Roman" w:cs="Times New Roman" w:eastAsia="Times New Roman" w:hint="default"/>
        </w:rPr>
        <w:t>7,200</w:t>
      </w:r>
      <w:r>
        <w:rPr>
          <w:rFonts w:ascii="Times New Roman" w:hAnsi="Times New Roman" w:cs="Times New Roman" w:eastAsia="Times New Roman" w:hint="default"/>
          <w:spacing w:val="1"/>
        </w:rPr>
        <w:t> </w:t>
      </w:r>
      <w:r>
        <w:rPr>
          <w:spacing w:val="-9"/>
        </w:rPr>
        <w:t>万元，由资本公积</w:t>
      </w:r>
      <w:r>
        <w:rPr>
          <w:spacing w:val="-44"/>
        </w:rPr>
        <w:t> </w:t>
      </w:r>
      <w:r>
        <w:rPr>
          <w:rFonts w:ascii="Times New Roman" w:hAnsi="Times New Roman" w:cs="Times New Roman" w:eastAsia="Times New Roman" w:hint="default"/>
        </w:rPr>
        <w:t>7,200</w:t>
      </w:r>
      <w:r>
        <w:rPr>
          <w:rFonts w:ascii="Times New Roman" w:hAnsi="Times New Roman" w:cs="Times New Roman" w:eastAsia="Times New Roman" w:hint="default"/>
          <w:spacing w:val="1"/>
        </w:rPr>
        <w:t> </w:t>
      </w:r>
      <w:r>
        <w:rPr/>
        <w:t>万元转增股本</w:t>
      </w:r>
      <w:r>
        <w:rPr>
          <w:spacing w:val="-44"/>
        </w:rPr>
        <w:t> </w:t>
      </w:r>
      <w:r>
        <w:rPr>
          <w:rFonts w:ascii="Times New Roman" w:hAnsi="Times New Roman" w:cs="Times New Roman" w:eastAsia="Times New Roman" w:hint="default"/>
        </w:rPr>
        <w:t>7,200</w:t>
      </w:r>
    </w:p>
    <w:p>
      <w:pPr>
        <w:pStyle w:val="BodyText"/>
        <w:spacing w:line="451" w:lineRule="auto" w:before="63"/>
        <w:ind w:left="513" w:right="4769" w:hanging="360"/>
        <w:jc w:val="left"/>
      </w:pPr>
      <w:r>
        <w:rPr/>
        <w:t>万股。转增股本后，公司注册资本、实收资本（股本）变更为</w:t>
      </w:r>
      <w:r>
        <w:rPr>
          <w:spacing w:val="-45"/>
        </w:rPr>
        <w:t> </w:t>
      </w:r>
      <w:r>
        <w:rPr>
          <w:rFonts w:ascii="Times New Roman" w:hAnsi="Times New Roman" w:cs="Times New Roman" w:eastAsia="Times New Roman" w:hint="default"/>
        </w:rPr>
        <w:t>19,200</w:t>
      </w:r>
      <w:r>
        <w:rPr>
          <w:rFonts w:ascii="Times New Roman" w:hAnsi="Times New Roman" w:cs="Times New Roman" w:eastAsia="Times New Roman" w:hint="default"/>
          <w:spacing w:val="-1"/>
        </w:rPr>
        <w:t> </w:t>
      </w:r>
      <w:r>
        <w:rPr/>
        <w:t>万元。 公司企业法人登记注册号：</w:t>
      </w:r>
      <w:r>
        <w:rPr>
          <w:rFonts w:ascii="Times New Roman" w:hAnsi="Times New Roman" w:cs="Times New Roman" w:eastAsia="Times New Roman" w:hint="default"/>
        </w:rPr>
        <w:t>91320500737061190F </w:t>
      </w:r>
      <w:r>
        <w:rPr/>
        <w:t>公司住所：苏州高新区火炬路</w:t>
      </w:r>
      <w:r>
        <w:rPr>
          <w:spacing w:val="-46"/>
        </w:rPr>
        <w:t> </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t>号</w:t>
      </w:r>
    </w:p>
    <w:p>
      <w:pPr>
        <w:pStyle w:val="BodyText"/>
        <w:spacing w:line="477" w:lineRule="auto" w:before="44"/>
        <w:ind w:left="513" w:right="6383"/>
        <w:jc w:val="left"/>
      </w:pPr>
      <w:r>
        <w:rPr/>
        <w:t>法定代表人：余荣清 本公司的控股股东、实际控制人为余荣清。 公司行业性质</w:t>
      </w:r>
      <w:r>
        <w:rPr>
          <w:rFonts w:ascii="Times New Roman" w:hAnsi="Times New Roman" w:cs="Times New Roman" w:eastAsia="Times New Roman" w:hint="default"/>
        </w:rPr>
        <w:t>:</w:t>
      </w:r>
      <w:r>
        <w:rPr/>
        <w:t>光电子器件及其他电子器件制造业。</w:t>
      </w:r>
    </w:p>
    <w:p>
      <w:pPr>
        <w:pStyle w:val="BodyText"/>
        <w:spacing w:line="316" w:lineRule="auto" w:before="21"/>
        <w:ind w:right="0" w:firstLine="360"/>
        <w:jc w:val="left"/>
      </w:pPr>
      <w:r>
        <w:rPr>
          <w:spacing w:val="-2"/>
        </w:rPr>
        <w:t>公司经营范围：有机光导鼓系列产品、墨粉、粉盒及相关衍生产品的生产、经营，研发、生产、销售：光电子器件与组</w:t>
      </w:r>
      <w:r>
        <w:rPr/>
        <w:t> 件、计算机及其周边设备；自营和代理各类商品及技术的进出口业务。</w:t>
      </w:r>
    </w:p>
    <w:p>
      <w:pPr>
        <w:spacing w:line="240" w:lineRule="auto" w:before="5"/>
        <w:rPr>
          <w:rFonts w:ascii="宋体" w:hAnsi="宋体" w:cs="宋体" w:eastAsia="宋体" w:hint="default"/>
          <w:sz w:val="13"/>
          <w:szCs w:val="13"/>
        </w:rPr>
      </w:pPr>
    </w:p>
    <w:p>
      <w:pPr>
        <w:pStyle w:val="BodyText"/>
        <w:spacing w:line="477" w:lineRule="auto"/>
        <w:ind w:left="513" w:right="5717"/>
        <w:jc w:val="left"/>
      </w:pPr>
      <w:r>
        <w:rPr/>
        <w:t>公司主要产品：有机光导鼓系列产品。 本财务报表业经公司董事会于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日批准报出。</w:t>
      </w:r>
    </w:p>
    <w:p>
      <w:pPr>
        <w:pStyle w:val="Heading4"/>
        <w:spacing w:line="240" w:lineRule="auto" w:before="21"/>
        <w:ind w:right="0"/>
        <w:jc w:val="left"/>
        <w:rPr>
          <w:b w:val="0"/>
          <w:bCs w:val="0"/>
        </w:rPr>
      </w:pPr>
      <w:r>
        <w:rPr/>
        <w:t>（二）合并财务报表范围</w:t>
      </w:r>
      <w:r>
        <w:rPr>
          <w:b w:val="0"/>
          <w:bCs w:val="0"/>
        </w:rPr>
      </w:r>
    </w:p>
    <w:p>
      <w:pPr>
        <w:spacing w:line="240" w:lineRule="auto" w:before="13"/>
        <w:rPr>
          <w:rFonts w:ascii="宋体" w:hAnsi="宋体" w:cs="宋体" w:eastAsia="宋体" w:hint="default"/>
          <w:b/>
          <w:bCs/>
          <w:sz w:val="16"/>
          <w:szCs w:val="16"/>
        </w:rPr>
      </w:pPr>
    </w:p>
    <w:tbl>
      <w:tblPr>
        <w:tblW w:w="0" w:type="auto"/>
        <w:jc w:val="left"/>
        <w:tblInd w:w="149" w:type="dxa"/>
        <w:tblLayout w:type="fixed"/>
        <w:tblCellMar>
          <w:top w:w="0" w:type="dxa"/>
          <w:left w:w="0" w:type="dxa"/>
          <w:bottom w:w="0" w:type="dxa"/>
          <w:right w:w="0" w:type="dxa"/>
        </w:tblCellMar>
        <w:tblLook w:val="01E0"/>
      </w:tblPr>
      <w:tblGrid>
        <w:gridCol w:w="6522"/>
        <w:gridCol w:w="3119"/>
      </w:tblGrid>
      <w:tr>
        <w:trPr>
          <w:trHeight w:val="34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34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苏州吴中恒久光电子科技有限公司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GOLDENGREEN TECHNOLOGIES EU</w:t>
            </w:r>
            <w:r>
              <w:rPr>
                <w:rFonts w:ascii="Times New Roman"/>
                <w:spacing w:val="-9"/>
                <w:sz w:val="18"/>
              </w:rPr>
              <w:t> </w:t>
            </w:r>
            <w:r>
              <w:rPr>
                <w:rFonts w:ascii="Times New Roman"/>
                <w:sz w:val="18"/>
              </w:rPr>
              <w:t>LIMITED</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GOLDENGREEN</w:t>
            </w:r>
            <w:r>
              <w:rPr>
                <w:rFonts w:ascii="Times New Roman"/>
                <w:spacing w:val="-12"/>
                <w:sz w:val="18"/>
              </w:rPr>
              <w:t> </w:t>
            </w:r>
            <w:r>
              <w:rPr>
                <w:rFonts w:ascii="Times New Roman"/>
                <w:sz w:val="18"/>
              </w:rPr>
              <w:t>TECHNOLOGIES</w:t>
            </w:r>
            <w:r>
              <w:rPr>
                <w:rFonts w:ascii="Times New Roman"/>
                <w:spacing w:val="-10"/>
                <w:sz w:val="18"/>
              </w:rPr>
              <w:t> </w:t>
            </w:r>
            <w:r>
              <w:rPr>
                <w:rFonts w:ascii="Times New Roman"/>
                <w:sz w:val="18"/>
              </w:rPr>
              <w:t>INTERNATIONAL</w:t>
            </w:r>
            <w:r>
              <w:rPr>
                <w:rFonts w:ascii="Times New Roman"/>
                <w:spacing w:val="-15"/>
                <w:sz w:val="18"/>
              </w:rPr>
              <w:t> </w:t>
            </w:r>
            <w:r>
              <w:rPr>
                <w:rFonts w:ascii="Times New Roman"/>
                <w:sz w:val="18"/>
              </w:rPr>
              <w:t>LIMITED</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全资孙公司</w:t>
            </w:r>
          </w:p>
        </w:tc>
      </w:tr>
      <w:tr>
        <w:trPr>
          <w:trHeight w:val="34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GLOBAL IMAGING SYSTEM</w:t>
            </w:r>
            <w:r>
              <w:rPr>
                <w:rFonts w:ascii="Times New Roman"/>
                <w:spacing w:val="-9"/>
                <w:sz w:val="18"/>
              </w:rPr>
              <w:t> </w:t>
            </w:r>
            <w:r>
              <w:rPr>
                <w:rFonts w:ascii="Times New Roman"/>
                <w:sz w:val="18"/>
              </w:rPr>
              <w:t>LIMITED</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苏州恒久数码科技有限公司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bl>
    <w:p>
      <w:pPr>
        <w:pStyle w:val="BodyText"/>
        <w:spacing w:line="240" w:lineRule="auto" w:before="51"/>
        <w:ind w:left="514" w:right="0"/>
        <w:jc w:val="left"/>
      </w:pPr>
      <w:r>
        <w:rPr/>
        <w:t>公司合并财务报表范围较上年同期增加了恒久高新及恒久保理，详情如下：</w:t>
      </w:r>
    </w:p>
    <w:p>
      <w:pPr>
        <w:spacing w:after="0" w:line="240" w:lineRule="auto"/>
        <w:jc w:val="left"/>
        <w:sectPr>
          <w:headerReference w:type="default" r:id="rId29"/>
          <w:footerReference w:type="default" r:id="rId30"/>
          <w:pgSz w:w="11910" w:h="16840"/>
          <w:pgMar w:header="877" w:footer="979" w:top="1100" w:bottom="1160" w:left="980" w:right="0"/>
          <w:pgNumType w:start="92"/>
        </w:sectPr>
      </w:pPr>
    </w:p>
    <w:p>
      <w:pPr>
        <w:spacing w:line="240" w:lineRule="auto" w:before="12"/>
        <w:rPr>
          <w:rFonts w:ascii="宋体" w:hAnsi="宋体" w:cs="宋体" w:eastAsia="宋体" w:hint="default"/>
          <w:sz w:val="21"/>
          <w:szCs w:val="21"/>
        </w:rPr>
      </w:pPr>
    </w:p>
    <w:p>
      <w:pPr>
        <w:pStyle w:val="BodyText"/>
        <w:spacing w:line="300" w:lineRule="auto" w:before="44"/>
        <w:ind w:right="1131" w:firstLine="360"/>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日，公司设立全资子公司苏州恒久高新产业发展有限公司，注册资本</w:t>
      </w:r>
      <w:r>
        <w:rPr>
          <w:spacing w:val="-5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9"/>
        </w:rPr>
        <w:t> </w:t>
      </w:r>
      <w:r>
        <w:rPr/>
        <w:t>万元，报告期末尚未缴纳 出资，该子公司自设立起纳入合并范围。</w:t>
      </w:r>
    </w:p>
    <w:p>
      <w:pPr>
        <w:spacing w:line="240" w:lineRule="auto" w:before="4"/>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日，公司设立全资子公司苏州恒久商业保理有限公司，注册资本</w:t>
      </w:r>
      <w:r>
        <w:rPr>
          <w:spacing w:val="-53"/>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8"/>
        </w:rPr>
        <w:t> </w:t>
      </w:r>
      <w:r>
        <w:rPr/>
        <w:t>万元，报告期末已实缴出资</w:t>
      </w:r>
    </w:p>
    <w:p>
      <w:pPr>
        <w:pStyle w:val="BodyText"/>
        <w:spacing w:line="240" w:lineRule="auto" w:before="63"/>
        <w:ind w:right="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万元，该子公司自设立起纳入合并范围。</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91"/>
      <w:bookmarkEnd w:id="19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92"/>
      <w:bookmarkEnd w:id="19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w w:val="100"/>
        </w:rPr>
        <w:t>计准则、企业会计准则应用指南、企业会计准则解释及其他相关规定（以下合称</w:t>
      </w:r>
      <w:r>
        <w:rPr>
          <w:rFonts w:ascii="Times New Roman" w:hAnsi="Times New Roman" w:cs="Times New Roman" w:eastAsia="Times New Roman" w:hint="default"/>
          <w:spacing w:val="-2"/>
          <w:w w:val="100"/>
        </w:rPr>
        <w:t>“</w:t>
      </w:r>
      <w:r>
        <w:rPr>
          <w:spacing w:val="-2"/>
          <w:w w:val="100"/>
        </w:rPr>
        <w:t>企业会计准则</w:t>
      </w:r>
      <w:r>
        <w:rPr>
          <w:rFonts w:ascii="Times New Roman" w:hAnsi="Times New Roman" w:cs="Times New Roman" w:eastAsia="Times New Roman" w:hint="default"/>
          <w:spacing w:val="-2"/>
          <w:w w:val="100"/>
        </w:rPr>
        <w:t>”</w:t>
      </w:r>
      <w:r>
        <w:rPr>
          <w:spacing w:val="-2"/>
          <w:w w:val="100"/>
        </w:rPr>
        <w:t>），以及中国证券监督管理</w:t>
      </w:r>
      <w:r>
        <w:rPr>
          <w:spacing w:val="-47"/>
          <w:w w:val="100"/>
        </w:rPr>
        <w:t> </w:t>
      </w:r>
      <w:r>
        <w:rPr>
          <w:spacing w:val="-47"/>
          <w:w w:val="100"/>
        </w:rPr>
      </w:r>
      <w:r>
        <w:rPr/>
        <w:t>委员会《公开发行证券的公司信息披露编报规则第 </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3"/>
        <w:spacing w:line="240" w:lineRule="auto"/>
        <w:ind w:left="154" w:right="0"/>
        <w:jc w:val="left"/>
        <w:rPr>
          <w:b w:val="0"/>
          <w:bCs w:val="0"/>
        </w:rPr>
      </w:pPr>
      <w:bookmarkStart w:name="2、持续经营" w:id="193"/>
      <w:bookmarkEnd w:id="19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公司自本报告期末至少</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五、重要会计政策及会计估计" w:id="194"/>
      <w:bookmarkEnd w:id="19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357" w:lineRule="auto" w:before="26"/>
        <w:ind w:left="514" w:right="1212" w:hanging="360"/>
        <w:jc w:val="left"/>
      </w:pPr>
      <w:r>
        <w:rPr/>
        <w:t>具体会计政策和会计估计提示： 本公司下列重要会计政策、会计估计均根据企业会计准则制定、未提及的业务按企业会计准则中相关会计政策执行。</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95"/>
      <w:bookmarkEnd w:id="19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公司所编制的财务报表符合企业会计准则的要求，真实、完整地反映了报告期公司的财务状况、经营成果、现金流量等</w:t>
      </w:r>
      <w:r>
        <w:rPr/>
        <w:t> 有关信息。</w:t>
      </w:r>
    </w:p>
    <w:p>
      <w:pPr>
        <w:spacing w:line="240" w:lineRule="auto" w:before="7"/>
        <w:rPr>
          <w:rFonts w:ascii="宋体" w:hAnsi="宋体" w:cs="宋体" w:eastAsia="宋体" w:hint="default"/>
          <w:sz w:val="22"/>
          <w:szCs w:val="22"/>
        </w:rPr>
      </w:pPr>
    </w:p>
    <w:p>
      <w:pPr>
        <w:spacing w:line="547" w:lineRule="auto" w:before="0"/>
        <w:ind w:left="153" w:right="7153" w:firstLine="0"/>
        <w:jc w:val="left"/>
        <w:rPr>
          <w:rFonts w:ascii="宋体" w:hAnsi="宋体" w:cs="宋体" w:eastAsia="宋体" w:hint="default"/>
          <w:sz w:val="21"/>
          <w:szCs w:val="21"/>
        </w:rPr>
      </w:pPr>
      <w:bookmarkStart w:name="2、会计期间" w:id="196"/>
      <w:bookmarkEnd w:id="19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97"/>
      <w:bookmarkEnd w:id="19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50"/>
        <w:ind w:right="0"/>
        <w:jc w:val="left"/>
      </w:pPr>
      <w:r>
        <w:rPr/>
        <w:t>本公司营业周期为</w:t>
      </w:r>
      <w:r>
        <w:rPr>
          <w:rFonts w:ascii="Times New Roman" w:hAnsi="Times New Roman" w:cs="Times New Roman" w:eastAsia="Times New Roman" w:hint="default"/>
        </w:rPr>
        <w:t>12</w:t>
      </w:r>
      <w:r>
        <w:rPr/>
        <w:t>个月。</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4、记账本位币" w:id="198"/>
      <w:bookmarkEnd w:id="19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2" w:firstLine="360"/>
        <w:jc w:val="both"/>
      </w:pPr>
      <w:r>
        <w:rPr>
          <w:spacing w:val="-2"/>
        </w:rPr>
        <w:t>本公司及境内子公司采用人民币为记账本位币，境外子公司采用美元为记账本位币。本公司编制本财务报表时所采用的</w:t>
      </w:r>
      <w:r>
        <w:rPr/>
        <w:t> 货币为人民币。</w:t>
      </w:r>
    </w:p>
    <w:p>
      <w:pPr>
        <w:spacing w:after="0" w:line="319"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同一控制下和非同一控制下企业合并的会计处理方法" w:id="199"/>
      <w:bookmarkEnd w:id="19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43" w:firstLine="360"/>
        <w:jc w:val="both"/>
      </w:pPr>
      <w:r>
        <w:rPr>
          <w:spacing w:val="-2"/>
        </w:rPr>
        <w:t>同一控制下企业合并：本公司在企业合并中取得的资产和负债，按照合并日被合并方资产、负债（包括最终控制方收购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spacing w:line="240" w:lineRule="auto" w:before="3"/>
        <w:rPr>
          <w:rFonts w:ascii="宋体" w:hAnsi="宋体" w:cs="宋体" w:eastAsia="宋体" w:hint="default"/>
          <w:sz w:val="13"/>
          <w:szCs w:val="13"/>
        </w:rPr>
      </w:pPr>
    </w:p>
    <w:p>
      <w:pPr>
        <w:pStyle w:val="BodyText"/>
        <w:spacing w:line="316" w:lineRule="auto"/>
        <w:ind w:right="0"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200"/>
      <w:bookmarkEnd w:id="200"/>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450" w:lineRule="atLeast" w:before="146"/>
        <w:ind w:left="514" w:right="1118" w:firstLine="1"/>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2"/>
        </w:rPr>
        <w:t>本公司合并财务报表的合并范围以控制为基础确定，所有子公司（包括本公司所控制的被投资方可分割的部分）均纳入</w:t>
      </w:r>
    </w:p>
    <w:p>
      <w:pPr>
        <w:pStyle w:val="BodyText"/>
        <w:spacing w:line="240" w:lineRule="auto" w:before="76"/>
        <w:ind w:left="154" w:right="0"/>
        <w:jc w:val="left"/>
      </w:pPr>
      <w:r>
        <w:rPr/>
        <w:t>合并财务报表。</w:t>
      </w:r>
    </w:p>
    <w:p>
      <w:pPr>
        <w:pStyle w:val="BodyText"/>
        <w:spacing w:line="450" w:lineRule="atLeast" w:before="31"/>
        <w:ind w:left="514" w:right="1118" w:firstLine="1"/>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本公司以自身和各子公司的财务报表为基础，根据其他有关资料，编制合并财务报表。本公司编制合并财务报表，将整</w:t>
      </w:r>
    </w:p>
    <w:p>
      <w:pPr>
        <w:pStyle w:val="BodyText"/>
        <w:spacing w:line="316" w:lineRule="auto" w:before="76"/>
        <w:ind w:left="154" w:right="0"/>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spacing w:line="240" w:lineRule="auto" w:before="5"/>
        <w:rPr>
          <w:rFonts w:ascii="宋体" w:hAnsi="宋体" w:cs="宋体" w:eastAsia="宋体" w:hint="default"/>
          <w:sz w:val="13"/>
          <w:szCs w:val="13"/>
        </w:rPr>
      </w:pPr>
    </w:p>
    <w:p>
      <w:pPr>
        <w:pStyle w:val="BodyText"/>
        <w:spacing w:line="316" w:lineRule="auto"/>
        <w:ind w:left="154" w:right="1033"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spacing w:line="240" w:lineRule="auto" w:before="5"/>
        <w:rPr>
          <w:rFonts w:ascii="宋体" w:hAnsi="宋体" w:cs="宋体" w:eastAsia="宋体" w:hint="default"/>
          <w:sz w:val="13"/>
          <w:szCs w:val="13"/>
        </w:rPr>
      </w:pPr>
    </w:p>
    <w:p>
      <w:pPr>
        <w:pStyle w:val="BodyText"/>
        <w:spacing w:line="316" w:lineRule="auto"/>
        <w:ind w:left="154"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468" w:lineRule="exact" w:before="10"/>
        <w:ind w:left="513" w:right="0"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）增加子公司或业务</w:t>
      </w:r>
      <w:r>
        <w:rPr>
          <w:rFonts w:ascii="宋体" w:hAnsi="宋体" w:cs="宋体" w:eastAsia="宋体" w:hint="default"/>
          <w:b/>
          <w:bCs/>
          <w:w w:val="99"/>
        </w:rPr>
        <w:t> </w:t>
      </w:r>
      <w:r>
        <w:rPr>
          <w:spacing w:val="-2"/>
        </w:rPr>
        <w:t>在报告期内，若因同一控制下企业合并增加子公司或业务的，则调整合并资产负债表的期初数；将子公司或业务合并当</w:t>
      </w:r>
    </w:p>
    <w:p>
      <w:pPr>
        <w:pStyle w:val="BodyText"/>
        <w:spacing w:line="316" w:lineRule="auto" w:before="8"/>
        <w:ind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spacing w:line="240" w:lineRule="auto" w:before="5"/>
        <w:rPr>
          <w:rFonts w:ascii="宋体" w:hAnsi="宋体" w:cs="宋体" w:eastAsia="宋体" w:hint="default"/>
          <w:sz w:val="13"/>
          <w:szCs w:val="13"/>
        </w:rPr>
      </w:pPr>
    </w:p>
    <w:p>
      <w:pPr>
        <w:pStyle w:val="BodyText"/>
        <w:spacing w:line="319" w:lineRule="auto"/>
        <w:ind w:right="113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spacing w:line="240" w:lineRule="auto" w:before="3"/>
        <w:rPr>
          <w:rFonts w:ascii="宋体" w:hAnsi="宋体" w:cs="宋体" w:eastAsia="宋体" w:hint="default"/>
          <w:sz w:val="13"/>
          <w:szCs w:val="13"/>
        </w:rPr>
      </w:pPr>
    </w:p>
    <w:p>
      <w:pPr>
        <w:pStyle w:val="BodyText"/>
        <w:spacing w:line="316" w:lineRule="auto"/>
        <w:ind w:left="154" w:right="1132"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spacing w:line="240" w:lineRule="auto" w:before="3"/>
        <w:rPr>
          <w:rFonts w:ascii="宋体" w:hAnsi="宋体" w:cs="宋体" w:eastAsia="宋体" w:hint="default"/>
          <w:sz w:val="13"/>
          <w:szCs w:val="1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）处置子公司或业务</w:t>
      </w:r>
      <w:r>
        <w:rPr>
          <w:b w:val="0"/>
          <w:bCs w:val="0"/>
        </w:rPr>
      </w:r>
    </w:p>
    <w:p>
      <w:pPr>
        <w:pStyle w:val="BodyText"/>
        <w:spacing w:line="468" w:lineRule="exact" w:before="54"/>
        <w:ind w:left="513" w:right="0" w:firstLine="1"/>
        <w:jc w:val="left"/>
      </w:pPr>
      <w:r>
        <w:rPr>
          <w:rFonts w:ascii="宋体" w:hAnsi="宋体" w:cs="宋体" w:eastAsia="宋体" w:hint="default"/>
          <w:b/>
          <w:bCs/>
        </w:rPr>
        <w:t>①一般处理方法</w:t>
      </w:r>
      <w:r>
        <w:rPr>
          <w:rFonts w:ascii="宋体" w:hAnsi="宋体" w:cs="宋体" w:eastAsia="宋体" w:hint="default"/>
          <w:b/>
          <w:bCs/>
          <w:w w:val="99"/>
        </w:rPr>
        <w:t> </w:t>
      </w:r>
      <w:r>
        <w:rPr>
          <w:spacing w:val="-2"/>
        </w:rPr>
        <w:t>在报告期内，本公司处置子公司或业务，则该子公司或业务期初至处置日的收入、费用、利润纳入合并利润表；该子公</w:t>
      </w:r>
    </w:p>
    <w:p>
      <w:pPr>
        <w:pStyle w:val="BodyText"/>
        <w:spacing w:line="240" w:lineRule="auto" w:before="8"/>
        <w:ind w:right="0"/>
        <w:jc w:val="left"/>
      </w:pPr>
      <w:r>
        <w:rPr/>
        <w:t>司或业务期初至处置日的现金流量纳入合并现金流量表。</w:t>
      </w:r>
    </w:p>
    <w:p>
      <w:pPr>
        <w:spacing w:line="240" w:lineRule="auto" w:before="10"/>
        <w:rPr>
          <w:rFonts w:ascii="宋体" w:hAnsi="宋体" w:cs="宋体" w:eastAsia="宋体" w:hint="default"/>
          <w:sz w:val="17"/>
          <w:szCs w:val="17"/>
        </w:rPr>
      </w:pPr>
    </w:p>
    <w:p>
      <w:pPr>
        <w:pStyle w:val="BodyText"/>
        <w:spacing w:line="316" w:lineRule="auto"/>
        <w:ind w:left="154" w:right="1032" w:firstLine="360"/>
        <w:jc w:val="left"/>
      </w:pPr>
      <w:r>
        <w:rPr>
          <w:spacing w:val="-2"/>
        </w:rPr>
        <w:t>因处置部分股权投资或其他原因丧失了对被投资方控制权时，对于处置后的剩余股权投资，本公司按照其在丧失控制权</w:t>
      </w:r>
      <w:r>
        <w:rPr/>
        <w:t> </w:t>
      </w: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3"/>
        </w:rPr>
        <w:t> </w:t>
      </w:r>
      <w:r>
        <w:rPr>
          <w:spacing w:val="-63"/>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因其他投资方对子公司增资而导致本公司持股比例下降从而丧失控制权的，按照上述原则进行会计处理。</w:t>
      </w:r>
    </w:p>
    <w:p>
      <w:pPr>
        <w:pStyle w:val="BodyText"/>
        <w:spacing w:line="460" w:lineRule="atLeast" w:before="8"/>
        <w:ind w:left="513" w:right="0" w:firstLine="1"/>
        <w:jc w:val="left"/>
      </w:pPr>
      <w:r>
        <w:rPr>
          <w:rFonts w:ascii="宋体" w:hAnsi="宋体" w:cs="宋体" w:eastAsia="宋体" w:hint="default"/>
          <w:b/>
          <w:bCs/>
        </w:rPr>
        <w:t>②分步处置子公司</w:t>
      </w:r>
      <w:r>
        <w:rPr>
          <w:rFonts w:ascii="宋体" w:hAnsi="宋体" w:cs="宋体" w:eastAsia="宋体" w:hint="default"/>
          <w:b/>
          <w:bCs/>
          <w:w w:val="99"/>
        </w:rPr>
        <w:t> </w:t>
      </w:r>
      <w:r>
        <w:rPr>
          <w:spacing w:val="-2"/>
        </w:rPr>
        <w:t>通过多次交易分步处置对子公司股权投资直至丧失控制权的，处置对子公司股权投资的各项交易的条款、条件以及经济</w:t>
      </w:r>
    </w:p>
    <w:p>
      <w:pPr>
        <w:pStyle w:val="BodyText"/>
        <w:spacing w:line="477" w:lineRule="auto" w:before="76"/>
        <w:ind w:left="513" w:right="3553"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54"/>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468" w:lineRule="exact" w:before="10"/>
        <w:ind w:left="513" w:right="0"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）购买子公司少数股权</w:t>
      </w:r>
      <w:r>
        <w:rPr>
          <w:rFonts w:ascii="宋体" w:hAnsi="宋体" w:cs="宋体" w:eastAsia="宋体" w:hint="default"/>
          <w:b/>
          <w:bCs/>
          <w:w w:val="99"/>
        </w:rPr>
        <w:t> </w:t>
      </w:r>
      <w:r>
        <w:rPr>
          <w:spacing w:val="-2"/>
        </w:rPr>
        <w:t>本公司因购买少数股权新取得的长期股权投资与按照新增持股比例计算应享有子公司自购买日（或合并日）开始持续计</w:t>
      </w:r>
    </w:p>
    <w:p>
      <w:pPr>
        <w:pStyle w:val="BodyText"/>
        <w:spacing w:line="316" w:lineRule="auto" w:before="8"/>
        <w:ind w:right="1118"/>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spacing w:line="468" w:lineRule="exact" w:before="10"/>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）不丧失控制权的情况下部分处置对子公司的股权投资</w:t>
      </w:r>
      <w:r>
        <w:rPr>
          <w:rFonts w:ascii="宋体" w:hAnsi="宋体" w:cs="宋体" w:eastAsia="宋体" w:hint="default"/>
          <w:b/>
          <w:bCs/>
          <w:w w:val="99"/>
          <w:sz w:val="18"/>
          <w:szCs w:val="18"/>
        </w:rPr>
        <w:t> </w:t>
      </w:r>
      <w:r>
        <w:rPr>
          <w:rFonts w:ascii="宋体" w:hAnsi="宋体" w:cs="宋体" w:eastAsia="宋体" w:hint="default"/>
          <w:sz w:val="18"/>
          <w:szCs w:val="18"/>
        </w:rPr>
        <w:t>在不丧失控制权的情况下因部分处置对子公司的长期股权投资而取得的处置价款与处置长期股权投资相对应享有子公</w:t>
      </w:r>
    </w:p>
    <w:p>
      <w:pPr>
        <w:pStyle w:val="BodyText"/>
        <w:spacing w:line="316" w:lineRule="auto" w:before="8"/>
        <w:ind w:left="154"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after="0" w:line="316"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7、合营安排分类及共同经营会计处理方法" w:id="201"/>
      <w:bookmarkEnd w:id="20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现金及现金等价物的确定标准" w:id="202"/>
      <w:bookmarkEnd w:id="20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在编制现金流量表时，将本公司库存现金以及可以随时用于支付的存款确认为现金。将同时具备期限短（从购买日起三</w:t>
      </w:r>
      <w:r>
        <w:rPr/>
        <w:t> </w:t>
      </w:r>
      <w:r>
        <w:rPr>
          <w:spacing w:val="-2"/>
        </w:rPr>
        <w:t>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203"/>
      <w:bookmarkEnd w:id="20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451" w:lineRule="auto"/>
        <w:ind w:left="514" w:right="3912" w:firstLine="1"/>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外币业务采用交易发生当期期初汇率作为折算汇率将外币金额折合成人民币记账。</w:t>
      </w:r>
    </w:p>
    <w:p>
      <w:pPr>
        <w:pStyle w:val="BodyText"/>
        <w:spacing w:line="316" w:lineRule="auto" w:before="74"/>
        <w:ind w:right="0"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468" w:lineRule="exact" w:before="10"/>
        <w:ind w:left="513" w:right="0" w:firstLine="1"/>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477" w:lineRule="auto" w:before="8"/>
        <w:ind w:left="513" w:right="2113" w:hanging="360"/>
        <w:jc w:val="left"/>
      </w:pPr>
      <w:r>
        <w:rPr/>
        <w:t>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4"/>
        <w:rPr>
          <w:rFonts w:ascii="宋体" w:hAnsi="宋体" w:cs="宋体" w:eastAsia="宋体" w:hint="default"/>
          <w:sz w:val="13"/>
          <w:szCs w:val="13"/>
        </w:rPr>
      </w:pPr>
    </w:p>
    <w:p>
      <w:pPr>
        <w:pStyle w:val="Heading3"/>
        <w:spacing w:line="240" w:lineRule="auto"/>
        <w:ind w:right="0"/>
        <w:jc w:val="left"/>
        <w:rPr>
          <w:b w:val="0"/>
          <w:bCs w:val="0"/>
        </w:rPr>
      </w:pPr>
      <w:bookmarkStart w:name="10、金融工具" w:id="204"/>
      <w:bookmarkEnd w:id="20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金融工具包括金融资产、金融负债和权益工具。</w:t>
      </w:r>
    </w:p>
    <w:p>
      <w:pPr>
        <w:pStyle w:val="BodyText"/>
        <w:spacing w:line="450" w:lineRule="atLeast" w:before="31"/>
        <w:ind w:left="514" w:right="0" w:firstLine="1"/>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金融资产和金融负债于初始确认时分类为：以公允价值计量且其变动计入当期损益的金融资产或金融负债，包括交易性</w:t>
      </w:r>
    </w:p>
    <w:p>
      <w:pPr>
        <w:pStyle w:val="BodyText"/>
        <w:spacing w:line="316" w:lineRule="auto" w:before="76"/>
        <w:ind w:left="154" w:right="0"/>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spacing w:line="240" w:lineRule="auto" w:before="5"/>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spacing w:line="450" w:lineRule="atLeast" w:before="18"/>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）以公允价值计量且其变动计入当期损益的金融资产（金融负债）</w:t>
      </w:r>
      <w:r>
        <w:rPr>
          <w:rFonts w:ascii="宋体" w:hAnsi="宋体" w:cs="宋体" w:eastAsia="宋体" w:hint="default"/>
          <w:b/>
          <w:bCs/>
          <w:w w:val="99"/>
          <w:sz w:val="18"/>
          <w:szCs w:val="18"/>
        </w:rPr>
        <w:t> </w:t>
      </w:r>
      <w:r>
        <w:rPr>
          <w:rFonts w:ascii="宋体" w:hAnsi="宋体" w:cs="宋体" w:eastAsia="宋体" w:hint="default"/>
          <w:spacing w:val="-2"/>
          <w:sz w:val="18"/>
          <w:szCs w:val="18"/>
        </w:rPr>
        <w:t>取得时以公允价值（扣除已宣告但尚未发放的现金股利或已到付息期但尚未领取的债券利息）作为初始确认金额，相关</w:t>
      </w:r>
    </w:p>
    <w:p>
      <w:pPr>
        <w:pStyle w:val="BodyText"/>
        <w:spacing w:line="477" w:lineRule="auto" w:before="76"/>
        <w:ind w:left="514" w:right="2832"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Heading4"/>
        <w:spacing w:line="240" w:lineRule="auto" w:before="54"/>
        <w:ind w:right="0"/>
        <w:jc w:val="left"/>
        <w:rPr>
          <w:b w:val="0"/>
          <w:bCs w:val="0"/>
        </w:rPr>
      </w:pPr>
      <w:r>
        <w:rPr/>
        <w:t>（</w:t>
      </w:r>
      <w:r>
        <w:rPr>
          <w:rFonts w:ascii="Times New Roman" w:hAnsi="Times New Roman" w:cs="Times New Roman" w:eastAsia="Times New Roman" w:hint="default"/>
        </w:rPr>
        <w:t>2</w:t>
      </w:r>
      <w:r>
        <w:rPr/>
        <w:t>）持有至到期投资</w:t>
      </w:r>
      <w:r>
        <w:rPr>
          <w:b w:val="0"/>
          <w:bCs w:val="0"/>
        </w:rPr>
      </w:r>
    </w:p>
    <w:p>
      <w:pPr>
        <w:pStyle w:val="BodyText"/>
        <w:spacing w:line="468" w:lineRule="exact" w:before="55"/>
        <w:ind w:left="513" w:right="0"/>
        <w:jc w:val="left"/>
      </w:pPr>
      <w:r>
        <w:rPr/>
        <w:t>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240" w:lineRule="auto" w:before="8"/>
        <w:ind w:right="0"/>
        <w:jc w:val="left"/>
      </w:pPr>
      <w:r>
        <w:rPr/>
        <w:t>用的更短期间内保持不变。</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13" w:right="0"/>
        <w:jc w:val="left"/>
      </w:pPr>
      <w:r>
        <w:rPr/>
        <w:t>处置时，将所取得价款与该投资账面价值之间的差额计入投资收益。</w:t>
      </w:r>
    </w:p>
    <w:p>
      <w:pPr>
        <w:pStyle w:val="BodyText"/>
        <w:spacing w:line="450" w:lineRule="atLeast" w:before="31"/>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）应收款项</w:t>
      </w:r>
      <w:r>
        <w:rPr>
          <w:rFonts w:ascii="宋体" w:hAnsi="宋体" w:cs="宋体" w:eastAsia="宋体" w:hint="default"/>
          <w:b/>
          <w:bCs/>
          <w:w w:val="99"/>
        </w:rPr>
        <w:t> </w:t>
      </w:r>
      <w:r>
        <w:rPr>
          <w:spacing w:val="-2"/>
        </w:rPr>
        <w:t>公司对外销售商品或提供劳务形成的应收债权，以及公司持有的其他企业的不包括在活跃市场上有报价的债务工具的债</w:t>
      </w:r>
    </w:p>
    <w:p>
      <w:pPr>
        <w:pStyle w:val="BodyText"/>
        <w:spacing w:line="316" w:lineRule="auto" w:before="77"/>
        <w:ind w:left="154" w:right="1118"/>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spacing w:line="240" w:lineRule="auto" w:before="5"/>
        <w:rPr>
          <w:rFonts w:ascii="宋体" w:hAnsi="宋体" w:cs="宋体" w:eastAsia="宋体" w:hint="default"/>
          <w:sz w:val="13"/>
          <w:szCs w:val="13"/>
        </w:rPr>
      </w:pPr>
    </w:p>
    <w:p>
      <w:pPr>
        <w:pStyle w:val="BodyText"/>
        <w:spacing w:line="240" w:lineRule="auto"/>
        <w:ind w:left="514" w:right="0"/>
        <w:jc w:val="left"/>
      </w:pPr>
      <w:r>
        <w:rPr/>
        <w:t>收回或处置时，将取得的价款与该应收款项账面价值之间的差额计入当期损益。</w:t>
      </w:r>
    </w:p>
    <w:p>
      <w:pPr>
        <w:pStyle w:val="BodyText"/>
        <w:spacing w:line="450" w:lineRule="atLeast" w:before="31"/>
        <w:ind w:left="513" w:right="0"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）可供出售金融资产</w:t>
      </w:r>
      <w:r>
        <w:rPr>
          <w:rFonts w:ascii="宋体" w:hAnsi="宋体" w:cs="宋体" w:eastAsia="宋体" w:hint="default"/>
          <w:b/>
          <w:bCs/>
          <w:w w:val="99"/>
        </w:rPr>
        <w:t> </w:t>
      </w:r>
      <w:r>
        <w:rPr>
          <w:spacing w:val="-2"/>
        </w:rPr>
        <w:t>取得时按公允价值（扣除已宣告但尚未发放的现金股利或已到付息期但尚未领取的债券利息）和相关交易费用之和作为</w:t>
      </w:r>
    </w:p>
    <w:p>
      <w:pPr>
        <w:pStyle w:val="BodyText"/>
        <w:spacing w:line="240" w:lineRule="auto" w:before="76"/>
        <w:ind w:right="0"/>
        <w:jc w:val="left"/>
      </w:pPr>
      <w:r>
        <w:rPr/>
        <w:t>初始确认金额。</w:t>
      </w:r>
    </w:p>
    <w:p>
      <w:pPr>
        <w:spacing w:line="240" w:lineRule="auto" w:before="10"/>
        <w:rPr>
          <w:rFonts w:ascii="宋体" w:hAnsi="宋体" w:cs="宋体" w:eastAsia="宋体" w:hint="default"/>
          <w:sz w:val="17"/>
          <w:szCs w:val="17"/>
        </w:rPr>
      </w:pPr>
    </w:p>
    <w:p>
      <w:pPr>
        <w:pStyle w:val="BodyText"/>
        <w:spacing w:line="316" w:lineRule="auto"/>
        <w:ind w:right="1033" w:firstLine="360"/>
        <w:jc w:val="left"/>
      </w:pPr>
      <w:r>
        <w:rPr/>
        <w:t>持有期间将取得的利息或现金股利确认为投资收益。期末以公允价值计量且将公允价值变动计入其他综合收益。但是，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spacing w:line="240" w:lineRule="auto" w:before="5"/>
        <w:rPr>
          <w:rFonts w:ascii="宋体" w:hAnsi="宋体" w:cs="宋体" w:eastAsia="宋体" w:hint="default"/>
          <w:sz w:val="13"/>
          <w:szCs w:val="13"/>
        </w:rPr>
      </w:pPr>
    </w:p>
    <w:p>
      <w:pPr>
        <w:spacing w:line="463" w:lineRule="auto" w:before="0"/>
        <w:ind w:left="514" w:right="373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）其他金融负债</w:t>
      </w:r>
      <w:r>
        <w:rPr>
          <w:rFonts w:ascii="宋体" w:hAnsi="宋体" w:cs="宋体" w:eastAsia="宋体" w:hint="default"/>
          <w:b/>
          <w:bCs/>
          <w:w w:val="99"/>
          <w:sz w:val="18"/>
          <w:szCs w:val="18"/>
        </w:rPr>
        <w:t> </w:t>
      </w:r>
      <w:r>
        <w:rPr>
          <w:rFonts w:ascii="宋体" w:hAnsi="宋体" w:cs="宋体" w:eastAsia="宋体" w:hint="default"/>
          <w:sz w:val="18"/>
          <w:szCs w:val="18"/>
        </w:rPr>
        <w:t>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before="34"/>
        <w:ind w:right="0"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1</w:t>
      </w:r>
      <w:r>
        <w:rPr/>
        <w:t>）所转移金融资产的账面价值；</w:t>
      </w:r>
    </w:p>
    <w:p>
      <w:pPr>
        <w:spacing w:line="240" w:lineRule="auto" w:before="9"/>
        <w:rPr>
          <w:rFonts w:ascii="宋体" w:hAnsi="宋体" w:cs="宋体" w:eastAsia="宋体" w:hint="default"/>
          <w:sz w:val="16"/>
          <w:szCs w:val="16"/>
        </w:rPr>
      </w:pPr>
    </w:p>
    <w:p>
      <w:pPr>
        <w:pStyle w:val="BodyText"/>
        <w:spacing w:line="300" w:lineRule="auto"/>
        <w:ind w:left="154" w:right="1122"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spacing w:line="240" w:lineRule="auto" w:before="4"/>
        <w:rPr>
          <w:rFonts w:ascii="宋体" w:hAnsi="宋体" w:cs="宋体" w:eastAsia="宋体" w:hint="default"/>
          <w:sz w:val="14"/>
          <w:szCs w:val="14"/>
        </w:rPr>
      </w:pPr>
    </w:p>
    <w:p>
      <w:pPr>
        <w:pStyle w:val="BodyText"/>
        <w:spacing w:line="316" w:lineRule="auto"/>
        <w:ind w:left="154" w:right="1032"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1</w:t>
      </w:r>
      <w:r>
        <w:rPr/>
        <w:t>）终止确认部分的账面价值；</w:t>
      </w:r>
    </w:p>
    <w:p>
      <w:pPr>
        <w:spacing w:line="240" w:lineRule="auto" w:before="9"/>
        <w:rPr>
          <w:rFonts w:ascii="宋体" w:hAnsi="宋体" w:cs="宋体" w:eastAsia="宋体" w:hint="default"/>
          <w:sz w:val="16"/>
          <w:szCs w:val="16"/>
        </w:rPr>
      </w:pPr>
    </w:p>
    <w:p>
      <w:pPr>
        <w:pStyle w:val="BodyText"/>
        <w:spacing w:line="300" w:lineRule="auto"/>
        <w:ind w:left="154" w:right="1122"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spacing w:line="240" w:lineRule="auto" w:before="4"/>
        <w:rPr>
          <w:rFonts w:ascii="宋体" w:hAnsi="宋体" w:cs="宋体" w:eastAsia="宋体" w:hint="default"/>
          <w:sz w:val="14"/>
          <w:szCs w:val="14"/>
        </w:rPr>
      </w:pPr>
    </w:p>
    <w:p>
      <w:pPr>
        <w:pStyle w:val="BodyText"/>
        <w:spacing w:line="240" w:lineRule="auto"/>
        <w:ind w:left="514" w:right="0"/>
        <w:jc w:val="left"/>
      </w:pPr>
      <w:r>
        <w:rPr/>
        <w:t>金融资产转移不满足终止确认条件的，继续确认该金融资产，所收到的对价确认为一项金融负债。</w:t>
      </w:r>
    </w:p>
    <w:p>
      <w:pPr>
        <w:pStyle w:val="BodyText"/>
        <w:spacing w:line="450" w:lineRule="atLeast" w:before="31"/>
        <w:ind w:left="513" w:right="0" w:firstLine="1"/>
        <w:jc w:val="left"/>
      </w:pP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316" w:lineRule="auto" w:before="76"/>
        <w:ind w:right="0"/>
        <w:jc w:val="left"/>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spacing w:line="240" w:lineRule="auto" w:before="5"/>
        <w:rPr>
          <w:rFonts w:ascii="宋体" w:hAnsi="宋体" w:cs="宋体" w:eastAsia="宋体" w:hint="default"/>
          <w:sz w:val="13"/>
          <w:szCs w:val="13"/>
        </w:rPr>
      </w:pPr>
    </w:p>
    <w:p>
      <w:pPr>
        <w:pStyle w:val="BodyText"/>
        <w:spacing w:line="316" w:lineRule="auto"/>
        <w:ind w:right="1033"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468" w:lineRule="exact" w:before="1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存在活跃市场的金融工具，以活跃市场中的报价确定其公允价值。不存在活跃市场的金融工具，采用估值技术确定其公</w:t>
      </w:r>
    </w:p>
    <w:p>
      <w:pPr>
        <w:pStyle w:val="BodyText"/>
        <w:spacing w:line="316" w:lineRule="auto" w:before="8"/>
        <w:ind w:right="1131"/>
        <w:jc w:val="both"/>
      </w:pPr>
      <w:r>
        <w:rPr>
          <w:spacing w:val="-2"/>
        </w:rPr>
        <w:t>允价值。在估值时，本公司采用在当前情况下适用并且有足够可利用数据和其他信息支持的估值技术，选择与市场参与者在</w:t>
      </w:r>
      <w:r>
        <w:rPr>
          <w:spacing w:val="-65"/>
        </w:rPr>
        <w:t> </w:t>
      </w:r>
      <w:r>
        <w:rPr>
          <w:spacing w:val="-65"/>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line="468" w:lineRule="exact" w:before="1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240" w:lineRule="auto" w:before="8"/>
        <w:ind w:right="0"/>
        <w:jc w:val="both"/>
      </w:pPr>
      <w:r>
        <w:rPr/>
        <w:t>有客观证据表明某项金融资产发生减值的，计提减值准备。</w:t>
      </w:r>
    </w:p>
    <w:p>
      <w:pPr>
        <w:spacing w:line="450" w:lineRule="atLeast" w:before="31"/>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）可供出售金融资产的减值准备：</w:t>
      </w:r>
      <w:r>
        <w:rPr>
          <w:rFonts w:ascii="宋体" w:hAnsi="宋体" w:cs="宋体" w:eastAsia="宋体" w:hint="default"/>
          <w:b/>
          <w:bCs/>
          <w:w w:val="99"/>
          <w:sz w:val="18"/>
          <w:szCs w:val="18"/>
        </w:rPr>
        <w:t> </w:t>
      </w:r>
      <w:r>
        <w:rPr>
          <w:rFonts w:ascii="宋体" w:hAnsi="宋体" w:cs="宋体" w:eastAsia="宋体" w:hint="default"/>
          <w:spacing w:val="-2"/>
          <w:sz w:val="18"/>
          <w:szCs w:val="18"/>
        </w:rPr>
        <w:t>期末如果可供出售金融资产的公允价值发生严重下降，或在综合考虑各种相关因素后，预期这种下降趋势属于非暂时性</w:t>
      </w:r>
    </w:p>
    <w:p>
      <w:pPr>
        <w:pStyle w:val="BodyText"/>
        <w:spacing w:line="240" w:lineRule="auto" w:before="76"/>
        <w:ind w:right="0"/>
        <w:jc w:val="both"/>
      </w:pPr>
      <w:r>
        <w:rPr/>
        <w:t>的，就认定其已发生减值，将原直接计入所有者权益的公允价值下降形成的累计损失一并转出，确认减值损失。</w:t>
      </w:r>
    </w:p>
    <w:p>
      <w:pPr>
        <w:spacing w:line="240" w:lineRule="auto" w:before="10"/>
        <w:rPr>
          <w:rFonts w:ascii="宋体" w:hAnsi="宋体" w:cs="宋体" w:eastAsia="宋体" w:hint="default"/>
          <w:sz w:val="17"/>
          <w:szCs w:val="17"/>
        </w:rPr>
      </w:pPr>
    </w:p>
    <w:p>
      <w:pPr>
        <w:pStyle w:val="BodyText"/>
        <w:spacing w:line="316" w:lineRule="auto"/>
        <w:ind w:right="0" w:firstLine="360"/>
        <w:jc w:val="left"/>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spacing w:line="240" w:lineRule="auto" w:before="5"/>
        <w:rPr>
          <w:rFonts w:ascii="宋体" w:hAnsi="宋体" w:cs="宋体" w:eastAsia="宋体" w:hint="default"/>
          <w:sz w:val="13"/>
          <w:szCs w:val="13"/>
        </w:rPr>
      </w:pPr>
    </w:p>
    <w:p>
      <w:pPr>
        <w:pStyle w:val="BodyText"/>
        <w:spacing w:line="240" w:lineRule="auto"/>
        <w:ind w:left="514" w:right="0"/>
        <w:jc w:val="left"/>
      </w:pPr>
      <w:r>
        <w:rPr/>
        <w:t>可供出售权益工具投资发生的减值损失，不通过损益转回。</w:t>
      </w:r>
    </w:p>
    <w:p>
      <w:pPr>
        <w:spacing w:line="240" w:lineRule="auto" w:before="10"/>
        <w:rPr>
          <w:rFonts w:ascii="宋体" w:hAnsi="宋体" w:cs="宋体" w:eastAsia="宋体" w:hint="default"/>
          <w:sz w:val="17"/>
          <w:szCs w:val="17"/>
        </w:rPr>
      </w:pPr>
    </w:p>
    <w:p>
      <w:pPr>
        <w:spacing w:line="451" w:lineRule="auto" w:before="0"/>
        <w:ind w:left="513" w:right="4813"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）持有至到期投资的减值准备：</w:t>
      </w:r>
      <w:r>
        <w:rPr>
          <w:rFonts w:ascii="宋体" w:hAnsi="宋体" w:cs="宋体" w:eastAsia="宋体" w:hint="default"/>
          <w:b/>
          <w:bCs/>
          <w:w w:val="99"/>
          <w:sz w:val="18"/>
          <w:szCs w:val="18"/>
        </w:rPr>
        <w:t> </w:t>
      </w:r>
      <w:r>
        <w:rPr>
          <w:rFonts w:ascii="宋体" w:hAnsi="宋体" w:cs="宋体" w:eastAsia="宋体" w:hint="default"/>
          <w:sz w:val="18"/>
          <w:szCs w:val="18"/>
        </w:rPr>
        <w:t>持有至到期投资减值损失的计量比照应收款项减值损失计量方法处理。</w:t>
      </w: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bookmarkStart w:name="11、应收款项" w:id="205"/>
      <w:bookmarkEnd w:id="20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单项金额重大并单独计提坏账准备的应收款项" w:id="206"/>
      <w:bookmarkEnd w:id="20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70"/>
        <w:gridCol w:w="5599"/>
      </w:tblGrid>
      <w:tr>
        <w:trPr>
          <w:trHeight w:val="714"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本公司将期末单项账面余额超过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万元（含）以上的应收账款和其他 应收款确定为单项金额重大的应收款项。</w:t>
            </w:r>
          </w:p>
        </w:tc>
      </w:tr>
      <w:tr>
        <w:trPr>
          <w:trHeight w:val="1026"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单独进行减值测试，如有客观证据表明其已发生减值，按预计未来现金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流量现值低于其账面价值的差额计提坏账准备，计入当期损益；单独测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试未发生减值的应收款项，将其归入相应组合计提坏账准备。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207"/>
      <w:bookmarkEnd w:id="20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544"/>
        <w:gridCol w:w="2836"/>
        <w:gridCol w:w="3190"/>
      </w:tblGrid>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风险类别分析法（应收保理款）</w:t>
            </w:r>
          </w:p>
        </w:tc>
        <w:tc>
          <w:tcPr>
            <w:tcW w:w="2836"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r>
              <w:rPr>
                <w:rFonts w:ascii="Times New Roman" w:hAnsi="Times New Roman" w:cs="Times New Roman" w:eastAsia="Times New Roman" w:hint="default"/>
                <w:sz w:val="18"/>
                <w:szCs w:val="18"/>
              </w:rPr>
              <w:t>----</w:t>
            </w:r>
            <w:r>
              <w:rPr>
                <w:rFonts w:ascii="宋体" w:hAnsi="宋体" w:cs="宋体" w:eastAsia="宋体" w:hint="default"/>
                <w:sz w:val="18"/>
                <w:szCs w:val="18"/>
              </w:rPr>
              <w:t>正常类（未逾期）</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r>
              <w:rPr>
                <w:rFonts w:ascii="Times New Roman" w:hAnsi="Times New Roman" w:cs="Times New Roman" w:eastAsia="Times New Roman" w:hint="default"/>
                <w:sz w:val="18"/>
                <w:szCs w:val="18"/>
              </w:rPr>
              <w:t>----</w:t>
            </w:r>
            <w:r>
              <w:rPr>
                <w:rFonts w:ascii="宋体" w:hAnsi="宋体" w:cs="宋体" w:eastAsia="宋体" w:hint="default"/>
                <w:sz w:val="18"/>
                <w:szCs w:val="18"/>
              </w:rPr>
              <w:t>关注类（逾期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r>
              <w:rPr>
                <w:rFonts w:ascii="Times New Roman" w:hAnsi="Times New Roman" w:cs="Times New Roman" w:eastAsia="Times New Roman" w:hint="default"/>
                <w:sz w:val="18"/>
                <w:szCs w:val="18"/>
              </w:rPr>
              <w:t>----</w:t>
            </w:r>
            <w:r>
              <w:rPr>
                <w:rFonts w:ascii="宋体" w:hAnsi="宋体" w:cs="宋体" w:eastAsia="宋体" w:hint="default"/>
                <w:sz w:val="18"/>
                <w:szCs w:val="18"/>
              </w:rPr>
              <w:t>次级类（逾期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r>
              <w:rPr>
                <w:rFonts w:ascii="Times New Roman" w:hAnsi="Times New Roman" w:cs="Times New Roman" w:eastAsia="Times New Roman" w:hint="default"/>
                <w:sz w:val="18"/>
                <w:szCs w:val="18"/>
              </w:rPr>
              <w:t>----</w:t>
            </w:r>
            <w:r>
              <w:rPr>
                <w:rFonts w:ascii="宋体" w:hAnsi="宋体" w:cs="宋体" w:eastAsia="宋体" w:hint="default"/>
                <w:sz w:val="18"/>
                <w:szCs w:val="18"/>
              </w:rPr>
              <w:t>可疑类（逾期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损应收保理款</w:t>
            </w:r>
            <w:r>
              <w:rPr>
                <w:rFonts w:ascii="Times New Roman" w:hAnsi="Times New Roman" w:cs="Times New Roman" w:eastAsia="Times New Roman" w:hint="default"/>
                <w:sz w:val="18"/>
                <w:szCs w:val="18"/>
              </w:rPr>
              <w:t>----</w:t>
            </w:r>
            <w:r>
              <w:rPr>
                <w:rFonts w:ascii="宋体" w:hAnsi="宋体" w:cs="宋体" w:eastAsia="宋体" w:hint="default"/>
                <w:sz w:val="18"/>
                <w:szCs w:val="18"/>
              </w:rPr>
              <w:t>失类（逾期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天以上）</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合并范围内关联方款项</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单项金额不重大但单独计提坏账准备的应收款项" w:id="208"/>
      <w:bookmarkEnd w:id="20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61"/>
        <w:gridCol w:w="6307"/>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单项金额不重大但有证据表明其未来现金流量现值低于账面价值</w:t>
            </w:r>
          </w:p>
        </w:tc>
      </w:tr>
      <w:tr>
        <w:trPr>
          <w:trHeight w:val="71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单项金额不重大但有证据表明其未来现金流量现值低于账面价值，则按其低于账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面价值的差额单项计提坏账准备。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12、存货" w:id="209"/>
      <w:bookmarkEnd w:id="20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spacing w:line="463" w:lineRule="auto" w:before="28"/>
        <w:ind w:left="514" w:right="553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存货分类为：原材料、库存商品、在产品、委托加工物资等。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sz w:val="18"/>
          <w:szCs w:val="18"/>
        </w:rPr>
      </w:r>
    </w:p>
    <w:p>
      <w:pPr>
        <w:spacing w:after="0" w:line="463"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b/>
          <w:bCs/>
          <w:sz w:val="21"/>
          <w:szCs w:val="21"/>
        </w:rPr>
      </w:pPr>
    </w:p>
    <w:p>
      <w:pPr>
        <w:pStyle w:val="BodyText"/>
        <w:spacing w:line="240" w:lineRule="auto" w:before="44"/>
        <w:ind w:left="513" w:right="0"/>
        <w:jc w:val="left"/>
      </w:pPr>
      <w:r>
        <w:rPr/>
        <w:t>存货发出时按加权平均法计价。</w:t>
      </w:r>
    </w:p>
    <w:p>
      <w:pPr>
        <w:spacing w:line="450" w:lineRule="atLeast" w:before="31"/>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、不同类别存货可变现净值的确定依据</w:t>
      </w:r>
      <w:r>
        <w:rPr>
          <w:rFonts w:ascii="宋体" w:hAnsi="宋体" w:cs="宋体" w:eastAsia="宋体" w:hint="default"/>
          <w:b/>
          <w:bCs/>
          <w:w w:val="99"/>
          <w:sz w:val="18"/>
          <w:szCs w:val="18"/>
        </w:rPr>
        <w:t> </w:t>
      </w:r>
      <w:r>
        <w:rPr>
          <w:rFonts w:ascii="宋体" w:hAnsi="宋体" w:cs="宋体" w:eastAsia="宋体" w:hint="default"/>
          <w:spacing w:val="-2"/>
          <w:sz w:val="18"/>
          <w:szCs w:val="18"/>
        </w:rPr>
        <w:t>产成品、库存商品和用于出售的材料等直接用于出售的商品存货，在正常生产经营过程中，以该存货的估计售价减去估</w:t>
      </w:r>
    </w:p>
    <w:p>
      <w:pPr>
        <w:pStyle w:val="BodyText"/>
        <w:spacing w:line="316" w:lineRule="auto" w:before="77"/>
        <w:ind w:right="1130"/>
        <w:jc w:val="both"/>
      </w:pPr>
      <w:r>
        <w:rPr>
          <w:spacing w:val="-2"/>
        </w:rPr>
        <w:t>计的销售费用和相关税费后的金额，确定其可变现净值；需要经过加工的材料存货，在正常生产经营过程中，以所生产的产</w:t>
      </w:r>
      <w:r>
        <w:rPr>
          <w:spacing w:val="-65"/>
        </w:rPr>
        <w:t> </w:t>
      </w:r>
      <w:r>
        <w:rPr>
          <w:spacing w:val="-65"/>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spacing w:line="240" w:lineRule="auto" w:before="5"/>
        <w:rPr>
          <w:rFonts w:ascii="宋体" w:hAnsi="宋体" w:cs="宋体" w:eastAsia="宋体" w:hint="default"/>
          <w:sz w:val="13"/>
          <w:szCs w:val="13"/>
        </w:rPr>
      </w:pPr>
    </w:p>
    <w:p>
      <w:pPr>
        <w:pStyle w:val="BodyText"/>
        <w:spacing w:line="316" w:lineRule="auto"/>
        <w:ind w:left="154"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spacing w:line="240" w:lineRule="auto" w:before="5"/>
        <w:rPr>
          <w:rFonts w:ascii="宋体" w:hAnsi="宋体" w:cs="宋体" w:eastAsia="宋体" w:hint="default"/>
          <w:sz w:val="13"/>
          <w:szCs w:val="13"/>
        </w:rPr>
      </w:pPr>
    </w:p>
    <w:p>
      <w:pPr>
        <w:pStyle w:val="BodyText"/>
        <w:spacing w:line="477" w:lineRule="auto"/>
        <w:ind w:left="513" w:right="157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463" w:lineRule="auto" w:before="54"/>
        <w:ind w:left="514" w:right="7591"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pStyle w:val="BodyText"/>
        <w:spacing w:line="240" w:lineRule="auto" w:before="33"/>
        <w:ind w:left="513" w:right="0"/>
        <w:jc w:val="left"/>
      </w:pPr>
      <w:r>
        <w:rPr/>
        <w:t>（</w:t>
      </w:r>
      <w:r>
        <w:rPr>
          <w:rFonts w:ascii="Times New Roman" w:hAnsi="Times New Roman" w:cs="Times New Roman" w:eastAsia="Times New Roman" w:hint="default"/>
        </w:rPr>
        <w:t>1</w:t>
      </w:r>
      <w:r>
        <w:rPr/>
        <w:t>）低值易耗品采用一次转销法</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2</w:t>
      </w:r>
      <w:r>
        <w:rPr/>
        <w:t>）包装物采用一次转销法</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bookmarkStart w:name="13、持有待售资产" w:id="210"/>
      <w:bookmarkEnd w:id="210"/>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不适用</w:t>
      </w:r>
    </w:p>
    <w:p>
      <w:pPr>
        <w:spacing w:line="240" w:lineRule="auto" w:before="12"/>
        <w:rPr>
          <w:rFonts w:ascii="宋体" w:hAnsi="宋体" w:cs="宋体" w:eastAsia="宋体" w:hint="default"/>
          <w:sz w:val="26"/>
          <w:szCs w:val="26"/>
        </w:rPr>
      </w:pPr>
    </w:p>
    <w:p>
      <w:pPr>
        <w:pStyle w:val="Heading3"/>
        <w:spacing w:line="240" w:lineRule="auto"/>
        <w:ind w:left="154" w:right="0"/>
        <w:jc w:val="both"/>
        <w:rPr>
          <w:b w:val="0"/>
          <w:bCs w:val="0"/>
        </w:rPr>
      </w:pPr>
      <w:bookmarkStart w:name="14、长期股权投资" w:id="211"/>
      <w:bookmarkEnd w:id="211"/>
      <w:r>
        <w:rPr>
          <w:b w:val="0"/>
          <w:bCs w:val="0"/>
        </w:rPr>
      </w:r>
      <w:r>
        <w:rPr>
          <w:rFonts w:ascii="Times New Roman" w:hAnsi="Times New Roman" w:cs="Times New Roman" w:eastAsia="Times New Roman" w:hint="default"/>
        </w:rPr>
        <w:t>14</w:t>
      </w:r>
      <w:r>
        <w:rPr/>
        <w:t>、长期股权投资</w:t>
      </w:r>
      <w:r>
        <w:rPr>
          <w:b w:val="0"/>
          <w:bCs w:val="0"/>
        </w:rPr>
      </w:r>
    </w:p>
    <w:p>
      <w:pPr>
        <w:spacing w:line="460" w:lineRule="atLeast" w:before="122"/>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316" w:lineRule="auto" w:before="76"/>
        <w:ind w:right="1131"/>
        <w:jc w:val="both"/>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spacing w:line="240" w:lineRule="auto" w:before="5"/>
        <w:rPr>
          <w:rFonts w:ascii="宋体" w:hAnsi="宋体" w:cs="宋体" w:eastAsia="宋体" w:hint="default"/>
          <w:sz w:val="13"/>
          <w:szCs w:val="13"/>
        </w:rPr>
      </w:pPr>
    </w:p>
    <w:p>
      <w:pPr>
        <w:pStyle w:val="Heading4"/>
        <w:spacing w:line="240" w:lineRule="auto"/>
        <w:ind w:right="0"/>
        <w:jc w:val="left"/>
        <w:rPr>
          <w:b w:val="0"/>
          <w:bCs w:val="0"/>
        </w:rPr>
      </w:pPr>
      <w:r>
        <w:rPr>
          <w:rFonts w:ascii="宋体" w:hAnsi="宋体" w:cs="宋体" w:eastAsia="宋体" w:hint="default"/>
        </w:rPr>
        <w:t>2</w:t>
      </w:r>
      <w:r>
        <w:rPr/>
        <w:t>、初始投资成本的确定</w:t>
      </w:r>
      <w:r>
        <w:rPr>
          <w:b w:val="0"/>
          <w:bCs w:val="0"/>
        </w:rPr>
      </w:r>
    </w:p>
    <w:p>
      <w:pPr>
        <w:spacing w:line="470" w:lineRule="atLeast" w:before="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）企业合并形成的长期股权投资</w:t>
      </w:r>
      <w:r>
        <w:rPr>
          <w:rFonts w:ascii="宋体" w:hAnsi="宋体" w:cs="宋体" w:eastAsia="宋体" w:hint="default"/>
          <w:b/>
          <w:bCs/>
          <w:w w:val="99"/>
          <w:sz w:val="18"/>
          <w:szCs w:val="18"/>
        </w:rPr>
        <w:t> </w:t>
      </w:r>
      <w:r>
        <w:rPr>
          <w:rFonts w:ascii="宋体" w:hAnsi="宋体" w:cs="宋体" w:eastAsia="宋体" w:hint="default"/>
          <w:spacing w:val="-2"/>
          <w:sz w:val="18"/>
          <w:szCs w:val="18"/>
        </w:rPr>
        <w:t>同一控制下的企业合并：公司以支付现金、转让非现金资产或承担债务方式以及以发行权益性证券作为合并对价的，在</w:t>
      </w:r>
    </w:p>
    <w:p>
      <w:pPr>
        <w:pStyle w:val="BodyText"/>
        <w:spacing w:line="316" w:lineRule="auto" w:before="77"/>
        <w:ind w:right="1043"/>
        <w:jc w:val="both"/>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p>
    <w:p>
      <w:pPr>
        <w:spacing w:after="0" w:line="316" w:lineRule="auto"/>
        <w:jc w:val="both"/>
        <w:sectPr>
          <w:footerReference w:type="default" r:id="rId31"/>
          <w:pgSz w:w="11910" w:h="16840"/>
          <w:pgMar w:footer="979" w:header="877"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both"/>
      </w:pPr>
      <w:r>
        <w:rPr/>
        <w:t>冲减留存收益。</w:t>
      </w:r>
    </w:p>
    <w:p>
      <w:pPr>
        <w:spacing w:line="240" w:lineRule="auto" w:before="10"/>
        <w:rPr>
          <w:rFonts w:ascii="宋体" w:hAnsi="宋体" w:cs="宋体" w:eastAsia="宋体" w:hint="default"/>
          <w:sz w:val="17"/>
          <w:szCs w:val="17"/>
        </w:rPr>
      </w:pPr>
    </w:p>
    <w:p>
      <w:pPr>
        <w:pStyle w:val="BodyText"/>
        <w:spacing w:line="316" w:lineRule="auto"/>
        <w:ind w:right="1131"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468" w:lineRule="exact" w:before="11"/>
        <w:ind w:left="513" w:right="1118" w:firstLine="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）其他方式取得的长期股权投资</w:t>
      </w:r>
      <w:r>
        <w:rPr>
          <w:rFonts w:ascii="宋体" w:hAnsi="宋体" w:cs="宋体" w:eastAsia="宋体" w:hint="default"/>
          <w:b/>
          <w:bCs/>
          <w:w w:val="99"/>
        </w:rPr>
        <w:t> </w:t>
      </w:r>
      <w:r>
        <w:rPr/>
        <w:t>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8"/>
        <w:ind w:right="1131"/>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spacing w:line="240" w:lineRule="auto" w:before="5"/>
        <w:rPr>
          <w:rFonts w:ascii="宋体" w:hAnsi="宋体" w:cs="宋体" w:eastAsia="宋体" w:hint="default"/>
          <w:sz w:val="13"/>
          <w:szCs w:val="13"/>
        </w:rPr>
      </w:pPr>
    </w:p>
    <w:p>
      <w:pPr>
        <w:spacing w:line="477" w:lineRule="auto" w:before="0"/>
        <w:ind w:left="515" w:right="4093" w:hanging="2"/>
        <w:jc w:val="left"/>
        <w:rPr>
          <w:rFonts w:ascii="宋体" w:hAnsi="宋体" w:cs="宋体" w:eastAsia="宋体" w:hint="default"/>
          <w:sz w:val="18"/>
          <w:szCs w:val="18"/>
        </w:rPr>
      </w:pPr>
      <w:r>
        <w:rPr>
          <w:rFonts w:ascii="宋体" w:hAnsi="宋体" w:cs="宋体" w:eastAsia="宋体" w:hint="default"/>
          <w:sz w:val="18"/>
          <w:szCs w:val="18"/>
        </w:rPr>
        <w:t>通过债务重组取得的长期股权投资，其初始投资成本按照公允价值为基础确定。 </w:t>
      </w:r>
      <w:r>
        <w:rPr>
          <w:rFonts w:ascii="宋体" w:hAnsi="宋体" w:cs="宋体" w:eastAsia="宋体" w:hint="default"/>
          <w:b/>
          <w:bCs/>
          <w:sz w:val="18"/>
          <w:szCs w:val="18"/>
        </w:rPr>
        <w:t>3</w:t>
      </w:r>
      <w:r>
        <w:rPr>
          <w:rFonts w:ascii="宋体" w:hAnsi="宋体" w:cs="宋体" w:eastAsia="宋体" w:hint="default"/>
          <w:b/>
          <w:bCs/>
          <w:sz w:val="18"/>
          <w:szCs w:val="18"/>
        </w:rPr>
        <w:t>、后续计量及损益确认方法</w:t>
      </w:r>
      <w:r>
        <w:rPr>
          <w:rFonts w:ascii="宋体" w:hAnsi="宋体" w:cs="宋体" w:eastAsia="宋体" w:hint="default"/>
          <w:sz w:val="18"/>
          <w:szCs w:val="18"/>
        </w:rPr>
      </w:r>
    </w:p>
    <w:p>
      <w:pPr>
        <w:pStyle w:val="Heading4"/>
        <w:spacing w:line="240" w:lineRule="auto" w:before="54"/>
        <w:ind w:right="0"/>
        <w:jc w:val="left"/>
        <w:rPr>
          <w:b w:val="0"/>
          <w:bCs w:val="0"/>
        </w:rPr>
      </w:pPr>
      <w:r>
        <w:rPr/>
        <w:t>（</w:t>
      </w:r>
      <w:r>
        <w:rPr>
          <w:rFonts w:ascii="宋体" w:hAnsi="宋体" w:cs="宋体" w:eastAsia="宋体" w:hint="default"/>
        </w:rPr>
        <w:t>1</w:t>
      </w:r>
      <w:r>
        <w:rPr/>
        <w:t>）成本法核算的长期股权投资</w:t>
      </w:r>
      <w:r>
        <w:rPr>
          <w:b w:val="0"/>
          <w:bCs w:val="0"/>
        </w:rPr>
      </w:r>
    </w:p>
    <w:p>
      <w:pPr>
        <w:spacing w:line="240" w:lineRule="auto" w:before="10"/>
        <w:rPr>
          <w:rFonts w:ascii="宋体" w:hAnsi="宋体" w:cs="宋体" w:eastAsia="宋体" w:hint="default"/>
          <w:b/>
          <w:bCs/>
          <w:sz w:val="17"/>
          <w:szCs w:val="17"/>
        </w:rPr>
      </w:pPr>
    </w:p>
    <w:p>
      <w:pPr>
        <w:pStyle w:val="BodyText"/>
        <w:spacing w:line="316" w:lineRule="auto"/>
        <w:ind w:right="1132" w:firstLine="360"/>
        <w:jc w:val="both"/>
      </w:pPr>
      <w:r>
        <w:rPr>
          <w:spacing w:val="-2"/>
        </w:rPr>
        <w:t>公司对子公司的长期股权投资，采用成本法核算。除取得投资时实际支付的价款或对价中包含的已宣告但尚未发放的现</w:t>
      </w:r>
      <w:r>
        <w:rPr/>
        <w:t> 金股利或利润外，公司按照享有被投资单位宣告发放的现金股利或利润确认当期投资收益。</w:t>
      </w:r>
    </w:p>
    <w:p>
      <w:pPr>
        <w:spacing w:line="468" w:lineRule="exact" w:before="1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）权益法核算的长期股权投资</w:t>
      </w:r>
      <w:r>
        <w:rPr>
          <w:rFonts w:ascii="宋体" w:hAnsi="宋体" w:cs="宋体" w:eastAsia="宋体" w:hint="default"/>
          <w:b/>
          <w:bCs/>
          <w:w w:val="99"/>
          <w:sz w:val="18"/>
          <w:szCs w:val="18"/>
        </w:rPr>
        <w:t> </w:t>
      </w:r>
      <w:r>
        <w:rPr>
          <w:rFonts w:ascii="宋体" w:hAnsi="宋体" w:cs="宋体" w:eastAsia="宋体" w:hint="default"/>
          <w:spacing w:val="-2"/>
          <w:sz w:val="18"/>
          <w:szCs w:val="18"/>
        </w:rPr>
        <w:t>对联营企业和合营企业的长期股权投资，采用权益法核算。初始投资成本大于投资时应享有被投资单位可辨认净资产公</w:t>
      </w:r>
    </w:p>
    <w:p>
      <w:pPr>
        <w:pStyle w:val="BodyText"/>
        <w:spacing w:line="316" w:lineRule="auto" w:before="8"/>
        <w:ind w:right="1132"/>
        <w:jc w:val="both"/>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spacing w:val="-2"/>
        </w:rPr>
        <w:t>企业之间发生投出或出售资产的交易，该资产构成业务的，按照本附注“三、（五）同一控制下和非同一控制下企业合并的</w:t>
      </w:r>
      <w:r>
        <w:rPr>
          <w:spacing w:val="-67"/>
        </w:rPr>
        <w:t> </w:t>
      </w:r>
      <w:r>
        <w:rPr>
          <w:spacing w:val="-67"/>
        </w:rPr>
      </w:r>
      <w:r>
        <w:rPr/>
        <w:t>会计处理方法”和“三、（六）合并财务报表的编制方法”中披露的相关政策进行会计处理。</w:t>
      </w:r>
    </w:p>
    <w:p>
      <w:pPr>
        <w:spacing w:line="240" w:lineRule="auto" w:before="5"/>
        <w:rPr>
          <w:rFonts w:ascii="宋体" w:hAnsi="宋体" w:cs="宋体" w:eastAsia="宋体" w:hint="default"/>
          <w:sz w:val="13"/>
          <w:szCs w:val="13"/>
        </w:rPr>
      </w:pPr>
    </w:p>
    <w:p>
      <w:pPr>
        <w:pStyle w:val="BodyText"/>
        <w:spacing w:line="319" w:lineRule="auto"/>
        <w:ind w:right="1033"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5"/>
        </w:rPr>
        <w:t> </w:t>
      </w:r>
      <w:r>
        <w:rPr>
          <w:spacing w:val="-65"/>
        </w:rPr>
      </w:r>
      <w:r>
        <w:rPr/>
        <w:t>务确认预计负债，计入当期投资损失。</w:t>
      </w:r>
    </w:p>
    <w:p>
      <w:pPr>
        <w:spacing w:line="240" w:lineRule="auto" w:before="3"/>
        <w:rPr>
          <w:rFonts w:ascii="宋体" w:hAnsi="宋体" w:cs="宋体" w:eastAsia="宋体" w:hint="default"/>
          <w:sz w:val="13"/>
          <w:szCs w:val="13"/>
        </w:rPr>
      </w:pPr>
    </w:p>
    <w:p>
      <w:pPr>
        <w:pStyle w:val="Heading4"/>
        <w:spacing w:line="240" w:lineRule="auto"/>
        <w:ind w:right="0"/>
        <w:jc w:val="left"/>
        <w:rPr>
          <w:b w:val="0"/>
          <w:bCs w:val="0"/>
        </w:rPr>
      </w:pPr>
      <w:r>
        <w:rPr/>
        <w:t>（</w:t>
      </w:r>
      <w:r>
        <w:rPr>
          <w:rFonts w:ascii="宋体" w:hAnsi="宋体" w:cs="宋体" w:eastAsia="宋体" w:hint="default"/>
        </w:rPr>
        <w:t>3</w:t>
      </w:r>
      <w:r>
        <w:rPr/>
        <w:t>）长期股权投资的处置</w:t>
      </w:r>
      <w:r>
        <w:rPr>
          <w:b w:val="0"/>
          <w:bCs w:val="0"/>
        </w:rPr>
      </w:r>
    </w:p>
    <w:p>
      <w:pPr>
        <w:spacing w:after="0" w:line="240" w:lineRule="auto"/>
        <w:jc w:val="left"/>
        <w:sectPr>
          <w:footerReference w:type="default" r:id="rId32"/>
          <w:pgSz w:w="11910" w:h="16840"/>
          <w:pgMar w:footer="979" w:header="877" w:top="1100" w:bottom="1160" w:left="980" w:right="0"/>
          <w:pgNumType w:start="101"/>
        </w:sectPr>
      </w:pPr>
    </w:p>
    <w:p>
      <w:pPr>
        <w:spacing w:line="240" w:lineRule="auto" w:before="12"/>
        <w:rPr>
          <w:rFonts w:ascii="宋体" w:hAnsi="宋体" w:cs="宋体" w:eastAsia="宋体" w:hint="default"/>
          <w:b/>
          <w:bCs/>
          <w:sz w:val="21"/>
          <w:szCs w:val="21"/>
        </w:rPr>
      </w:pPr>
    </w:p>
    <w:p>
      <w:pPr>
        <w:pStyle w:val="BodyText"/>
        <w:spacing w:line="240" w:lineRule="auto" w:before="44"/>
        <w:ind w:left="513" w:right="0"/>
        <w:jc w:val="left"/>
      </w:pPr>
      <w:r>
        <w:rPr/>
        <w:t>处置长期股权投资，其账面价值与实际取得价款的差额，计入当期损益。</w:t>
      </w:r>
    </w:p>
    <w:p>
      <w:pPr>
        <w:spacing w:line="240" w:lineRule="auto" w:before="10"/>
        <w:rPr>
          <w:rFonts w:ascii="宋体" w:hAnsi="宋体" w:cs="宋体" w:eastAsia="宋体" w:hint="default"/>
          <w:sz w:val="17"/>
          <w:szCs w:val="17"/>
        </w:rPr>
      </w:pPr>
    </w:p>
    <w:p>
      <w:pPr>
        <w:pStyle w:val="BodyText"/>
        <w:spacing w:line="319" w:lineRule="auto"/>
        <w:ind w:right="113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spacing w:line="240" w:lineRule="auto" w:before="3"/>
        <w:rPr>
          <w:rFonts w:ascii="宋体" w:hAnsi="宋体" w:cs="宋体" w:eastAsia="宋体" w:hint="default"/>
          <w:sz w:val="13"/>
          <w:szCs w:val="13"/>
        </w:rPr>
      </w:pPr>
    </w:p>
    <w:p>
      <w:pPr>
        <w:pStyle w:val="BodyText"/>
        <w:spacing w:line="316" w:lineRule="auto"/>
        <w:ind w:right="1033"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6"/>
        </w:rPr>
        <w:t> </w:t>
      </w:r>
      <w:r>
        <w:rPr>
          <w:spacing w:val="-66"/>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3"/>
        </w:rPr>
        <w:t> </w:t>
      </w:r>
      <w:r>
        <w:rPr>
          <w:spacing w:val="-63"/>
        </w:rPr>
      </w:r>
      <w:r>
        <w:rPr/>
        <w:t>股权改按金融工具确认和计量准则进行会计处理的，其他综合收益和其他所有者权益全部结转。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212"/>
      <w:bookmarkEnd w:id="21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16、固定资产" w:id="213"/>
      <w:bookmarkEnd w:id="21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确认条件" w:id="214"/>
      <w:bookmarkEnd w:id="21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1131" w:firstLine="360"/>
        <w:jc w:val="both"/>
      </w:pPr>
      <w:r>
        <w:rPr>
          <w:spacing w:val="-2"/>
        </w:rPr>
        <w:t>固定资产指为生产商品、提供劳务、出租或经营管理而持有，并且使用寿命超过一个会计年度的有形资产。固定资产在</w:t>
      </w:r>
      <w:r>
        <w:rPr/>
        <w:t> 同时满足下列条件时予以确认：</w:t>
      </w:r>
    </w:p>
    <w:p>
      <w:pPr>
        <w:spacing w:line="240" w:lineRule="auto" w:before="5"/>
        <w:rPr>
          <w:rFonts w:ascii="宋体" w:hAnsi="宋体" w:cs="宋体" w:eastAsia="宋体" w:hint="default"/>
          <w:sz w:val="13"/>
          <w:szCs w:val="13"/>
        </w:rPr>
      </w:pPr>
    </w:p>
    <w:p>
      <w:pPr>
        <w:pStyle w:val="BodyText"/>
        <w:spacing w:line="240" w:lineRule="auto"/>
        <w:ind w:left="514" w:right="0"/>
        <w:jc w:val="left"/>
      </w:pPr>
      <w:r>
        <w:rPr/>
        <w:t>（</w:t>
      </w:r>
      <w:r>
        <w:rPr>
          <w:rFonts w:ascii="宋体" w:hAnsi="宋体" w:cs="宋体" w:eastAsia="宋体" w:hint="default"/>
        </w:rPr>
        <w:t>1</w:t>
      </w:r>
      <w:r>
        <w:rPr/>
        <w:t>）与该固定资产有关的经济利益很可能流入企业；</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w:t>
      </w:r>
      <w:r>
        <w:rPr>
          <w:rFonts w:ascii="宋体" w:hAnsi="宋体" w:cs="宋体" w:eastAsia="宋体" w:hint="default"/>
        </w:rPr>
        <w:t>2</w:t>
      </w:r>
      <w:r>
        <w:rPr/>
        <w:t>）该固定资产的成本能够可靠地计量。</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折旧方法" w:id="215"/>
      <w:bookmarkEnd w:id="21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3）融资租入固定资产的认定依据、计价和折旧方法" w:id="216"/>
      <w:bookmarkEnd w:id="21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公司与租赁方所签订的租赁协议条款中规定了下列条件之一的，确认为融资租入资产：</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1</w:t>
      </w:r>
      <w:r>
        <w:rPr/>
        <w:t>）租赁期满后租赁资产的所有权归属于本公司；</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w:t>
      </w:r>
      <w:r>
        <w:rPr>
          <w:rFonts w:ascii="宋体" w:hAnsi="宋体" w:cs="宋体" w:eastAsia="宋体" w:hint="default"/>
        </w:rPr>
        <w:t>2</w:t>
      </w:r>
      <w:r>
        <w:rPr/>
        <w:t>）公司具有购买资产的选择权，购买价款远低于行使选择权时该资产的公允价值；</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3</w:t>
      </w:r>
      <w:r>
        <w:rPr/>
        <w:t>）租赁期占所租赁资产使用寿命的大部分；</w:t>
      </w:r>
    </w:p>
    <w:p>
      <w:pPr>
        <w:spacing w:line="240" w:lineRule="auto" w:before="10"/>
        <w:rPr>
          <w:rFonts w:ascii="宋体" w:hAnsi="宋体" w:cs="宋体" w:eastAsia="宋体" w:hint="default"/>
          <w:sz w:val="17"/>
          <w:szCs w:val="17"/>
        </w:rPr>
      </w:pPr>
    </w:p>
    <w:p>
      <w:pPr>
        <w:pStyle w:val="BodyText"/>
        <w:spacing w:line="316" w:lineRule="auto"/>
        <w:ind w:left="154" w:right="1132" w:firstLine="360"/>
        <w:jc w:val="both"/>
      </w:pPr>
      <w:r>
        <w:rPr/>
        <w:t>（</w:t>
      </w:r>
      <w:r>
        <w:rPr>
          <w:rFonts w:ascii="宋体" w:hAnsi="宋体" w:cs="宋体" w:eastAsia="宋体" w:hint="default"/>
        </w:rPr>
        <w:t>4</w:t>
      </w:r>
      <w:r>
        <w:rPr/>
        <w:t>）租赁开始日的最低租赁付款额现值，与该资产的公允价值不存在较大的差异。公司在承租开始日，将租赁资产公 </w:t>
      </w:r>
      <w:r>
        <w:rPr>
          <w:spacing w:val="-2"/>
        </w:rPr>
        <w:t>允价值与最低租赁付款额现值两者中较低者作为租入资产的入账价值，将最低租赁付款额作为长期应付款的入账价值，其差</w:t>
      </w:r>
      <w:r>
        <w:rPr>
          <w:spacing w:val="-64"/>
        </w:rPr>
        <w:t> </w:t>
      </w:r>
      <w:r>
        <w:rPr>
          <w:spacing w:val="-64"/>
        </w:rPr>
      </w:r>
      <w:r>
        <w:rPr/>
        <w:t>额作为未确认的融资费。</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17、在建工程" w:id="217"/>
      <w:bookmarkEnd w:id="21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16" w:lineRule="auto" w:before="28"/>
        <w:ind w:left="154" w:right="1130"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6"/>
        </w:rPr>
        <w:t> </w:t>
      </w:r>
      <w:r>
        <w:rPr>
          <w:spacing w:val="-66"/>
        </w:rPr>
      </w:r>
      <w:r>
        <w:rPr>
          <w:spacing w:val="-2"/>
        </w:rPr>
        <w:t>成本等，按估计的价值转入固定资产，并按本公司固定资产折旧政策计提固定资产的折旧，待办理竣工决算后，再按实际成</w:t>
      </w:r>
      <w:r>
        <w:rPr>
          <w:spacing w:val="-65"/>
        </w:rPr>
        <w:t> </w:t>
      </w:r>
      <w:r>
        <w:rPr>
          <w:spacing w:val="-65"/>
        </w:rPr>
      </w:r>
      <w:r>
        <w:rPr/>
        <w:t>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18、借款费用" w:id="218"/>
      <w:bookmarkEnd w:id="218"/>
      <w:r>
        <w:rPr>
          <w:b w:val="0"/>
          <w:bCs w:val="0"/>
        </w:rPr>
      </w:r>
      <w:r>
        <w:rPr>
          <w:rFonts w:ascii="Times New Roman" w:hAnsi="Times New Roman" w:cs="Times New Roman" w:eastAsia="Times New Roman" w:hint="default"/>
        </w:rPr>
        <w:t>18</w:t>
      </w:r>
      <w:r>
        <w:rPr/>
        <w:t>、借款费用</w:t>
      </w:r>
      <w:r>
        <w:rPr>
          <w:b w:val="0"/>
          <w:bCs w:val="0"/>
        </w:rPr>
      </w:r>
    </w:p>
    <w:p>
      <w:pPr>
        <w:pStyle w:val="BodyText"/>
        <w:spacing w:line="468" w:lineRule="exact" w:before="183"/>
        <w:ind w:left="513" w:right="1118" w:firstLine="1"/>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240" w:lineRule="auto" w:before="8"/>
        <w:ind w:right="0"/>
        <w:jc w:val="left"/>
      </w:pPr>
      <w:r>
        <w:rPr/>
        <w:t>借款费用，在发生时根据其发生额确认为费用，计入当期损益。</w:t>
      </w:r>
    </w:p>
    <w:p>
      <w:pPr>
        <w:spacing w:line="240" w:lineRule="auto" w:before="10"/>
        <w:rPr>
          <w:rFonts w:ascii="宋体" w:hAnsi="宋体" w:cs="宋体" w:eastAsia="宋体" w:hint="default"/>
          <w:sz w:val="17"/>
          <w:szCs w:val="17"/>
        </w:rPr>
      </w:pPr>
    </w:p>
    <w:p>
      <w:pPr>
        <w:pStyle w:val="BodyText"/>
        <w:spacing w:line="316" w:lineRule="auto"/>
        <w:ind w:left="154" w:right="1230" w:firstLine="360"/>
        <w:jc w:val="both"/>
      </w:pPr>
      <w:r>
        <w:rPr/>
        <w:t>符合资本化条件的资产，是指需要经过相当长时间的购建或者生产活动才能达到预定可使用或者可销售状态的固定资 产、投资性房地产和存货等资产。</w:t>
      </w:r>
    </w:p>
    <w:p>
      <w:pPr>
        <w:spacing w:line="240" w:lineRule="auto" w:before="5"/>
        <w:rPr>
          <w:rFonts w:ascii="宋体" w:hAnsi="宋体" w:cs="宋体" w:eastAsia="宋体" w:hint="default"/>
          <w:sz w:val="13"/>
          <w:szCs w:val="13"/>
        </w:rPr>
      </w:pPr>
    </w:p>
    <w:p>
      <w:pPr>
        <w:pStyle w:val="BodyText"/>
        <w:spacing w:line="240" w:lineRule="auto"/>
        <w:ind w:left="514" w:right="0"/>
        <w:jc w:val="left"/>
      </w:pPr>
      <w:r>
        <w:rPr/>
        <w:t>借款费用同时满足下列条件时开始资本化：</w:t>
      </w:r>
    </w:p>
    <w:p>
      <w:pPr>
        <w:spacing w:line="240" w:lineRule="auto" w:before="10"/>
        <w:rPr>
          <w:rFonts w:ascii="宋体" w:hAnsi="宋体" w:cs="宋体" w:eastAsia="宋体" w:hint="default"/>
          <w:sz w:val="17"/>
          <w:szCs w:val="17"/>
        </w:rPr>
      </w:pPr>
    </w:p>
    <w:p>
      <w:pPr>
        <w:pStyle w:val="BodyText"/>
        <w:spacing w:line="316" w:lineRule="auto"/>
        <w:ind w:left="154" w:right="1141" w:firstLine="360"/>
        <w:jc w:val="both"/>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spacing w:line="240" w:lineRule="auto" w:before="5"/>
        <w:rPr>
          <w:rFonts w:ascii="宋体" w:hAnsi="宋体" w:cs="宋体" w:eastAsia="宋体" w:hint="default"/>
          <w:sz w:val="13"/>
          <w:szCs w:val="13"/>
        </w:rPr>
      </w:pPr>
    </w:p>
    <w:p>
      <w:pPr>
        <w:pStyle w:val="BodyText"/>
        <w:spacing w:line="240" w:lineRule="auto"/>
        <w:ind w:left="514" w:right="0"/>
        <w:jc w:val="left"/>
      </w:pPr>
      <w:r>
        <w:rPr/>
        <w:t>（</w:t>
      </w:r>
      <w:r>
        <w:rPr>
          <w:rFonts w:ascii="宋体" w:hAnsi="宋体" w:cs="宋体" w:eastAsia="宋体" w:hint="default"/>
        </w:rPr>
        <w:t>2</w:t>
      </w:r>
      <w:r>
        <w:rPr/>
        <w:t>）借款费用已经发生；</w:t>
      </w:r>
    </w:p>
    <w:p>
      <w:pPr>
        <w:spacing w:line="240" w:lineRule="auto" w:before="10"/>
        <w:rPr>
          <w:rFonts w:ascii="宋体" w:hAnsi="宋体" w:cs="宋体" w:eastAsia="宋体" w:hint="default"/>
          <w:sz w:val="17"/>
          <w:szCs w:val="17"/>
        </w:rPr>
      </w:pPr>
    </w:p>
    <w:p>
      <w:pPr>
        <w:spacing w:line="477" w:lineRule="auto" w:before="0"/>
        <w:ind w:left="515" w:right="3643" w:hanging="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）为使资产达到预定可使用或者可销售状态所必要的购建或者生产活动已经开始。 </w:t>
      </w:r>
      <w:r>
        <w:rPr>
          <w:rFonts w:ascii="宋体" w:hAnsi="宋体" w:cs="宋体" w:eastAsia="宋体" w:hint="default"/>
          <w:b/>
          <w:bCs/>
          <w:sz w:val="18"/>
          <w:szCs w:val="18"/>
        </w:rPr>
        <w:t>2</w:t>
      </w:r>
      <w:r>
        <w:rPr>
          <w:rFonts w:ascii="宋体" w:hAnsi="宋体" w:cs="宋体" w:eastAsia="宋体" w:hint="default"/>
          <w:b/>
          <w:bCs/>
          <w:sz w:val="18"/>
          <w:szCs w:val="18"/>
        </w:rPr>
        <w:t>、借款费用资本化期间</w:t>
      </w:r>
      <w:r>
        <w:rPr>
          <w:rFonts w:ascii="宋体" w:hAnsi="宋体" w:cs="宋体" w:eastAsia="宋体" w:hint="default"/>
          <w:sz w:val="18"/>
          <w:szCs w:val="18"/>
        </w:rPr>
      </w:r>
    </w:p>
    <w:p>
      <w:pPr>
        <w:pStyle w:val="BodyText"/>
        <w:spacing w:line="477" w:lineRule="auto" w:before="54"/>
        <w:ind w:left="513" w:right="1573"/>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w:t>
      </w:r>
    </w:p>
    <w:p>
      <w:pPr>
        <w:spacing w:after="0" w:line="477"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2" w:firstLine="360"/>
        <w:jc w:val="both"/>
      </w:pPr>
      <w:r>
        <w:rPr>
          <w:spacing w:val="-2"/>
        </w:rPr>
        <w:t>购建或者生产的资产的各部分分别完工，但必须等到整体完工后才可使用或可对外销售的，在该资产整体完工时停止借</w:t>
      </w:r>
      <w:r>
        <w:rPr/>
        <w:t> 款费用资本化。</w:t>
      </w:r>
    </w:p>
    <w:p>
      <w:pPr>
        <w:pStyle w:val="BodyText"/>
        <w:spacing w:line="468" w:lineRule="exact" w:before="10"/>
        <w:ind w:left="513" w:right="0" w:firstLine="1"/>
        <w:jc w:val="left"/>
      </w:pP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p>
    <w:p>
      <w:pPr>
        <w:pStyle w:val="BodyText"/>
        <w:spacing w:line="316" w:lineRule="auto" w:before="8"/>
        <w:ind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468" w:lineRule="exact" w:before="1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240" w:lineRule="auto" w:before="8"/>
        <w:ind w:right="0"/>
        <w:jc w:val="left"/>
      </w:pPr>
      <w:r>
        <w:rPr/>
        <w:t>借款资金存入银行取得的利息收入或进行暂时性投资取得的投资收益后的金额，来确定借款费用的资本化金额。</w:t>
      </w:r>
    </w:p>
    <w:p>
      <w:pPr>
        <w:spacing w:line="240" w:lineRule="auto" w:before="10"/>
        <w:rPr>
          <w:rFonts w:ascii="宋体" w:hAnsi="宋体" w:cs="宋体" w:eastAsia="宋体" w:hint="default"/>
          <w:sz w:val="17"/>
          <w:szCs w:val="17"/>
        </w:rPr>
      </w:pPr>
    </w:p>
    <w:p>
      <w:pPr>
        <w:pStyle w:val="BodyText"/>
        <w:spacing w:line="316" w:lineRule="auto"/>
        <w:ind w:right="1131" w:firstLine="360"/>
        <w:jc w:val="both"/>
      </w:pPr>
      <w:r>
        <w:rPr>
          <w:spacing w:val="-2"/>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9、生物资产" w:id="219"/>
      <w:bookmarkEnd w:id="21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0、油气资产" w:id="220"/>
      <w:bookmarkEnd w:id="22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1、无形资产" w:id="221"/>
      <w:bookmarkEnd w:id="221"/>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222"/>
      <w:bookmarkEnd w:id="22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Heading4"/>
        <w:spacing w:line="451" w:lineRule="auto"/>
        <w:ind w:right="6687"/>
        <w:jc w:val="left"/>
        <w:rPr>
          <w:b w:val="0"/>
          <w:bCs w:val="0"/>
        </w:rPr>
      </w:pPr>
      <w:r>
        <w:rPr>
          <w:rFonts w:ascii="Times New Roman" w:hAnsi="Times New Roman" w:cs="Times New Roman" w:eastAsia="Times New Roman" w:hint="default"/>
        </w:rPr>
        <w:t>1</w:t>
      </w:r>
      <w:r>
        <w:rPr/>
        <w:t>、无形资产的计价方法</w:t>
      </w:r>
      <w:r>
        <w:rPr>
          <w:w w:val="99"/>
        </w:rPr>
        <w:t> </w:t>
      </w:r>
      <w:r>
        <w:rPr>
          <w:rFonts w:ascii="Times New Roman" w:hAnsi="Times New Roman" w:cs="Times New Roman" w:eastAsia="Times New Roman" w:hint="default"/>
        </w:rPr>
        <w:t>a</w:t>
      </w:r>
      <w:r>
        <w:rPr/>
        <w:t>、公司取得无形资产时按成本进行初始计量；</w:t>
      </w:r>
      <w:r>
        <w:rPr>
          <w:b w:val="0"/>
          <w:bCs w:val="0"/>
        </w:rPr>
      </w:r>
    </w:p>
    <w:p>
      <w:pPr>
        <w:pStyle w:val="BodyText"/>
        <w:spacing w:line="316" w:lineRule="auto" w:before="43"/>
        <w:ind w:right="1133" w:firstLine="360"/>
        <w:jc w:val="both"/>
      </w:pPr>
      <w:r>
        <w:rPr>
          <w:spacing w:val="-2"/>
        </w:rPr>
        <w:t>外购无形资产的成本，包括购买价款、相关税费以及直接归属于使该项资产达到预定用途所发生的其他支出。购买无形</w:t>
      </w:r>
      <w:r>
        <w:rPr/>
        <w:t> 资产的价款超过正常信用条件延期支付，实质上具有融资性质的，无形资产的成本以购买价款的现值为基础确定。</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p>
    <w:p>
      <w:pPr>
        <w:spacing w:line="240" w:lineRule="auto" w:before="5"/>
        <w:rPr>
          <w:rFonts w:ascii="宋体" w:hAnsi="宋体" w:cs="宋体" w:eastAsia="宋体" w:hint="default"/>
          <w:sz w:val="13"/>
          <w:szCs w:val="13"/>
        </w:rPr>
      </w:pPr>
    </w:p>
    <w:p>
      <w:pPr>
        <w:pStyle w:val="BodyText"/>
        <w:spacing w:line="316" w:lineRule="auto"/>
        <w:ind w:left="154" w:right="1131"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spacing w:line="240" w:lineRule="auto" w:before="5"/>
        <w:rPr>
          <w:rFonts w:ascii="宋体" w:hAnsi="宋体" w:cs="宋体" w:eastAsia="宋体" w:hint="default"/>
          <w:sz w:val="13"/>
          <w:szCs w:val="13"/>
        </w:rPr>
      </w:pPr>
    </w:p>
    <w:p>
      <w:pPr>
        <w:spacing w:line="451" w:lineRule="auto" w:before="0"/>
        <w:ind w:left="513" w:right="715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b</w:t>
      </w:r>
      <w:r>
        <w:rPr>
          <w:rFonts w:ascii="宋体" w:hAnsi="宋体" w:cs="宋体" w:eastAsia="宋体" w:hint="default"/>
          <w:b/>
          <w:bCs/>
          <w:sz w:val="18"/>
          <w:szCs w:val="18"/>
        </w:rPr>
        <w:t>、后续计量</w:t>
      </w:r>
      <w:r>
        <w:rPr>
          <w:rFonts w:ascii="宋体" w:hAnsi="宋体" w:cs="宋体" w:eastAsia="宋体" w:hint="default"/>
          <w:b/>
          <w:bCs/>
          <w:w w:val="99"/>
          <w:sz w:val="18"/>
          <w:szCs w:val="18"/>
        </w:rPr>
        <w:t> </w:t>
      </w:r>
      <w:r>
        <w:rPr>
          <w:rFonts w:ascii="宋体" w:hAnsi="宋体" w:cs="宋体" w:eastAsia="宋体" w:hint="default"/>
          <w:sz w:val="18"/>
          <w:szCs w:val="18"/>
        </w:rPr>
        <w:t>在取得无形资产时分析判断其使用寿命。</w:t>
      </w:r>
    </w:p>
    <w:p>
      <w:pPr>
        <w:pStyle w:val="BodyText"/>
        <w:spacing w:line="316" w:lineRule="auto" w:before="74"/>
        <w:ind w:right="1132" w:firstLine="360"/>
        <w:jc w:val="both"/>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Heading4"/>
        <w:spacing w:line="240" w:lineRule="auto" w:before="44"/>
        <w:ind w:right="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15"/>
          <w:szCs w:val="15"/>
        </w:rPr>
      </w:pPr>
    </w:p>
    <w:tbl>
      <w:tblPr>
        <w:tblW w:w="0" w:type="auto"/>
        <w:jc w:val="left"/>
        <w:tblInd w:w="755" w:type="dxa"/>
        <w:tblLayout w:type="fixed"/>
        <w:tblCellMar>
          <w:top w:w="0" w:type="dxa"/>
          <w:left w:w="0" w:type="dxa"/>
          <w:bottom w:w="0" w:type="dxa"/>
          <w:right w:w="0" w:type="dxa"/>
        </w:tblCellMar>
        <w:tblLook w:val="01E0"/>
      </w:tblPr>
      <w:tblGrid>
        <w:gridCol w:w="3055"/>
        <w:gridCol w:w="1913"/>
        <w:gridCol w:w="2846"/>
      </w:tblGrid>
      <w:tr>
        <w:trPr>
          <w:trHeight w:val="342"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预计使用寿命（月）</w:t>
            </w:r>
            <w:r>
              <w:rPr>
                <w:rFonts w:ascii="宋体" w:hAnsi="宋体" w:cs="宋体" w:eastAsia="宋体" w:hint="default"/>
                <w:sz w:val="18"/>
                <w:szCs w:val="18"/>
              </w:rPr>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42"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484~600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土地出让年限</w:t>
            </w:r>
          </w:p>
        </w:tc>
      </w:tr>
      <w:tr>
        <w:trPr>
          <w:trHeight w:val="342"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60~120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2"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专利技术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2"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生产技术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预计受益年限</w:t>
            </w:r>
          </w:p>
        </w:tc>
      </w:tr>
    </w:tbl>
    <w:p>
      <w:pPr>
        <w:pStyle w:val="BodyText"/>
        <w:spacing w:line="316" w:lineRule="auto" w:before="10"/>
        <w:ind w:left="154" w:right="1133" w:firstLine="360"/>
        <w:jc w:val="both"/>
      </w:pPr>
      <w:r>
        <w:rPr>
          <w:spacing w:val="-2"/>
        </w:rPr>
        <w:t>每年度终了，对使用寿命有限的无形资产的使用寿命及摊销方法进行复核。经复核，本年期末无形资产的使用寿命及摊</w:t>
      </w:r>
      <w:r>
        <w:rPr/>
        <w:t> 销方法与以前估计未有不同。</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2）内部研究开发支出会计政策" w:id="223"/>
      <w:bookmarkEnd w:id="22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spacing w:line="477" w:lineRule="auto" w:before="0"/>
        <w:ind w:left="513" w:right="2653" w:firstLine="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54"/>
        <w:ind w:right="1133" w:firstLine="360"/>
        <w:jc w:val="both"/>
      </w:pPr>
      <w:r>
        <w:rPr>
          <w:spacing w:val="-2"/>
        </w:rPr>
        <w:t>开发阶段：在进行商业性生产或使用前，将研究成果或其他知识应用于某项计划或设计，以生产出新的或具有实质性改</w:t>
      </w:r>
      <w:r>
        <w:rPr/>
        <w:t> 进的材料、装置、产品等活动的阶段。</w:t>
      </w:r>
    </w:p>
    <w:p>
      <w:pPr>
        <w:spacing w:line="240" w:lineRule="auto" w:before="5"/>
        <w:rPr>
          <w:rFonts w:ascii="宋体" w:hAnsi="宋体" w:cs="宋体" w:eastAsia="宋体" w:hint="default"/>
          <w:sz w:val="13"/>
          <w:szCs w:val="13"/>
        </w:rPr>
      </w:pPr>
    </w:p>
    <w:p>
      <w:pPr>
        <w:pStyle w:val="BodyText"/>
        <w:spacing w:line="477" w:lineRule="auto"/>
        <w:ind w:left="513" w:right="4453" w:firstLine="1"/>
        <w:jc w:val="left"/>
      </w:pPr>
      <w:r>
        <w:rPr>
          <w:rFonts w:ascii="宋体" w:hAnsi="宋体" w:cs="宋体" w:eastAsia="宋体" w:hint="default"/>
          <w:b/>
          <w:bCs/>
        </w:rPr>
        <w:t>2</w:t>
      </w:r>
      <w:r>
        <w:rPr>
          <w:rFonts w:ascii="宋体" w:hAnsi="宋体" w:cs="宋体" w:eastAsia="宋体" w:hint="default"/>
          <w:b/>
          <w:bCs/>
        </w:rPr>
        <w:t>、开发阶段支出资本化的具体条件</w:t>
      </w:r>
      <w:r>
        <w:rPr>
          <w:rFonts w:ascii="宋体" w:hAnsi="宋体" w:cs="宋体" w:eastAsia="宋体" w:hint="default"/>
          <w:b/>
          <w:bCs/>
          <w:w w:val="99"/>
        </w:rPr>
        <w:t> </w:t>
      </w:r>
      <w:r>
        <w:rPr/>
        <w:t>内部研究开发项目开发阶段的支出，同时满足下列条件时确认为无形资产： </w:t>
      </w:r>
      <w:r>
        <w:rPr>
          <w:rFonts w:ascii="宋体" w:hAnsi="宋体" w:cs="宋体" w:eastAsia="宋体" w:hint="default"/>
        </w:rPr>
        <w:t>a.</w:t>
      </w:r>
      <w:r>
        <w:rPr/>
        <w:t>完成该无形资产以使其能够使用或出售在技术上具有可行性； </w:t>
      </w:r>
      <w:r>
        <w:rPr>
          <w:rFonts w:ascii="宋体" w:hAnsi="宋体" w:cs="宋体" w:eastAsia="宋体" w:hint="default"/>
        </w:rPr>
        <w:t>b.</w:t>
      </w:r>
      <w:r>
        <w:rPr/>
        <w:t>具有完成该无形资产并使用或出售的意图；</w:t>
      </w:r>
    </w:p>
    <w:p>
      <w:pPr>
        <w:pStyle w:val="BodyText"/>
        <w:spacing w:line="316" w:lineRule="auto" w:before="54"/>
        <w:ind w:left="154" w:right="1131" w:firstLine="360"/>
        <w:jc w:val="both"/>
      </w:pPr>
      <w:r>
        <w:rPr>
          <w:rFonts w:ascii="宋体" w:hAnsi="宋体" w:cs="宋体" w:eastAsia="宋体" w:hint="default"/>
          <w:spacing w:val="-2"/>
        </w:rPr>
        <w:t>c.</w:t>
      </w:r>
      <w:r>
        <w:rPr>
          <w:spacing w:val="-2"/>
        </w:rPr>
        <w:t>无形资产产生经济利益的方式，包括能够证明运用该无形资产生产的产品存在市场或无形资产自身存在市场，无形资</w:t>
      </w:r>
      <w:r>
        <w:rPr/>
        <w:t> 产将在内部使用的，能够证明其有用性；</w:t>
      </w:r>
    </w:p>
    <w:p>
      <w:pPr>
        <w:spacing w:line="240" w:lineRule="auto" w:before="5"/>
        <w:rPr>
          <w:rFonts w:ascii="宋体" w:hAnsi="宋体" w:cs="宋体" w:eastAsia="宋体" w:hint="default"/>
          <w:sz w:val="13"/>
          <w:szCs w:val="13"/>
        </w:rPr>
      </w:pPr>
    </w:p>
    <w:p>
      <w:pPr>
        <w:pStyle w:val="BodyText"/>
        <w:spacing w:line="477" w:lineRule="auto"/>
        <w:ind w:left="514" w:right="1752"/>
        <w:jc w:val="left"/>
      </w:pPr>
      <w:r>
        <w:rPr>
          <w:rFonts w:ascii="宋体" w:hAnsi="宋体" w:cs="宋体" w:eastAsia="宋体" w:hint="default"/>
        </w:rPr>
        <w:t>d.</w:t>
      </w:r>
      <w:r>
        <w:rPr/>
        <w:t>有足够的技术、财务资源和其他资源支持，以完成该无形资产的开发，并有能力使用或出售该无形资产； </w:t>
      </w:r>
      <w:r>
        <w:rPr>
          <w:rFonts w:ascii="宋体" w:hAnsi="宋体" w:cs="宋体" w:eastAsia="宋体" w:hint="default"/>
        </w:rPr>
        <w:t>e.</w:t>
      </w:r>
      <w:r>
        <w:rPr/>
        <w:t>归属于该无形资产开发阶段的支出能够可靠地计量。 开发阶段的支出，若不满足上列条件的，于发生时计入当期损益。研究阶段的支出，在发生时计入当期损益。</w:t>
      </w:r>
    </w:p>
    <w:p>
      <w:pPr>
        <w:spacing w:line="240" w:lineRule="auto" w:before="4"/>
        <w:rPr>
          <w:rFonts w:ascii="宋体" w:hAnsi="宋体" w:cs="宋体" w:eastAsia="宋体" w:hint="default"/>
          <w:sz w:val="13"/>
          <w:szCs w:val="13"/>
        </w:rPr>
      </w:pPr>
    </w:p>
    <w:p>
      <w:pPr>
        <w:pStyle w:val="Heading3"/>
        <w:spacing w:line="240" w:lineRule="auto"/>
        <w:ind w:left="154" w:right="0"/>
        <w:jc w:val="left"/>
        <w:rPr>
          <w:b w:val="0"/>
          <w:bCs w:val="0"/>
        </w:rPr>
      </w:pPr>
      <w:bookmarkStart w:name="22、长期资产减值" w:id="224"/>
      <w:bookmarkEnd w:id="224"/>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长期股权投资、固定资产、在建工程、使用寿命有限的无形资产等长期资产，于资产负债表日存在减值迹象的，进行减</w:t>
      </w:r>
      <w:r>
        <w:rPr/>
        <w:t> </w:t>
      </w:r>
      <w:r>
        <w:rPr>
          <w:spacing w:val="-2"/>
        </w:rPr>
        <w:t>值测试。减值测试结果表明资产的可收回金额低于其账面价值的，按其差额计提减值准备并计入减值损失。可收回金额为资</w:t>
      </w:r>
      <w:r>
        <w:rPr>
          <w:spacing w:val="-65"/>
        </w:rPr>
        <w:t> </w:t>
      </w:r>
      <w:r>
        <w:rPr>
          <w:spacing w:val="-65"/>
        </w:rPr>
      </w:r>
      <w:r>
        <w:rPr>
          <w:spacing w:val="-2"/>
        </w:rPr>
        <w:t>产的公允价值减去处置费用后的净额与资产预计未来现金流量的现值两者之间的较高者。资产减值准备按单项资产为基础计</w:t>
      </w:r>
      <w:r>
        <w:rPr>
          <w:spacing w:val="-64"/>
        </w:rPr>
        <w:t> </w:t>
      </w:r>
      <w:r>
        <w:rPr>
          <w:spacing w:val="-64"/>
        </w:rPr>
      </w:r>
      <w:r>
        <w:rPr>
          <w:spacing w:val="-2"/>
        </w:rPr>
        <w:t>算并确认，如果难以对单项资产的可收回金额进行估计的，以该资产所属的资产组确定资产组的可收回金额。资产组是能够</w:t>
      </w:r>
      <w:r>
        <w:rPr>
          <w:spacing w:val="-66"/>
        </w:rPr>
        <w:t> </w:t>
      </w:r>
      <w:r>
        <w:rPr>
          <w:spacing w:val="-66"/>
        </w:rPr>
      </w:r>
      <w:r>
        <w:rPr/>
        <w:t>独立产生现金流入的最小资产组合。</w:t>
      </w:r>
    </w:p>
    <w:p>
      <w:pPr>
        <w:pStyle w:val="BodyText"/>
        <w:spacing w:line="468" w:lineRule="exact" w:before="11"/>
        <w:ind w:left="514" w:right="1032"/>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6" w:lineRule="auto" w:before="8"/>
        <w:ind w:left="154" w:right="1032"/>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量的，按照各资产组或者资产组组合的账面价值占相关资产组或者资产组组合账面价值总额的比例进行分摊。</w:t>
      </w:r>
    </w:p>
    <w:p>
      <w:pPr>
        <w:spacing w:line="240" w:lineRule="auto" w:before="10"/>
        <w:rPr>
          <w:rFonts w:ascii="宋体" w:hAnsi="宋体" w:cs="宋体" w:eastAsia="宋体" w:hint="default"/>
          <w:sz w:val="17"/>
          <w:szCs w:val="17"/>
        </w:rPr>
      </w:pPr>
    </w:p>
    <w:p>
      <w:pPr>
        <w:pStyle w:val="BodyText"/>
        <w:spacing w:line="319" w:lineRule="auto"/>
        <w:ind w:right="1033"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3"/>
        </w:rPr>
        <w:t> </w:t>
      </w:r>
      <w:r>
        <w:rPr>
          <w:spacing w:val="-63"/>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3、长期待摊费用" w:id="225"/>
      <w:bookmarkEnd w:id="22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长期待摊费用为已经发生但应由本期和以后各期负担的分摊期限在一年以上的各项费用。</w:t>
      </w:r>
    </w:p>
    <w:p>
      <w:pPr>
        <w:pStyle w:val="BodyText"/>
        <w:spacing w:line="309" w:lineRule="auto" w:before="76"/>
        <w:ind w:right="7873"/>
        <w:jc w:val="left"/>
      </w:pPr>
      <w:r>
        <w:rPr>
          <w:rFonts w:ascii="Times New Roman" w:hAnsi="Times New Roman" w:cs="Times New Roman" w:eastAsia="Times New Roman" w:hint="default"/>
        </w:rPr>
        <w:t>1</w:t>
      </w:r>
      <w:r>
        <w:rPr/>
        <w:t>、摊销方法 长期待摊费用在受益期内平均摊销。 </w:t>
      </w:r>
      <w:r>
        <w:rPr>
          <w:rFonts w:ascii="Times New Roman" w:hAnsi="Times New Roman" w:cs="Times New Roman" w:eastAsia="Times New Roman" w:hint="default"/>
        </w:rPr>
        <w:t>2</w:t>
      </w:r>
      <w:r>
        <w:rPr/>
        <w:t>、摊销年限</w:t>
      </w:r>
    </w:p>
    <w:tbl>
      <w:tblPr>
        <w:tblW w:w="0" w:type="auto"/>
        <w:jc w:val="left"/>
        <w:tblInd w:w="433" w:type="dxa"/>
        <w:tblLayout w:type="fixed"/>
        <w:tblCellMar>
          <w:top w:w="0" w:type="dxa"/>
          <w:left w:w="0" w:type="dxa"/>
          <w:bottom w:w="0" w:type="dxa"/>
          <w:right w:w="0" w:type="dxa"/>
        </w:tblCellMar>
        <w:tblLook w:val="01E0"/>
      </w:tblPr>
      <w:tblGrid>
        <w:gridCol w:w="2597"/>
        <w:gridCol w:w="1580"/>
        <w:gridCol w:w="2344"/>
        <w:gridCol w:w="2978"/>
      </w:tblGrid>
      <w:tr>
        <w:trPr>
          <w:trHeight w:val="498"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0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依</w:t>
            </w:r>
            <w:r>
              <w:rPr>
                <w:rFonts w:ascii="宋体" w:hAnsi="宋体" w:cs="宋体" w:eastAsia="宋体" w:hint="default"/>
                <w:b/>
                <w:bCs/>
                <w:spacing w:val="90"/>
                <w:sz w:val="18"/>
                <w:szCs w:val="18"/>
              </w:rPr>
              <w:t> </w:t>
            </w:r>
            <w:r>
              <w:rPr>
                <w:rFonts w:ascii="宋体" w:hAnsi="宋体" w:cs="宋体" w:eastAsia="宋体" w:hint="default"/>
                <w:b/>
                <w:bCs/>
                <w:sz w:val="18"/>
                <w:szCs w:val="18"/>
              </w:rPr>
              <w:t>据</w:t>
            </w:r>
            <w:r>
              <w:rPr>
                <w:rFonts w:ascii="宋体" w:hAnsi="宋体" w:cs="宋体" w:eastAsia="宋体" w:hint="default"/>
                <w:sz w:val="18"/>
                <w:szCs w:val="18"/>
              </w:rPr>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98"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63" w:right="0"/>
              <w:jc w:val="left"/>
              <w:rPr>
                <w:rFonts w:ascii="宋体" w:hAnsi="宋体" w:cs="宋体" w:eastAsia="宋体" w:hint="default"/>
                <w:sz w:val="18"/>
                <w:szCs w:val="18"/>
              </w:rPr>
            </w:pPr>
            <w:r>
              <w:rPr>
                <w:rFonts w:ascii="宋体" w:hAnsi="宋体" w:cs="宋体" w:eastAsia="宋体" w:hint="default"/>
                <w:sz w:val="18"/>
                <w:szCs w:val="18"/>
              </w:rPr>
              <w:t>房屋改造费用等</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受益期限</w:t>
            </w:r>
          </w:p>
        </w:tc>
        <w:tc>
          <w:tcPr>
            <w:tcW w:w="29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Heading3"/>
        <w:spacing w:line="240" w:lineRule="auto" w:before="35"/>
        <w:ind w:left="154" w:right="0"/>
        <w:jc w:val="left"/>
        <w:rPr>
          <w:b w:val="0"/>
          <w:bCs w:val="0"/>
        </w:rPr>
      </w:pPr>
      <w:bookmarkStart w:name="24、职工薪酬" w:id="226"/>
      <w:bookmarkEnd w:id="226"/>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薪酬的会计处理方法" w:id="227"/>
      <w:bookmarkEnd w:id="22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470" w:lineRule="atLeast" w:before="113"/>
        <w:ind w:left="513"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477" w:lineRule="auto" w:before="76"/>
        <w:ind w:left="513" w:right="4633"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4"/>
        <w:rPr>
          <w:rFonts w:ascii="宋体" w:hAnsi="宋体" w:cs="宋体" w:eastAsia="宋体" w:hint="default"/>
          <w:sz w:val="13"/>
          <w:szCs w:val="13"/>
        </w:rPr>
      </w:pPr>
    </w:p>
    <w:p>
      <w:pPr>
        <w:pStyle w:val="Heading3"/>
        <w:spacing w:line="240" w:lineRule="auto"/>
        <w:ind w:right="0"/>
        <w:jc w:val="left"/>
        <w:rPr>
          <w:b w:val="0"/>
          <w:bCs w:val="0"/>
        </w:rPr>
      </w:pPr>
      <w:bookmarkStart w:name="（2）离职后福利的会计处理方法" w:id="228"/>
      <w:bookmarkEnd w:id="22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60" w:lineRule="atLeast" w:before="122"/>
        <w:ind w:left="513" w:right="0" w:firstLine="1"/>
        <w:jc w:val="left"/>
      </w:pPr>
      <w:r>
        <w:rPr>
          <w:rFonts w:ascii="宋体" w:hAnsi="宋体" w:cs="宋体" w:eastAsia="宋体" w:hint="default"/>
          <w:b/>
          <w:bCs/>
        </w:rPr>
        <w:t>（</w:t>
      </w:r>
      <w:r>
        <w:rPr>
          <w:rFonts w:ascii="宋体" w:hAnsi="宋体" w:cs="宋体" w:eastAsia="宋体" w:hint="default"/>
          <w:b/>
          <w:bCs/>
        </w:rPr>
        <w:t>a</w:t>
      </w:r>
      <w:r>
        <w:rPr>
          <w:rFonts w:ascii="宋体" w:hAnsi="宋体" w:cs="宋体" w:eastAsia="宋体" w:hint="default"/>
          <w:b/>
          <w:bCs/>
        </w:rPr>
        <w:t>）设定提存计划</w:t>
      </w:r>
      <w:r>
        <w:rPr>
          <w:rFonts w:ascii="宋体" w:hAnsi="宋体" w:cs="宋体" w:eastAsia="宋体" w:hint="default"/>
          <w:b/>
          <w:bCs/>
          <w:w w:val="99"/>
        </w:rPr>
        <w:t> </w:t>
      </w:r>
      <w:r>
        <w:rPr>
          <w:spacing w:val="-2"/>
        </w:rPr>
        <w:t>本公司按当地政府的相关规定为职工缴纳基本养老保险和失业保险，在职工为本公司提供服务的会计期间，按以当地规</w:t>
      </w:r>
    </w:p>
    <w:p>
      <w:pPr>
        <w:pStyle w:val="BodyText"/>
        <w:spacing w:line="240" w:lineRule="auto" w:before="76"/>
        <w:ind w:right="0"/>
        <w:jc w:val="left"/>
      </w:pPr>
      <w:r>
        <w:rPr/>
        <w:t>定的缴纳基数和比例计算应缴纳金额，确认为负债，并计入当期损益或相关资产成本。</w:t>
      </w:r>
    </w:p>
    <w:p>
      <w:pPr>
        <w:spacing w:line="240" w:lineRule="auto" w:before="10"/>
        <w:rPr>
          <w:rFonts w:ascii="宋体" w:hAnsi="宋体" w:cs="宋体" w:eastAsia="宋体" w:hint="default"/>
          <w:sz w:val="17"/>
          <w:szCs w:val="17"/>
        </w:rPr>
      </w:pPr>
    </w:p>
    <w:p>
      <w:pPr>
        <w:pStyle w:val="BodyText"/>
        <w:spacing w:line="316" w:lineRule="auto"/>
        <w:ind w:right="0" w:firstLine="360"/>
        <w:jc w:val="left"/>
      </w:pPr>
      <w:r>
        <w:rPr/>
        <w:t>除基本养老保险外，本公司还依据国家企业年金制度的相关政策建立了企业年金缴费制度（补充养老保险）</w:t>
      </w:r>
      <w:r>
        <w:rPr>
          <w:rFonts w:ascii="宋体" w:hAnsi="宋体" w:cs="宋体" w:eastAsia="宋体" w:hint="default"/>
        </w:rPr>
        <w:t>/</w:t>
      </w:r>
      <w:r>
        <w:rPr/>
        <w:t>企业年金 </w:t>
      </w:r>
      <w:r>
        <w:rPr>
          <w:spacing w:val="-2"/>
        </w:rPr>
        <w:t>计划。本公司按职工工资总额的一定比例向当地社会保险机构缴费</w:t>
      </w:r>
      <w:r>
        <w:rPr>
          <w:rFonts w:ascii="宋体" w:hAnsi="宋体" w:cs="宋体" w:eastAsia="宋体" w:hint="default"/>
          <w:spacing w:val="-2"/>
        </w:rPr>
        <w:t>/</w:t>
      </w:r>
      <w:r>
        <w:rPr>
          <w:spacing w:val="-2"/>
        </w:rPr>
        <w:t>年金计划缴费，相应支出计入当期损益或相关资产成本。</w:t>
      </w:r>
    </w:p>
    <w:p>
      <w:pPr>
        <w:pStyle w:val="BodyText"/>
        <w:spacing w:line="468" w:lineRule="exact" w:before="10"/>
        <w:ind w:left="513" w:right="0" w:firstLine="1"/>
        <w:jc w:val="left"/>
      </w:pPr>
      <w:r>
        <w:rPr>
          <w:rFonts w:ascii="宋体" w:hAnsi="宋体" w:cs="宋体" w:eastAsia="宋体" w:hint="default"/>
          <w:b/>
          <w:bCs/>
        </w:rPr>
        <w:t>（</w:t>
      </w:r>
      <w:r>
        <w:rPr>
          <w:rFonts w:ascii="宋体" w:hAnsi="宋体" w:cs="宋体" w:eastAsia="宋体" w:hint="default"/>
          <w:b/>
          <w:bCs/>
        </w:rPr>
        <w:t>b</w:t>
      </w:r>
      <w:r>
        <w:rPr>
          <w:rFonts w:ascii="宋体" w:hAnsi="宋体" w:cs="宋体" w:eastAsia="宋体" w:hint="default"/>
          <w:b/>
          <w:bCs/>
        </w:rPr>
        <w:t>）设定受益计划</w:t>
      </w:r>
      <w:r>
        <w:rPr>
          <w:rFonts w:ascii="宋体" w:hAnsi="宋体" w:cs="宋体" w:eastAsia="宋体" w:hint="default"/>
          <w:b/>
          <w:bCs/>
          <w:w w:val="99"/>
        </w:rPr>
        <w:t> </w:t>
      </w:r>
      <w:r>
        <w:rPr>
          <w:spacing w:val="-2"/>
        </w:rPr>
        <w:t>本公司根据预期累计福利单位法确定的公式将设定受益计划产生的福利义务归属于职工提供服务的期间，并计入当期损</w:t>
      </w:r>
    </w:p>
    <w:p>
      <w:pPr>
        <w:pStyle w:val="BodyText"/>
        <w:spacing w:line="240" w:lineRule="auto" w:before="8"/>
        <w:ind w:right="0"/>
        <w:jc w:val="left"/>
      </w:pPr>
      <w:r>
        <w:rPr/>
        <w:t>益或相关资产成本。</w:t>
      </w:r>
    </w:p>
    <w:p>
      <w:pPr>
        <w:spacing w:line="240" w:lineRule="auto" w:before="10"/>
        <w:rPr>
          <w:rFonts w:ascii="宋体" w:hAnsi="宋体" w:cs="宋体" w:eastAsia="宋体" w:hint="default"/>
          <w:sz w:val="17"/>
          <w:szCs w:val="17"/>
        </w:rPr>
      </w:pPr>
    </w:p>
    <w:p>
      <w:pPr>
        <w:pStyle w:val="BodyText"/>
        <w:spacing w:line="316" w:lineRule="auto"/>
        <w:ind w:right="1033" w:firstLine="360"/>
        <w:jc w:val="left"/>
      </w:pPr>
      <w:r>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spacing w:val="-2"/>
        </w:rPr>
        <w:t>所有设定受益计划义务，包括预期在职工提供服务的年度报告期间结束后的十二个月内支付的义务，根据资产负债表日</w:t>
      </w:r>
      <w:r>
        <w:rPr/>
        <w:t> 与设定受益计划义务期限和币种相匹配的国债或活跃市场上的高质量公司债券的市场收益率予以折现。</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1" w:firstLine="360"/>
        <w:jc w:val="both"/>
      </w:pPr>
      <w:r>
        <w:rPr>
          <w:spacing w:val="-2"/>
        </w:rPr>
        <w:t>设定受益计划产生的服务成本和设定受益计划净负债或净资产的利息净额计入当期损益或相关资产成本；重新计量设定</w:t>
      </w:r>
      <w:r>
        <w:rPr/>
        <w:t> </w:t>
      </w:r>
      <w:r>
        <w:rPr>
          <w:spacing w:val="-2"/>
        </w:rPr>
        <w:t>受益计划净负债或净资产所产生的变动计入其他综合收益，并且在后续会计期间不转回至损益，在原设定受益计划终止时在</w:t>
      </w:r>
      <w:r>
        <w:rPr>
          <w:spacing w:val="-64"/>
        </w:rPr>
        <w:t> </w:t>
      </w:r>
      <w:r>
        <w:rPr>
          <w:spacing w:val="-64"/>
        </w:rPr>
      </w:r>
      <w:r>
        <w:rPr/>
        <w:t>权益范围内将原计入其他综合收益的部分全部结转至未分配利润。</w:t>
      </w:r>
    </w:p>
    <w:p>
      <w:pPr>
        <w:spacing w:line="240" w:lineRule="auto" w:before="5"/>
        <w:rPr>
          <w:rFonts w:ascii="宋体" w:hAnsi="宋体" w:cs="宋体" w:eastAsia="宋体" w:hint="default"/>
          <w:sz w:val="13"/>
          <w:szCs w:val="13"/>
        </w:rPr>
      </w:pPr>
    </w:p>
    <w:p>
      <w:pPr>
        <w:pStyle w:val="BodyText"/>
        <w:spacing w:line="477" w:lineRule="auto"/>
        <w:ind w:left="513" w:right="1393"/>
        <w:jc w:val="left"/>
      </w:pPr>
      <w:r>
        <w:rPr/>
        <w:t>在设定受益计划结算时，按在结算日确定的设定受益计划义务现值和结算价格两者的差额，确认结算利得或损失。 详见本附注“五、</w:t>
      </w:r>
      <w:r>
        <w:rPr>
          <w:rFonts w:ascii="宋体" w:hAnsi="宋体" w:cs="宋体" w:eastAsia="宋体" w:hint="default"/>
        </w:rPr>
        <w:t>(</w:t>
      </w:r>
      <w:r>
        <w:rPr/>
        <w:t>二十</w:t>
      </w:r>
      <w:r>
        <w:rPr>
          <w:rFonts w:ascii="宋体" w:hAnsi="宋体" w:cs="宋体" w:eastAsia="宋体" w:hint="default"/>
        </w:rPr>
        <w:t>) </w:t>
      </w:r>
      <w:r>
        <w:rPr/>
        <w:t>应付职工薪酬”。</w:t>
      </w:r>
    </w:p>
    <w:p>
      <w:pPr>
        <w:spacing w:line="240" w:lineRule="auto" w:before="4"/>
        <w:rPr>
          <w:rFonts w:ascii="宋体" w:hAnsi="宋体" w:cs="宋体" w:eastAsia="宋体" w:hint="default"/>
          <w:sz w:val="13"/>
          <w:szCs w:val="13"/>
        </w:rPr>
      </w:pPr>
    </w:p>
    <w:p>
      <w:pPr>
        <w:pStyle w:val="Heading3"/>
        <w:spacing w:line="240" w:lineRule="auto"/>
        <w:ind w:left="154" w:right="0"/>
        <w:jc w:val="left"/>
        <w:rPr>
          <w:b w:val="0"/>
          <w:bCs w:val="0"/>
        </w:rPr>
      </w:pPr>
      <w:bookmarkStart w:name="（3）辞退福利的会计处理方法" w:id="229"/>
      <w:bookmarkEnd w:id="22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30"/>
      <w:bookmarkEnd w:id="23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5、预计负债" w:id="231"/>
      <w:bookmarkEnd w:id="231"/>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spacing w:line="477" w:lineRule="auto" w:before="0"/>
        <w:ind w:left="513" w:right="1573"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与诉讼、债务担保、亏损合同、重组事项等或有事项相关的义务同时满足下列条件时，本公司确认为预计负债：</w:t>
      </w:r>
    </w:p>
    <w:p>
      <w:pPr>
        <w:pStyle w:val="BodyText"/>
        <w:spacing w:line="240" w:lineRule="auto" w:before="54"/>
        <w:ind w:left="513" w:right="0"/>
        <w:jc w:val="left"/>
      </w:pPr>
      <w:r>
        <w:rPr/>
        <w:t>（</w:t>
      </w:r>
      <w:r>
        <w:rPr>
          <w:rFonts w:ascii="宋体" w:hAnsi="宋体" w:cs="宋体" w:eastAsia="宋体" w:hint="default"/>
        </w:rPr>
        <w:t>a</w:t>
      </w:r>
      <w:r>
        <w:rPr/>
        <w:t>）该义务是本公司承担的现时义务；</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b</w:t>
      </w:r>
      <w:r>
        <w:rPr/>
        <w:t>）履行该义务很可能导致经济利益流出本公司；</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w:t>
      </w:r>
      <w:r>
        <w:rPr>
          <w:rFonts w:ascii="宋体" w:hAnsi="宋体" w:cs="宋体" w:eastAsia="宋体" w:hint="default"/>
        </w:rPr>
        <w:t>c</w:t>
      </w:r>
      <w:r>
        <w:rPr/>
        <w:t>）该义务的金额能够可靠地计量。</w:t>
      </w:r>
    </w:p>
    <w:p>
      <w:pPr>
        <w:spacing w:line="240" w:lineRule="auto" w:before="10"/>
        <w:rPr>
          <w:rFonts w:ascii="宋体" w:hAnsi="宋体" w:cs="宋体" w:eastAsia="宋体" w:hint="default"/>
          <w:sz w:val="17"/>
          <w:szCs w:val="17"/>
        </w:rPr>
      </w:pPr>
    </w:p>
    <w:p>
      <w:pPr>
        <w:spacing w:line="477" w:lineRule="auto" w:before="0"/>
        <w:ind w:left="513" w:right="4273"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）、各类预计负债的计量方法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54"/>
        <w:ind w:right="1133" w:firstLine="360"/>
        <w:jc w:val="both"/>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468" w:lineRule="exact" w:before="10"/>
        <w:ind w:left="514"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240" w:lineRule="auto" w:before="8"/>
        <w:ind w:left="154" w:right="0"/>
        <w:jc w:val="left"/>
      </w:pPr>
      <w:r>
        <w:rPr/>
        <w:t>即上下限金额的平均数确定。</w:t>
      </w:r>
    </w:p>
    <w:p>
      <w:pPr>
        <w:spacing w:line="240" w:lineRule="auto" w:before="10"/>
        <w:rPr>
          <w:rFonts w:ascii="宋体" w:hAnsi="宋体" w:cs="宋体" w:eastAsia="宋体" w:hint="default"/>
          <w:sz w:val="17"/>
          <w:szCs w:val="17"/>
        </w:rPr>
      </w:pPr>
    </w:p>
    <w:p>
      <w:pPr>
        <w:pStyle w:val="BodyText"/>
        <w:spacing w:line="316" w:lineRule="auto"/>
        <w:ind w:left="154" w:right="1131"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spacing w:line="240" w:lineRule="auto" w:before="5"/>
        <w:rPr>
          <w:rFonts w:ascii="宋体" w:hAnsi="宋体" w:cs="宋体" w:eastAsia="宋体" w:hint="default"/>
          <w:sz w:val="13"/>
          <w:szCs w:val="13"/>
        </w:rPr>
      </w:pPr>
    </w:p>
    <w:p>
      <w:pPr>
        <w:pStyle w:val="BodyText"/>
        <w:spacing w:line="316" w:lineRule="auto"/>
        <w:ind w:left="154" w:right="1050" w:firstLine="360"/>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26、股份支付" w:id="232"/>
      <w:bookmarkEnd w:id="23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7、优先股、永续债等其他金融工具" w:id="233"/>
      <w:bookmarkEnd w:id="233"/>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8、收入" w:id="234"/>
      <w:bookmarkEnd w:id="234"/>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Heading4"/>
        <w:spacing w:line="240" w:lineRule="auto" w:before="29"/>
        <w:ind w:right="0"/>
        <w:jc w:val="left"/>
        <w:rPr>
          <w:b w:val="0"/>
          <w:bCs w:val="0"/>
        </w:rPr>
      </w:pPr>
      <w:r>
        <w:rPr/>
        <w:t>（</w:t>
      </w:r>
      <w:r>
        <w:rPr>
          <w:rFonts w:ascii="Times New Roman" w:hAnsi="Times New Roman" w:cs="Times New Roman" w:eastAsia="Times New Roman" w:hint="default"/>
        </w:rPr>
        <w:t>1</w:t>
      </w:r>
      <w:r>
        <w:rPr/>
        <w:t>）、销售商品收入确认确认原则和计量方法：</w:t>
      </w:r>
      <w:r>
        <w:rPr>
          <w:b w:val="0"/>
          <w:bCs w:val="0"/>
        </w:rPr>
      </w:r>
    </w:p>
    <w:p>
      <w:pPr>
        <w:pStyle w:val="Heading4"/>
        <w:spacing w:line="240" w:lineRule="auto" w:before="101"/>
        <w:ind w:right="0"/>
        <w:jc w:val="left"/>
        <w:rPr>
          <w:b w:val="0"/>
          <w:bCs w:val="0"/>
        </w:rPr>
      </w:pPr>
      <w:r>
        <w:rPr/>
        <w:t>（</w:t>
      </w:r>
      <w:r>
        <w:rPr>
          <w:rFonts w:ascii="Times New Roman" w:hAnsi="Times New Roman" w:cs="Times New Roman" w:eastAsia="Times New Roman" w:hint="default"/>
        </w:rPr>
        <w:t>a</w:t>
      </w:r>
      <w:r>
        <w:rPr/>
        <w:t>）销售商品收入确认和计量的总体原则</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right="1131" w:firstLine="360"/>
        <w:jc w:val="both"/>
      </w:pPr>
      <w:r>
        <w:rPr>
          <w:spacing w:val="-2"/>
        </w:rPr>
        <w:t>本公司已将商品所有权上的主要风险和报酬转移给购货方；本公司既没有保留通常与所有权相联系的继续管理权，也没</w:t>
      </w:r>
      <w:r>
        <w:rPr/>
        <w:t> </w:t>
      </w:r>
      <w:r>
        <w:rPr>
          <w:spacing w:val="-2"/>
        </w:rPr>
        <w:t>有对已售出的商品实施有效控制；收入的金额能够可靠地计量；相关的经济利益很可能流入本公司；相关的、已发生或将发</w:t>
      </w:r>
      <w:r>
        <w:rPr>
          <w:spacing w:val="-66"/>
        </w:rPr>
        <w:t> </w:t>
      </w:r>
      <w:r>
        <w:rPr>
          <w:spacing w:val="-66"/>
        </w:rPr>
      </w:r>
      <w:r>
        <w:rPr/>
        <w:t>生的成本能够可靠地计量。</w:t>
      </w:r>
    </w:p>
    <w:p>
      <w:pPr>
        <w:spacing w:line="240" w:lineRule="auto" w:before="5"/>
        <w:rPr>
          <w:rFonts w:ascii="宋体" w:hAnsi="宋体" w:cs="宋体" w:eastAsia="宋体" w:hint="default"/>
          <w:sz w:val="13"/>
          <w:szCs w:val="13"/>
        </w:rPr>
      </w:pPr>
    </w:p>
    <w:p>
      <w:pPr>
        <w:spacing w:line="463" w:lineRule="auto" w:before="0"/>
        <w:ind w:left="513" w:right="5893"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b</w:t>
      </w:r>
      <w:r>
        <w:rPr>
          <w:rFonts w:ascii="宋体" w:hAnsi="宋体" w:cs="宋体" w:eastAsia="宋体" w:hint="default"/>
          <w:b/>
          <w:bCs/>
          <w:sz w:val="18"/>
          <w:szCs w:val="18"/>
        </w:rPr>
        <w:t>）本公司销售商品收入确认的具体标准</w:t>
      </w:r>
      <w:r>
        <w:rPr>
          <w:rFonts w:ascii="宋体" w:hAnsi="宋体" w:cs="宋体" w:eastAsia="宋体" w:hint="default"/>
          <w:b/>
          <w:bCs/>
          <w:w w:val="99"/>
          <w:sz w:val="18"/>
          <w:szCs w:val="18"/>
        </w:rPr>
        <w:t> </w:t>
      </w:r>
      <w:r>
        <w:rPr>
          <w:rFonts w:ascii="宋体" w:hAnsi="宋体" w:cs="宋体" w:eastAsia="宋体" w:hint="default"/>
          <w:sz w:val="18"/>
          <w:szCs w:val="18"/>
        </w:rPr>
        <w:t>结合公司的销售模式及运输模式，公司收入确认方法为： 国内销售收入：</w:t>
      </w:r>
    </w:p>
    <w:p>
      <w:pPr>
        <w:pStyle w:val="BodyText"/>
        <w:spacing w:line="300" w:lineRule="auto" w:before="65"/>
        <w:ind w:right="1033" w:firstLine="360"/>
        <w:jc w:val="left"/>
      </w:pPr>
      <w:r>
        <w:rPr/>
        <w:t>①</w:t>
      </w:r>
      <w:r>
        <w:rPr>
          <w:spacing w:val="21"/>
        </w:rPr>
        <w:t> </w:t>
      </w:r>
      <w:r>
        <w:rPr>
          <w:spacing w:val="-3"/>
        </w:rPr>
        <w:t>现款销售：客户自行提货，在客户付款后，公司开出发货单，仓库发出货物当日确认销售收入；</w:t>
      </w:r>
      <w:r>
        <w:rPr>
          <w:rFonts w:ascii="Times New Roman" w:hAnsi="Times New Roman" w:cs="Times New Roman" w:eastAsia="Times New Roman" w:hint="default"/>
          <w:spacing w:val="-3"/>
        </w:rPr>
        <w:t>.</w:t>
      </w:r>
      <w:r>
        <w:rPr>
          <w:spacing w:val="-3"/>
        </w:rPr>
        <w:t>通过物流公司发货，</w:t>
      </w:r>
      <w:r>
        <w:rPr/>
        <w:t> 在收到货款后，公司开出发货单，仓库发出货物交由物流公司对外发货时确认销售收入。</w:t>
      </w:r>
    </w:p>
    <w:p>
      <w:pPr>
        <w:spacing w:line="240" w:lineRule="auto" w:before="4"/>
        <w:rPr>
          <w:rFonts w:ascii="宋体" w:hAnsi="宋体" w:cs="宋体" w:eastAsia="宋体" w:hint="default"/>
          <w:sz w:val="14"/>
          <w:szCs w:val="14"/>
        </w:rPr>
      </w:pPr>
    </w:p>
    <w:p>
      <w:pPr>
        <w:pStyle w:val="BodyText"/>
        <w:spacing w:line="319" w:lineRule="auto"/>
        <w:ind w:right="1133" w:firstLine="360"/>
        <w:jc w:val="both"/>
      </w:pPr>
      <w:r>
        <w:rPr/>
        <w:t>②</w:t>
      </w:r>
      <w:r>
        <w:rPr>
          <w:spacing w:val="-19"/>
        </w:rPr>
        <w:t> </w:t>
      </w:r>
      <w:r>
        <w:rPr/>
        <w:t>信用销售：客户自行提货，在合同签订后，约定收款期限，公司开出发货单，仓库发出货物当日确认销售收入；通</w:t>
      </w:r>
      <w:r>
        <w:rPr/>
        <w:t> </w:t>
      </w:r>
      <w:r>
        <w:rPr>
          <w:spacing w:val="-2"/>
        </w:rPr>
        <w:t>过物流公司发货，公司根据已经签订的合同，约定收款期限，开出发货单，仓库发出货物交由物流公司对外发货，客户确认</w:t>
      </w:r>
      <w:r>
        <w:rPr>
          <w:spacing w:val="-66"/>
        </w:rPr>
        <w:t> </w:t>
      </w:r>
      <w:r>
        <w:rPr>
          <w:spacing w:val="-66"/>
        </w:rPr>
      </w:r>
      <w:r>
        <w:rPr/>
        <w:t>收到货物后确认销售收入。</w:t>
      </w:r>
    </w:p>
    <w:p>
      <w:pPr>
        <w:pStyle w:val="BodyText"/>
        <w:spacing w:line="468" w:lineRule="exact" w:before="9"/>
        <w:ind w:left="513" w:right="0"/>
        <w:jc w:val="left"/>
      </w:pPr>
      <w:r>
        <w:rPr/>
        <w:t>国外销售收入： </w:t>
      </w:r>
      <w:r>
        <w:rPr>
          <w:spacing w:val="-2"/>
        </w:rPr>
        <w:t>公司与客户订立的合同以离岸价为报价基础，货物离岸时确认风险的转移，在取得海关出口货物报关单和提交客户提货</w:t>
      </w:r>
    </w:p>
    <w:p>
      <w:pPr>
        <w:pStyle w:val="BodyText"/>
        <w:spacing w:line="240" w:lineRule="auto" w:before="8"/>
        <w:ind w:right="0"/>
        <w:jc w:val="left"/>
      </w:pPr>
      <w:r>
        <w:rPr/>
        <w:t>单时确认销售收入。</w:t>
      </w:r>
    </w:p>
    <w:p>
      <w:pPr>
        <w:spacing w:line="240" w:lineRule="auto" w:before="10"/>
        <w:rPr>
          <w:rFonts w:ascii="宋体" w:hAnsi="宋体" w:cs="宋体" w:eastAsia="宋体" w:hint="default"/>
          <w:sz w:val="17"/>
          <w:szCs w:val="17"/>
        </w:rPr>
      </w:pPr>
    </w:p>
    <w:p>
      <w:pPr>
        <w:spacing w:line="463" w:lineRule="auto" w:before="0"/>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）、让渡资产使用权收入的确认原则和计量方法</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与交易相关的经济利益很可能流入公司，收入的金额能够可靠地计量时。分别下列情况确定让渡资产使用权收入金额： 公司商业保理业务收入确认方法为：</w:t>
      </w:r>
    </w:p>
    <w:p>
      <w:pPr>
        <w:pStyle w:val="BodyText"/>
        <w:spacing w:line="240" w:lineRule="auto" w:before="65"/>
        <w:ind w:left="514" w:right="0"/>
        <w:jc w:val="left"/>
      </w:pPr>
      <w:r>
        <w:rPr/>
        <w:t>①利息收入金额，按照他人使用本公司货币资金的时间和实际利率计算确定。</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②使用费收入金额，按照有关合同或协议约定的收费时间和方法计算确定。</w:t>
      </w:r>
    </w:p>
    <w:p>
      <w:pPr>
        <w:spacing w:line="450" w:lineRule="atLeast" w:before="31"/>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）、按完工百分比法确认提供劳务的收入和建造合同收入时，确定合同完工进度的依据和方法</w:t>
      </w:r>
      <w:r>
        <w:rPr>
          <w:rFonts w:ascii="宋体" w:hAnsi="宋体" w:cs="宋体" w:eastAsia="宋体" w:hint="default"/>
          <w:b/>
          <w:bCs/>
          <w:w w:val="99"/>
          <w:sz w:val="18"/>
          <w:szCs w:val="18"/>
        </w:rPr>
        <w:t> </w:t>
      </w:r>
      <w:r>
        <w:rPr>
          <w:rFonts w:ascii="宋体" w:hAnsi="宋体" w:cs="宋体" w:eastAsia="宋体" w:hint="default"/>
          <w:spacing w:val="-4"/>
          <w:sz w:val="18"/>
          <w:szCs w:val="18"/>
        </w:rPr>
        <w:t>在资产负债表日提供劳务交易的结果能够可靠估计的，采用完工百分比法确认提供劳务收入。提供劳务交易的完工进度，</w:t>
      </w:r>
    </w:p>
    <w:p>
      <w:pPr>
        <w:pStyle w:val="BodyText"/>
        <w:spacing w:line="240" w:lineRule="auto" w:before="76"/>
        <w:ind w:left="154" w:right="0"/>
        <w:jc w:val="left"/>
      </w:pPr>
      <w:r>
        <w:rPr/>
        <w:t>依据已完工作的测量确定。</w:t>
      </w:r>
    </w:p>
    <w:p>
      <w:pPr>
        <w:spacing w:line="240" w:lineRule="auto" w:before="10"/>
        <w:rPr>
          <w:rFonts w:ascii="宋体" w:hAnsi="宋体" w:cs="宋体" w:eastAsia="宋体" w:hint="default"/>
          <w:sz w:val="17"/>
          <w:szCs w:val="17"/>
        </w:rPr>
      </w:pPr>
    </w:p>
    <w:p>
      <w:pPr>
        <w:pStyle w:val="BodyText"/>
        <w:spacing w:line="316" w:lineRule="auto"/>
        <w:ind w:left="154" w:right="0" w:firstLine="360"/>
        <w:jc w:val="left"/>
      </w:pPr>
      <w:r>
        <w:rPr>
          <w:spacing w:val="-2"/>
        </w:rPr>
        <w:t>按照已收或应收的合同或协议价款确定提供劳务收入总额，但已收或应收的合同或协议价款不公允的除外。资产负债表</w:t>
      </w:r>
      <w:r>
        <w:rPr/>
        <w:t> </w:t>
      </w: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spacing w:line="240" w:lineRule="auto" w:before="5"/>
        <w:rPr>
          <w:rFonts w:ascii="宋体" w:hAnsi="宋体" w:cs="宋体" w:eastAsia="宋体" w:hint="default"/>
          <w:sz w:val="13"/>
          <w:szCs w:val="13"/>
        </w:rPr>
      </w:pPr>
    </w:p>
    <w:p>
      <w:pPr>
        <w:pStyle w:val="BodyText"/>
        <w:spacing w:line="240" w:lineRule="auto"/>
        <w:ind w:left="514" w:right="0"/>
        <w:jc w:val="left"/>
      </w:pPr>
      <w:r>
        <w:rPr/>
        <w:t>在资产负债表日提供劳务交易结果不能够可靠估计的，分别下列情况处理：</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1" w:firstLine="360"/>
        <w:jc w:val="both"/>
      </w:pPr>
      <w:r>
        <w:rPr>
          <w:spacing w:val="-2"/>
        </w:rPr>
        <w:t>①已经发生的劳务成本预计能够得到补偿的，按照已经发生的劳务成本金额确认提供劳务收入，并按相同金额结转劳务</w:t>
      </w:r>
      <w:r>
        <w:rPr/>
        <w:t> 成本。</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②已经发生的劳务成本预计不能够得到补偿的，将已经发生的劳务成本计入当期损益，不确认提供劳务收入。</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9、政府补助" w:id="235"/>
      <w:bookmarkEnd w:id="235"/>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236"/>
      <w:bookmarkEnd w:id="23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49" w:firstLine="360"/>
        <w:jc w:val="both"/>
      </w:pPr>
      <w:r>
        <w:rPr>
          <w:spacing w:val="-2"/>
        </w:rPr>
        <w:t>与资产相关的政府补助，是指本公司取得的、用于购建或以其他方式形成长期资产的政府补助。本公司将政府补助划分</w:t>
      </w:r>
      <w:r>
        <w:rPr/>
        <w:t> </w:t>
      </w:r>
      <w:r>
        <w:rPr>
          <w:spacing w:val="-2"/>
        </w:rPr>
        <w:t>为与资产相关的具体标准为：本公司取得的，用于购建或以其他方式形成长期资产的政府补助；对于政府文件未明确规定补</w:t>
      </w:r>
      <w:r>
        <w:rPr>
          <w:spacing w:val="-66"/>
        </w:rPr>
        <w:t> </w:t>
      </w:r>
      <w:r>
        <w:rPr>
          <w:spacing w:val="-66"/>
        </w:rPr>
      </w:r>
      <w:r>
        <w:rPr/>
        <w:t>助对象的，本公司将该政府补助划分为与资产相关或与收益相关的判断依据为：是否用于购建或以其他方式形成长期资产。</w:t>
      </w:r>
    </w:p>
    <w:p>
      <w:pPr>
        <w:pStyle w:val="BodyText"/>
        <w:spacing w:line="468" w:lineRule="exact" w:before="10"/>
        <w:ind w:left="514" w:right="0"/>
        <w:jc w:val="left"/>
      </w:pPr>
      <w:r>
        <w:rPr/>
        <w:t>企业实际取得政府补助款项作为确认时点。 </w:t>
      </w:r>
      <w:r>
        <w:rPr>
          <w:spacing w:val="-2"/>
        </w:rPr>
        <w:t>与资产相关的政府补助，冲减相关资产账面价值或确认为递延收益。确认为递延收益的，在相关资产使用寿命内按照合</w:t>
      </w:r>
    </w:p>
    <w:p>
      <w:pPr>
        <w:pStyle w:val="BodyText"/>
        <w:spacing w:line="240" w:lineRule="auto" w:before="8"/>
        <w:ind w:left="154" w:right="0"/>
        <w:jc w:val="left"/>
      </w:pPr>
      <w:r>
        <w:rPr>
          <w:spacing w:val="-7"/>
        </w:rPr>
        <w:t>理、系统的方法分期计入当期损益（与本公司日常活动相关的，计入其他收益；与本公司日常活动无关的，计入营业外收入）；</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与收益相关的政府补助判断依据及会计处理方法" w:id="237"/>
      <w:bookmarkEnd w:id="23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与收益相关的政府补助，是指除与资产相关的政府补助之外的政府补助。本公司将政府补助划分为与收益相关的具体标</w:t>
      </w:r>
      <w:r>
        <w:rPr/>
        <w:t> </w:t>
      </w:r>
      <w:r>
        <w:rPr>
          <w:spacing w:val="-2"/>
        </w:rPr>
        <w:t>准为：除与资产相关的政府补助之外的政府补助；对于政府文件未明确规定补助对象的，本公司将该政府补助划分为与资产</w:t>
      </w:r>
      <w:r>
        <w:rPr>
          <w:spacing w:val="-66"/>
        </w:rPr>
        <w:t> </w:t>
      </w:r>
      <w:r>
        <w:rPr>
          <w:spacing w:val="-66"/>
        </w:rPr>
      </w:r>
      <w:r>
        <w:rPr/>
        <w:t>相关或与收益相关的判断依据为：是否用于购建或以其他方式形成长期资产。</w:t>
      </w:r>
    </w:p>
    <w:p>
      <w:pPr>
        <w:pStyle w:val="BodyText"/>
        <w:spacing w:line="468" w:lineRule="exact" w:before="11"/>
        <w:ind w:left="513" w:right="0"/>
        <w:jc w:val="left"/>
      </w:pPr>
      <w:r>
        <w:rPr/>
        <w:t>企业实际取得政府补助款项作为确认时点。 </w:t>
      </w:r>
      <w:r>
        <w:rPr>
          <w:spacing w:val="-2"/>
        </w:rPr>
        <w:t>与收益相关的政府补助，用于补偿本公司以后期间的相关成本费用或损失的，确认为递延收益，并在确认相关成本费用</w:t>
      </w:r>
    </w:p>
    <w:p>
      <w:pPr>
        <w:pStyle w:val="BodyText"/>
        <w:spacing w:line="316" w:lineRule="auto" w:before="8"/>
        <w:ind w:right="0"/>
        <w:jc w:val="left"/>
      </w:pPr>
      <w:r>
        <w:rPr>
          <w:spacing w:val="-2"/>
        </w:rPr>
        <w:t>或损失的期间，计入当期损益（与本公司日常活动相关的，计入其他收益；与本公司日常活动无关的，计入营业外收入）或</w:t>
      </w:r>
      <w:r>
        <w:rPr>
          <w:spacing w:val="-67"/>
        </w:rPr>
        <w:t> </w:t>
      </w:r>
      <w:r>
        <w:rPr>
          <w:spacing w:val="-67"/>
        </w:rPr>
      </w:r>
      <w:r>
        <w:rPr>
          <w:spacing w:val="-4"/>
        </w:rPr>
        <w:t>冲减相关成本费用或损失；用于补偿本公司已发生的相关成本费用或损失的，直接计入当期损益（与本公司日常活动相关的，</w:t>
      </w:r>
      <w:r>
        <w:rPr>
          <w:spacing w:val="-44"/>
        </w:rPr>
        <w:t> </w:t>
      </w:r>
      <w:r>
        <w:rPr>
          <w:spacing w:val="-44"/>
        </w:rPr>
      </w:r>
      <w:r>
        <w:rPr/>
        <w:t>计入其他收益；与本公司日常活动无关的，计入营业外收入）或冲减相关成本费用或损失。</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本公司取得的政策性优惠贷款贴息，区分以下两种情况，分别进行会计处理：</w:t>
      </w:r>
    </w:p>
    <w:p>
      <w:pPr>
        <w:spacing w:line="240" w:lineRule="auto" w:before="10"/>
        <w:rPr>
          <w:rFonts w:ascii="宋体" w:hAnsi="宋体" w:cs="宋体" w:eastAsia="宋体" w:hint="default"/>
          <w:sz w:val="17"/>
          <w:szCs w:val="17"/>
        </w:rPr>
      </w:pPr>
    </w:p>
    <w:p>
      <w:pPr>
        <w:pStyle w:val="BodyText"/>
        <w:spacing w:line="316" w:lineRule="auto"/>
        <w:ind w:left="154" w:right="1141" w:firstLine="360"/>
        <w:jc w:val="both"/>
      </w:pPr>
      <w:r>
        <w:rPr/>
        <w:t>（</w:t>
      </w:r>
      <w:r>
        <w:rPr>
          <w:rFonts w:ascii="宋体" w:hAnsi="宋体" w:cs="宋体" w:eastAsia="宋体"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w:t>
      </w:r>
      <w:r>
        <w:rPr>
          <w:rFonts w:ascii="宋体" w:hAnsi="宋体" w:cs="宋体" w:eastAsia="宋体" w:hint="default"/>
        </w:rPr>
        <w:t>2</w:t>
      </w:r>
      <w:r>
        <w:rPr/>
        <w:t>）财政将贴息资金直接拨付给本公司的，本公司将对应的贴息冲减相关借款费用。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0、递延所得税资产/递延所得税负债" w:id="238"/>
      <w:bookmarkEnd w:id="23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468" w:lineRule="exact" w:before="10"/>
        <w:ind w:left="514"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477" w:lineRule="auto" w:before="8"/>
        <w:ind w:left="514" w:right="0" w:hanging="360"/>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spacing w:after="0" w:line="477"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债以抵销后的净额列报。</w:t>
      </w:r>
    </w:p>
    <w:p>
      <w:pPr>
        <w:spacing w:line="240" w:lineRule="auto" w:before="10"/>
        <w:rPr>
          <w:rFonts w:ascii="宋体" w:hAnsi="宋体" w:cs="宋体" w:eastAsia="宋体" w:hint="default"/>
          <w:sz w:val="17"/>
          <w:szCs w:val="17"/>
        </w:rPr>
      </w:pPr>
    </w:p>
    <w:p>
      <w:pPr>
        <w:pStyle w:val="BodyText"/>
        <w:spacing w:line="319" w:lineRule="auto"/>
        <w:ind w:right="1131"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1、租赁" w:id="239"/>
      <w:bookmarkEnd w:id="239"/>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240"/>
      <w:bookmarkEnd w:id="24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rFonts w:ascii="宋体" w:hAnsi="宋体" w:cs="宋体" w:eastAsia="宋体" w:hint="default"/>
          <w:spacing w:val="-2"/>
        </w:rPr>
        <w:t>a.</w:t>
      </w:r>
      <w:r>
        <w:rPr>
          <w:spacing w:val="-2"/>
        </w:rPr>
        <w:t>公司租入资产所支付的租赁费，在不扣除免租期的整个租赁期内，按直线法进行分摊，计入当期费用。公司支付的与</w:t>
      </w:r>
      <w:r>
        <w:rPr/>
        <w:t> 租赁交易相关的初始直接费用，计入当期费用。</w:t>
      </w:r>
    </w:p>
    <w:p>
      <w:pPr>
        <w:spacing w:line="240" w:lineRule="auto" w:before="5"/>
        <w:rPr>
          <w:rFonts w:ascii="宋体" w:hAnsi="宋体" w:cs="宋体" w:eastAsia="宋体" w:hint="default"/>
          <w:sz w:val="13"/>
          <w:szCs w:val="13"/>
        </w:rPr>
      </w:pPr>
    </w:p>
    <w:p>
      <w:pPr>
        <w:pStyle w:val="BodyText"/>
        <w:spacing w:line="316" w:lineRule="auto"/>
        <w:ind w:left="154" w:right="113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spacing w:line="240" w:lineRule="auto" w:before="5"/>
        <w:rPr>
          <w:rFonts w:ascii="宋体" w:hAnsi="宋体" w:cs="宋体" w:eastAsia="宋体" w:hint="default"/>
          <w:sz w:val="13"/>
          <w:szCs w:val="13"/>
        </w:rPr>
      </w:pPr>
    </w:p>
    <w:p>
      <w:pPr>
        <w:pStyle w:val="BodyText"/>
        <w:spacing w:line="316" w:lineRule="auto"/>
        <w:ind w:left="154" w:right="1131" w:firstLine="360"/>
        <w:jc w:val="both"/>
      </w:pPr>
      <w:r>
        <w:rPr>
          <w:rFonts w:ascii="宋体" w:hAnsi="宋体" w:cs="宋体" w:eastAsia="宋体" w:hint="default"/>
          <w:spacing w:val="-2"/>
        </w:rPr>
        <w:t>b.</w:t>
      </w:r>
      <w:r>
        <w:rPr>
          <w:spacing w:val="-2"/>
        </w:rPr>
        <w:t>公司出租资产所收取的租赁费，在不扣除免租期的整个租赁期内，按直线法进行分摊，确认为租赁相关收入。公司支</w:t>
      </w:r>
      <w:r>
        <w:rPr/>
        <w:t> </w:t>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w:t>
      </w:r>
    </w:p>
    <w:p>
      <w:pPr>
        <w:spacing w:line="240" w:lineRule="auto" w:before="5"/>
        <w:rPr>
          <w:rFonts w:ascii="宋体" w:hAnsi="宋体" w:cs="宋体" w:eastAsia="宋体" w:hint="default"/>
          <w:sz w:val="13"/>
          <w:szCs w:val="13"/>
        </w:rPr>
      </w:pPr>
    </w:p>
    <w:p>
      <w:pPr>
        <w:pStyle w:val="BodyText"/>
        <w:spacing w:line="316" w:lineRule="auto"/>
        <w:ind w:left="154"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2）融资租赁的会计处理方法" w:id="241"/>
      <w:bookmarkEnd w:id="24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rFonts w:ascii="宋体" w:hAnsi="宋体" w:cs="宋体" w:eastAsia="宋体" w:hint="default"/>
          <w:spacing w:val="-2"/>
        </w:rPr>
        <w:t>a.</w:t>
      </w:r>
      <w:r>
        <w:rPr>
          <w:spacing w:val="-2"/>
        </w:rPr>
        <w:t>融资租入资产：公司在承租开始日，将租赁资产公允价值与最低租赁付款额现值两者中较低者作为租入资产的入账价</w:t>
      </w:r>
      <w:r>
        <w:rPr/>
        <w:t> </w:t>
      </w:r>
      <w:r>
        <w:rPr>
          <w:spacing w:val="-2"/>
        </w:rPr>
        <w:t>值，将最低租赁付款额作为长期应付款的入账价值，其差额作为未确认的融资费用。公司采用实际利率法对未确认的融资费</w:t>
      </w:r>
      <w:r>
        <w:rPr>
          <w:spacing w:val="-66"/>
        </w:rPr>
        <w:t> </w:t>
      </w:r>
      <w:r>
        <w:rPr>
          <w:spacing w:val="-66"/>
        </w:rPr>
      </w:r>
      <w:r>
        <w:rPr/>
        <w:t>用，在资产租赁期间内摊销，计入财务费用。公司发生的初始直接费用，计入租入资产价值。</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rFonts w:ascii="宋体" w:hAnsi="宋体" w:cs="宋体" w:eastAsia="宋体" w:hint="default"/>
          <w:spacing w:val="-2"/>
        </w:rPr>
        <w:t>b.</w:t>
      </w:r>
      <w:r>
        <w:rPr>
          <w:spacing w:val="-2"/>
        </w:rPr>
        <w:t>融资租出资产：公司在租赁开始日，将应收融资租赁款，未担保余值之和与其现值的差额确认为未实现融资收益，在</w:t>
      </w:r>
      <w:r>
        <w:rPr/>
        <w:t>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2、其他重要的会计政策和会计估计" w:id="242"/>
      <w:bookmarkEnd w:id="242"/>
      <w:r>
        <w:rPr>
          <w:b w:val="0"/>
          <w:bCs w:val="0"/>
        </w:rPr>
      </w:r>
      <w:r>
        <w:rPr>
          <w:rFonts w:ascii="Times New Roman" w:hAnsi="Times New Roman" w:cs="Times New Roman" w:eastAsia="Times New Roman" w:hint="default"/>
        </w:rPr>
        <w:t>32</w:t>
      </w:r>
      <w:r>
        <w:rPr/>
        <w:t>、其他重要的会计政策和会计估计</w:t>
      </w:r>
      <w:r>
        <w:rPr>
          <w:b w:val="0"/>
          <w:bCs w:val="0"/>
        </w:rPr>
      </w:r>
    </w:p>
    <w:p>
      <w:pPr>
        <w:pStyle w:val="BodyText"/>
        <w:spacing w:line="460" w:lineRule="atLeast" w:before="122"/>
        <w:ind w:left="513" w:right="1118"/>
        <w:jc w:val="left"/>
      </w:pPr>
      <w:r>
        <w:rPr/>
        <w:t>终止经营 </w:t>
      </w:r>
      <w:r>
        <w:rPr>
          <w:spacing w:val="-2"/>
        </w:rPr>
        <w:t>终止经营是满足下列条件之一的、能够单独区分的组成部分，且该组成部分已被本公司处置或被本公司划归为持有待售</w:t>
      </w:r>
    </w:p>
    <w:p>
      <w:pPr>
        <w:pStyle w:val="BodyText"/>
        <w:spacing w:line="240" w:lineRule="auto" w:before="76"/>
        <w:ind w:right="0"/>
        <w:jc w:val="left"/>
      </w:pPr>
      <w:r>
        <w:rPr/>
        <w:t>类别：</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1</w:t>
      </w:r>
      <w:r>
        <w:rPr/>
        <w:t>）该组成部分代表一项独立的主要业务或一个单独的主要经营地区；</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2</w:t>
      </w:r>
      <w:r>
        <w:rPr/>
        <w:t>）该组成部分是拟对一项独立的主要业务或一个单独的主要经营地区进行处置的一项相关联计划的一部分；</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3</w:t>
      </w:r>
      <w:r>
        <w:rPr/>
        <w:t>）该组成部分是专为转售而取得的子公司。</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r>
        <w:rPr/>
        <w:pict>
          <v:shape style="position:absolute;margin-left:298.299988pt;margin-top:254.059982pt;width:105.5pt;height:23.4pt;mso-position-horizontal-relative:page;mso-position-vertical-relative:page;z-index:-896536" type="#_x0000_t202" filled="false" stroked="false">
            <v:textbox inset="0,0,0,0">
              <w:txbxContent>
                <w:p>
                  <w:pPr>
                    <w:pStyle w:val="BodyText"/>
                    <w:spacing w:line="240" w:lineRule="auto" w:before="51"/>
                    <w:ind w:left="0" w:right="0"/>
                    <w:jc w:val="left"/>
                  </w:pPr>
                  <w:r>
                    <w:rPr/>
                    <w:t>政府补助》</w:t>
                  </w:r>
                </w:p>
              </w:txbxContent>
            </v:textbox>
            <w10:wrap type="none"/>
          </v:shape>
        </w:pict>
      </w:r>
    </w:p>
    <w:p>
      <w:pPr>
        <w:pStyle w:val="Heading3"/>
        <w:spacing w:line="240" w:lineRule="auto" w:before="35"/>
        <w:ind w:left="154" w:right="0"/>
        <w:jc w:val="left"/>
        <w:rPr>
          <w:b w:val="0"/>
          <w:bCs w:val="0"/>
        </w:rPr>
      </w:pPr>
      <w:bookmarkStart w:name="33、重要会计政策和会计估计变更" w:id="243"/>
      <w:bookmarkEnd w:id="24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44"/>
      <w:bookmarkEnd w:id="24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671"/>
        <w:gridCol w:w="1276"/>
        <w:gridCol w:w="2624"/>
      </w:tblGrid>
      <w:tr>
        <w:trPr>
          <w:trHeight w:val="401"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5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0"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日，财政部印发了《企业会计准则第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 </w:t>
            </w:r>
            <w:r>
              <w:rPr>
                <w:rFonts w:ascii="宋体" w:hAnsi="宋体" w:cs="宋体" w:eastAsia="宋体" w:hint="default"/>
                <w:spacing w:val="-5"/>
                <w:sz w:val="18"/>
                <w:szCs w:val="18"/>
              </w:rPr>
              <w:t>的非流动资产、处置组和终止经营》，规范企业持有待售的非流动资产或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处置组的分类、计量和列报，以及终止经营的列报。该准则自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p>
          <w:p>
            <w:pPr>
              <w:pStyle w:val="TableParagraph"/>
              <w:spacing w:line="302" w:lineRule="auto" w:before="5"/>
              <w:ind w:left="22" w:right="2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日起施行，对于该准则施行日存在的持有待售的非流动资产、处置 组和终止经营，应当采用未来适用法处理。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p>
          <w:p>
            <w:pPr>
              <w:pStyle w:val="TableParagraph"/>
              <w:spacing w:line="240" w:lineRule="auto" w:before="7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30,446,607.75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元，上年金额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41,047,172.04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元；列示终止经营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净利润本年与上年金额均为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338"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日，财政部发布了《企业会计准则第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，该准则自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w:t>
            </w:r>
            <w:r>
              <w:rPr>
                <w:rFonts w:ascii="宋体" w:hAnsi="宋体" w:cs="宋体" w:eastAsia="宋体" w:hint="default"/>
                <w:spacing w:val="1"/>
                <w:sz w:val="18"/>
                <w:szCs w:val="18"/>
              </w:rPr>
              <w:t>行</w:t>
            </w:r>
            <w:r>
              <w:rPr>
                <w:rFonts w:ascii="宋体" w:hAnsi="宋体" w:cs="宋体" w:eastAsia="宋体" w:hint="default"/>
                <w:sz w:val="18"/>
                <w:szCs w:val="18"/>
              </w:rPr>
              <w:t>。公司对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pacing w:val="-4"/>
                <w:sz w:val="18"/>
                <w:szCs w:val="18"/>
              </w:rPr>
              <w:t>存在的政府补助采用未来适用法处理，对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日至本准则施行 日之间新增的政府补助根据本准则进行调整。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63.3pt;height:23.4pt;mso-position-horizontal-relative:char;mso-position-vertical-relative:line" coordorigin="0,0" coordsize="1266,468">
                  <v:group style="position:absolute;left:0;top:0;width:1266;height:468" coordorigin="0,0" coordsize="1266,468">
                    <v:shape style="position:absolute;left:0;top:0;width:1266;height:468" coordorigin="0,0" coordsize="1266,468" path="m0,468l1266,468,1266,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本期政府补助计入其他收益：</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531,456.44 </w:t>
            </w:r>
            <w:r>
              <w:rPr>
                <w:rFonts w:ascii="宋体" w:hAnsi="宋体" w:cs="宋体" w:eastAsia="宋体" w:hint="default"/>
                <w:sz w:val="18"/>
                <w:szCs w:val="18"/>
              </w:rPr>
              <w:t>元</w:t>
            </w:r>
          </w:p>
        </w:tc>
      </w:tr>
      <w:tr>
        <w:trPr>
          <w:trHeight w:val="3836"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财政部根据上述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项会计准则的相关规定，对一般企业财务报表格式进</w:t>
            </w:r>
          </w:p>
          <w:p>
            <w:pPr>
              <w:pStyle w:val="TableParagraph"/>
              <w:spacing w:line="302" w:lineRule="auto" w:before="61"/>
              <w:ind w:left="22" w:right="14"/>
              <w:jc w:val="left"/>
              <w:rPr>
                <w:rFonts w:ascii="宋体" w:hAnsi="宋体" w:cs="宋体" w:eastAsia="宋体" w:hint="default"/>
                <w:sz w:val="18"/>
                <w:szCs w:val="18"/>
              </w:rPr>
            </w:pPr>
            <w:r>
              <w:rPr>
                <w:rFonts w:ascii="宋体" w:hAnsi="宋体" w:cs="宋体" w:eastAsia="宋体" w:hint="default"/>
                <w:spacing w:val="-4"/>
                <w:sz w:val="18"/>
                <w:szCs w:val="18"/>
              </w:rPr>
              <w:t>行了修订，并于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日发布了《关于修订印发一般企业财务 </w:t>
            </w:r>
            <w:r>
              <w:rPr>
                <w:rFonts w:ascii="宋体" w:hAnsi="宋体" w:cs="宋体" w:eastAsia="宋体" w:hint="default"/>
                <w:spacing w:val="-3"/>
                <w:w w:val="100"/>
                <w:sz w:val="18"/>
                <w:szCs w:val="18"/>
              </w:rPr>
              <w:t>报表格式的通知》：资产负债表新增</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持有待售资产</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行项目、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持有待售</w:t>
            </w:r>
            <w:r>
              <w:rPr>
                <w:rFonts w:ascii="宋体" w:hAnsi="宋体" w:cs="宋体" w:eastAsia="宋体" w:hint="default"/>
                <w:spacing w:val="-83"/>
                <w:w w:val="100"/>
                <w:sz w:val="18"/>
                <w:szCs w:val="18"/>
              </w:rPr>
              <w:t> </w:t>
            </w:r>
            <w:r>
              <w:rPr>
                <w:rFonts w:ascii="宋体" w:hAnsi="宋体" w:cs="宋体" w:eastAsia="宋体" w:hint="default"/>
                <w:sz w:val="18"/>
                <w:szCs w:val="18"/>
              </w:rPr>
              <w:t>负债</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行项目，利润表新增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 净利润项新增</w:t>
            </w:r>
            <w:r>
              <w:rPr>
                <w:rFonts w:ascii="Times New Roman" w:hAnsi="Times New Roman" w:cs="Times New Roman" w:eastAsia="Times New Roman" w:hint="default"/>
                <w:sz w:val="18"/>
                <w:szCs w:val="18"/>
              </w:rPr>
              <w:t>“</w:t>
            </w:r>
            <w:r>
              <w:rPr>
                <w:rFonts w:ascii="宋体" w:hAnsi="宋体" w:cs="宋体" w:eastAsia="宋体" w:hint="default"/>
                <w:sz w:val="18"/>
                <w:szCs w:val="18"/>
              </w:rPr>
              <w:t>（一）持续经营净利润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行项 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日，财政部发布了《关于一般企业财务报表格式有 </w:t>
            </w:r>
            <w:r>
              <w:rPr>
                <w:rFonts w:ascii="宋体" w:hAnsi="宋体" w:cs="宋体" w:eastAsia="宋体" w:hint="default"/>
                <w:spacing w:val="-7"/>
                <w:sz w:val="18"/>
                <w:szCs w:val="18"/>
              </w:rPr>
              <w:t>关问题的解读》，根据解读的相关规定：</w:t>
            </w:r>
            <w:r>
              <w:rPr>
                <w:rFonts w:ascii="宋体" w:hAnsi="宋体" w:cs="宋体" w:eastAsia="宋体" w:hint="default"/>
                <w:sz w:val="18"/>
                <w:szCs w:val="18"/>
              </w:rPr>
              <w:t> </w:t>
            </w:r>
            <w:r>
              <w:rPr>
                <w:rFonts w:ascii="宋体" w:hAnsi="宋体" w:cs="宋体" w:eastAsia="宋体" w:hint="default"/>
                <w:spacing w:val="-1"/>
                <w:w w:val="100"/>
                <w:sz w:val="18"/>
                <w:szCs w:val="18"/>
              </w:rPr>
              <w:t>对于利润表新增的</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资产处置收</w:t>
            </w:r>
            <w:r>
              <w:rPr>
                <w:rFonts w:ascii="宋体" w:hAnsi="宋体" w:cs="宋体" w:eastAsia="宋体" w:hint="default"/>
                <w:spacing w:val="-87"/>
                <w:w w:val="100"/>
                <w:sz w:val="18"/>
                <w:szCs w:val="18"/>
              </w:rPr>
              <w:t> </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行项目，本公司按照《企业会计准则第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财务报表列报》等 的相关规定，对可比期间的比较数据按照《通知》进行调整。对于利润 表新增的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行项目，本公司按照《企业会计准则第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w:t>
            </w:r>
          </w:p>
          <w:p>
            <w:pPr>
              <w:pStyle w:val="TableParagraph"/>
              <w:spacing w:line="302" w:lineRule="auto" w:before="11"/>
              <w:ind w:left="22" w:right="22"/>
              <w:jc w:val="left"/>
              <w:rPr>
                <w:rFonts w:ascii="宋体" w:hAnsi="宋体" w:cs="宋体" w:eastAsia="宋体" w:hint="default"/>
                <w:sz w:val="18"/>
                <w:szCs w:val="18"/>
              </w:rPr>
            </w:pPr>
            <w:r>
              <w:rPr>
                <w:rFonts w:ascii="宋体" w:hAnsi="宋体" w:cs="宋体" w:eastAsia="宋体" w:hint="default"/>
                <w:spacing w:val="-6"/>
                <w:sz w:val="18"/>
                <w:szCs w:val="18"/>
              </w:rPr>
              <w:t>府补助》的相关规定，对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日存在的政府补助采用未来适用 法处理，无需对可比期间的比较数据进行调整。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p>
          <w:p>
            <w:pPr>
              <w:pStyle w:val="TableParagraph"/>
              <w:spacing w:line="240" w:lineRule="auto" w:before="7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30,446,607.75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元，上年金额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41,047,172.04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元；列示终止经营</w:t>
            </w:r>
          </w:p>
          <w:p>
            <w:pPr>
              <w:pStyle w:val="TableParagraph"/>
              <w:spacing w:line="312" w:lineRule="auto" w:before="63"/>
              <w:ind w:left="23" w:right="67"/>
              <w:jc w:val="left"/>
              <w:rPr>
                <w:rFonts w:ascii="宋体" w:hAnsi="宋体" w:cs="宋体" w:eastAsia="宋体" w:hint="default"/>
                <w:sz w:val="18"/>
                <w:szCs w:val="18"/>
              </w:rPr>
            </w:pPr>
            <w:r>
              <w:rPr>
                <w:rFonts w:ascii="宋体" w:hAnsi="宋体" w:cs="宋体" w:eastAsia="宋体" w:hint="default"/>
                <w:sz w:val="18"/>
                <w:szCs w:val="18"/>
              </w:rPr>
              <w:t>净利润本年与上年金额均为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本期政府补助计入其他收益： </w:t>
            </w:r>
            <w:r>
              <w:rPr>
                <w:rFonts w:ascii="Times New Roman" w:hAnsi="Times New Roman" w:cs="Times New Roman" w:eastAsia="Times New Roman" w:hint="default"/>
                <w:sz w:val="18"/>
                <w:szCs w:val="18"/>
              </w:rPr>
              <w:t>531,456.44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会计估计变更" w:id="245"/>
      <w:bookmarkEnd w:id="24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其他" w:id="246"/>
      <w:bookmarkEnd w:id="246"/>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关联方</w:t>
      </w:r>
    </w:p>
    <w:p>
      <w:pPr>
        <w:pStyle w:val="BodyText"/>
        <w:spacing w:line="316" w:lineRule="auto" w:before="76"/>
        <w:ind w:left="154" w:right="1032" w:firstLine="360"/>
        <w:jc w:val="left"/>
      </w:pPr>
      <w:r>
        <w:rPr/>
        <w:t>一方控制、共同控制另一方或对另一方施加重大影响，以及两方或两方以上同受一方控制、共同控制的，构成关联方。 关联方可为个人或企业。仅仅同受国家控制而不存在其他关联方关系的企业，不构成本公司的关联方。</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本公司的关联方包括但不限于：</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Times New Roman" w:hAnsi="Times New Roman" w:cs="Times New Roman" w:eastAsia="Times New Roman" w:hint="default"/>
        </w:rPr>
        <w:t>1</w:t>
      </w:r>
      <w:r>
        <w:rPr/>
        <w:t>）本公司的母公司；</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t>（</w:t>
      </w:r>
      <w:r>
        <w:rPr>
          <w:rFonts w:ascii="Times New Roman" w:hAnsi="Times New Roman" w:cs="Times New Roman" w:eastAsia="Times New Roman" w:hint="default"/>
        </w:rPr>
        <w:t>2</w:t>
      </w:r>
      <w:r>
        <w:rPr/>
        <w:t>）本公司的子公司；</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t>（</w:t>
      </w:r>
      <w:r>
        <w:rPr>
          <w:rFonts w:ascii="Times New Roman" w:hAnsi="Times New Roman" w:cs="Times New Roman" w:eastAsia="Times New Roman" w:hint="default"/>
        </w:rPr>
        <w:t>3</w:t>
      </w:r>
      <w:r>
        <w:rPr/>
        <w:t>）与本公司受同一母公司控制的其他企业；</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13" w:right="0"/>
        <w:jc w:val="left"/>
      </w:pPr>
      <w:r>
        <w:rPr/>
        <w:t>（</w:t>
      </w:r>
      <w:r>
        <w:rPr>
          <w:rFonts w:ascii="Times New Roman" w:hAnsi="Times New Roman" w:cs="Times New Roman" w:eastAsia="Times New Roman" w:hint="default"/>
        </w:rPr>
        <w:t>4</w:t>
      </w:r>
      <w:r>
        <w:rPr/>
        <w:t>）对本公司实施共同控制的投资方；</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5</w:t>
      </w:r>
      <w:r>
        <w:rPr/>
        <w:t>）对本公司施加重大影响的投资方；</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6</w:t>
      </w:r>
      <w:r>
        <w:rPr/>
        <w:t>）本公司的合营企业，包括合营企业的子公司；</w:t>
      </w:r>
    </w:p>
    <w:p>
      <w:pPr>
        <w:spacing w:line="240" w:lineRule="auto" w:before="10"/>
        <w:rPr>
          <w:rFonts w:ascii="宋体" w:hAnsi="宋体" w:cs="宋体" w:eastAsia="宋体" w:hint="default"/>
          <w:sz w:val="16"/>
          <w:szCs w:val="16"/>
        </w:rPr>
      </w:pPr>
    </w:p>
    <w:p>
      <w:pPr>
        <w:pStyle w:val="BodyText"/>
        <w:spacing w:line="240" w:lineRule="auto"/>
        <w:ind w:left="514" w:right="0"/>
        <w:jc w:val="left"/>
      </w:pPr>
      <w:r>
        <w:rPr/>
        <w:t>（</w:t>
      </w:r>
      <w:r>
        <w:rPr>
          <w:rFonts w:ascii="Times New Roman" w:hAnsi="Times New Roman" w:cs="Times New Roman" w:eastAsia="Times New Roman" w:hint="default"/>
        </w:rPr>
        <w:t>7</w:t>
      </w:r>
      <w:r>
        <w:rPr/>
        <w:t>）本公司的联营企业，包括联营企业的子公司；</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t>（</w:t>
      </w:r>
      <w:r>
        <w:rPr>
          <w:rFonts w:ascii="Times New Roman" w:hAnsi="Times New Roman" w:cs="Times New Roman" w:eastAsia="Times New Roman" w:hint="default"/>
        </w:rPr>
        <w:t>8</w:t>
      </w:r>
      <w:r>
        <w:rPr/>
        <w:t>）本公司的主要投资者个人及与其关系密切的家庭成员</w:t>
      </w:r>
      <w:r>
        <w:rPr>
          <w:spacing w:val="-17"/>
        </w:rPr>
        <w:t> </w:t>
      </w:r>
      <w:r>
        <w:rPr/>
        <w:t>；</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t>（</w:t>
      </w:r>
      <w:r>
        <w:rPr>
          <w:rFonts w:ascii="Times New Roman" w:hAnsi="Times New Roman" w:cs="Times New Roman" w:eastAsia="Times New Roman" w:hint="default"/>
        </w:rPr>
        <w:t>9</w:t>
      </w:r>
      <w:r>
        <w:rPr/>
        <w:t>）本公司或其母公司的关键管理人员及与其关系密切的家庭成员；</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10</w:t>
      </w:r>
      <w:r>
        <w:rPr/>
        <w:t>）本公司的主要投资者个人、关键管理人员或与其关系密切的家庭成员控制、共同控制的其他企业。</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六、税项" w:id="247"/>
      <w:bookmarkEnd w:id="247"/>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48"/>
      <w:bookmarkEnd w:id="24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28"/>
        <w:gridCol w:w="6096"/>
        <w:gridCol w:w="1346"/>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2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096"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pacing w:val="-3"/>
                <w:sz w:val="18"/>
                <w:szCs w:val="18"/>
              </w:rPr>
              <w:t>按税法规定计算的销售货物和应税劳务收入为基础计算销项税额，在扣除当期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允许抵扣的进项税额后，差额部分为应交增值税</w:t>
            </w:r>
          </w:p>
        </w:tc>
        <w:tc>
          <w:tcPr>
            <w:tcW w:w="134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w:t>
            </w:r>
          </w:p>
        </w:tc>
      </w:tr>
      <w:tr>
        <w:trPr>
          <w:trHeight w:val="392" w:hRule="exact"/>
        </w:trPr>
        <w:tc>
          <w:tcPr>
            <w:tcW w:w="21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096" w:type="dxa"/>
            <w:vMerge/>
            <w:tcBorders>
              <w:left w:val="single" w:sz="9" w:space="0" w:color="D2D2D2"/>
              <w:right w:val="single" w:sz="4" w:space="0" w:color="000000"/>
            </w:tcBorders>
          </w:tcPr>
          <w:p>
            <w:pPr/>
          </w:p>
        </w:tc>
        <w:tc>
          <w:tcPr>
            <w:tcW w:w="1346" w:type="dxa"/>
            <w:vMerge/>
            <w:tcBorders>
              <w:left w:val="single" w:sz="4" w:space="0" w:color="000000"/>
              <w:right w:val="single" w:sz="4" w:space="0" w:color="000000"/>
            </w:tcBorders>
          </w:tcPr>
          <w:p>
            <w:pPr/>
          </w:p>
        </w:tc>
      </w:tr>
      <w:tr>
        <w:trPr>
          <w:trHeight w:val="161" w:hRule="exact"/>
        </w:trPr>
        <w:tc>
          <w:tcPr>
            <w:tcW w:w="2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096" w:type="dxa"/>
            <w:vMerge/>
            <w:tcBorders>
              <w:left w:val="single" w:sz="9" w:space="0" w:color="D2D2D2"/>
              <w:bottom w:val="single" w:sz="4" w:space="0" w:color="000000"/>
              <w:right w:val="single" w:sz="4" w:space="0" w:color="000000"/>
            </w:tcBorders>
          </w:tcPr>
          <w:p>
            <w:pPr/>
          </w:p>
        </w:tc>
        <w:tc>
          <w:tcPr>
            <w:tcW w:w="1346" w:type="dxa"/>
            <w:vMerge/>
            <w:tcBorders>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0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0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GLOBAL IMAGING SYSTEM</w:t>
            </w:r>
            <w:r>
              <w:rPr>
                <w:rFonts w:ascii="Times New Roman"/>
                <w:spacing w:val="-9"/>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GOLDENGREEN TECHNOLOGIES EU</w:t>
            </w:r>
            <w:r>
              <w:rPr>
                <w:rFonts w:ascii="Times New Roman"/>
                <w:spacing w:val="-9"/>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税收优惠" w:id="249"/>
      <w:bookmarkEnd w:id="24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9" w:firstLine="360"/>
        <w:jc w:val="both"/>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月取得江苏省科学技术厅、江苏省财政厅、江苏省国家税务局、江苏省地方税务局联合颁发的《高新技术企 </w:t>
      </w:r>
      <w:r>
        <w:rPr>
          <w:spacing w:val="-2"/>
        </w:rPr>
        <w:t>业证书》，有效期</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2017</w:t>
      </w:r>
      <w:r>
        <w:rPr>
          <w:spacing w:val="-2"/>
        </w:rPr>
        <w:t>年经重新认定后，于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7</w:t>
      </w:r>
      <w:r>
        <w:rPr>
          <w:spacing w:val="-2"/>
        </w:rPr>
        <w:t>日取得江苏省科学技术厅、江苏省财政厅、江苏省国家税务局</w:t>
      </w:r>
      <w:r>
        <w:rPr>
          <w:spacing w:val="-56"/>
        </w:rPr>
        <w:t> </w:t>
      </w:r>
      <w:r>
        <w:rPr>
          <w:spacing w:val="-56"/>
        </w:rPr>
      </w:r>
      <w:r>
        <w:rPr>
          <w:spacing w:val="-2"/>
        </w:rPr>
        <w:t>和江苏省地方税务局联合颁发的《高新技术企业证书》（证书编号：</w:t>
      </w:r>
      <w:r>
        <w:rPr>
          <w:rFonts w:ascii="Times New Roman" w:hAnsi="Times New Roman" w:cs="Times New Roman" w:eastAsia="Times New Roman" w:hint="default"/>
          <w:spacing w:val="-2"/>
        </w:rPr>
        <w:t>GR201732002389</w:t>
      </w:r>
      <w:r>
        <w:rPr>
          <w:spacing w:val="-2"/>
        </w:rPr>
        <w:t>），有效期</w:t>
      </w:r>
      <w:r>
        <w:rPr>
          <w:rFonts w:ascii="Times New Roman" w:hAnsi="Times New Roman" w:cs="Times New Roman" w:eastAsia="Times New Roman" w:hint="default"/>
          <w:spacing w:val="-2"/>
        </w:rPr>
        <w:t>3</w:t>
      </w:r>
      <w:r>
        <w:rPr>
          <w:spacing w:val="-2"/>
        </w:rPr>
        <w:t>年），享受自认定年度起</w:t>
      </w:r>
      <w:r>
        <w:rPr>
          <w:spacing w:val="-38"/>
        </w:rPr>
        <w:t> </w:t>
      </w:r>
      <w:r>
        <w:rPr>
          <w:spacing w:val="-38"/>
        </w:rPr>
      </w:r>
      <w:r>
        <w:rPr>
          <w:spacing w:val="-1"/>
        </w:rPr>
        <w:t>三年内减按</w:t>
      </w:r>
      <w:r>
        <w:rPr>
          <w:rFonts w:ascii="Times New Roman" w:hAnsi="Times New Roman" w:cs="Times New Roman" w:eastAsia="Times New Roman" w:hint="default"/>
          <w:spacing w:val="-1"/>
        </w:rPr>
        <w:t>15%</w:t>
      </w:r>
      <w:r>
        <w:rPr>
          <w:spacing w:val="-1"/>
        </w:rPr>
        <w:t>的税率缴纳企业所得税的优惠政策。依据《企业所得税法》第二十八条规定，本公司本期减按</w:t>
      </w:r>
      <w:r>
        <w:rPr>
          <w:rFonts w:ascii="Times New Roman" w:hAnsi="Times New Roman" w:cs="Times New Roman" w:eastAsia="Times New Roman" w:hint="default"/>
          <w:spacing w:val="-1"/>
        </w:rPr>
        <w:t>15%</w:t>
      </w:r>
      <w:r>
        <w:rPr>
          <w:spacing w:val="-1"/>
        </w:rPr>
        <w:t>的税率缴</w:t>
      </w:r>
      <w:r>
        <w:rPr>
          <w:spacing w:val="-57"/>
        </w:rPr>
        <w:t> </w:t>
      </w:r>
      <w:r>
        <w:rPr>
          <w:spacing w:val="-57"/>
        </w:rPr>
      </w:r>
      <w:r>
        <w:rPr/>
        <w:t>纳企业所得税。</w:t>
      </w:r>
    </w:p>
    <w:p>
      <w:pPr>
        <w:spacing w:line="240" w:lineRule="auto" w:before="6"/>
        <w:rPr>
          <w:rFonts w:ascii="宋体" w:hAnsi="宋体" w:cs="宋体" w:eastAsia="宋体" w:hint="default"/>
          <w:sz w:val="23"/>
          <w:szCs w:val="23"/>
        </w:rPr>
      </w:pPr>
    </w:p>
    <w:p>
      <w:pPr>
        <w:spacing w:line="487" w:lineRule="auto" w:before="0"/>
        <w:ind w:left="153" w:right="7693" w:firstLine="0"/>
        <w:jc w:val="left"/>
        <w:rPr>
          <w:rFonts w:ascii="宋体" w:hAnsi="宋体" w:cs="宋体" w:eastAsia="宋体" w:hint="default"/>
          <w:sz w:val="21"/>
          <w:szCs w:val="21"/>
        </w:rPr>
      </w:pPr>
      <w:bookmarkStart w:name="3、其他" w:id="250"/>
      <w:bookmarkEnd w:id="25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51"/>
      <w:bookmarkEnd w:id="251"/>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52"/>
      <w:bookmarkEnd w:id="25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174,040.85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97,416.04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199,971,379.82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176,535,601.94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2,391,581.95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202,537,002.62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176,633,017.98</w:t>
            </w:r>
          </w:p>
        </w:tc>
      </w:tr>
    </w:tbl>
    <w:p>
      <w:pPr>
        <w:pStyle w:val="BodyText"/>
        <w:spacing w:line="357" w:lineRule="auto" w:before="51"/>
        <w:ind w:right="7153"/>
        <w:jc w:val="left"/>
      </w:pPr>
      <w:r>
        <w:rPr/>
        <w:t>其他说明 其他货币资金均为公司外汇远期交易保证金。</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以公允价值计量且其变动计入当期损益的金融资产" w:id="253"/>
      <w:bookmarkEnd w:id="25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54"/>
      <w:bookmarkEnd w:id="25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55"/>
      <w:bookmarkEnd w:id="25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56"/>
      <w:bookmarkEnd w:id="25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291,490.00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708,688.53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291,490.00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708,688.53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质押的应收票据" w:id="257"/>
      <w:bookmarkEnd w:id="257"/>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258"/>
      <w:bookmarkEnd w:id="258"/>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753" w:right="5443"/>
        <w:jc w:val="left"/>
        <w:rPr>
          <w:b w:val="0"/>
          <w:bCs w:val="0"/>
        </w:rPr>
      </w:pPr>
      <w:bookmarkStart w:name="（4）期末公司因出票人未履约而将其转应收账款的票据" w:id="259"/>
      <w:bookmarkEnd w:id="259"/>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7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left="754" w:right="544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753" w:right="5443"/>
        <w:jc w:val="left"/>
        <w:rPr>
          <w:b w:val="0"/>
          <w:bCs w:val="0"/>
        </w:rPr>
      </w:pPr>
      <w:bookmarkStart w:name="5、应收账款" w:id="260"/>
      <w:bookmarkEnd w:id="260"/>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754" w:right="5443"/>
        <w:jc w:val="left"/>
        <w:rPr>
          <w:b w:val="0"/>
          <w:bCs w:val="0"/>
        </w:rPr>
      </w:pPr>
      <w:bookmarkStart w:name="（1）应收账款分类披露" w:id="261"/>
      <w:bookmarkEnd w:id="26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62"/>
        <w:gridCol w:w="1142"/>
        <w:gridCol w:w="763"/>
        <w:gridCol w:w="1071"/>
        <w:gridCol w:w="568"/>
        <w:gridCol w:w="1134"/>
        <w:gridCol w:w="1134"/>
        <w:gridCol w:w="710"/>
        <w:gridCol w:w="1134"/>
        <w:gridCol w:w="566"/>
        <w:gridCol w:w="1134"/>
      </w:tblGrid>
      <w:tr>
        <w:trPr>
          <w:trHeight w:val="397"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46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562" w:type="dxa"/>
            <w:vMerge/>
            <w:tcBorders>
              <w:left w:val="single" w:sz="4" w:space="0" w:color="000000"/>
              <w:bottom w:val="nil" w:sz="6" w:space="0" w:color="auto"/>
              <w:right w:val="single" w:sz="4" w:space="0" w:color="000000"/>
            </w:tcBorders>
            <w:shd w:val="clear" w:color="auto" w:fill="D2D2D2"/>
          </w:tcPr>
          <w:p>
            <w:pPr/>
          </w:p>
        </w:tc>
        <w:tc>
          <w:tcPr>
            <w:tcW w:w="19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06" w:type="dxa"/>
            <w:gridSpan w:val="2"/>
            <w:vMerge/>
            <w:tcBorders>
              <w:left w:val="single" w:sz="4" w:space="0" w:color="000000"/>
              <w:bottom w:val="single" w:sz="4" w:space="0" w:color="000000"/>
              <w:right w:val="single" w:sz="4" w:space="0" w:color="000000"/>
            </w:tcBorders>
            <w:shd w:val="clear" w:color="auto" w:fill="D2D2D2"/>
          </w:tcPr>
          <w:p>
            <w:pPr/>
          </w:p>
        </w:tc>
        <w:tc>
          <w:tcPr>
            <w:tcW w:w="1638"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62" w:type="dxa"/>
            <w:vMerge/>
            <w:tcBorders>
              <w:left w:val="single" w:sz="4" w:space="0" w:color="000000"/>
              <w:bottom w:val="nil" w:sz="6" w:space="0" w:color="auto"/>
              <w:right w:val="single" w:sz="4" w:space="0" w:color="000000"/>
            </w:tcBorders>
            <w:shd w:val="clear" w:color="auto" w:fill="D2D2D2"/>
          </w:tcPr>
          <w:p>
            <w:pPr/>
          </w:p>
        </w:tc>
        <w:tc>
          <w:tcPr>
            <w:tcW w:w="11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9"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562" w:type="dxa"/>
            <w:vMerge w:val="restart"/>
            <w:tcBorders>
              <w:top w:val="nil" w:sz="6" w:space="0" w:color="auto"/>
              <w:left w:val="single" w:sz="4" w:space="0" w:color="000000"/>
              <w:right w:val="single" w:sz="4" w:space="0" w:color="000000"/>
            </w:tcBorders>
            <w:shd w:val="clear" w:color="auto" w:fill="D2D2D2"/>
          </w:tcPr>
          <w:p>
            <w:pPr/>
          </w:p>
        </w:tc>
        <w:tc>
          <w:tcPr>
            <w:tcW w:w="11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62" w:type="dxa"/>
            <w:vMerge/>
            <w:tcBorders>
              <w:left w:val="single" w:sz="4" w:space="0" w:color="000000"/>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1071"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1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79,054,054.55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4,691,727.21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74,362,327.34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76,734,531.21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4,584,666.11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72,149,865.10</w:t>
            </w: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79,054,054.55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4,691,727.21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74,362,327.34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76,734,531.21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4,584,666.11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72,149,865.10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380" w:right="0"/>
        </w:sectPr>
      </w:pPr>
    </w:p>
    <w:p>
      <w:pPr>
        <w:pStyle w:val="BodyText"/>
        <w:spacing w:line="240" w:lineRule="auto" w:before="51"/>
        <w:ind w:left="754" w:right="-20"/>
        <w:jc w:val="left"/>
      </w:pPr>
      <w:r>
        <w:rPr/>
        <w:t>期末单项金额重大并单项计提坏账准备的应收账款：</w:t>
      </w:r>
    </w:p>
    <w:p>
      <w:pPr>
        <w:pStyle w:val="BodyText"/>
        <w:spacing w:line="338" w:lineRule="auto" w:before="117"/>
        <w:ind w:left="7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7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753" w:right="0"/>
        <w:jc w:val="left"/>
      </w:pPr>
      <w:r>
        <w:rPr/>
        <w:t>单位： 元</w:t>
      </w:r>
    </w:p>
    <w:p>
      <w:pPr>
        <w:spacing w:after="0" w:line="240" w:lineRule="auto"/>
        <w:jc w:val="left"/>
        <w:sectPr>
          <w:type w:val="continuous"/>
          <w:pgSz w:w="11910" w:h="16840"/>
          <w:pgMar w:top="1060" w:bottom="1160" w:left="380" w:right="0"/>
          <w:cols w:num="2" w:equalWidth="0">
            <w:col w:w="4895" w:space="3935"/>
            <w:col w:w="2700"/>
          </w:cols>
        </w:sectPr>
      </w:pPr>
    </w:p>
    <w:p>
      <w:pPr>
        <w:spacing w:line="240" w:lineRule="auto" w:before="13"/>
        <w:rPr>
          <w:rFonts w:ascii="宋体" w:hAnsi="宋体" w:cs="宋体" w:eastAsia="宋体" w:hint="default"/>
          <w:sz w:val="7"/>
          <w:szCs w:val="7"/>
        </w:rPr>
      </w:pPr>
    </w:p>
    <w:tbl>
      <w:tblPr>
        <w:tblW w:w="0" w:type="auto"/>
        <w:jc w:val="left"/>
        <w:tblInd w:w="7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68,726,928.68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3,436,346.42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3,034,418.55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303,441.87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529,669.15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158,900.75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763,038.17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763,038.17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73,054,054.55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4,661,727.21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754" w:right="6432"/>
        <w:jc w:val="left"/>
      </w:pPr>
      <w:r>
        <w:rPr/>
        <w:t>确定该组合依据的说明： 组合中，采用余额百分比法计提坏账准备的应收账款：</w:t>
      </w:r>
    </w:p>
    <w:p>
      <w:pPr>
        <w:pStyle w:val="BodyText"/>
        <w:spacing w:line="348" w:lineRule="auto" w:before="26"/>
        <w:ind w:left="753" w:right="54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spacing w:val="-3"/>
        </w:rPr>
        <w:t>组合中，采用风险类别分析法计提坏账准备的应收账款（保理款）：</w:t>
      </w:r>
    </w:p>
    <w:p>
      <w:pPr>
        <w:spacing w:after="0" w:line="348" w:lineRule="auto"/>
        <w:jc w:val="left"/>
        <w:sectPr>
          <w:type w:val="continuous"/>
          <w:pgSz w:w="11910" w:h="16840"/>
          <w:pgMar w:top="1060" w:bottom="1160" w:left="380" w:right="0"/>
        </w:sectPr>
      </w:pPr>
    </w:p>
    <w:p>
      <w:pPr>
        <w:spacing w:line="240" w:lineRule="auto" w:before="6"/>
        <w:rPr>
          <w:rFonts w:ascii="宋体" w:hAnsi="宋体" w:cs="宋体" w:eastAsia="宋体" w:hint="default"/>
          <w:sz w:val="24"/>
          <w:szCs w:val="24"/>
        </w:rPr>
      </w:pPr>
    </w:p>
    <w:tbl>
      <w:tblPr>
        <w:tblW w:w="0" w:type="auto"/>
        <w:jc w:val="left"/>
        <w:tblInd w:w="755" w:type="dxa"/>
        <w:tblLayout w:type="fixed"/>
        <w:tblCellMar>
          <w:top w:w="0" w:type="dxa"/>
          <w:left w:w="0" w:type="dxa"/>
          <w:bottom w:w="0" w:type="dxa"/>
          <w:right w:w="0" w:type="dxa"/>
        </w:tblCellMar>
        <w:tblLook w:val="01E0"/>
      </w:tblPr>
      <w:tblGrid>
        <w:gridCol w:w="2796"/>
        <w:gridCol w:w="1834"/>
        <w:gridCol w:w="1710"/>
        <w:gridCol w:w="1419"/>
      </w:tblGrid>
      <w:tr>
        <w:trPr>
          <w:trHeight w:val="422" w:hRule="exact"/>
        </w:trPr>
        <w:tc>
          <w:tcPr>
            <w:tcW w:w="2796" w:type="dxa"/>
            <w:vMerge w:val="restart"/>
            <w:tcBorders>
              <w:top w:val="single" w:sz="4" w:space="0" w:color="000000"/>
              <w:left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风险类别</w:t>
            </w:r>
            <w:r>
              <w:rPr>
                <w:rFonts w:ascii="宋体" w:hAnsi="宋体" w:cs="宋体" w:eastAsia="宋体" w:hint="default"/>
                <w:sz w:val="18"/>
                <w:szCs w:val="18"/>
              </w:rPr>
            </w:r>
          </w:p>
        </w:tc>
        <w:tc>
          <w:tcPr>
            <w:tcW w:w="49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21" w:hRule="exact"/>
        </w:trPr>
        <w:tc>
          <w:tcPr>
            <w:tcW w:w="2796" w:type="dxa"/>
            <w:vMerge/>
            <w:tcBorders>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0"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8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2"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正常类（未逾期）</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6,000,000.00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30,000.00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0.50</w:t>
            </w:r>
          </w:p>
        </w:tc>
      </w:tr>
      <w:tr>
        <w:trPr>
          <w:trHeight w:val="42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6,000,000.00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30,000.00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2）本期计提、收回或转回的坏账准备情况" w:id="262"/>
      <w:bookmarkEnd w:id="26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38" w:lineRule="auto" w:before="44"/>
        <w:ind w:left="154" w:right="-15"/>
        <w:jc w:val="left"/>
      </w:pPr>
      <w:r>
        <w:rPr/>
        <w:t>本期计提坏账准备金额</w:t>
      </w:r>
      <w:r>
        <w:rPr>
          <w:spacing w:val="-48"/>
        </w:rPr>
        <w:t> </w:t>
      </w:r>
      <w:r>
        <w:rPr>
          <w:rFonts w:ascii="Times New Roman" w:hAnsi="Times New Roman" w:cs="Times New Roman" w:eastAsia="Times New Roman" w:hint="default"/>
        </w:rPr>
        <w:t>113,513.10</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313" w:space="2517"/>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263"/>
      <w:bookmarkEnd w:id="26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6,452.00</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264"/>
      <w:bookmarkEnd w:id="26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55" w:type="dxa"/>
        <w:tblLayout w:type="fixed"/>
        <w:tblCellMar>
          <w:top w:w="0" w:type="dxa"/>
          <w:left w:w="0" w:type="dxa"/>
          <w:bottom w:w="0" w:type="dxa"/>
          <w:right w:w="0" w:type="dxa"/>
        </w:tblCellMar>
        <w:tblLook w:val="01E0"/>
      </w:tblPr>
      <w:tblGrid>
        <w:gridCol w:w="2656"/>
        <w:gridCol w:w="1842"/>
        <w:gridCol w:w="2552"/>
        <w:gridCol w:w="1843"/>
      </w:tblGrid>
      <w:tr>
        <w:trPr>
          <w:trHeight w:val="342" w:hRule="exact"/>
        </w:trPr>
        <w:tc>
          <w:tcPr>
            <w:tcW w:w="26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62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2" w:hRule="exact"/>
        </w:trPr>
        <w:tc>
          <w:tcPr>
            <w:tcW w:w="2656"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2"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17,464,391.36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603,219.57</w:t>
            </w:r>
          </w:p>
        </w:tc>
      </w:tr>
      <w:tr>
        <w:trPr>
          <w:trHeight w:val="342"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6,230,741.04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311,537.05</w:t>
            </w:r>
          </w:p>
        </w:tc>
      </w:tr>
      <w:tr>
        <w:trPr>
          <w:trHeight w:val="342"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5,664,727.20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283,236.36</w:t>
            </w:r>
          </w:p>
        </w:tc>
      </w:tr>
      <w:tr>
        <w:trPr>
          <w:trHeight w:val="342"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4,506,515.09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286,486.38</w:t>
            </w:r>
          </w:p>
        </w:tc>
      </w:tr>
      <w:tr>
        <w:trPr>
          <w:trHeight w:val="342"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3,384,525.33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169,226.27</w:t>
            </w:r>
          </w:p>
        </w:tc>
      </w:tr>
      <w:tr>
        <w:trPr>
          <w:trHeight w:val="342"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37,250,900.02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1,653,705.63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5）因金融资产转移而终止确认的应收账款" w:id="265"/>
      <w:bookmarkEnd w:id="26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266"/>
      <w:bookmarkEnd w:id="26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预付款项" w:id="267"/>
      <w:bookmarkEnd w:id="267"/>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68"/>
      <w:bookmarkEnd w:id="26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4,676,327.70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8,345,959.10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4,598.30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4,676,327.70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8,350,557.40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按预付对象归集的期末余额前五名的预付款情况" w:id="269"/>
      <w:bookmarkEnd w:id="26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55" w:type="dxa"/>
        <w:tblLayout w:type="fixed"/>
        <w:tblCellMar>
          <w:top w:w="0" w:type="dxa"/>
          <w:left w:w="0" w:type="dxa"/>
          <w:bottom w:w="0" w:type="dxa"/>
          <w:right w:w="0" w:type="dxa"/>
        </w:tblCellMar>
        <w:tblLook w:val="01E0"/>
      </w:tblPr>
      <w:tblGrid>
        <w:gridCol w:w="3506"/>
        <w:gridCol w:w="2126"/>
        <w:gridCol w:w="2127"/>
      </w:tblGrid>
      <w:tr>
        <w:trPr>
          <w:trHeight w:val="654"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预付对象</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69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697" w:right="63" w:hanging="633"/>
              <w:jc w:val="left"/>
              <w:rPr>
                <w:rFonts w:ascii="宋体" w:hAnsi="宋体" w:cs="宋体" w:eastAsia="宋体" w:hint="default"/>
                <w:sz w:val="18"/>
                <w:szCs w:val="18"/>
              </w:rPr>
            </w:pPr>
            <w:r>
              <w:rPr>
                <w:rFonts w:ascii="宋体" w:hAnsi="宋体" w:cs="宋体" w:eastAsia="宋体" w:hint="default"/>
                <w:b/>
                <w:bCs/>
                <w:sz w:val="18"/>
                <w:szCs w:val="18"/>
              </w:rPr>
              <w:t>占预付款项期末余额合计</w:t>
            </w:r>
            <w:r>
              <w:rPr>
                <w:rFonts w:ascii="宋体" w:hAnsi="宋体" w:cs="宋体" w:eastAsia="宋体" w:hint="default"/>
                <w:b/>
                <w:bCs/>
                <w:w w:val="99"/>
                <w:sz w:val="18"/>
                <w:szCs w:val="18"/>
              </w:rPr>
              <w:t> </w:t>
            </w:r>
            <w:r>
              <w:rPr>
                <w:rFonts w:ascii="宋体" w:hAnsi="宋体" w:cs="宋体" w:eastAsia="宋体" w:hint="default"/>
                <w:b/>
                <w:bCs/>
                <w:sz w:val="18"/>
                <w:szCs w:val="18"/>
              </w:rPr>
              <w:t>数的比例</w:t>
            </w:r>
            <w:r>
              <w:rPr>
                <w:rFonts w:ascii="宋体" w:hAnsi="宋体" w:cs="宋体" w:eastAsia="宋体" w:hint="default"/>
                <w:sz w:val="18"/>
                <w:szCs w:val="18"/>
              </w:rPr>
            </w:r>
          </w:p>
        </w:tc>
      </w:tr>
      <w:tr>
        <w:trPr>
          <w:trHeight w:val="342"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1,502,284.46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32.13</w:t>
            </w:r>
          </w:p>
        </w:tc>
      </w:tr>
      <w:tr>
        <w:trPr>
          <w:trHeight w:val="342"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江苏省电力公司苏州供电公司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880,528.16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18.83</w:t>
            </w:r>
          </w:p>
        </w:tc>
      </w:tr>
      <w:tr>
        <w:trPr>
          <w:trHeight w:val="342"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487,705.63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10.43</w:t>
            </w:r>
          </w:p>
        </w:tc>
      </w:tr>
      <w:tr>
        <w:trPr>
          <w:trHeight w:val="342"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苏州新区科技工业园有限公司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5.35</w:t>
            </w:r>
          </w:p>
        </w:tc>
      </w:tr>
      <w:tr>
        <w:trPr>
          <w:trHeight w:val="342"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北京经观文化传媒有限公司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188,679.25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4.03</w:t>
            </w:r>
          </w:p>
        </w:tc>
      </w:tr>
      <w:tr>
        <w:trPr>
          <w:trHeight w:val="343"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3,309,197.50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70.77</w:t>
            </w:r>
          </w:p>
        </w:tc>
      </w:tr>
    </w:tbl>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应收利息" w:id="270"/>
      <w:bookmarkEnd w:id="270"/>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利息分类" w:id="271"/>
      <w:bookmarkEnd w:id="271"/>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565,485.86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655,558.17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565,485.86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655,558.17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重要逾期利息" w:id="272"/>
      <w:bookmarkEnd w:id="272"/>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应收股利" w:id="273"/>
      <w:bookmarkEnd w:id="273"/>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股利" w:id="274"/>
      <w:bookmarkEnd w:id="274"/>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的账龄超过1年的应收股利" w:id="275"/>
      <w:bookmarkEnd w:id="275"/>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其他应收款" w:id="276"/>
      <w:bookmarkEnd w:id="276"/>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77"/>
      <w:bookmarkEnd w:id="27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5" w:type="dxa"/>
        <w:tblLayout w:type="fixed"/>
        <w:tblCellMar>
          <w:top w:w="0" w:type="dxa"/>
          <w:left w:w="0" w:type="dxa"/>
          <w:bottom w:w="0" w:type="dxa"/>
          <w:right w:w="0" w:type="dxa"/>
        </w:tblCellMar>
        <w:tblLook w:val="01E0"/>
      </w:tblPr>
      <w:tblGrid>
        <w:gridCol w:w="1454"/>
        <w:gridCol w:w="944"/>
        <w:gridCol w:w="762"/>
        <w:gridCol w:w="762"/>
        <w:gridCol w:w="762"/>
        <w:gridCol w:w="790"/>
        <w:gridCol w:w="954"/>
        <w:gridCol w:w="708"/>
        <w:gridCol w:w="851"/>
        <w:gridCol w:w="648"/>
        <w:gridCol w:w="932"/>
      </w:tblGrid>
      <w:tr>
        <w:trPr>
          <w:trHeight w:val="397" w:hRule="exact"/>
        </w:trPr>
        <w:tc>
          <w:tcPr>
            <w:tcW w:w="1454" w:type="dxa"/>
            <w:vMerge w:val="restart"/>
            <w:tcBorders>
              <w:top w:val="single" w:sz="4" w:space="0" w:color="000000"/>
              <w:left w:val="single" w:sz="4" w:space="0" w:color="000000"/>
              <w:right w:val="single" w:sz="4" w:space="0" w:color="000000"/>
            </w:tcBorders>
            <w:shd w:val="clear" w:color="auto" w:fill="D2D2D2"/>
          </w:tcPr>
          <w:p>
            <w:pPr/>
          </w:p>
        </w:tc>
        <w:tc>
          <w:tcPr>
            <w:tcW w:w="40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454" w:type="dxa"/>
            <w:vMerge/>
            <w:tcBorders>
              <w:left w:val="single" w:sz="4" w:space="0" w:color="000000"/>
              <w:bottom w:val="nil" w:sz="6" w:space="0" w:color="auto"/>
              <w:right w:val="single" w:sz="4" w:space="0" w:color="000000"/>
            </w:tcBorders>
            <w:shd w:val="clear" w:color="auto" w:fill="D2D2D2"/>
          </w:tcPr>
          <w:p>
            <w:pPr/>
          </w:p>
        </w:tc>
        <w:tc>
          <w:tcPr>
            <w:tcW w:w="17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6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4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06"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662" w:type="dxa"/>
            <w:gridSpan w:val="2"/>
            <w:vMerge/>
            <w:tcBorders>
              <w:left w:val="single" w:sz="4" w:space="0" w:color="000000"/>
              <w:bottom w:val="single" w:sz="4" w:space="0" w:color="000000"/>
              <w:right w:val="single" w:sz="4" w:space="0" w:color="000000"/>
            </w:tcBorders>
            <w:shd w:val="clear" w:color="auto" w:fill="D2D2D2"/>
          </w:tcPr>
          <w:p>
            <w:pPr/>
          </w:p>
        </w:tc>
        <w:tc>
          <w:tcPr>
            <w:tcW w:w="1499"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454" w:type="dxa"/>
            <w:vMerge/>
            <w:tcBorders>
              <w:left w:val="single" w:sz="4" w:space="0" w:color="000000"/>
              <w:bottom w:val="nil" w:sz="6" w:space="0" w:color="auto"/>
              <w:right w:val="single" w:sz="4" w:space="0" w:color="000000"/>
            </w:tcBorders>
            <w:shd w:val="clear" w:color="auto" w:fill="D2D2D2"/>
          </w:tcPr>
          <w:p>
            <w:pPr/>
          </w:p>
        </w:tc>
        <w:tc>
          <w:tcPr>
            <w:tcW w:w="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454" w:type="dxa"/>
            <w:vMerge w:val="restart"/>
            <w:tcBorders>
              <w:top w:val="nil" w:sz="6" w:space="0" w:color="auto"/>
              <w:left w:val="single" w:sz="4" w:space="0" w:color="000000"/>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48"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454" w:type="dxa"/>
            <w:vMerge/>
            <w:tcBorders>
              <w:left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95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54" w:type="dxa"/>
            <w:vMerge/>
            <w:tcBorders>
              <w:left w:val="single" w:sz="4" w:space="0" w:color="000000"/>
              <w:bottom w:val="single" w:sz="4" w:space="0" w:color="000000"/>
              <w:right w:val="single" w:sz="4" w:space="0" w:color="000000"/>
            </w:tcBorders>
            <w:shd w:val="clear" w:color="auto" w:fill="D2D2D2"/>
          </w:tcPr>
          <w:p>
            <w:pPr/>
          </w:p>
        </w:tc>
        <w:tc>
          <w:tcPr>
            <w:tcW w:w="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9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9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13,432.71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5,758.62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7,674.09</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104,350.29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11,749.73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92,600.56</w:t>
            </w:r>
          </w:p>
        </w:tc>
      </w:tr>
      <w:tr>
        <w:trPr>
          <w:trHeight w:val="402" w:hRule="exact"/>
        </w:trPr>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13,432.71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5,758.62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7,674.09</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104,350.29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11,749.73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11.26%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92,600.56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5,758.62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78"/>
      <w:bookmarkEnd w:id="27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38" w:lineRule="auto" w:before="44"/>
        <w:ind w:left="154" w:right="-18"/>
        <w:jc w:val="left"/>
      </w:pPr>
      <w:r>
        <w:rPr/>
        <w:t>本期计提坏账准备金额</w:t>
      </w:r>
      <w:r>
        <w:rPr>
          <w:rFonts w:ascii="Times New Roman" w:hAnsi="Times New Roman" w:cs="Times New Roman" w:eastAsia="Times New Roman" w:hint="default"/>
        </w:rPr>
        <w:t>-5,991.11</w:t>
      </w:r>
      <w:r>
        <w:rPr>
          <w:rFonts w:ascii="Times New Roman" w:hAnsi="Times New Roman" w:cs="Times New Roman" w:eastAsia="Times New Roman" w:hint="default"/>
          <w:spacing w:val="-10"/>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5742" w:space="3087"/>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279"/>
      <w:bookmarkEnd w:id="27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280"/>
      <w:bookmarkEnd w:id="28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1,693.12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99,350.29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11,739.59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13,432.71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104,350.29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按欠款方归集的期末余额前五名的其他应收款情况" w:id="281"/>
      <w:bookmarkEnd w:id="28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991"/>
        <w:gridCol w:w="1560"/>
        <w:gridCol w:w="1272"/>
        <w:gridCol w:w="1596"/>
        <w:gridCol w:w="1595"/>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苏州大学附属第二医院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6,739.59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673.96</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苏州吴中经济开发区非税收入 财政汇缴专户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1,693.12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84.66</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13,432.71</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5,758.62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82"/>
      <w:bookmarkEnd w:id="28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283"/>
      <w:bookmarkEnd w:id="28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284"/>
      <w:bookmarkEnd w:id="28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存货" w:id="285"/>
      <w:bookmarkEnd w:id="285"/>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left="154" w:right="0"/>
        <w:jc w:val="left"/>
        <w:rPr>
          <w:b w:val="0"/>
          <w:bCs w:val="0"/>
        </w:rPr>
      </w:pPr>
      <w:bookmarkStart w:name="（1）存货分类" w:id="286"/>
      <w:bookmarkEnd w:id="28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9,109,971.72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54,825.63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9,055,146.09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7,379,102.32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7,379,102.32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3,857,744.69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3,857,744.69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3,051,361.52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3,051,361.52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79,806,899.53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1,821,610.02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77,985,289.51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28,817,189.80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680,364.33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28,136,825.47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3,049,966.09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3,049,966.09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1,974,709.65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1,974,709.65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95,824,582.03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1,876,435.65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93,948,146.38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41,222,363.29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680,364.33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40,541,998.96</w:t>
            </w:r>
          </w:p>
        </w:tc>
      </w:tr>
    </w:tbl>
    <w:p>
      <w:pPr>
        <w:pStyle w:val="BodyText"/>
        <w:spacing w:line="338"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存货跌价准备" w:id="287"/>
      <w:bookmarkEnd w:id="28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54,825.63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54,825.63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680,364.33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1,289,065.66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147,819.97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1,821,610.02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680,364.33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1,343,891.29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147,819.97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1,876,435.65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期末余额含有借款费用资本化金额的说明" w:id="288"/>
      <w:bookmarkEnd w:id="28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9"/>
          <w:szCs w:val="29"/>
        </w:rPr>
      </w:pPr>
    </w:p>
    <w:p>
      <w:pPr>
        <w:pStyle w:val="Heading3"/>
        <w:spacing w:line="240" w:lineRule="auto"/>
        <w:ind w:left="154" w:right="0"/>
        <w:jc w:val="left"/>
        <w:rPr>
          <w:b w:val="0"/>
          <w:bCs w:val="0"/>
        </w:rPr>
      </w:pPr>
      <w:bookmarkStart w:name="（4）期末建造合同形成的已完工未结算资产情况" w:id="289"/>
      <w:bookmarkEnd w:id="28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持有待售的资产" w:id="290"/>
      <w:bookmarkEnd w:id="290"/>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91"/>
      <w:bookmarkEnd w:id="291"/>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92"/>
      <w:bookmarkEnd w:id="292"/>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6,558,753.20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985,697.63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11,772.62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预缴印花税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6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70,570,525.82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166,027,547.63</w:t>
            </w:r>
          </w:p>
        </w:tc>
      </w:tr>
    </w:tbl>
    <w:p>
      <w:pPr>
        <w:pStyle w:val="BodyText"/>
        <w:spacing w:line="240" w:lineRule="auto" w:before="51"/>
        <w:ind w:left="6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633" w:right="0"/>
        <w:jc w:val="left"/>
        <w:rPr>
          <w:b w:val="0"/>
          <w:bCs w:val="0"/>
        </w:rPr>
      </w:pPr>
      <w:bookmarkStart w:name="14、可供出售金融资产" w:id="293"/>
      <w:bookmarkEnd w:id="293"/>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33" w:right="0"/>
        <w:jc w:val="left"/>
        <w:rPr>
          <w:b w:val="0"/>
          <w:bCs w:val="0"/>
        </w:rPr>
      </w:pPr>
      <w:bookmarkStart w:name="（1）可供出售金融资产情况" w:id="294"/>
      <w:bookmarkEnd w:id="29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29" w:type="dxa"/>
        <w:tblLayout w:type="fixed"/>
        <w:tblCellMar>
          <w:top w:w="0" w:type="dxa"/>
          <w:left w:w="0" w:type="dxa"/>
          <w:bottom w:w="0" w:type="dxa"/>
          <w:right w:w="0" w:type="dxa"/>
        </w:tblCellMar>
        <w:tblLook w:val="01E0"/>
      </w:tblPr>
      <w:tblGrid>
        <w:gridCol w:w="1989"/>
        <w:gridCol w:w="1207"/>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11,902,301.00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2,000,001.00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11,902,301.00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2,000,001.00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11,902,301.00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2,000,001.00</w:t>
            </w:r>
          </w:p>
        </w:tc>
      </w:tr>
    </w:tbl>
    <w:p>
      <w:pPr>
        <w:spacing w:line="240" w:lineRule="auto" w:before="2"/>
        <w:rPr>
          <w:rFonts w:ascii="宋体" w:hAnsi="宋体" w:cs="宋体" w:eastAsia="宋体" w:hint="default"/>
          <w:sz w:val="19"/>
          <w:szCs w:val="19"/>
        </w:rPr>
      </w:pPr>
    </w:p>
    <w:p>
      <w:pPr>
        <w:pStyle w:val="Heading3"/>
        <w:spacing w:line="240" w:lineRule="auto" w:before="35"/>
        <w:ind w:left="634" w:right="0"/>
        <w:jc w:val="left"/>
        <w:rPr>
          <w:b w:val="0"/>
          <w:bCs w:val="0"/>
        </w:rPr>
      </w:pPr>
      <w:bookmarkStart w:name="（2）期末按公允价值计量的可供出售金融资产" w:id="295"/>
      <w:bookmarkEnd w:id="295"/>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26" w:type="dxa"/>
        <w:tblLayout w:type="fixed"/>
        <w:tblCellMar>
          <w:top w:w="0" w:type="dxa"/>
          <w:left w:w="0" w:type="dxa"/>
          <w:bottom w:w="0" w:type="dxa"/>
          <w:right w:w="0" w:type="dxa"/>
        </w:tblCellMar>
        <w:tblLook w:val="01E0"/>
      </w:tblPr>
      <w:tblGrid>
        <w:gridCol w:w="1917"/>
        <w:gridCol w:w="1914"/>
        <w:gridCol w:w="1914"/>
        <w:gridCol w:w="3897"/>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3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634" w:right="0"/>
        <w:jc w:val="left"/>
        <w:rPr>
          <w:b w:val="0"/>
          <w:bCs w:val="0"/>
        </w:rPr>
      </w:pPr>
      <w:bookmarkStart w:name="（3）期末按成本计量的可供出售金融资产" w:id="296"/>
      <w:bookmarkEnd w:id="296"/>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19"/>
        <w:gridCol w:w="1102"/>
        <w:gridCol w:w="1184"/>
        <w:gridCol w:w="516"/>
        <w:gridCol w:w="1224"/>
        <w:gridCol w:w="870"/>
        <w:gridCol w:w="870"/>
        <w:gridCol w:w="870"/>
        <w:gridCol w:w="985"/>
        <w:gridCol w:w="994"/>
        <w:gridCol w:w="631"/>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0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5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0" w:right="41"/>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4"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2"/>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994" w:type="dxa"/>
            <w:vMerge/>
            <w:tcBorders>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3"/>
              <w:jc w:val="left"/>
              <w:rPr>
                <w:rFonts w:ascii="宋体" w:hAnsi="宋体" w:cs="宋体" w:eastAsia="宋体" w:hint="default"/>
                <w:sz w:val="18"/>
                <w:szCs w:val="18"/>
              </w:rPr>
            </w:pPr>
            <w:r>
              <w:rPr>
                <w:rFonts w:ascii="宋体" w:hAnsi="宋体" w:cs="宋体" w:eastAsia="宋体" w:hint="default"/>
                <w:sz w:val="18"/>
                <w:szCs w:val="18"/>
              </w:rPr>
              <w:t>武汉宝特龙科技 股份有限公司</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10,000,000.00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97,700.00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18.27%</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3"/>
              <w:jc w:val="left"/>
              <w:rPr>
                <w:rFonts w:ascii="宋体" w:hAnsi="宋体" w:cs="宋体" w:eastAsia="宋体" w:hint="default"/>
                <w:sz w:val="18"/>
                <w:szCs w:val="18"/>
              </w:rPr>
            </w:pPr>
            <w:r>
              <w:rPr>
                <w:rFonts w:ascii="宋体" w:hAnsi="宋体" w:cs="宋体" w:eastAsia="宋体" w:hint="default"/>
                <w:sz w:val="18"/>
                <w:szCs w:val="18"/>
              </w:rPr>
              <w:t>珠海东越数码科 技有限公司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21.74%</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3"/>
              <w:jc w:val="left"/>
              <w:rPr>
                <w:rFonts w:ascii="宋体" w:hAnsi="宋体" w:cs="宋体" w:eastAsia="宋体" w:hint="default"/>
                <w:sz w:val="18"/>
                <w:szCs w:val="18"/>
              </w:rPr>
            </w:pPr>
            <w:r>
              <w:rPr>
                <w:rFonts w:ascii="宋体" w:hAnsi="宋体" w:cs="宋体" w:eastAsia="宋体" w:hint="default"/>
                <w:sz w:val="18"/>
                <w:szCs w:val="18"/>
              </w:rPr>
              <w:t>亿码科技（苏州 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21"/>
              <w:jc w:val="right"/>
              <w:rPr>
                <w:rFonts w:ascii="Times New Roman" w:hAnsi="Times New Roman" w:cs="Times New Roman" w:eastAsia="Times New Roman" w:hint="default"/>
                <w:sz w:val="18"/>
                <w:szCs w:val="18"/>
              </w:rPr>
            </w:pPr>
            <w:r>
              <w:rPr>
                <w:rFonts w:ascii="Times New Roman"/>
                <w:sz w:val="18"/>
              </w:rPr>
              <w:t>1.00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20.00%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2,000,001.00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10,000,000.00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12,000,001.00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97,700.00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97,700.00</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w:t>
            </w:r>
          </w:p>
        </w:tc>
        <w:tc>
          <w:tcPr>
            <w:tcW w:w="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634" w:right="0"/>
        <w:jc w:val="left"/>
        <w:rPr>
          <w:b w:val="0"/>
          <w:bCs w:val="0"/>
        </w:rPr>
      </w:pPr>
      <w:r>
        <w:rPr/>
        <w:pict>
          <v:group style="position:absolute;margin-left:102.199997pt;margin-top:-68.366333pt;width:54.6pt;height:28pt;mso-position-horizontal-relative:page;mso-position-vertical-relative:paragraph;z-index:-896512" coordorigin="2044,-1367" coordsize="1092,560">
            <v:group style="position:absolute;left:2044;top:-1367;width:1092;height:156" coordorigin="2044,-1367" coordsize="1092,156">
              <v:shape style="position:absolute;left:2044;top:-1367;width:1092;height:156" coordorigin="2044,-1367" coordsize="1092,156" path="m2044,-1211l3136,-1211,3136,-1367,2044,-1367,2044,-1211xe" filled="true" fillcolor="#ffffff" stroked="false">
                <v:path arrowok="t"/>
                <v:fill type="solid"/>
              </v:shape>
            </v:group>
            <v:group style="position:absolute;left:2055;top:-1211;width:2;height:393" coordorigin="2055,-1211" coordsize="2,393">
              <v:shape style="position:absolute;left:2055;top:-1211;width:2;height:393" coordorigin="2055,-1211" coordsize="0,393" path="m2055,-1211l2055,-819e" filled="false" stroked="true" strokeweight="1.140pt" strokecolor="#ffffff">
                <v:path arrowok="t"/>
              </v:shape>
            </v:group>
            <v:group style="position:absolute;left:2067;top:-1211;width:1046;height:393" coordorigin="2067,-1211" coordsize="1046,393">
              <v:shape style="position:absolute;left:2067;top:-1211;width:1046;height:393" coordorigin="2067,-1211" coordsize="1046,393" path="m2067,-819l3112,-819,3112,-1211,2067,-1211,2067,-819xe" filled="true" fillcolor="#ffffff" stroked="false">
                <v:path arrowok="t"/>
                <v:fill type="solid"/>
              </v:shape>
            </v:group>
            <w10:wrap type="none"/>
          </v:group>
        </w:pict>
      </w:r>
      <w:bookmarkStart w:name="（4）报告期内可供出售金融资产减值的变动情况" w:id="297"/>
      <w:bookmarkEnd w:id="297"/>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40" w:type="dxa"/>
        <w:tblLayout w:type="fixed"/>
        <w:tblCellMar>
          <w:top w:w="0" w:type="dxa"/>
          <w:left w:w="0" w:type="dxa"/>
          <w:bottom w:w="0" w:type="dxa"/>
          <w:right w:w="0" w:type="dxa"/>
        </w:tblCellMar>
        <w:tblLook w:val="01E0"/>
      </w:tblPr>
      <w:tblGrid>
        <w:gridCol w:w="1892"/>
        <w:gridCol w:w="2493"/>
        <w:gridCol w:w="2693"/>
        <w:gridCol w:w="2551"/>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4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97,700.00</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97,700.00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4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97,700.00</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97,700.00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500" w:right="0"/>
        </w:sectPr>
      </w:pPr>
    </w:p>
    <w:p>
      <w:pPr>
        <w:spacing w:line="240" w:lineRule="auto" w:before="10"/>
        <w:rPr>
          <w:rFonts w:ascii="宋体" w:hAnsi="宋体" w:cs="宋体" w:eastAsia="宋体" w:hint="default"/>
          <w:sz w:val="20"/>
          <w:szCs w:val="20"/>
        </w:rPr>
      </w:pPr>
    </w:p>
    <w:p>
      <w:pPr>
        <w:pStyle w:val="Heading3"/>
        <w:spacing w:line="240" w:lineRule="auto" w:before="35"/>
        <w:ind w:left="433" w:right="0"/>
        <w:jc w:val="left"/>
        <w:rPr>
          <w:b w:val="0"/>
          <w:bCs w:val="0"/>
        </w:rPr>
      </w:pPr>
      <w:bookmarkStart w:name="（5）可供出售权益工具期末公允价值严重下跌或非暂时性下跌但未计提减值准备的相关说" w:id="298"/>
      <w:bookmarkEnd w:id="298"/>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left="4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433" w:right="0"/>
        <w:jc w:val="left"/>
        <w:rPr>
          <w:b w:val="0"/>
          <w:bCs w:val="0"/>
        </w:rPr>
      </w:pPr>
      <w:bookmarkStart w:name="15、持有至到期投资" w:id="299"/>
      <w:bookmarkEnd w:id="299"/>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33" w:right="0"/>
        <w:jc w:val="left"/>
        <w:rPr>
          <w:b w:val="0"/>
          <w:bCs w:val="0"/>
        </w:rPr>
      </w:pPr>
      <w:bookmarkStart w:name="（1）持有至到期投资情况" w:id="300"/>
      <w:bookmarkEnd w:id="300"/>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434" w:right="0"/>
        <w:jc w:val="left"/>
        <w:rPr>
          <w:b w:val="0"/>
          <w:bCs w:val="0"/>
        </w:rPr>
      </w:pPr>
      <w:bookmarkStart w:name="（2）期末重要的持有至到期投资" w:id="301"/>
      <w:bookmarkEnd w:id="301"/>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left="434" w:right="0"/>
        <w:jc w:val="left"/>
        <w:rPr>
          <w:b w:val="0"/>
          <w:bCs w:val="0"/>
        </w:rPr>
      </w:pPr>
      <w:bookmarkStart w:name="（3）本期重分类的持有至到期投资" w:id="302"/>
      <w:bookmarkEnd w:id="302"/>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434" w:right="0"/>
        <w:jc w:val="left"/>
        <w:rPr>
          <w:b w:val="0"/>
          <w:bCs w:val="0"/>
        </w:rPr>
      </w:pPr>
      <w:bookmarkStart w:name="16、长期应收款" w:id="303"/>
      <w:bookmarkEnd w:id="30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34" w:right="0"/>
        <w:jc w:val="left"/>
        <w:rPr>
          <w:b w:val="0"/>
          <w:bCs w:val="0"/>
        </w:rPr>
      </w:pPr>
      <w:bookmarkStart w:name="（1）长期应收款情况" w:id="304"/>
      <w:bookmarkEnd w:id="30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left="434" w:right="0"/>
        <w:jc w:val="left"/>
        <w:rPr>
          <w:b w:val="0"/>
          <w:bCs w:val="0"/>
        </w:rPr>
      </w:pPr>
      <w:bookmarkStart w:name="（2）因金融资产转移而终止确认的长期应收款" w:id="305"/>
      <w:bookmarkEnd w:id="30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34" w:right="0"/>
        <w:jc w:val="left"/>
        <w:rPr>
          <w:b w:val="0"/>
          <w:bCs w:val="0"/>
        </w:rPr>
      </w:pPr>
      <w:bookmarkStart w:name="（3）转移长期应收款且继续涉入形成的资产、负债金额" w:id="306"/>
      <w:bookmarkEnd w:id="30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3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433" w:right="0"/>
        <w:jc w:val="left"/>
        <w:rPr>
          <w:b w:val="0"/>
          <w:bCs w:val="0"/>
        </w:rPr>
      </w:pPr>
      <w:bookmarkStart w:name="17、长期股权投资" w:id="307"/>
      <w:bookmarkEnd w:id="30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505"/>
        <w:gridCol w:w="797"/>
        <w:gridCol w:w="6063"/>
        <w:gridCol w:w="1118"/>
        <w:gridCol w:w="787"/>
      </w:tblGrid>
      <w:tr>
        <w:trPr>
          <w:trHeight w:val="402"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877" w:footer="979" w:top="1100" w:bottom="1160" w:left="700" w:right="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276"/>
        <w:gridCol w:w="229"/>
        <w:gridCol w:w="797"/>
        <w:gridCol w:w="1102"/>
        <w:gridCol w:w="493"/>
        <w:gridCol w:w="1066"/>
        <w:gridCol w:w="709"/>
        <w:gridCol w:w="619"/>
        <w:gridCol w:w="798"/>
        <w:gridCol w:w="798"/>
        <w:gridCol w:w="478"/>
        <w:gridCol w:w="1118"/>
        <w:gridCol w:w="798"/>
      </w:tblGrid>
      <w:tr>
        <w:trPr>
          <w:trHeight w:val="1026" w:hRule="exact"/>
        </w:trPr>
        <w:tc>
          <w:tcPr>
            <w:tcW w:w="150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 w:right="3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28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1028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珠海宝利通耗 材有限公司</w:t>
            </w:r>
          </w:p>
        </w:tc>
        <w:tc>
          <w:tcPr>
            <w:tcW w:w="1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7,302,181.54</w:t>
            </w:r>
          </w:p>
        </w:tc>
        <w:tc>
          <w:tcPr>
            <w:tcW w:w="1102"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1,413,516.21</w:t>
            </w:r>
          </w:p>
        </w:tc>
        <w:tc>
          <w:tcPr>
            <w:tcW w:w="70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8,715,697.75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深圳市壹办公 科技股份有限 公司</w:t>
            </w:r>
          </w:p>
        </w:tc>
        <w:tc>
          <w:tcPr>
            <w:tcW w:w="1026" w:type="dxa"/>
            <w:gridSpan w:val="2"/>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21,982,118.40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1,537,510.43</w:t>
            </w:r>
          </w:p>
        </w:tc>
        <w:tc>
          <w:tcPr>
            <w:tcW w:w="70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23,519,628.83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7,302,181.54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21,982,118.40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2,951,026.64</w:t>
            </w:r>
          </w:p>
        </w:tc>
        <w:tc>
          <w:tcPr>
            <w:tcW w:w="70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32,235,326.58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7,302,181.54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21,982,118.40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2,951,026.64</w:t>
            </w:r>
          </w:p>
        </w:tc>
        <w:tc>
          <w:tcPr>
            <w:tcW w:w="70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32,235,326.58</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4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433" w:right="0"/>
        <w:jc w:val="left"/>
        <w:rPr>
          <w:b w:val="0"/>
          <w:bCs w:val="0"/>
        </w:rPr>
      </w:pPr>
      <w:bookmarkStart w:name="18、投资性房地产" w:id="308"/>
      <w:bookmarkEnd w:id="308"/>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34" w:right="0"/>
        <w:jc w:val="left"/>
        <w:rPr>
          <w:b w:val="0"/>
          <w:bCs w:val="0"/>
        </w:rPr>
      </w:pPr>
      <w:bookmarkStart w:name="（1）采用成本计量模式的投资性房地产" w:id="309"/>
      <w:bookmarkEnd w:id="30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433" w:right="0"/>
        <w:jc w:val="left"/>
        <w:rPr>
          <w:b w:val="0"/>
          <w:bCs w:val="0"/>
        </w:rPr>
      </w:pPr>
      <w:bookmarkStart w:name="（2）采用公允价值计量模式的投资性房地产" w:id="310"/>
      <w:bookmarkEnd w:id="31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433" w:right="0"/>
        <w:jc w:val="left"/>
        <w:rPr>
          <w:b w:val="0"/>
          <w:bCs w:val="0"/>
        </w:rPr>
      </w:pPr>
      <w:bookmarkStart w:name="（3）未办妥产权证书的投资性房地产情况" w:id="311"/>
      <w:bookmarkEnd w:id="31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left="4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433" w:right="0"/>
        <w:jc w:val="left"/>
        <w:rPr>
          <w:b w:val="0"/>
          <w:bCs w:val="0"/>
        </w:rPr>
      </w:pPr>
      <w:bookmarkStart w:name="19、固定资产" w:id="312"/>
      <w:bookmarkEnd w:id="312"/>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34" w:right="0"/>
        <w:jc w:val="left"/>
        <w:rPr>
          <w:b w:val="0"/>
          <w:bCs w:val="0"/>
        </w:rPr>
      </w:pPr>
      <w:bookmarkStart w:name="（1）固定资产情况" w:id="313"/>
      <w:bookmarkEnd w:id="31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1844"/>
        <w:gridCol w:w="1345"/>
        <w:gridCol w:w="1594"/>
        <w:gridCol w:w="1594"/>
        <w:gridCol w:w="1595"/>
        <w:gridCol w:w="1594"/>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45"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2"/>
              <w:ind w:left="1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42,063,139.98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58,110,416.29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2,257,170.69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1,491,968.32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103,922,695.28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25,576,386.48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26,128,868.19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202,597.78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51,907,852.45</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7,702,374.00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202,597.78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7,904,971.78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70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44"/>
        <w:gridCol w:w="1345"/>
        <w:gridCol w:w="1594"/>
        <w:gridCol w:w="1594"/>
        <w:gridCol w:w="1595"/>
        <w:gridCol w:w="1594"/>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25,576,386.48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18,426,494.19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44,002,880.67</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686,797.05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686,797.05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67,639,526.46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83,583,084.48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2,257,170.69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1,663,969.05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155,143,750.68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10,082,488.33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25,639,249.10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1,464,498.01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1,201,138.48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38,387,373.92</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2,401,831.03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5,720,470.62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145,674.48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136,082.35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8,404,058.48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2,401,831.03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5,720,470.62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145,674.48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136,082.35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8,404,058.48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592,039.99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29,067.20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621,107.19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592,039.99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29,067.20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621,107.19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12,484,319.36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30,767,679.73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1,610,172.49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1,308,153.63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46,170,325.21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55,155,207.10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52,815,404.75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646,998.20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355,815.42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108,973,425.47</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31,980,651.65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32,471,167.19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792,672.68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290,829.84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65,535,321.36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暂时闲置的固定资产情况" w:id="314"/>
      <w:bookmarkEnd w:id="31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融资租赁租入的固定资产情况" w:id="315"/>
      <w:bookmarkEnd w:id="31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573" w:right="0"/>
        <w:jc w:val="left"/>
        <w:rPr>
          <w:b w:val="0"/>
          <w:bCs w:val="0"/>
        </w:rPr>
      </w:pPr>
      <w:bookmarkStart w:name="（4）通过经营租赁租出的固定资产" w:id="316"/>
      <w:bookmarkEnd w:id="31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left="574" w:right="0"/>
        <w:jc w:val="left"/>
        <w:rPr>
          <w:b w:val="0"/>
          <w:bCs w:val="0"/>
        </w:rPr>
      </w:pPr>
      <w:bookmarkStart w:name="（5）未办妥产权证书的固定资产情况" w:id="317"/>
      <w:bookmarkEnd w:id="31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56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48,366,570.77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w:t>
            </w:r>
          </w:p>
        </w:tc>
      </w:tr>
    </w:tbl>
    <w:p>
      <w:pPr>
        <w:pStyle w:val="BodyText"/>
        <w:spacing w:line="240" w:lineRule="auto" w:before="51"/>
        <w:ind w:left="57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573" w:right="0"/>
        <w:jc w:val="left"/>
        <w:rPr>
          <w:b w:val="0"/>
          <w:bCs w:val="0"/>
        </w:rPr>
      </w:pPr>
      <w:bookmarkStart w:name="20、在建工程" w:id="318"/>
      <w:bookmarkEnd w:id="318"/>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4" w:right="0"/>
        <w:jc w:val="left"/>
        <w:rPr>
          <w:b w:val="0"/>
          <w:bCs w:val="0"/>
        </w:rPr>
      </w:pPr>
      <w:bookmarkStart w:name="（1）在建工程情况" w:id="319"/>
      <w:bookmarkEnd w:id="31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吴中恒久三期厂房</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9,239,182.59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9,239,182.59</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9,239,182.59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9,239,182.59</w:t>
            </w:r>
          </w:p>
        </w:tc>
      </w:tr>
    </w:tbl>
    <w:p>
      <w:pPr>
        <w:spacing w:line="240" w:lineRule="auto" w:before="2"/>
        <w:rPr>
          <w:rFonts w:ascii="宋体" w:hAnsi="宋体" w:cs="宋体" w:eastAsia="宋体" w:hint="default"/>
          <w:sz w:val="19"/>
          <w:szCs w:val="19"/>
        </w:rPr>
      </w:pPr>
    </w:p>
    <w:p>
      <w:pPr>
        <w:pStyle w:val="Heading3"/>
        <w:spacing w:line="240" w:lineRule="auto" w:before="35"/>
        <w:ind w:left="574" w:right="0"/>
        <w:jc w:val="left"/>
        <w:rPr>
          <w:b w:val="0"/>
          <w:bCs w:val="0"/>
        </w:rPr>
      </w:pPr>
      <w:bookmarkStart w:name="（2）重要在建工程项目本期变动情况" w:id="320"/>
      <w:bookmarkEnd w:id="32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93"/>
        <w:gridCol w:w="1134"/>
        <w:gridCol w:w="1134"/>
        <w:gridCol w:w="1134"/>
        <w:gridCol w:w="1134"/>
        <w:gridCol w:w="568"/>
        <w:gridCol w:w="566"/>
        <w:gridCol w:w="709"/>
        <w:gridCol w:w="568"/>
        <w:gridCol w:w="708"/>
        <w:gridCol w:w="709"/>
        <w:gridCol w:w="464"/>
        <w:gridCol w:w="736"/>
      </w:tblGrid>
      <w:tr>
        <w:trPr>
          <w:trHeight w:val="133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71" w:right="111"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1" w:right="110"/>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7"/>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7"/>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20" w:hanging="57"/>
              <w:jc w:val="both"/>
              <w:rPr>
                <w:rFonts w:ascii="宋体" w:hAnsi="宋体" w:cs="宋体" w:eastAsia="宋体" w:hint="default"/>
                <w:sz w:val="18"/>
                <w:szCs w:val="18"/>
              </w:rPr>
            </w:pPr>
            <w:r>
              <w:rPr>
                <w:rFonts w:ascii="宋体" w:hAnsi="宋体" w:cs="宋体" w:eastAsia="宋体" w:hint="default"/>
                <w:spacing w:val="-17"/>
                <w:sz w:val="18"/>
                <w:szCs w:val="18"/>
              </w:rPr>
              <w:t>其中：本</w:t>
            </w:r>
            <w:r>
              <w:rPr>
                <w:rFonts w:ascii="宋体" w:hAnsi="宋体" w:cs="宋体" w:eastAsia="宋体" w:hint="default"/>
                <w:sz w:val="18"/>
                <w:szCs w:val="18"/>
              </w:rPr>
              <w:t> 期利息 资本化 金额</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 w:right="47"/>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吴中三期厂 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25,200,000.00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9,239,182.59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16,337,203.89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25,576,386.48</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101.49%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已完 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25,200,000.00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9,239,182.59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16,337,203.89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25,576,386.48</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9" w:space="0" w:color="D2D2D2"/>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574" w:right="0"/>
        <w:jc w:val="left"/>
        <w:rPr>
          <w:b w:val="0"/>
          <w:bCs w:val="0"/>
        </w:rPr>
      </w:pPr>
      <w:bookmarkStart w:name="（3）本期计提在建工程减值准备情况" w:id="321"/>
      <w:bookmarkEnd w:id="32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574" w:right="0"/>
        <w:jc w:val="left"/>
      </w:pPr>
      <w:r>
        <w:rPr/>
        <w:t>其他说明</w:t>
      </w:r>
    </w:p>
    <w:p>
      <w:pPr>
        <w:spacing w:after="0" w:line="240" w:lineRule="auto"/>
        <w:jc w:val="left"/>
        <w:sectPr>
          <w:pgSz w:w="11910" w:h="16840"/>
          <w:pgMar w:header="877" w:footer="979" w:top="1100" w:bottom="1160" w:left="56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1、工程物资" w:id="322"/>
      <w:bookmarkEnd w:id="322"/>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323"/>
      <w:bookmarkEnd w:id="323"/>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324"/>
      <w:bookmarkEnd w:id="32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325"/>
      <w:bookmarkEnd w:id="32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326"/>
      <w:bookmarkEnd w:id="32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4、油气资产" w:id="327"/>
      <w:bookmarkEnd w:id="327"/>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5、无形资产" w:id="328"/>
      <w:bookmarkEnd w:id="328"/>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329"/>
      <w:bookmarkEnd w:id="32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生产技术</w:t>
            </w:r>
          </w:p>
        </w:tc>
        <w:tc>
          <w:tcPr>
            <w:tcW w:w="1367"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19,640,760.67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191,085.48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22,510,836.15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80,178.40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80,178.40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80,178.40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80,178.40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19,640,760.67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259,168.40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191,085.48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22,591,014.55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2,711,097.95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115,259.92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147,785.37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5,474,143.24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415,233.41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21,364.66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445,933.11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415,233.41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21,364.66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445,933.11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3,126,331.36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136,624.58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157,120.41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5,920,076.35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16,514,429.31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122,543.82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33,965.07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16,670,938.20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16,929,662.72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63,730.08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43,300.11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17,036,692.91</w:t>
            </w:r>
          </w:p>
        </w:tc>
      </w:tr>
    </w:tbl>
    <w:p>
      <w:pPr>
        <w:pStyle w:val="BodyText"/>
        <w:spacing w:line="240" w:lineRule="auto" w:before="51"/>
        <w:ind w:left="15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330"/>
      <w:bookmarkEnd w:id="33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开发支出" w:id="331"/>
      <w:bookmarkEnd w:id="331"/>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商誉" w:id="332"/>
      <w:bookmarkEnd w:id="332"/>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333"/>
      <w:bookmarkEnd w:id="33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334"/>
      <w:bookmarkEnd w:id="33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51"/>
        <w:ind w:left="154" w:right="6072"/>
        <w:jc w:val="left"/>
      </w:pPr>
      <w:r>
        <w:rPr/>
        <w:t>说明商誉减值测试过程、参数及商誉减值损失的确认方法： 其他说明</w:t>
      </w:r>
    </w:p>
    <w:p>
      <w:pPr>
        <w:spacing w:line="240" w:lineRule="auto" w:before="12"/>
        <w:rPr>
          <w:rFonts w:ascii="宋体" w:hAnsi="宋体" w:cs="宋体" w:eastAsia="宋体" w:hint="default"/>
          <w:sz w:val="19"/>
          <w:szCs w:val="19"/>
        </w:rPr>
      </w:pPr>
    </w:p>
    <w:p>
      <w:pPr>
        <w:pStyle w:val="Heading3"/>
        <w:spacing w:line="240" w:lineRule="auto"/>
        <w:ind w:left="154" w:right="0"/>
        <w:jc w:val="left"/>
        <w:rPr>
          <w:b w:val="0"/>
          <w:bCs w:val="0"/>
        </w:rPr>
      </w:pPr>
      <w:bookmarkStart w:name="28、长期待摊费用" w:id="335"/>
      <w:bookmarkEnd w:id="335"/>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厂房改建工程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833,929.20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477,647.98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356,281.22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833,929.20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477,647.98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356,281.22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336"/>
      <w:bookmarkEnd w:id="336"/>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37"/>
      <w:bookmarkEnd w:id="33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6,671,621.48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1,053,593.83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5,276,780.17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715,339.42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616,820.84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92,523.13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599,255.73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149,813.93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437,108.06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109,277.02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676,475.00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101,471.25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长期待摊费用摊销差异</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144,532.49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21,679.87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8,864,525.38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1,426,240.23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6,520,568.39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961,833.22</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338"/>
      <w:bookmarkEnd w:id="33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339"/>
      <w:bookmarkEnd w:id="33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1,426,240.23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961,833.22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340"/>
      <w:bookmarkEnd w:id="34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341"/>
      <w:bookmarkEnd w:id="34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342"/>
      <w:bookmarkEnd w:id="342"/>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478,588.00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2,531,720.50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预付股权投资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3,896,160.00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3,896,160.00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4,374,748.00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6,427,880.50</w:t>
            </w:r>
          </w:p>
        </w:tc>
      </w:tr>
    </w:tbl>
    <w:p>
      <w:pPr>
        <w:pStyle w:val="BodyText"/>
        <w:spacing w:line="240" w:lineRule="auto" w:before="51"/>
        <w:ind w:left="154"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1、短期借款" w:id="343"/>
      <w:bookmarkEnd w:id="343"/>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344"/>
      <w:bookmarkEnd w:id="34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已逾期未偿还的短期借款情况" w:id="345"/>
      <w:bookmarkEnd w:id="34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346"/>
      <w:bookmarkEnd w:id="346"/>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347"/>
      <w:bookmarkEnd w:id="347"/>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远期结汇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676,475.00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676,475.00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4、应付票据" w:id="348"/>
      <w:bookmarkEnd w:id="348"/>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5、应付账款" w:id="349"/>
      <w:bookmarkEnd w:id="349"/>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350"/>
      <w:bookmarkEnd w:id="35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应付采购商品及劳务款项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58,613,352.20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42,744,945.26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应付工程性款项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14,809,709.46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645,596.15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73,423,061.66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43,390,541.41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351"/>
      <w:bookmarkEnd w:id="35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预收款项" w:id="352"/>
      <w:bookmarkEnd w:id="352"/>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353"/>
      <w:bookmarkEnd w:id="35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3,359,443.18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2,968,118.52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3,359,443.18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2,968,118.52</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354"/>
      <w:bookmarkEnd w:id="35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建造合同形成的已结算未完工项目情况" w:id="355"/>
      <w:bookmarkEnd w:id="35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356"/>
      <w:bookmarkEnd w:id="356"/>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357"/>
      <w:bookmarkEnd w:id="35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571"/>
        <w:gridCol w:w="1843"/>
        <w:gridCol w:w="1844"/>
        <w:gridCol w:w="177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1,503,246.60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39,861,658.27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39,969,385.88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1,395,518.99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2,550,624.74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2,546,526.86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4,097.88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1,503,246.60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42,412,283.01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42,515,912.74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1,399,616.87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短期薪酬列示" w:id="358"/>
      <w:bookmarkEnd w:id="35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46"/>
        <w:gridCol w:w="1855"/>
        <w:gridCol w:w="1843"/>
        <w:gridCol w:w="1844"/>
        <w:gridCol w:w="1772"/>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5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、工资、奖金、津贴和补贴</w:t>
            </w:r>
          </w:p>
        </w:tc>
        <w:tc>
          <w:tcPr>
            <w:tcW w:w="1855"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1,459,041.63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34,939,389.84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35,056,852.63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1,341,578.84</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5" w:type="dxa"/>
            <w:tcBorders>
              <w:top w:val="single" w:sz="4" w:space="0" w:color="000000"/>
              <w:left w:val="single" w:sz="13" w:space="0" w:color="A6A6A6"/>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2,293,799.12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2,293,799.12</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5" w:type="dxa"/>
            <w:tcBorders>
              <w:top w:val="single" w:sz="4" w:space="0" w:color="000000"/>
              <w:left w:val="single" w:sz="13" w:space="0" w:color="A6A6A6"/>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1,367,471.69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1,365,162.75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2,308.94</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55" w:type="dxa"/>
            <w:tcBorders>
              <w:top w:val="single" w:sz="4" w:space="0" w:color="000000"/>
              <w:left w:val="single" w:sz="13" w:space="0" w:color="A6A6A6"/>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1,161,253.51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1,159,166.82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2,086.69</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55" w:type="dxa"/>
            <w:tcBorders>
              <w:top w:val="single" w:sz="4" w:space="0" w:color="000000"/>
              <w:left w:val="single" w:sz="13" w:space="0" w:color="A6A6A6"/>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88,838.93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88,800.62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38.31</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55" w:type="dxa"/>
            <w:tcBorders>
              <w:top w:val="single" w:sz="4" w:space="0" w:color="000000"/>
              <w:left w:val="single" w:sz="13" w:space="0" w:color="A6A6A6"/>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64,817.09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64,633.15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183.94</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劳务保险</w:t>
            </w:r>
          </w:p>
        </w:tc>
        <w:tc>
          <w:tcPr>
            <w:tcW w:w="1855" w:type="dxa"/>
            <w:tcBorders>
              <w:top w:val="single" w:sz="4" w:space="0" w:color="000000"/>
              <w:left w:val="single" w:sz="13" w:space="0" w:color="A6A6A6"/>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52,562.16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52,562.16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55" w:type="dxa"/>
            <w:tcBorders>
              <w:top w:val="single" w:sz="4" w:space="0" w:color="000000"/>
              <w:left w:val="single" w:sz="13" w:space="0" w:color="A6A6A6"/>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1,060,291.78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1,058,784.11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1,507.67</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855"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44,204.97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200,705.84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194,787.27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50,123.54</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1,503,246.60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39,861,658.27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39,969,385.88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1,395,518.99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359"/>
      <w:bookmarkEnd w:id="35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2,465,220.91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2,461,261.80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3,959.11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85,403.83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85,265.06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2,550,624.74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2,546,526.86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4,097.88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应交税费" w:id="360"/>
      <w:bookmarkEnd w:id="360"/>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543,137.75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1,214,224.34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1,103,628.73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1,283,157.75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51,505.06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38,278.88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99,432.09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60,711.22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123,067.58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123,067.58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71,022.92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60,711.22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52,658.20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46,686.00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34,375.30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11,899.60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2,078,827.63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2,838,736.59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9、应付利息" w:id="361"/>
      <w:bookmarkEnd w:id="361"/>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货币互换应付利息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83,983.33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83,983.33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应付股利" w:id="362"/>
      <w:bookmarkEnd w:id="362"/>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63"/>
      <w:bookmarkEnd w:id="36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364"/>
      <w:bookmarkEnd w:id="36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保险赔款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195,092.47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137,180.75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262,073.26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81,182.75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457,165.73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218,363.50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365"/>
      <w:bookmarkEnd w:id="36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持有待售的负债" w:id="366"/>
      <w:bookmarkEnd w:id="366"/>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3、一年内到期的非流动负债" w:id="367"/>
      <w:bookmarkEnd w:id="367"/>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368"/>
      <w:bookmarkEnd w:id="368"/>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1130"/>
        <w:gridCol w:w="851"/>
        <w:gridCol w:w="1134"/>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长期借款" w:id="369"/>
      <w:bookmarkEnd w:id="369"/>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370"/>
      <w:bookmarkEnd w:id="37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5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46、应付债券" w:id="371"/>
      <w:bookmarkEnd w:id="371"/>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债券" w:id="372"/>
      <w:bookmarkEnd w:id="372"/>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债券的增减变动（不包括划分为金融负债的优先股、永续债等其他金融工具）" w:id="373"/>
      <w:bookmarkEnd w:id="373"/>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74"/>
      <w:bookmarkEnd w:id="374"/>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75"/>
      <w:bookmarkEnd w:id="375"/>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253"/>
        <w:jc w:val="left"/>
      </w:pPr>
      <w:r>
        <w:rPr/>
        <w:t>期末发行在外的优先股、永续债等其他金融工具基本情况 期末发行在外的优先股、永续债等金融工具变动情况表</w:t>
      </w:r>
    </w:p>
    <w:p>
      <w:pPr>
        <w:spacing w:after="0" w:line="357"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left="154" w:right="7512"/>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47、长期应付款" w:id="376"/>
      <w:bookmarkEnd w:id="376"/>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377"/>
      <w:bookmarkEnd w:id="37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78"/>
      <w:bookmarkEnd w:id="378"/>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79"/>
      <w:bookmarkEnd w:id="37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设定受益计划变动情况" w:id="380"/>
      <w:bookmarkEnd w:id="38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9、专项应付款" w:id="381"/>
      <w:bookmarkEnd w:id="381"/>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53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533" w:right="0"/>
        <w:jc w:val="left"/>
        <w:rPr>
          <w:b w:val="0"/>
          <w:bCs w:val="0"/>
        </w:rPr>
      </w:pPr>
      <w:bookmarkStart w:name="50、预计负债" w:id="382"/>
      <w:bookmarkEnd w:id="382"/>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534"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left="534" w:right="0"/>
        <w:jc w:val="left"/>
        <w:rPr>
          <w:b w:val="0"/>
          <w:bCs w:val="0"/>
        </w:rPr>
      </w:pPr>
      <w:bookmarkStart w:name="51、递延收益" w:id="383"/>
      <w:bookmarkEnd w:id="383"/>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拨款转入</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462,500.00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5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702"/>
        <w:gridCol w:w="992"/>
        <w:gridCol w:w="923"/>
        <w:gridCol w:w="1205"/>
        <w:gridCol w:w="991"/>
        <w:gridCol w:w="994"/>
        <w:gridCol w:w="1064"/>
        <w:gridCol w:w="1062"/>
        <w:gridCol w:w="1063"/>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5" w:right="95"/>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6" w:right="57"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长寿命激光光导鼓的 研制与产业化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500,000.00</w:t>
            </w:r>
          </w:p>
        </w:tc>
        <w:tc>
          <w:tcPr>
            <w:tcW w:w="92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500,000.00</w:t>
            </w:r>
          </w:p>
        </w:tc>
        <w:tc>
          <w:tcPr>
            <w:tcW w:w="92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462,500.00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5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533" w:right="0"/>
        <w:jc w:val="left"/>
        <w:rPr>
          <w:b w:val="0"/>
          <w:bCs w:val="0"/>
        </w:rPr>
      </w:pPr>
      <w:bookmarkStart w:name="52、其他非流动负债" w:id="384"/>
      <w:bookmarkEnd w:id="384"/>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5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5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533" w:right="0"/>
        <w:jc w:val="left"/>
        <w:rPr>
          <w:b w:val="0"/>
          <w:bCs w:val="0"/>
        </w:rPr>
      </w:pPr>
      <w:bookmarkStart w:name="53、股本" w:id="385"/>
      <w:bookmarkEnd w:id="385"/>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5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120,000,000.00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72,000,000.00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72,000,000.00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192,000,000.00</w:t>
            </w:r>
          </w:p>
        </w:tc>
      </w:tr>
    </w:tbl>
    <w:p>
      <w:pPr>
        <w:pStyle w:val="BodyText"/>
        <w:spacing w:line="240" w:lineRule="auto" w:before="51"/>
        <w:ind w:left="534" w:right="0"/>
        <w:jc w:val="left"/>
      </w:pPr>
      <w:r>
        <w:rPr/>
        <w:t>其他说明：</w:t>
      </w:r>
    </w:p>
    <w:p>
      <w:pPr>
        <w:pStyle w:val="BodyText"/>
        <w:spacing w:line="300" w:lineRule="auto" w:before="116"/>
        <w:ind w:left="533"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月，根据本公司</w:t>
      </w:r>
      <w:r>
        <w:rPr>
          <w:rFonts w:ascii="Times New Roman" w:hAnsi="Times New Roman" w:cs="Times New Roman" w:eastAsia="Times New Roman" w:hint="default"/>
          <w:spacing w:val="-2"/>
        </w:rPr>
        <w:t>2016</w:t>
      </w:r>
      <w:r>
        <w:rPr>
          <w:spacing w:val="-2"/>
        </w:rPr>
        <w:t>年度股东大会决议，本公司以资本公积金每十股转</w:t>
      </w:r>
      <w:r>
        <w:rPr>
          <w:rFonts w:ascii="Times New Roman" w:hAnsi="Times New Roman" w:cs="Times New Roman" w:eastAsia="Times New Roman" w:hint="default"/>
          <w:spacing w:val="-2"/>
        </w:rPr>
        <w:t>6</w:t>
      </w:r>
      <w:r>
        <w:rPr>
          <w:spacing w:val="-2"/>
        </w:rPr>
        <w:t>股，共计</w:t>
      </w:r>
      <w:r>
        <w:rPr>
          <w:rFonts w:ascii="Times New Roman" w:hAnsi="Times New Roman" w:cs="Times New Roman" w:eastAsia="Times New Roman" w:hint="default"/>
          <w:spacing w:val="-2"/>
        </w:rPr>
        <w:t>7,200</w:t>
      </w:r>
      <w:r>
        <w:rPr>
          <w:spacing w:val="-2"/>
        </w:rPr>
        <w:t>万元转增股本</w:t>
      </w:r>
      <w:r>
        <w:rPr>
          <w:rFonts w:ascii="Times New Roman" w:hAnsi="Times New Roman" w:cs="Times New Roman" w:eastAsia="Times New Roman" w:hint="default"/>
          <w:spacing w:val="-2"/>
        </w:rPr>
        <w:t>7,200</w:t>
      </w:r>
      <w:r>
        <w:rPr>
          <w:spacing w:val="-2"/>
        </w:rPr>
        <w:t>万股，</w:t>
      </w:r>
      <w:r>
        <w:rPr/>
        <w:t> 股本总额由</w:t>
      </w:r>
      <w:r>
        <w:rPr>
          <w:rFonts w:ascii="Times New Roman" w:hAnsi="Times New Roman" w:cs="Times New Roman" w:eastAsia="Times New Roman" w:hint="default"/>
        </w:rPr>
        <w:t>12,000</w:t>
      </w:r>
      <w:r>
        <w:rPr/>
        <w:t>万股增加至</w:t>
      </w:r>
      <w:r>
        <w:rPr>
          <w:rFonts w:ascii="Times New Roman" w:hAnsi="Times New Roman" w:cs="Times New Roman" w:eastAsia="Times New Roman" w:hint="default"/>
        </w:rPr>
        <w:t>19,200</w:t>
      </w:r>
      <w:r>
        <w:rPr/>
        <w:t>万股。</w:t>
      </w:r>
    </w:p>
    <w:p>
      <w:pPr>
        <w:spacing w:after="0" w:line="300" w:lineRule="auto"/>
        <w:jc w:val="left"/>
        <w:sectPr>
          <w:pgSz w:w="11910" w:h="16840"/>
          <w:pgMar w:header="877" w:footer="979" w:top="1100" w:bottom="1160" w:left="60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4、其他权益工具" w:id="386"/>
      <w:bookmarkEnd w:id="386"/>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期末发行在外的优先股、永续债等其他金融工具基本情况" w:id="387"/>
      <w:bookmarkEnd w:id="387"/>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2）期末发行在外的优先股、永续债等金融工具变动情况表" w:id="388"/>
      <w:bookmarkEnd w:id="388"/>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5、资本公积" w:id="389"/>
      <w:bookmarkEnd w:id="389"/>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203,626,048.15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131,626,048.15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203,626,048.15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131,626,048.15</w:t>
            </w:r>
          </w:p>
        </w:tc>
      </w:tr>
    </w:tbl>
    <w:p>
      <w:pPr>
        <w:pStyle w:val="BodyText"/>
        <w:spacing w:line="240" w:lineRule="auto" w:before="51"/>
        <w:ind w:left="154" w:right="0"/>
        <w:jc w:val="left"/>
      </w:pPr>
      <w:r>
        <w:rPr/>
        <w:t>其他说明，包括本期增减变动情况、变动原因说明：</w:t>
      </w:r>
    </w:p>
    <w:p>
      <w:pPr>
        <w:pStyle w:val="BodyText"/>
        <w:spacing w:line="300" w:lineRule="auto" w:before="116"/>
        <w:ind w:right="112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月，根据本公司</w:t>
      </w:r>
      <w:r>
        <w:rPr>
          <w:rFonts w:ascii="Times New Roman" w:hAnsi="Times New Roman" w:cs="Times New Roman" w:eastAsia="Times New Roman" w:hint="default"/>
        </w:rPr>
        <w:t>2016</w:t>
      </w:r>
      <w:r>
        <w:rPr/>
        <w:t>年度股东大会决议，本公司以资本公积金每十股转</w:t>
      </w:r>
      <w:r>
        <w:rPr>
          <w:rFonts w:ascii="Times New Roman" w:hAnsi="Times New Roman" w:cs="Times New Roman" w:eastAsia="Times New Roman" w:hint="default"/>
        </w:rPr>
        <w:t>6</w:t>
      </w:r>
      <w:r>
        <w:rPr/>
        <w:t>股，共计</w:t>
      </w:r>
      <w:r>
        <w:rPr>
          <w:rFonts w:ascii="Times New Roman" w:hAnsi="Times New Roman" w:cs="Times New Roman" w:eastAsia="Times New Roman" w:hint="default"/>
        </w:rPr>
        <w:t>7,200</w:t>
      </w:r>
      <w:r>
        <w:rPr/>
        <w:t>万元转增股本</w:t>
      </w:r>
      <w:r>
        <w:rPr>
          <w:rFonts w:ascii="Times New Roman" w:hAnsi="Times New Roman" w:cs="Times New Roman" w:eastAsia="Times New Roman" w:hint="default"/>
        </w:rPr>
        <w:t>7,200</w:t>
      </w:r>
      <w:r>
        <w:rPr/>
        <w:t>万股，股 本总额由</w:t>
      </w:r>
      <w:r>
        <w:rPr>
          <w:rFonts w:ascii="Times New Roman" w:hAnsi="Times New Roman" w:cs="Times New Roman" w:eastAsia="Times New Roman" w:hint="default"/>
        </w:rPr>
        <w:t>12,000</w:t>
      </w:r>
      <w:r>
        <w:rPr/>
        <w:t>万股增加至</w:t>
      </w:r>
      <w:r>
        <w:rPr>
          <w:rFonts w:ascii="Times New Roman" w:hAnsi="Times New Roman" w:cs="Times New Roman" w:eastAsia="Times New Roman" w:hint="default"/>
        </w:rPr>
        <w:t>19,200</w:t>
      </w:r>
      <w:r>
        <w:rPr/>
        <w:t>万股。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56、库存股" w:id="390"/>
      <w:bookmarkEnd w:id="390"/>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7、其他综合收益" w:id="391"/>
      <w:bookmarkEnd w:id="391"/>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663,921.96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-567,290.67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96,631.29</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663,921.96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-567,290.67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96,631.29</w:t>
            </w:r>
          </w:p>
        </w:tc>
      </w:tr>
      <w:tr>
        <w:trPr>
          <w:trHeight w:val="40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663,921.96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-567,290.67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96,631.29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8、专项储备" w:id="392"/>
      <w:bookmarkEnd w:id="392"/>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9、盈余公积" w:id="393"/>
      <w:bookmarkEnd w:id="393"/>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30,387,151.13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1,964,545.76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32,351,696.89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30,387,151.13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1,964,545.76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32,351,696.89</w:t>
            </w:r>
          </w:p>
        </w:tc>
      </w:tr>
    </w:tbl>
    <w:p>
      <w:pPr>
        <w:pStyle w:val="BodyText"/>
        <w:spacing w:line="357" w:lineRule="auto" w:before="51"/>
        <w:ind w:right="4123"/>
        <w:jc w:val="left"/>
      </w:pPr>
      <w:r>
        <w:rPr/>
        <w:t>盈余公积说明，包括本期增减变动情况、变动原因说明： 本报告期内盈余公积增加系母公司根据当期税后净利润的</w:t>
      </w:r>
      <w:r>
        <w:rPr>
          <w:rFonts w:ascii="Times New Roman" w:hAnsi="Times New Roman" w:cs="Times New Roman" w:eastAsia="Times New Roman" w:hint="default"/>
        </w:rPr>
        <w:t>10%</w:t>
      </w:r>
      <w:r>
        <w:rPr/>
        <w:t>计提的法定盈余公积。</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60、未分配利润" w:id="394"/>
      <w:bookmarkEnd w:id="394"/>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168,400,728.79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139,627,604.90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168,400,728.79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139,627,604.90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30,446,607.75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41,047,172.04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1,964,545.76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3,274,048.15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184,882,790.78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168,400,728.79</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、由于会计政策变更，影响期初未分配利润元。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3)</w:t>
      </w:r>
      <w:r>
        <w:rPr/>
        <w:t>、由于重大会计差错更正，影响期初未分配利润元。</w:t>
      </w:r>
    </w:p>
    <w:p>
      <w:pPr>
        <w:spacing w:line="240" w:lineRule="auto" w:before="9"/>
        <w:rPr>
          <w:rFonts w:ascii="宋体" w:hAnsi="宋体" w:cs="宋体" w:eastAsia="宋体" w:hint="default"/>
          <w:sz w:val="16"/>
          <w:szCs w:val="16"/>
        </w:rPr>
      </w:pPr>
    </w:p>
    <w:p>
      <w:pPr>
        <w:pStyle w:val="BodyText"/>
        <w:spacing w:line="240" w:lineRule="auto"/>
        <w:ind w:left="154" w:right="0"/>
        <w:jc w:val="left"/>
      </w:pPr>
      <w:r>
        <w:rPr>
          <w:rFonts w:ascii="Times New Roman" w:hAnsi="Times New Roman" w:cs="Times New Roman" w:eastAsia="Times New Roman" w:hint="default"/>
        </w:rPr>
        <w:t>4)</w:t>
      </w:r>
      <w:r>
        <w:rPr/>
        <w:t>、由于同一控制导致的合并范围变更，影响期初未分配利润元。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5)</w:t>
      </w:r>
      <w:r>
        <w:rPr/>
        <w:t>、其他调整合计影响期初未分配利润元。</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95"/>
      <w:bookmarkEnd w:id="395"/>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284,485,259.92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212,238,677.56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273,431,210.44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211,325,889.00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1,874,587.75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1,517,636.75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1,250,981.81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1,079,936.68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286,359,847.67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213,756,314.31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274,682,192.25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212,405,825.68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2、税金及附加" w:id="396"/>
      <w:bookmarkEnd w:id="396"/>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574,598.41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877,394.35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419,897.37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705,181.58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492,270.32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328,180.22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210,632.80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119,519.18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137,865.60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104,015.80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1,835,264.50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2,134,291.13</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销售费用" w:id="397"/>
      <w:bookmarkEnd w:id="397"/>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5,916,189.62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4,520,815.81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3,069,634.61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2,662,239.72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842,867.04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924,076.04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251,104.13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246,035.98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广告宣传及展览费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777,965.41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457,544.45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336,017.05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359,712.50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11,193,777.86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9,170,424.50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管理费用" w:id="398"/>
      <w:bookmarkEnd w:id="398"/>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17,569,878.17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8,699,035.30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4,261,198.33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3,578,950.85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485,194.00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628,560.18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131,856.39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193,050.21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221,490.41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211,131.87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723,654.92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743,875.17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1,293,885.12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1,866,578.23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24,687,157.34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15,921,181.81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财务费用" w:id="399"/>
      <w:bookmarkEnd w:id="399"/>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83,983.33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2,591,137.42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1,540,101.29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8,898,388.17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-8,484,097.54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178,662.68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212,922.36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6,569,896.76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-9,811,276.47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400"/>
      <w:bookmarkEnd w:id="400"/>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107,521.99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1,425,076.70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1,343,891.29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448,565.38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1,549,113.28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1,873,642.08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401"/>
      <w:bookmarkEnd w:id="401"/>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-676,475.00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530,279.51</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-676,475.00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530,279.51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-676,475.00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530,279.51</w:t>
            </w:r>
          </w:p>
        </w:tc>
      </w:tr>
    </w:tbl>
    <w:p>
      <w:pPr>
        <w:pStyle w:val="BodyText"/>
        <w:spacing w:line="240" w:lineRule="auto" w:before="51"/>
        <w:ind w:left="154"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373" w:right="0"/>
        <w:jc w:val="left"/>
        <w:rPr>
          <w:b w:val="0"/>
          <w:bCs w:val="0"/>
        </w:rPr>
      </w:pPr>
      <w:bookmarkStart w:name="68、投资收益" w:id="402"/>
      <w:bookmarkEnd w:id="402"/>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36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2,951,026.64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投资银行理财产品取得的收益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5,004,021.49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551,200.95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处置远期结汇取得的收益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141,464.56</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7,955,048.13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692,665.51</w:t>
            </w:r>
          </w:p>
        </w:tc>
      </w:tr>
    </w:tbl>
    <w:p>
      <w:pPr>
        <w:pStyle w:val="BodyText"/>
        <w:spacing w:line="240" w:lineRule="auto" w:before="51"/>
        <w:ind w:left="37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373" w:right="0"/>
        <w:jc w:val="left"/>
        <w:rPr>
          <w:b w:val="0"/>
          <w:bCs w:val="0"/>
        </w:rPr>
      </w:pPr>
      <w:bookmarkStart w:name="69、资产处置收益" w:id="403"/>
      <w:bookmarkEnd w:id="403"/>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36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left="374" w:right="0"/>
        <w:jc w:val="left"/>
        <w:rPr>
          <w:b w:val="0"/>
          <w:bCs w:val="0"/>
        </w:rPr>
      </w:pPr>
      <w:bookmarkStart w:name="70、其他收益" w:id="404"/>
      <w:bookmarkEnd w:id="404"/>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36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531,456.44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374" w:right="0"/>
        <w:jc w:val="left"/>
        <w:rPr>
          <w:b w:val="0"/>
          <w:bCs w:val="0"/>
        </w:rPr>
      </w:pPr>
      <w:bookmarkStart w:name="71、营业外收入" w:id="405"/>
      <w:bookmarkEnd w:id="405"/>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369" w:type="dxa"/>
        <w:tblLayout w:type="fixed"/>
        <w:tblCellMar>
          <w:top w:w="0" w:type="dxa"/>
          <w:left w:w="0" w:type="dxa"/>
          <w:bottom w:w="0" w:type="dxa"/>
          <w:right w:w="0" w:type="dxa"/>
        </w:tblCellMar>
        <w:tblLook w:val="01E0"/>
      </w:tblPr>
      <w:tblGrid>
        <w:gridCol w:w="2978"/>
        <w:gridCol w:w="2127"/>
        <w:gridCol w:w="2268"/>
        <w:gridCol w:w="2196"/>
      </w:tblGrid>
      <w:tr>
        <w:trPr>
          <w:trHeight w:val="161" w:hRule="exact"/>
        </w:trPr>
        <w:tc>
          <w:tcPr>
            <w:tcW w:w="29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13" w:right="101"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29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96" w:type="dxa"/>
            <w:vMerge/>
            <w:tcBorders>
              <w:left w:val="single" w:sz="4" w:space="0" w:color="000000"/>
              <w:right w:val="single" w:sz="4" w:space="0" w:color="000000"/>
            </w:tcBorders>
            <w:shd w:val="clear" w:color="auto" w:fill="D2D2D2"/>
          </w:tcPr>
          <w:p>
            <w:pPr/>
          </w:p>
        </w:tc>
      </w:tr>
      <w:tr>
        <w:trPr>
          <w:trHeight w:val="161" w:hRule="exact"/>
        </w:trPr>
        <w:tc>
          <w:tcPr>
            <w:tcW w:w="29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127"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1,648,819.55</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投资联营企业的投资成本调整差额</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802,181.54</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2,456,001.09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tc>
      </w:tr>
    </w:tbl>
    <w:p>
      <w:pPr>
        <w:pStyle w:val="BodyText"/>
        <w:spacing w:line="240" w:lineRule="auto" w:before="51"/>
        <w:ind w:left="37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491"/>
        <w:gridCol w:w="1487"/>
        <w:gridCol w:w="568"/>
        <w:gridCol w:w="1809"/>
        <w:gridCol w:w="991"/>
        <w:gridCol w:w="709"/>
        <w:gridCol w:w="993"/>
        <w:gridCol w:w="1134"/>
        <w:gridCol w:w="992"/>
      </w:tblGrid>
      <w:tr>
        <w:trPr>
          <w:trHeight w:val="1025"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78"/>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1" w:right="40"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5"/>
              <w:ind w:left="400" w:right="104"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1026"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96"/>
              <w:jc w:val="both"/>
              <w:rPr>
                <w:rFonts w:ascii="宋体" w:hAnsi="宋体" w:cs="宋体" w:eastAsia="宋体" w:hint="default"/>
                <w:sz w:val="18"/>
                <w:szCs w:val="18"/>
              </w:rPr>
            </w:pPr>
            <w:r>
              <w:rPr>
                <w:rFonts w:ascii="宋体" w:hAnsi="宋体" w:cs="宋体" w:eastAsia="宋体" w:hint="default"/>
                <w:sz w:val="18"/>
                <w:szCs w:val="18"/>
              </w:rPr>
              <w:t>长寿命激光光导 鼓的研制与产业 化</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苏州市科技局、苏 州市财政局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w:t>
            </w:r>
            <w:r>
              <w:rPr>
                <w:rFonts w:ascii="宋体" w:hAnsi="宋体" w:cs="宋体" w:eastAsia="宋体" w:hint="default"/>
                <w:sz w:val="18"/>
                <w:szCs w:val="18"/>
              </w:rPr>
              <w:t> 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76"/>
              <w:jc w:val="right"/>
              <w:rPr>
                <w:rFonts w:ascii="宋体" w:hAnsi="宋体" w:cs="宋体" w:eastAsia="宋体" w:hint="default"/>
                <w:sz w:val="18"/>
                <w:szCs w:val="18"/>
              </w:rPr>
            </w:pPr>
            <w:r>
              <w:rPr>
                <w:rFonts w:ascii="宋体" w:hAnsi="宋体" w:cs="宋体" w:eastAsia="宋体" w:hint="default"/>
                <w:sz w:val="18"/>
                <w:szCs w:val="18"/>
              </w:rPr>
              <w:t>科技创新奖励</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苏州高新区狮山</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pacing w:val="-5"/>
                <w:sz w:val="18"/>
                <w:szCs w:val="18"/>
              </w:rPr>
              <w:t>因研究开发、技术更新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76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491"/>
        <w:gridCol w:w="1487"/>
        <w:gridCol w:w="568"/>
        <w:gridCol w:w="1809"/>
        <w:gridCol w:w="991"/>
        <w:gridCol w:w="709"/>
        <w:gridCol w:w="993"/>
        <w:gridCol w:w="1134"/>
        <w:gridCol w:w="992"/>
      </w:tblGrid>
      <w:tr>
        <w:trPr>
          <w:trHeight w:val="362" w:hRule="exact"/>
        </w:trPr>
        <w:tc>
          <w:tcPr>
            <w:tcW w:w="1491"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街道办事处</w:t>
            </w:r>
          </w:p>
        </w:tc>
        <w:tc>
          <w:tcPr>
            <w:tcW w:w="568" w:type="dxa"/>
            <w:tcBorders>
              <w:top w:val="single" w:sz="4" w:space="0" w:color="000000"/>
              <w:left w:val="single" w:sz="4" w:space="0" w:color="000000"/>
              <w:bottom w:val="single" w:sz="4" w:space="0" w:color="000000"/>
              <w:right w:val="single" w:sz="4" w:space="0" w:color="000000"/>
            </w:tcBorders>
          </w:tcPr>
          <w:p>
            <w:pP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1"/>
              <w:jc w:val="center"/>
              <w:rPr>
                <w:rFonts w:ascii="宋体" w:hAnsi="宋体" w:cs="宋体" w:eastAsia="宋体" w:hint="default"/>
                <w:sz w:val="18"/>
                <w:szCs w:val="18"/>
              </w:rPr>
            </w:pPr>
            <w:r>
              <w:rPr>
                <w:rFonts w:ascii="宋体" w:hAnsi="宋体" w:cs="宋体" w:eastAsia="宋体" w:hint="default"/>
                <w:sz w:val="18"/>
                <w:szCs w:val="18"/>
              </w:rPr>
              <w:t>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6"/>
              <w:jc w:val="left"/>
              <w:rPr>
                <w:rFonts w:ascii="宋体" w:hAnsi="宋体" w:cs="宋体" w:eastAsia="宋体" w:hint="default"/>
                <w:sz w:val="18"/>
                <w:szCs w:val="18"/>
              </w:rPr>
            </w:pPr>
            <w:r>
              <w:rPr>
                <w:rFonts w:ascii="宋体" w:hAnsi="宋体" w:cs="宋体" w:eastAsia="宋体" w:hint="default"/>
                <w:sz w:val="18"/>
                <w:szCs w:val="18"/>
              </w:rPr>
              <w:t>高新区工业经济 发展专项资金</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苏州高新区财政 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奖励</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w:t>
            </w:r>
            <w:r>
              <w:rPr>
                <w:rFonts w:ascii="宋体" w:hAnsi="宋体" w:cs="宋体" w:eastAsia="宋体" w:hint="default"/>
                <w:sz w:val="18"/>
                <w:szCs w:val="18"/>
              </w:rPr>
              <w:t> 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出口信保补贴</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2"/>
              <w:jc w:val="left"/>
              <w:rPr>
                <w:rFonts w:ascii="宋体" w:hAnsi="宋体" w:cs="宋体" w:eastAsia="宋体" w:hint="default"/>
                <w:sz w:val="18"/>
                <w:szCs w:val="18"/>
              </w:rPr>
            </w:pPr>
            <w:r>
              <w:rPr>
                <w:rFonts w:ascii="宋体" w:hAnsi="宋体" w:cs="宋体" w:eastAsia="宋体" w:hint="default"/>
                <w:sz w:val="18"/>
                <w:szCs w:val="18"/>
              </w:rPr>
              <w:t>苏州高新区财政 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4"/>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苏州市人力资源 和社会保障局、苏 州市财政局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4"/>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94,356.44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98,819.55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年高品奖励 资金</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苏州高新区科技 </w:t>
            </w:r>
            <w:r>
              <w:rPr>
                <w:rFonts w:ascii="宋体" w:hAnsi="宋体" w:cs="宋体" w:eastAsia="宋体" w:hint="default"/>
                <w:spacing w:val="-2"/>
                <w:sz w:val="18"/>
                <w:szCs w:val="18"/>
              </w:rPr>
              <w:t>局、苏州高新区财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w:t>
            </w:r>
            <w:r>
              <w:rPr>
                <w:rFonts w:ascii="宋体" w:hAnsi="宋体" w:cs="宋体" w:eastAsia="宋体" w:hint="default"/>
                <w:sz w:val="18"/>
                <w:szCs w:val="18"/>
              </w:rPr>
              <w:t> 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年上半年度 专利资助</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苏州高新区科技 </w:t>
            </w:r>
            <w:r>
              <w:rPr>
                <w:rFonts w:ascii="宋体" w:hAnsi="宋体" w:cs="宋体" w:eastAsia="宋体" w:hint="default"/>
                <w:spacing w:val="-2"/>
                <w:sz w:val="18"/>
                <w:szCs w:val="18"/>
              </w:rPr>
              <w:t>局、苏州高新区财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w:t>
            </w:r>
            <w:r>
              <w:rPr>
                <w:rFonts w:ascii="宋体" w:hAnsi="宋体" w:cs="宋体" w:eastAsia="宋体" w:hint="default"/>
                <w:sz w:val="18"/>
                <w:szCs w:val="18"/>
              </w:rPr>
              <w:t> 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年度苏州市 重点产业技术创 新专项高新区配 套</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苏州高新区科技 </w:t>
            </w:r>
            <w:r>
              <w:rPr>
                <w:rFonts w:ascii="宋体" w:hAnsi="宋体" w:cs="宋体" w:eastAsia="宋体" w:hint="default"/>
                <w:spacing w:val="-2"/>
                <w:sz w:val="18"/>
                <w:szCs w:val="18"/>
              </w:rPr>
              <w:t>局、苏州高新区财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w:t>
            </w:r>
            <w:r>
              <w:rPr>
                <w:rFonts w:ascii="宋体" w:hAnsi="宋体" w:cs="宋体" w:eastAsia="宋体" w:hint="default"/>
                <w:sz w:val="18"/>
                <w:szCs w:val="18"/>
              </w:rPr>
              <w:t> 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6"/>
              <w:jc w:val="both"/>
              <w:rPr>
                <w:rFonts w:ascii="宋体" w:hAnsi="宋体" w:cs="宋体" w:eastAsia="宋体" w:hint="default"/>
                <w:sz w:val="18"/>
                <w:szCs w:val="18"/>
              </w:rPr>
            </w:pPr>
            <w:r>
              <w:rPr>
                <w:rFonts w:ascii="宋体" w:hAnsi="宋体" w:cs="宋体" w:eastAsia="宋体" w:hint="default"/>
                <w:sz w:val="18"/>
                <w:szCs w:val="18"/>
              </w:rPr>
              <w:t>苏州高新区节能 及发展循环经济 扶持项目专项资 金</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苏州高新区经济 发展和改革局、苏 州高新区产业开 </w:t>
            </w:r>
            <w:r>
              <w:rPr>
                <w:rFonts w:ascii="宋体" w:hAnsi="宋体" w:cs="宋体" w:eastAsia="宋体" w:hint="default"/>
                <w:spacing w:val="-2"/>
                <w:sz w:val="18"/>
                <w:szCs w:val="18"/>
              </w:rPr>
              <w:t>发区环保局、苏州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高新区财政局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4"/>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上市挂牌奖励</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苏州高新区</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4"/>
              <w:jc w:val="left"/>
              <w:rPr>
                <w:rFonts w:ascii="宋体" w:hAnsi="宋体" w:cs="宋体" w:eastAsia="宋体" w:hint="default"/>
                <w:sz w:val="18"/>
                <w:szCs w:val="18"/>
              </w:rPr>
            </w:pPr>
            <w:r>
              <w:rPr>
                <w:rFonts w:ascii="宋体" w:hAnsi="宋体" w:cs="宋体" w:eastAsia="宋体" w:hint="default"/>
                <w:sz w:val="18"/>
                <w:szCs w:val="18"/>
              </w:rPr>
              <w:t>奖励上市而给予的政 府补助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奖励</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苏州市政府</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4"/>
              <w:jc w:val="left"/>
              <w:rPr>
                <w:rFonts w:ascii="宋体" w:hAnsi="宋体" w:cs="宋体" w:eastAsia="宋体" w:hint="default"/>
                <w:sz w:val="18"/>
                <w:szCs w:val="18"/>
              </w:rPr>
            </w:pPr>
            <w:r>
              <w:rPr>
                <w:rFonts w:ascii="宋体" w:hAnsi="宋体" w:cs="宋体" w:eastAsia="宋体" w:hint="default"/>
                <w:sz w:val="18"/>
                <w:szCs w:val="18"/>
              </w:rPr>
              <w:t>奖励上市而给予的政 府补助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年省科学技 术奖</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江苏省财政厅、江 苏省科学技术厅</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w:t>
            </w:r>
            <w:r>
              <w:rPr>
                <w:rFonts w:ascii="宋体" w:hAnsi="宋体" w:cs="宋体" w:eastAsia="宋体" w:hint="default"/>
                <w:sz w:val="18"/>
                <w:szCs w:val="18"/>
              </w:rPr>
              <w:t> 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531,456.44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1,648,819.55</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37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373" w:right="0"/>
        <w:jc w:val="left"/>
        <w:rPr>
          <w:b w:val="0"/>
          <w:bCs w:val="0"/>
        </w:rPr>
      </w:pPr>
      <w:bookmarkStart w:name="72、营业外支出" w:id="406"/>
      <w:bookmarkEnd w:id="406"/>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36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18,689.86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18,689.86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76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19,754.84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19,754.84</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所得税费用" w:id="407"/>
      <w:bookmarkEnd w:id="407"/>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408"/>
      <w:bookmarkEnd w:id="40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4,576,997.61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5,614,515.12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-464,407.01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4,112,590.60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5,615,877.59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409"/>
      <w:bookmarkEnd w:id="40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34,559,198.35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5,183,879.75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834,599.55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-397,320.77</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800"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-1,508,567.93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4,112,590.60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74、其他综合收益" w:id="410"/>
      <w:bookmarkEnd w:id="410"/>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411"/>
      <w:bookmarkEnd w:id="411"/>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left="154" w:right="0"/>
        <w:jc w:val="left"/>
        <w:rPr>
          <w:b w:val="0"/>
          <w:bCs w:val="0"/>
        </w:rPr>
      </w:pPr>
      <w:bookmarkStart w:name="（1）收到的其他与经营活动有关的现金" w:id="412"/>
      <w:bookmarkEnd w:id="41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2,681,209.73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1,854,982.94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493,956.44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1,648,819.55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343,545.99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3,518,712.16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3,524,704.98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413"/>
      <w:bookmarkEnd w:id="41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付现管理销售费用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19,540,626.83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10,287,852.05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支付保理款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178,662.68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212,922.36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支付的保证金等</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72,178.14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25,720,354.49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10,575,952.55</w:t>
            </w:r>
          </w:p>
        </w:tc>
      </w:tr>
    </w:tbl>
    <w:p>
      <w:pPr>
        <w:pStyle w:val="BodyText"/>
        <w:spacing w:line="240" w:lineRule="auto" w:before="51"/>
        <w:ind w:left="15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414"/>
      <w:bookmarkEnd w:id="41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bl>
    <w:p>
      <w:pPr>
        <w:pStyle w:val="BodyText"/>
        <w:spacing w:line="240" w:lineRule="auto" w:before="51"/>
        <w:ind w:left="154"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支付的其他与投资活动有关的现金" w:id="415"/>
      <w:bookmarkEnd w:id="41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416"/>
      <w:bookmarkEnd w:id="41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417"/>
      <w:bookmarkEnd w:id="41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支付外汇远期交易保证金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2,391,581.95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r>
        <w:rPr/>
        <w:pict>
          <v:group style="position:absolute;margin-left:223.339996pt;margin-top:460.869995pt;width:151.25pt;height:20.8pt;mso-position-horizontal-relative:page;mso-position-vertical-relative:page;z-index:-896488" coordorigin="4467,9217" coordsize="3025,416">
            <v:group style="position:absolute;left:4478;top:9229;width:2;height:393" coordorigin="4478,9229" coordsize="2,393">
              <v:shape style="position:absolute;left:4478;top:9229;width:2;height:393" coordorigin="4478,9229" coordsize="0,393" path="m4478,9229l4478,9621e" filled="false" stroked="true" strokeweight="1.140pt" strokecolor="#ffffff">
                <v:path arrowok="t"/>
              </v:shape>
            </v:group>
            <v:group style="position:absolute;left:4490;top:9229;width:3002;height:393" coordorigin="4490,9229" coordsize="3002,393">
              <v:shape style="position:absolute;left:4490;top:9229;width:3002;height:393" coordorigin="4490,9229" coordsize="3002,393" path="m4490,9621l7491,9621,7491,9229,4490,9229,4490,962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支付发行费用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10,831,681.36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2,391,581.95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10,831,681.36</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6、现金流量表补充资料" w:id="418"/>
      <w:bookmarkEnd w:id="418"/>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419"/>
      <w:bookmarkEnd w:id="41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30,446,607.75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41,047,172.04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1,549,113.28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1,873,642.08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8,404,058.48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7,252,889.53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445,933.11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419,747.39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477,647.98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701,499.85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18,689.86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676,475.00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-530,279.51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7,724,293.57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-92,225.03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-7,955,048.13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-692,665.51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8" w:right="0"/>
              <w:jc w:val="left"/>
              <w:rPr>
                <w:rFonts w:ascii="Times New Roman" w:hAnsi="Times New Roman" w:cs="Times New Roman" w:eastAsia="Times New Roman" w:hint="default"/>
                <w:sz w:val="18"/>
                <w:szCs w:val="18"/>
              </w:rPr>
            </w:pPr>
            <w:r>
              <w:rPr>
                <w:rFonts w:ascii="Times New Roman"/>
                <w:sz w:val="18"/>
              </w:rPr>
              <w:t>-464,407.01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-54,750,038.71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13,952,985.74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-3,610,083.41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-26,359,221.53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19,805,127.67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10,001,911.56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-37,500.00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-802,181.54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2,730,869.44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46,775,637.54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200,145,420.67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176,633,017.98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176,633,017.98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138,440,701.80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23,512,402.69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38,192,316.18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本期支付的取得子公司的现金净额" w:id="420"/>
      <w:bookmarkEnd w:id="42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421"/>
      <w:bookmarkEnd w:id="42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422"/>
      <w:bookmarkEnd w:id="42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200,145,420.67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176,633,017.98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174,040.85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97,416.04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199,971,379.82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176,535,601.94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200,145,420.67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176,633,017.98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5373" w:firstLine="0"/>
        <w:jc w:val="left"/>
        <w:rPr>
          <w:rFonts w:ascii="宋体" w:hAnsi="宋体" w:cs="宋体" w:eastAsia="宋体" w:hint="default"/>
          <w:sz w:val="21"/>
          <w:szCs w:val="21"/>
        </w:rPr>
      </w:pPr>
      <w:bookmarkStart w:name="77、所有者权益变动表项目注释" w:id="423"/>
      <w:bookmarkEnd w:id="423"/>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24"/>
      <w:bookmarkEnd w:id="424"/>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2,391,581.95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外汇远期交易保证金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2,391,581.95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9、外币货币性项目" w:id="425"/>
      <w:bookmarkEnd w:id="425"/>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426"/>
      <w:bookmarkEnd w:id="42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102,952,973.13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15,521,147.82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101,418,284.09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194,758.96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1,519,567.83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18,089.74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15,121.21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20,557,778.84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3,093,259.69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20,211,977.47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44,320.44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345,801.37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1,030,832.19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157,759.51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1,030,832.19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68,203.85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10,437.98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68,203.85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left="154" w:right="0"/>
        <w:jc w:val="left"/>
        <w:rPr>
          <w:b w:val="0"/>
          <w:bCs w:val="0"/>
        </w:rPr>
      </w:pPr>
      <w:bookmarkStart w:name="（2）境外经营实体说明，包括对于重要的境外经营实体，应披露其境外主要经营地、记账" w:id="427"/>
      <w:bookmarkEnd w:id="42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2"/>
        </w:rPr>
        <w:t> </w:t>
      </w:r>
      <w:r>
        <w:rPr>
          <w:spacing w:val="-72"/>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544"/>
        <w:gridCol w:w="710"/>
        <w:gridCol w:w="709"/>
        <w:gridCol w:w="1702"/>
        <w:gridCol w:w="708"/>
        <w:gridCol w:w="708"/>
        <w:gridCol w:w="709"/>
        <w:gridCol w:w="851"/>
      </w:tblGrid>
      <w:tr>
        <w:trPr>
          <w:trHeight w:val="422" w:hRule="exact"/>
        </w:trPr>
        <w:tc>
          <w:tcPr>
            <w:tcW w:w="354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710" w:type="dxa"/>
            <w:vMerge w:val="restart"/>
            <w:tcBorders>
              <w:top w:val="single" w:sz="4" w:space="0" w:color="000000"/>
              <w:left w:val="single" w:sz="4" w:space="0" w:color="000000"/>
              <w:right w:val="single" w:sz="4" w:space="0" w:color="000000"/>
            </w:tcBorders>
          </w:tcPr>
          <w:p>
            <w:pPr>
              <w:pStyle w:val="TableParagraph"/>
              <w:spacing w:line="319" w:lineRule="auto" w:before="116"/>
              <w:ind w:left="169" w:right="75" w:hanging="90"/>
              <w:jc w:val="left"/>
              <w:rPr>
                <w:rFonts w:ascii="宋体" w:hAnsi="宋体" w:cs="宋体" w:eastAsia="宋体" w:hint="default"/>
                <w:sz w:val="18"/>
                <w:szCs w:val="18"/>
              </w:rPr>
            </w:pPr>
            <w:r>
              <w:rPr>
                <w:rFonts w:ascii="宋体" w:hAnsi="宋体" w:cs="宋体" w:eastAsia="宋体" w:hint="default"/>
                <w:b/>
                <w:bCs/>
                <w:sz w:val="18"/>
                <w:szCs w:val="18"/>
              </w:rPr>
              <w:t>主要经</w:t>
            </w:r>
            <w:r>
              <w:rPr>
                <w:rFonts w:ascii="宋体" w:hAnsi="宋体" w:cs="宋体" w:eastAsia="宋体" w:hint="default"/>
                <w:b/>
                <w:bCs/>
                <w:spacing w:val="1"/>
                <w:w w:val="99"/>
                <w:sz w:val="18"/>
                <w:szCs w:val="18"/>
              </w:rPr>
              <w:t> </w:t>
            </w:r>
            <w:r>
              <w:rPr>
                <w:rFonts w:ascii="宋体" w:hAnsi="宋体" w:cs="宋体" w:eastAsia="宋体" w:hint="default"/>
                <w:b/>
                <w:bCs/>
                <w:sz w:val="18"/>
                <w:szCs w:val="18"/>
              </w:rPr>
              <w:t>营地</w:t>
            </w:r>
            <w:r>
              <w:rPr>
                <w:rFonts w:ascii="宋体" w:hAnsi="宋体" w:cs="宋体" w:eastAsia="宋体" w:hint="default"/>
                <w:sz w:val="18"/>
                <w:szCs w:val="18"/>
              </w:rPr>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708" w:type="dxa"/>
            <w:vMerge w:val="restart"/>
            <w:tcBorders>
              <w:top w:val="single" w:sz="4" w:space="0" w:color="000000"/>
              <w:left w:val="single" w:sz="4" w:space="0" w:color="000000"/>
              <w:right w:val="single" w:sz="4" w:space="0" w:color="000000"/>
            </w:tcBorders>
          </w:tcPr>
          <w:p>
            <w:pPr>
              <w:pStyle w:val="TableParagraph"/>
              <w:spacing w:line="319" w:lineRule="auto" w:before="116"/>
              <w:ind w:left="167" w:right="76" w:hanging="92"/>
              <w:jc w:val="left"/>
              <w:rPr>
                <w:rFonts w:ascii="宋体" w:hAnsi="宋体" w:cs="宋体" w:eastAsia="宋体" w:hint="default"/>
                <w:sz w:val="18"/>
                <w:szCs w:val="18"/>
              </w:rPr>
            </w:pPr>
            <w:r>
              <w:rPr>
                <w:rFonts w:ascii="宋体" w:hAnsi="宋体" w:cs="宋体" w:eastAsia="宋体" w:hint="default"/>
                <w:b/>
                <w:bCs/>
                <w:sz w:val="18"/>
                <w:szCs w:val="18"/>
              </w:rPr>
              <w:t>记账本</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位币</w:t>
            </w:r>
            <w:r>
              <w:rPr>
                <w:rFonts w:ascii="宋体" w:hAnsi="宋体" w:cs="宋体" w:eastAsia="宋体" w:hint="default"/>
                <w:sz w:val="18"/>
                <w:szCs w:val="18"/>
              </w:rPr>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21" w:hRule="exact"/>
        </w:trPr>
        <w:tc>
          <w:tcPr>
            <w:tcW w:w="3544"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9"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851" w:type="dxa"/>
            <w:vMerge/>
            <w:tcBorders>
              <w:left w:val="single" w:sz="4" w:space="0" w:color="000000"/>
              <w:bottom w:val="single" w:sz="4" w:space="0" w:color="000000"/>
              <w:right w:val="single" w:sz="4" w:space="0" w:color="000000"/>
            </w:tcBorders>
          </w:tcPr>
          <w:p>
            <w:pPr/>
          </w:p>
        </w:tc>
      </w:tr>
      <w:tr>
        <w:trPr>
          <w:trHeight w:val="73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2"/>
              <w:ind w:left="4" w:right="492"/>
              <w:jc w:val="left"/>
              <w:rPr>
                <w:rFonts w:ascii="Times New Roman" w:hAnsi="Times New Roman" w:cs="Times New Roman" w:eastAsia="Times New Roman" w:hint="default"/>
                <w:sz w:val="18"/>
                <w:szCs w:val="18"/>
              </w:rPr>
            </w:pPr>
            <w:r>
              <w:rPr>
                <w:rFonts w:ascii="Times New Roman"/>
                <w:sz w:val="18"/>
              </w:rPr>
              <w:t>GOLDENGREEN TECHNOLOGIES</w:t>
            </w:r>
            <w:r>
              <w:rPr>
                <w:rFonts w:ascii="Times New Roman"/>
                <w:spacing w:val="-6"/>
                <w:sz w:val="18"/>
              </w:rPr>
              <w:t> </w:t>
            </w:r>
            <w:r>
              <w:rPr>
                <w:rFonts w:ascii="Times New Roman"/>
                <w:sz w:val="18"/>
              </w:rPr>
              <w:t>EU</w:t>
            </w:r>
            <w:r>
              <w:rPr>
                <w:rFonts w:ascii="Times New Roman"/>
                <w:w w:val="99"/>
                <w:sz w:val="18"/>
              </w:rPr>
              <w:t> </w:t>
            </w:r>
            <w:r>
              <w:rPr>
                <w:rFonts w:ascii="Times New Roman"/>
                <w:sz w:val="18"/>
              </w:rPr>
              <w:t>LIMITED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英国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英国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214" w:right="35" w:hanging="180"/>
              <w:jc w:val="left"/>
              <w:rPr>
                <w:rFonts w:ascii="宋体" w:hAnsi="宋体" w:cs="宋体" w:eastAsia="宋体" w:hint="default"/>
                <w:sz w:val="18"/>
                <w:szCs w:val="18"/>
              </w:rPr>
            </w:pPr>
            <w:r>
              <w:rPr>
                <w:rFonts w:ascii="宋体" w:hAnsi="宋体" w:cs="宋体" w:eastAsia="宋体" w:hint="default"/>
                <w:sz w:val="18"/>
                <w:szCs w:val="18"/>
              </w:rPr>
              <w:t>办公设备、部件、耗 材的进出口业务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美元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3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4" w:right="635"/>
              <w:jc w:val="left"/>
              <w:rPr>
                <w:rFonts w:ascii="宋体" w:hAnsi="宋体" w:cs="宋体" w:eastAsia="宋体" w:hint="default"/>
                <w:sz w:val="18"/>
                <w:szCs w:val="18"/>
              </w:rPr>
            </w:pPr>
            <w:r>
              <w:rPr>
                <w:rFonts w:ascii="Times New Roman" w:hAnsi="Times New Roman" w:cs="Times New Roman" w:eastAsia="Times New Roman" w:hint="default"/>
                <w:sz w:val="18"/>
                <w:szCs w:val="18"/>
              </w:rPr>
              <w:t>GOLDENGREEN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TECHNOLOGIES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INTERNATIONAL LIMITED</w:t>
            </w:r>
            <w:r>
              <w:rPr>
                <w:rFonts w:ascii="宋体" w:hAnsi="宋体" w:cs="宋体" w:eastAsia="宋体" w:hint="default"/>
                <w:sz w:val="18"/>
                <w:szCs w:val="18"/>
              </w:rPr>
              <w:t>（注</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英国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英国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214" w:right="35" w:hanging="180"/>
              <w:jc w:val="left"/>
              <w:rPr>
                <w:rFonts w:ascii="宋体" w:hAnsi="宋体" w:cs="宋体" w:eastAsia="宋体" w:hint="default"/>
                <w:sz w:val="18"/>
                <w:szCs w:val="18"/>
              </w:rPr>
            </w:pPr>
            <w:r>
              <w:rPr>
                <w:rFonts w:ascii="宋体" w:hAnsi="宋体" w:cs="宋体" w:eastAsia="宋体" w:hint="default"/>
                <w:sz w:val="18"/>
                <w:szCs w:val="18"/>
              </w:rPr>
              <w:t>办公设备、部件、耗 材的进出口业务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美元</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35"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GLOBAL IMAGING SYSTEM</w:t>
            </w:r>
            <w:r>
              <w:rPr>
                <w:rFonts w:ascii="Times New Roman"/>
                <w:spacing w:val="-9"/>
                <w:sz w:val="18"/>
              </w:rPr>
              <w:t> </w:t>
            </w:r>
            <w:r>
              <w:rPr>
                <w:rFonts w:ascii="Times New Roman"/>
                <w:sz w:val="18"/>
              </w:rPr>
              <w:t>LIMITED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香港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214" w:right="35" w:hanging="180"/>
              <w:jc w:val="left"/>
              <w:rPr>
                <w:rFonts w:ascii="宋体" w:hAnsi="宋体" w:cs="宋体" w:eastAsia="宋体" w:hint="default"/>
                <w:sz w:val="18"/>
                <w:szCs w:val="18"/>
              </w:rPr>
            </w:pPr>
            <w:r>
              <w:rPr>
                <w:rFonts w:ascii="宋体" w:hAnsi="宋体" w:cs="宋体" w:eastAsia="宋体" w:hint="default"/>
                <w:sz w:val="18"/>
                <w:szCs w:val="18"/>
              </w:rPr>
              <w:t>办公设备、部件、耗 材的进出口业务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美元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rPr>
          <w:rFonts w:ascii="Times New Roman" w:hAnsi="Times New Roman" w:cs="Times New Roman" w:eastAsia="Times New Roman" w:hint="default"/>
        </w:rPr>
      </w:pPr>
      <w:bookmarkStart w:name="注1：GOLDENGREEN TECHNOLOGIES INTERNATIONA" w:id="428"/>
      <w:bookmarkEnd w:id="428"/>
      <w:r>
        <w:rPr/>
      </w:r>
      <w:r>
        <w:rPr/>
        <w:t>注</w:t>
      </w:r>
      <w:r>
        <w:rPr>
          <w:spacing w:val="-5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GOLDENGREEN TECHNOLOGIES</w:t>
      </w:r>
      <w:r>
        <w:rPr>
          <w:rFonts w:ascii="Times New Roman" w:hAnsi="Times New Roman" w:cs="Times New Roman" w:eastAsia="Times New Roman" w:hint="default"/>
          <w:spacing w:val="1"/>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3"/>
        </w:rPr>
        <w:t> </w:t>
      </w:r>
      <w:r>
        <w:rPr/>
        <w:t>为</w:t>
      </w:r>
      <w:r>
        <w:rPr>
          <w:spacing w:val="-50"/>
        </w:rPr>
        <w:t> </w:t>
      </w:r>
      <w:r>
        <w:rPr>
          <w:rFonts w:ascii="Times New Roman" w:hAnsi="Times New Roman" w:cs="Times New Roman" w:eastAsia="Times New Roman" w:hint="default"/>
        </w:rPr>
        <w:t>GOLDENGREEN TECHNOLOGIES</w:t>
      </w:r>
      <w:r>
        <w:rPr>
          <w:rFonts w:ascii="Times New Roman" w:hAnsi="Times New Roman" w:cs="Times New Roman" w:eastAsia="Times New Roman" w:hint="default"/>
          <w:spacing w:val="1"/>
        </w:rPr>
        <w:t> </w:t>
      </w:r>
      <w:r>
        <w:rPr>
          <w:rFonts w:ascii="Times New Roman" w:hAnsi="Times New Roman" w:cs="Times New Roman" w:eastAsia="Times New Roman" w:hint="default"/>
        </w:rPr>
        <w:t>EU</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p>
    <w:p>
      <w:pPr>
        <w:pStyle w:val="BodyText"/>
        <w:spacing w:line="240" w:lineRule="auto" w:before="64"/>
        <w:ind w:left="154" w:right="0"/>
        <w:jc w:val="left"/>
      </w:pPr>
      <w:r>
        <w:rPr/>
        <w:t>的全资子公司</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80、套期" w:id="429"/>
      <w:bookmarkEnd w:id="429"/>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81、其他" w:id="430"/>
      <w:bookmarkEnd w:id="430"/>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31"/>
      <w:bookmarkEnd w:id="431"/>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32"/>
      <w:bookmarkEnd w:id="43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433"/>
      <w:bookmarkEnd w:id="43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434"/>
      <w:bookmarkEnd w:id="43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4" w:right="6072"/>
        <w:jc w:val="left"/>
      </w:pPr>
      <w:r>
        <w:rPr/>
        <w:t>合并成本公允价值的确定方法、或有对价及其变动的说明： 大额商誉形成的主要原因：</w:t>
      </w:r>
    </w:p>
    <w:p>
      <w:pPr>
        <w:pStyle w:val="BodyText"/>
        <w:spacing w:line="240" w:lineRule="auto" w:before="26"/>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被购买方于购买日可辨认资产、负债" w:id="435"/>
      <w:bookmarkEnd w:id="43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436"/>
      <w:bookmarkEnd w:id="43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是否存在通过多次交易分步实现企业合并且在报告期内取得控制权的交易</w:t>
      </w:r>
    </w:p>
    <w:p>
      <w:pPr>
        <w:pStyle w:val="BodyText"/>
        <w:spacing w:line="240" w:lineRule="auto" w:before="116"/>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5）购买日或合并当期期末无法合理确定合并对价或被购买方可辨认资产、负债公允价值" w:id="437"/>
      <w:bookmarkEnd w:id="43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38"/>
      <w:bookmarkEnd w:id="43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39"/>
      <w:bookmarkEnd w:id="43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40"/>
      <w:bookmarkEnd w:id="440"/>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7" w:hanging="1"/>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441"/>
      <w:bookmarkEnd w:id="441"/>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4"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442"/>
      <w:bookmarkEnd w:id="442"/>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上期期末</w:t>
            </w:r>
          </w:p>
        </w:tc>
      </w:tr>
    </w:tbl>
    <w:p>
      <w:pPr>
        <w:pStyle w:val="BodyText"/>
        <w:spacing w:line="360" w:lineRule="auto" w:before="51"/>
        <w:ind w:left="15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反向购买" w:id="443"/>
      <w:bookmarkEnd w:id="44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left="154" w:right="0"/>
        <w:jc w:val="left"/>
        <w:rPr>
          <w:b w:val="0"/>
          <w:bCs w:val="0"/>
        </w:rPr>
      </w:pPr>
      <w:bookmarkStart w:name="4、处置子公司" w:id="444"/>
      <w:bookmarkEnd w:id="44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5、其他原因的合并范围变动" w:id="445"/>
      <w:bookmarkEnd w:id="44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0" w:hanging="360"/>
        <w:jc w:val="left"/>
      </w:pPr>
      <w:r>
        <w:rPr/>
        <w:t>说明其他原因导致的合并范围变动（如，新设子公司、清算子公司等）及其相关情况： 公司合并财务报表范围较上年同期增加了恒久高新及恒久保理，详情如下：</w:t>
      </w:r>
    </w:p>
    <w:p>
      <w:pPr>
        <w:pStyle w:val="BodyText"/>
        <w:spacing w:line="240" w:lineRule="auto" w:before="144"/>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日公司设立全资子公司苏州恒久高新产业发展有限公司，注册资本</w:t>
      </w:r>
      <w:r>
        <w:rPr>
          <w:rFonts w:ascii="Times New Roman" w:hAnsi="Times New Roman" w:cs="Times New Roman" w:eastAsia="Times New Roman" w:hint="default"/>
        </w:rPr>
        <w:t>5,000</w:t>
      </w:r>
      <w:r>
        <w:rPr/>
        <w:t>万元，公司占其注册资本的</w:t>
      </w:r>
    </w:p>
    <w:p>
      <w:pPr>
        <w:pStyle w:val="BodyText"/>
        <w:spacing w:line="240" w:lineRule="auto" w:before="63"/>
        <w:ind w:left="154" w:right="0"/>
        <w:jc w:val="left"/>
      </w:pPr>
      <w:r>
        <w:rPr>
          <w:rFonts w:ascii="Times New Roman" w:hAnsi="Times New Roman" w:cs="Times New Roman" w:eastAsia="Times New Roman" w:hint="default"/>
        </w:rPr>
        <w:t>100%</w:t>
      </w:r>
      <w:r>
        <w:rPr/>
        <w:t>。期末尚未缴纳出资，该子公司自设立起纳入合并范围。</w:t>
      </w:r>
    </w:p>
    <w:p>
      <w:pPr>
        <w:spacing w:line="240" w:lineRule="auto" w:before="9"/>
        <w:rPr>
          <w:rFonts w:ascii="宋体" w:hAnsi="宋体" w:cs="宋体" w:eastAsia="宋体" w:hint="default"/>
          <w:sz w:val="16"/>
          <w:szCs w:val="16"/>
        </w:rPr>
      </w:pPr>
    </w:p>
    <w:p>
      <w:pPr>
        <w:pStyle w:val="BodyText"/>
        <w:spacing w:line="300" w:lineRule="auto"/>
        <w:ind w:right="0" w:firstLine="36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11</w:t>
      </w:r>
      <w:r>
        <w:rPr>
          <w:spacing w:val="-1"/>
        </w:rPr>
        <w:t>日公司设立全资子公司苏州恒久商业保理有限公司，注册资本</w:t>
      </w:r>
      <w:r>
        <w:rPr>
          <w:rFonts w:ascii="Times New Roman" w:hAnsi="Times New Roman" w:cs="Times New Roman" w:eastAsia="Times New Roman" w:hint="default"/>
          <w:spacing w:val="-1"/>
        </w:rPr>
        <w:t>10,000</w:t>
      </w:r>
      <w:r>
        <w:rPr>
          <w:spacing w:val="-1"/>
        </w:rPr>
        <w:t>万元，公司其注册资本的</w:t>
      </w:r>
      <w:r>
        <w:rPr>
          <w:rFonts w:ascii="Times New Roman" w:hAnsi="Times New Roman" w:cs="Times New Roman" w:eastAsia="Times New Roman" w:hint="default"/>
          <w:spacing w:val="-1"/>
        </w:rPr>
        <w:t>100%</w:t>
      </w:r>
      <w:r>
        <w:rPr>
          <w:spacing w:val="-1"/>
        </w:rPr>
        <w:t>。</w:t>
      </w:r>
      <w:r>
        <w:rPr/>
        <w:t> 期末已实缴出资</w:t>
      </w:r>
      <w:r>
        <w:rPr>
          <w:rFonts w:ascii="Times New Roman" w:hAnsi="Times New Roman" w:cs="Times New Roman" w:eastAsia="Times New Roman" w:hint="default"/>
        </w:rPr>
        <w:t>2,000</w:t>
      </w:r>
      <w:r>
        <w:rPr/>
        <w:t>万元，该子公司自设立起纳入合并范围。</w:t>
      </w:r>
    </w:p>
    <w:p>
      <w:pPr>
        <w:spacing w:line="240" w:lineRule="auto" w:before="1"/>
        <w:rPr>
          <w:rFonts w:ascii="宋体" w:hAnsi="宋体" w:cs="宋体" w:eastAsia="宋体" w:hint="default"/>
          <w:sz w:val="22"/>
          <w:szCs w:val="22"/>
        </w:rPr>
      </w:pPr>
    </w:p>
    <w:p>
      <w:pPr>
        <w:spacing w:line="487" w:lineRule="auto" w:before="0"/>
        <w:ind w:left="154" w:right="7693" w:firstLine="0"/>
        <w:jc w:val="left"/>
        <w:rPr>
          <w:rFonts w:ascii="宋体" w:hAnsi="宋体" w:cs="宋体" w:eastAsia="宋体" w:hint="default"/>
          <w:sz w:val="21"/>
          <w:szCs w:val="21"/>
        </w:rPr>
      </w:pPr>
      <w:bookmarkStart w:name="6、其他" w:id="446"/>
      <w:bookmarkEnd w:id="44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47"/>
      <w:bookmarkEnd w:id="447"/>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48"/>
      <w:bookmarkEnd w:id="44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4" w:right="0"/>
        <w:jc w:val="left"/>
        <w:rPr>
          <w:b w:val="0"/>
          <w:bCs w:val="0"/>
        </w:rPr>
      </w:pPr>
      <w:bookmarkStart w:name="（1）企业集团的构成" w:id="449"/>
      <w:bookmarkEnd w:id="44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62"/>
        <w:gridCol w:w="992"/>
        <w:gridCol w:w="992"/>
        <w:gridCol w:w="1700"/>
        <w:gridCol w:w="852"/>
        <w:gridCol w:w="850"/>
        <w:gridCol w:w="924"/>
      </w:tblGrid>
      <w:tr>
        <w:trPr>
          <w:trHeight w:val="402" w:hRule="exact"/>
        </w:trPr>
        <w:tc>
          <w:tcPr>
            <w:tcW w:w="3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26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苏州吴中恒久光电子科技有限公司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有机光导鼓系列产品 的生产、销售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2"/>
              <w:jc w:val="left"/>
              <w:rPr>
                <w:rFonts w:ascii="Times New Roman" w:hAnsi="Times New Roman" w:cs="Times New Roman" w:eastAsia="Times New Roman" w:hint="default"/>
                <w:sz w:val="18"/>
                <w:szCs w:val="18"/>
              </w:rPr>
            </w:pPr>
            <w:r>
              <w:rPr>
                <w:rFonts w:ascii="Times New Roman"/>
                <w:sz w:val="18"/>
              </w:rPr>
              <w:t>GOLDENGREEN TECHNOLOGIES</w:t>
            </w:r>
            <w:r>
              <w:rPr>
                <w:rFonts w:ascii="Times New Roman"/>
                <w:spacing w:val="-6"/>
                <w:sz w:val="18"/>
              </w:rPr>
              <w:t> </w:t>
            </w:r>
            <w:r>
              <w:rPr>
                <w:rFonts w:ascii="Times New Roman"/>
                <w:sz w:val="18"/>
              </w:rPr>
              <w:t>EU</w:t>
            </w:r>
            <w:r>
              <w:rPr>
                <w:rFonts w:ascii="Times New Roman"/>
                <w:w w:val="99"/>
                <w:sz w:val="18"/>
              </w:rPr>
              <w:t> </w:t>
            </w:r>
            <w:r>
              <w:rPr>
                <w:rFonts w:ascii="Times New Roman"/>
                <w:sz w:val="18"/>
              </w:rPr>
              <w:t>LIMITED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办公设备、部件、耗 材的进出口业务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77"/>
              <w:jc w:val="left"/>
              <w:rPr>
                <w:rFonts w:ascii="Times New Roman" w:hAnsi="Times New Roman" w:cs="Times New Roman" w:eastAsia="Times New Roman" w:hint="default"/>
                <w:sz w:val="18"/>
                <w:szCs w:val="18"/>
              </w:rPr>
            </w:pPr>
            <w:r>
              <w:rPr>
                <w:rFonts w:ascii="Times New Roman"/>
                <w:sz w:val="18"/>
              </w:rPr>
              <w:t>GOLDENGREEN</w:t>
            </w:r>
            <w:r>
              <w:rPr>
                <w:rFonts w:ascii="Times New Roman"/>
                <w:spacing w:val="-6"/>
                <w:sz w:val="18"/>
              </w:rPr>
              <w:t> </w:t>
            </w:r>
            <w:r>
              <w:rPr>
                <w:rFonts w:ascii="Times New Roman"/>
                <w:sz w:val="18"/>
              </w:rPr>
              <w:t>TECHNOLOGIES</w:t>
            </w:r>
            <w:r>
              <w:rPr>
                <w:rFonts w:ascii="Times New Roman"/>
                <w:w w:val="99"/>
                <w:sz w:val="18"/>
              </w:rPr>
              <w:t> </w:t>
            </w:r>
            <w:r>
              <w:rPr>
                <w:rFonts w:ascii="Times New Roman"/>
                <w:sz w:val="18"/>
              </w:rPr>
              <w:t>INTERNATIONAL</w:t>
            </w:r>
            <w:r>
              <w:rPr>
                <w:rFonts w:ascii="Times New Roman"/>
                <w:spacing w:val="-29"/>
                <w:sz w:val="18"/>
              </w:rPr>
              <w:t> </w:t>
            </w:r>
            <w:r>
              <w:rPr>
                <w:rFonts w:ascii="Times New Roman"/>
                <w:sz w:val="18"/>
              </w:rPr>
              <w:t>LIMITED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办公设备、部件、耗 材的进出口业务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GLOBAL IMAGING SYSTEM</w:t>
            </w:r>
            <w:r>
              <w:rPr>
                <w:rFonts w:ascii="Times New Roman"/>
                <w:spacing w:val="-9"/>
                <w:sz w:val="18"/>
              </w:rPr>
              <w:t> </w:t>
            </w:r>
            <w:r>
              <w:rPr>
                <w:rFonts w:ascii="Times New Roman"/>
                <w:sz w:val="18"/>
              </w:rPr>
              <w:t>LIMITED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办公设备、部件、耗 材的进出口业务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苏州恒久数码科技股份有限公司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办公设备、部件、耗 材的生产、销售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以受让应收账款的方 式提供贸易融资等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对高新技术产业和战 略新兴产业进行投资 与管理、实业投资、 股权投资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4" w:right="7692"/>
        <w:jc w:val="left"/>
      </w:pPr>
      <w:r>
        <w:rPr/>
        <w:t>确定公司是代理人还是委托人的依据： 其他说明：</w:t>
      </w:r>
    </w:p>
    <w:p>
      <w:pPr>
        <w:spacing w:after="0" w:line="36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重要的非全资子公司" w:id="450"/>
      <w:bookmarkEnd w:id="45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重要非全资子公司的主要财务信息" w:id="451"/>
      <w:bookmarkEnd w:id="45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52"/>
      <w:bookmarkEnd w:id="45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53"/>
      <w:bookmarkEnd w:id="45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54"/>
      <w:bookmarkEnd w:id="45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子公司所有者权益份额发生变化的情况说明" w:id="455"/>
      <w:bookmarkEnd w:id="45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交易对于少数股东权益及归属于母公司所有者权益的影响" w:id="456"/>
      <w:bookmarkEnd w:id="45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57"/>
      <w:bookmarkEnd w:id="45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58"/>
      <w:bookmarkEnd w:id="45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6"/>
        <w:gridCol w:w="993"/>
        <w:gridCol w:w="850"/>
        <w:gridCol w:w="1418"/>
        <w:gridCol w:w="1417"/>
        <w:gridCol w:w="204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对合营企业或联营企业投</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993"/>
        <w:gridCol w:w="850"/>
        <w:gridCol w:w="1418"/>
        <w:gridCol w:w="708"/>
        <w:gridCol w:w="710"/>
        <w:gridCol w:w="205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3" w:right="0"/>
              <w:jc w:val="left"/>
              <w:rPr>
                <w:rFonts w:ascii="宋体" w:hAnsi="宋体" w:cs="宋体" w:eastAsia="宋体" w:hint="default"/>
                <w:sz w:val="18"/>
                <w:szCs w:val="18"/>
              </w:rPr>
            </w:pPr>
            <w:r>
              <w:rPr>
                <w:rFonts w:ascii="宋体" w:hAnsi="宋体" w:cs="宋体" w:eastAsia="宋体" w:hint="default"/>
                <w:sz w:val="18"/>
                <w:szCs w:val="18"/>
              </w:rPr>
              <w:t>资的会计处理方法</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广东珠海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广东珠海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打印机耗材的生 产、批发、零售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27.50%</w:t>
            </w:r>
          </w:p>
        </w:tc>
        <w:tc>
          <w:tcPr>
            <w:tcW w:w="71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深圳市壹办公科技股份有限公司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打印机耗材的生 产、批发、零售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27.50%</w:t>
            </w:r>
          </w:p>
        </w:tc>
        <w:tc>
          <w:tcPr>
            <w:tcW w:w="71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51"/>
        <w:ind w:left="154" w:right="0"/>
        <w:jc w:val="left"/>
      </w:pPr>
      <w:r>
        <w:rPr/>
        <w:t>在合营企业或联营企业的持股比例不同于表决权比例的说明：</w:t>
      </w:r>
    </w:p>
    <w:p>
      <w:pPr>
        <w:pStyle w:val="BodyText"/>
        <w:spacing w:line="240" w:lineRule="auto" w:before="117"/>
        <w:ind w:left="15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2）重要合营企业的主要财务信息" w:id="459"/>
      <w:bookmarkEnd w:id="45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60"/>
      <w:bookmarkEnd w:id="46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宝利通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壹办公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宝利通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壹办公</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90,875,872.02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105,842,612.66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79,805,773.51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106,461,251.38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2,246,716.38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2,176,131.65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1,697,679.01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1,811,409.97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93,122,588.40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108,018,744.31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81,503,452.52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108,272,661.35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49,429,142.02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64,241,897.56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42,950,065.10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70,086,761.60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61,429,142.02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64,241,897.56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54,950,065.10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70,086,761.60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31,693,446.38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43,776,846.75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26,553,387.41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38,185,899.75</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8,715,697.75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12,038,632.86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7,302,181.54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10,501,122.43</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8,715,697.75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23,519,628.83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7,302,181.54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131,811,615.94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67,321,553.86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118,570,759.46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5,140,058.95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5,590,947.00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2,988,146.40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5,140,058.95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5,590,947.00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2,988,146.40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不重要的合营企业和联营企业的汇总财务信息" w:id="461"/>
      <w:bookmarkEnd w:id="46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62"/>
      <w:bookmarkEnd w:id="46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63"/>
      <w:bookmarkEnd w:id="46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64"/>
      <w:bookmarkEnd w:id="46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65"/>
      <w:bookmarkEnd w:id="46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66"/>
      <w:bookmarkEnd w:id="46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3"/>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67"/>
      <w:bookmarkEnd w:id="46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其他" w:id="468"/>
      <w:bookmarkEnd w:id="468"/>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3"/>
          <w:szCs w:val="23"/>
        </w:rPr>
      </w:pPr>
    </w:p>
    <w:p>
      <w:pPr>
        <w:pStyle w:val="Heading2"/>
        <w:spacing w:line="240" w:lineRule="auto"/>
        <w:ind w:left="154" w:right="0"/>
        <w:jc w:val="left"/>
        <w:rPr>
          <w:b w:val="0"/>
          <w:bCs w:val="0"/>
        </w:rPr>
      </w:pPr>
      <w:bookmarkStart w:name="十、与金融工具相关的风险" w:id="469"/>
      <w:bookmarkEnd w:id="469"/>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1132" w:firstLine="360"/>
        <w:jc w:val="both"/>
      </w:pPr>
      <w:r>
        <w:rPr>
          <w:spacing w:val="-2"/>
        </w:rPr>
        <w:t>本公司董事会全面负责风险管理目标和政策的确定，并对风险管理目标和政策承担最终责任，管理层对这些风险敞口进</w:t>
      </w:r>
      <w:r>
        <w:rPr/>
        <w:t> </w:t>
      </w:r>
      <w:r>
        <w:rPr>
          <w:spacing w:val="-2"/>
        </w:rPr>
        <w:t>行管理和监控以确保将上述风险控制在限定的范围之内。本公司的主要金融工具包括应收账款、应付账款等，各项金融工具</w:t>
      </w:r>
      <w:r>
        <w:rPr>
          <w:spacing w:val="-66"/>
        </w:rPr>
        <w:t> </w:t>
      </w:r>
      <w:r>
        <w:rPr>
          <w:spacing w:val="-66"/>
        </w:rPr>
      </w:r>
      <w:r>
        <w:rPr>
          <w:spacing w:val="-2"/>
        </w:rPr>
        <w:t>的详细情况说明见本节七、合并财务报表项目注释相关项目。与这些金融工具有关的风险，以及本公司为降低这些风险所采</w:t>
      </w:r>
    </w:p>
    <w:p>
      <w:pPr>
        <w:spacing w:after="0" w:line="316" w:lineRule="auto"/>
        <w:jc w:val="both"/>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取的风险管理政策如下所述：</w:t>
      </w:r>
    </w:p>
    <w:p>
      <w:pPr>
        <w:spacing w:line="240" w:lineRule="auto" w:before="0"/>
        <w:rPr>
          <w:rFonts w:ascii="宋体" w:hAnsi="宋体" w:cs="宋体" w:eastAsia="宋体" w:hint="default"/>
          <w:sz w:val="18"/>
          <w:szCs w:val="18"/>
        </w:rPr>
      </w:pPr>
    </w:p>
    <w:p>
      <w:pPr>
        <w:pStyle w:val="BodyText"/>
        <w:spacing w:line="319" w:lineRule="auto" w:before="119"/>
        <w:ind w:right="1131" w:firstLine="360"/>
        <w:jc w:val="both"/>
      </w:pPr>
      <w:r>
        <w:rPr>
          <w:spacing w:val="-2"/>
        </w:rPr>
        <w:t>本公司采用敏感性分析技术分析风险变量的合理性、可能变化对当期损益或股东权益可能产生的影响。由于任何风险变</w:t>
      </w:r>
      <w:r>
        <w:rPr/>
        <w:t> </w:t>
      </w:r>
      <w:r>
        <w:rPr>
          <w:spacing w:val="-2"/>
        </w:rPr>
        <w:t>量很少孤立地发生变化，而变量之间存在的相关性对某一风险变量的变化的最终影响金额将产生重大作用，因此下述内容是</w:t>
      </w:r>
      <w:r>
        <w:rPr>
          <w:spacing w:val="-64"/>
        </w:rPr>
        <w:t> </w:t>
      </w:r>
      <w:r>
        <w:rPr>
          <w:spacing w:val="-64"/>
        </w:rPr>
      </w:r>
      <w:r>
        <w:rPr/>
        <w:t>在假设每一变量的变化是在独立的情况下进行的。</w:t>
      </w:r>
    </w:p>
    <w:p>
      <w:pPr>
        <w:spacing w:line="240" w:lineRule="auto" w:before="9"/>
        <w:rPr>
          <w:rFonts w:ascii="宋体" w:hAnsi="宋体" w:cs="宋体" w:eastAsia="宋体" w:hint="default"/>
          <w:sz w:val="22"/>
          <w:szCs w:val="22"/>
        </w:rPr>
      </w:pPr>
    </w:p>
    <w:p>
      <w:pPr>
        <w:pStyle w:val="BodyText"/>
        <w:spacing w:line="319" w:lineRule="auto"/>
        <w:ind w:right="0" w:firstLine="360"/>
        <w:jc w:val="left"/>
      </w:pPr>
      <w:r>
        <w:rPr/>
        <w:t>本公司从事风险管理的目标是在风险和收益之间取得适当的平衡，将风险对本公司经营业绩的负面影响降低到最低水 </w:t>
      </w:r>
      <w:r>
        <w:rPr>
          <w:spacing w:val="-2"/>
        </w:rPr>
        <w:t>平，使股东及其他权益投资者的利益最大化。基于该风险管理目标，本公司风险管理的基本策略是确定和分析本公司所面临</w:t>
      </w:r>
      <w:r>
        <w:rPr>
          <w:spacing w:val="-66"/>
        </w:rPr>
        <w:t> </w:t>
      </w:r>
      <w:r>
        <w:rPr>
          <w:spacing w:val="-66"/>
        </w:rPr>
      </w:r>
      <w:r>
        <w:rPr>
          <w:spacing w:val="-2"/>
        </w:rPr>
        <w:t>的各种风险，建立适当的风险承受底线和进行风险管理，并及时可靠地对各种风险进行监督，在不过度影响公司竞争力和应</w:t>
      </w:r>
      <w:r>
        <w:rPr>
          <w:spacing w:val="-66"/>
        </w:rPr>
        <w:t> </w:t>
      </w:r>
      <w:r>
        <w:rPr>
          <w:spacing w:val="-66"/>
        </w:rPr>
      </w:r>
      <w:r>
        <w:rPr/>
        <w:t>变力的情况下，制定尽可能降低风险的风险管理政策。</w:t>
      </w:r>
    </w:p>
    <w:p>
      <w:pPr>
        <w:pStyle w:val="BodyText"/>
        <w:spacing w:line="590" w:lineRule="exact" w:before="35"/>
        <w:ind w:left="513" w:right="0" w:firstLine="1"/>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信用风险</w:t>
      </w:r>
      <w:r>
        <w:rPr>
          <w:rFonts w:ascii="宋体" w:hAnsi="宋体" w:cs="宋体" w:eastAsia="宋体" w:hint="default"/>
          <w:b/>
          <w:bCs/>
          <w:w w:val="99"/>
        </w:rPr>
        <w:t> </w:t>
      </w:r>
      <w:r>
        <w:rPr>
          <w:spacing w:val="-4"/>
        </w:rPr>
        <w:t>信用风险是指金融工具的一方不履行义务，造成另一方发生财务损失的风险。本公司主要面临赊销导致的客户信用风险。</w:t>
      </w:r>
    </w:p>
    <w:p>
      <w:pPr>
        <w:pStyle w:val="BodyText"/>
        <w:spacing w:line="219" w:lineRule="exact"/>
        <w:ind w:right="0"/>
        <w:jc w:val="left"/>
      </w:pPr>
      <w:r>
        <w:rPr/>
        <w:t>在签订新合同之前，本公司会对新客户的信用风险进行评估，包括外部信用评级和在某些情况下的银行资信证明（当此信息</w:t>
      </w:r>
    </w:p>
    <w:p>
      <w:pPr>
        <w:pStyle w:val="BodyText"/>
        <w:spacing w:line="240" w:lineRule="auto" w:before="77"/>
        <w:ind w:right="0"/>
        <w:jc w:val="left"/>
      </w:pPr>
      <w:r>
        <w:rPr/>
        <w:t>可获取时）。公司对每一客户均设置了赊销限额，该限额为无需获得额外批准的最大额度。</w:t>
      </w:r>
    </w:p>
    <w:p>
      <w:pPr>
        <w:spacing w:line="240" w:lineRule="auto" w:before="0"/>
        <w:rPr>
          <w:rFonts w:ascii="宋体" w:hAnsi="宋体" w:cs="宋体" w:eastAsia="宋体" w:hint="default"/>
          <w:sz w:val="18"/>
          <w:szCs w:val="18"/>
        </w:rPr>
      </w:pPr>
    </w:p>
    <w:p>
      <w:pPr>
        <w:pStyle w:val="BodyText"/>
        <w:spacing w:line="307" w:lineRule="auto" w:before="120"/>
        <w:ind w:left="154" w:right="0" w:firstLine="360"/>
        <w:jc w:val="left"/>
      </w:pP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日，公司应收账款（销售货款）净额为</w:t>
      </w:r>
      <w:r>
        <w:rPr>
          <w:rFonts w:ascii="Times New Roman" w:hAnsi="Times New Roman" w:cs="Times New Roman" w:eastAsia="Times New Roman" w:hint="default"/>
          <w:spacing w:val="-2"/>
        </w:rPr>
        <w:t>6,839.23</w:t>
      </w:r>
      <w:r>
        <w:rPr>
          <w:spacing w:val="-2"/>
        </w:rPr>
        <w:t>万元，账龄在</w:t>
      </w:r>
      <w:r>
        <w:rPr>
          <w:rFonts w:ascii="Times New Roman" w:hAnsi="Times New Roman" w:cs="Times New Roman" w:eastAsia="Times New Roman" w:hint="default"/>
          <w:spacing w:val="-2"/>
        </w:rPr>
        <w:t>1</w:t>
      </w:r>
      <w:r>
        <w:rPr>
          <w:spacing w:val="-2"/>
        </w:rPr>
        <w:t>年以内的应收账款（销售货款）占比为</w:t>
      </w:r>
      <w:r>
        <w:rPr/>
        <w:t> </w:t>
      </w:r>
      <w:r>
        <w:rPr>
          <w:rFonts w:ascii="Times New Roman" w:hAnsi="Times New Roman" w:cs="Times New Roman" w:eastAsia="Times New Roman" w:hint="default"/>
        </w:rPr>
        <w:t>95.46%</w:t>
      </w:r>
      <w:r>
        <w:rPr/>
        <w:t>。公司应收账款的主要客户为常年销售客户，资金回收较为可靠，且公司历史上也没有发生过重大坏账损失，同时 </w:t>
      </w:r>
      <w:r>
        <w:rPr>
          <w:spacing w:val="-2"/>
        </w:rPr>
        <w:t>公司本着谨慎性原则对应收账款提取了坏账准备。但是，若客户在政策环境、业务经营等方面发生重大不利变化，公司应收</w:t>
      </w:r>
      <w:r>
        <w:rPr>
          <w:spacing w:val="-66"/>
        </w:rPr>
        <w:t> </w:t>
      </w:r>
      <w:r>
        <w:rPr>
          <w:spacing w:val="-66"/>
        </w:rPr>
      </w:r>
      <w:r>
        <w:rPr/>
        <w:t>账款仍存在发生坏账的风险，对公司资产质量以及财务状况将产生不利影响。</w:t>
      </w:r>
    </w:p>
    <w:p>
      <w:pPr>
        <w:spacing w:line="240" w:lineRule="auto" w:before="3"/>
        <w:rPr>
          <w:rFonts w:ascii="宋体" w:hAnsi="宋体" w:cs="宋体" w:eastAsia="宋体" w:hint="default"/>
          <w:sz w:val="23"/>
          <w:szCs w:val="23"/>
        </w:rPr>
      </w:pPr>
    </w:p>
    <w:p>
      <w:pPr>
        <w:pStyle w:val="BodyText"/>
        <w:spacing w:line="309" w:lineRule="auto"/>
        <w:ind w:left="154" w:right="1131" w:firstLine="360"/>
        <w:jc w:val="both"/>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日，公司应收账款（保理款）净额为</w:t>
      </w:r>
      <w:r>
        <w:rPr>
          <w:rFonts w:ascii="Times New Roman" w:hAnsi="Times New Roman" w:cs="Times New Roman" w:eastAsia="Times New Roman" w:hint="default"/>
        </w:rPr>
        <w:t>597</w:t>
      </w:r>
      <w:r>
        <w:rPr/>
        <w:t>万元，风险类别为正常类（未逾期）的应收账款（保理款） 占比为</w:t>
      </w:r>
      <w:r>
        <w:rPr>
          <w:rFonts w:ascii="Times New Roman" w:hAnsi="Times New Roman" w:cs="Times New Roman" w:eastAsia="Times New Roman" w:hint="default"/>
        </w:rPr>
        <w:t>100%</w:t>
      </w:r>
      <w:r>
        <w:rPr/>
        <w:t>。应收账款转让与受让是保理业务的核心，公司主要通过受让应收账款的方式，并依据商务合同按期支付应收 </w:t>
      </w:r>
      <w:r>
        <w:rPr>
          <w:spacing w:val="-2"/>
        </w:rPr>
        <w:t>款项，保证保理款资金回收的可靠性。但是应收账款的贸易背景真实性和合法性存在问题，或因应收账款被设定限制条件或</w:t>
      </w:r>
      <w:r>
        <w:rPr>
          <w:spacing w:val="-66"/>
        </w:rPr>
        <w:t> </w:t>
      </w:r>
      <w:r>
        <w:rPr>
          <w:spacing w:val="-66"/>
        </w:rPr>
      </w:r>
      <w:r>
        <w:rPr>
          <w:spacing w:val="-2"/>
        </w:rPr>
        <w:t>商务合同中存在争议、瑕疵等因素，导致受让的应收账款债权存在缺陷，影响公司到期足额收回保理款项，存在发生额坏账</w:t>
      </w:r>
      <w:r>
        <w:rPr>
          <w:spacing w:val="-66"/>
        </w:rPr>
        <w:t> </w:t>
      </w:r>
      <w:r>
        <w:rPr>
          <w:spacing w:val="-66"/>
        </w:rPr>
      </w:r>
      <w:r>
        <w:rPr/>
        <w:t>的风险，对公司资产质量及财务状况将产生不利影响。</w:t>
      </w:r>
    </w:p>
    <w:p>
      <w:pPr>
        <w:pStyle w:val="BodyText"/>
        <w:spacing w:line="592" w:lineRule="exact" w:before="40"/>
        <w:ind w:left="514" w:right="1118" w:firstLine="1"/>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220" w:lineRule="exact"/>
        <w:ind w:left="154" w:right="0"/>
        <w:jc w:val="left"/>
      </w:pPr>
      <w:r>
        <w:rPr/>
        <w:t>率风险和其他价格风险。</w:t>
      </w:r>
    </w:p>
    <w:p>
      <w:pPr>
        <w:spacing w:line="240" w:lineRule="auto" w:before="0"/>
        <w:rPr>
          <w:rFonts w:ascii="宋体" w:hAnsi="宋体" w:cs="宋体" w:eastAsia="宋体" w:hint="default"/>
          <w:sz w:val="18"/>
          <w:szCs w:val="18"/>
        </w:rPr>
      </w:pPr>
    </w:p>
    <w:p>
      <w:pPr>
        <w:pStyle w:val="BodyText"/>
        <w:spacing w:line="568" w:lineRule="auto" w:before="120"/>
        <w:ind w:left="514" w:right="1932"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）利率风险</w:t>
      </w:r>
      <w:r>
        <w:rPr>
          <w:rFonts w:ascii="宋体" w:hAnsi="宋体" w:cs="宋体" w:eastAsia="宋体" w:hint="default"/>
          <w:b/>
          <w:bCs/>
          <w:w w:val="99"/>
        </w:rPr>
        <w:t> </w:t>
      </w:r>
      <w:r>
        <w:rPr/>
        <w:t>利率风险，是指金融工具的公允价值或未来现金流量因市场利率变动而发生波动的风险。公司期末无借款。</w:t>
      </w:r>
    </w:p>
    <w:p>
      <w:pPr>
        <w:pStyle w:val="Heading4"/>
        <w:spacing w:line="240" w:lineRule="auto" w:before="110"/>
        <w:ind w:right="0"/>
        <w:jc w:val="left"/>
        <w:rPr>
          <w:b w:val="0"/>
          <w:bCs w:val="0"/>
        </w:rPr>
      </w:pPr>
      <w:r>
        <w:rPr/>
        <w:t>（</w:t>
      </w:r>
      <w:r>
        <w:rPr>
          <w:rFonts w:ascii="Times New Roman" w:hAnsi="Times New Roman" w:cs="Times New Roman" w:eastAsia="Times New Roman" w:hint="default"/>
        </w:rPr>
        <w:t>2</w:t>
      </w:r>
      <w:r>
        <w:rPr/>
        <w:t>）汇率风险</w:t>
      </w:r>
      <w:r>
        <w:rPr>
          <w:b w:val="0"/>
          <w:bCs w:val="0"/>
        </w:rPr>
      </w:r>
    </w:p>
    <w:p>
      <w:pPr>
        <w:spacing w:line="240" w:lineRule="auto" w:before="1"/>
        <w:rPr>
          <w:rFonts w:ascii="宋体" w:hAnsi="宋体" w:cs="宋体" w:eastAsia="宋体" w:hint="default"/>
          <w:b/>
          <w:bCs/>
          <w:sz w:val="26"/>
          <w:szCs w:val="26"/>
        </w:rPr>
      </w:pPr>
    </w:p>
    <w:p>
      <w:pPr>
        <w:pStyle w:val="BodyText"/>
        <w:spacing w:line="319" w:lineRule="auto"/>
        <w:ind w:left="154" w:right="0" w:firstLine="360"/>
        <w:jc w:val="left"/>
      </w:pPr>
      <w:r>
        <w:rPr>
          <w:spacing w:val="-2"/>
        </w:rPr>
        <w:t>汇率风险，是指金融工具的公允价值或未来现金流量因外汇汇率变动而发生波动的风险。本公司尽可能将外币收入与外</w:t>
      </w:r>
      <w:r>
        <w:rPr/>
        <w:t> 币支出相匹配以降低汇率风险。此外，公司本期远期外汇合约或货币互换合约以达到规避汇率风险的目的。</w:t>
      </w:r>
    </w:p>
    <w:p>
      <w:pPr>
        <w:spacing w:line="240" w:lineRule="auto" w:before="8"/>
        <w:rPr>
          <w:rFonts w:ascii="宋体" w:hAnsi="宋体" w:cs="宋体" w:eastAsia="宋体" w:hint="default"/>
          <w:sz w:val="22"/>
          <w:szCs w:val="22"/>
        </w:rPr>
      </w:pPr>
    </w:p>
    <w:p>
      <w:pPr>
        <w:pStyle w:val="BodyText"/>
        <w:spacing w:line="319" w:lineRule="auto"/>
        <w:ind w:right="1118" w:firstLine="360"/>
        <w:jc w:val="left"/>
      </w:pPr>
      <w:r>
        <w:rPr>
          <w:spacing w:val="-2"/>
        </w:rPr>
        <w:t>本公司面临的汇率风险主要来源于以美元计价的金融资产和金融负债，外币金融资产和外币金融负债折算成人民币的金</w:t>
      </w:r>
      <w:r>
        <w:rPr/>
        <w:t> 额列示如下：</w:t>
      </w:r>
    </w:p>
    <w:p>
      <w:pPr>
        <w:spacing w:line="240" w:lineRule="auto" w:before="11"/>
        <w:rPr>
          <w:rFonts w:ascii="宋体" w:hAnsi="宋体" w:cs="宋体" w:eastAsia="宋体" w:hint="default"/>
          <w:sz w:val="21"/>
          <w:szCs w:val="21"/>
        </w:rPr>
      </w:pPr>
    </w:p>
    <w:tbl>
      <w:tblPr>
        <w:tblW w:w="0" w:type="auto"/>
        <w:jc w:val="left"/>
        <w:tblInd w:w="433" w:type="dxa"/>
        <w:tblLayout w:type="fixed"/>
        <w:tblCellMar>
          <w:top w:w="0" w:type="dxa"/>
          <w:left w:w="0" w:type="dxa"/>
          <w:bottom w:w="0" w:type="dxa"/>
          <w:right w:w="0" w:type="dxa"/>
        </w:tblCellMar>
        <w:tblLook w:val="01E0"/>
      </w:tblPr>
      <w:tblGrid>
        <w:gridCol w:w="2410"/>
        <w:gridCol w:w="6663"/>
      </w:tblGrid>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433" w:type="dxa"/>
        <w:tblLayout w:type="fixed"/>
        <w:tblCellMar>
          <w:top w:w="0" w:type="dxa"/>
          <w:left w:w="0" w:type="dxa"/>
          <w:bottom w:w="0" w:type="dxa"/>
          <w:right w:w="0" w:type="dxa"/>
        </w:tblCellMar>
        <w:tblLook w:val="01E0"/>
      </w:tblPr>
      <w:tblGrid>
        <w:gridCol w:w="2410"/>
        <w:gridCol w:w="1559"/>
        <w:gridCol w:w="1843"/>
        <w:gridCol w:w="3261"/>
      </w:tblGrid>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美元</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4" w:right="0"/>
              <w:jc w:val="left"/>
              <w:rPr>
                <w:rFonts w:ascii="宋体" w:hAnsi="宋体" w:cs="宋体" w:eastAsia="宋体" w:hint="default"/>
                <w:sz w:val="18"/>
                <w:szCs w:val="18"/>
              </w:rPr>
            </w:pPr>
            <w:r>
              <w:rPr>
                <w:rFonts w:ascii="宋体" w:hAnsi="宋体" w:cs="宋体" w:eastAsia="宋体" w:hint="default"/>
                <w:b/>
                <w:bCs/>
                <w:sz w:val="18"/>
                <w:szCs w:val="18"/>
              </w:rPr>
              <w:t>其他外币</w:t>
            </w:r>
            <w:r>
              <w:rPr>
                <w:rFonts w:ascii="宋体" w:hAnsi="宋体" w:cs="宋体" w:eastAsia="宋体" w:hint="default"/>
                <w:sz w:val="18"/>
                <w:szCs w:val="18"/>
              </w:rPr>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15,521,147.82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212,848.70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15,733,996.52</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3,093,259.69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44,320.44</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3,137,580.13</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157,759.51</w:t>
            </w:r>
          </w:p>
        </w:tc>
        <w:tc>
          <w:tcPr>
            <w:tcW w:w="1843"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157,759.51</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10,437.98</w:t>
            </w:r>
          </w:p>
        </w:tc>
        <w:tc>
          <w:tcPr>
            <w:tcW w:w="1843"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10,437.98</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远期外汇吊期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4,950,000.00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4,950,000.00</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货币互换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2,000,000.00</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25,732,605.00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257,169.14</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25,989,774.14</w:t>
            </w:r>
          </w:p>
        </w:tc>
      </w:tr>
    </w:tbl>
    <w:p>
      <w:pPr>
        <w:pStyle w:val="BodyText"/>
        <w:spacing w:line="300" w:lineRule="auto" w:before="10"/>
        <w:ind w:left="513" w:right="1118" w:hanging="36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流动性风险</w:t>
      </w:r>
      <w:r>
        <w:rPr>
          <w:w w:val="99"/>
        </w:rPr>
        <w:t> </w:t>
      </w:r>
      <w:r>
        <w:rPr>
          <w:spacing w:val="-2"/>
        </w:rPr>
        <w:t>流动性风险，是指企业在履行以交付现金或其他金融资产的方式结算的义务时发生资金短缺的风险。本公司的政策是确</w:t>
      </w:r>
    </w:p>
    <w:p>
      <w:pPr>
        <w:pStyle w:val="BodyText"/>
        <w:spacing w:line="316" w:lineRule="auto" w:before="31"/>
        <w:ind w:right="0"/>
        <w:jc w:val="left"/>
      </w:pPr>
      <w:r>
        <w:rPr>
          <w:spacing w:val="-2"/>
        </w:rPr>
        <w:t>保拥有充足的现金以偿还到期债务。流动性风险由本公司的财务部门集中控制。财务部门通过监控现金余额、可随时变现的</w:t>
      </w:r>
      <w:r>
        <w:rPr>
          <w:spacing w:val="-66"/>
        </w:rPr>
        <w:t> </w:t>
      </w:r>
      <w:r>
        <w:rPr>
          <w:spacing w:val="-66"/>
        </w:rPr>
      </w:r>
      <w:r>
        <w:rPr/>
        <w:t>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一、公允价值的披露" w:id="470"/>
      <w:bookmarkEnd w:id="470"/>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71"/>
      <w:bookmarkEnd w:id="47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2129"/>
        <w:gridCol w:w="1985"/>
        <w:gridCol w:w="1984"/>
        <w:gridCol w:w="1490"/>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88"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9"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49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05"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25"/>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2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0" w:right="0"/>
              <w:jc w:val="left"/>
              <w:rPr>
                <w:rFonts w:ascii="Times New Roman" w:hAnsi="Times New Roman" w:cs="Times New Roman" w:eastAsia="Times New Roman" w:hint="default"/>
                <w:sz w:val="18"/>
                <w:szCs w:val="18"/>
              </w:rPr>
            </w:pPr>
            <w:r>
              <w:rPr>
                <w:rFonts w:ascii="Times New Roman"/>
                <w:sz w:val="18"/>
              </w:rPr>
              <w:t>45,627,400.00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45,627,400.00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2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50" w:right="0"/>
              <w:jc w:val="left"/>
              <w:rPr>
                <w:rFonts w:ascii="Times New Roman" w:hAnsi="Times New Roman" w:cs="Times New Roman" w:eastAsia="Times New Roman" w:hint="default"/>
                <w:sz w:val="18"/>
                <w:szCs w:val="18"/>
              </w:rPr>
            </w:pPr>
            <w:r>
              <w:rPr>
                <w:rFonts w:ascii="Times New Roman"/>
                <w:sz w:val="18"/>
              </w:rPr>
              <w:t>45,627,400.00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45,627,400.00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2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50" w:right="0"/>
              <w:jc w:val="left"/>
              <w:rPr>
                <w:rFonts w:ascii="Times New Roman" w:hAnsi="Times New Roman" w:cs="Times New Roman" w:eastAsia="Times New Roman" w:hint="default"/>
                <w:sz w:val="18"/>
                <w:szCs w:val="18"/>
              </w:rPr>
            </w:pPr>
            <w:r>
              <w:rPr>
                <w:rFonts w:ascii="Times New Roman"/>
                <w:sz w:val="18"/>
              </w:rPr>
              <w:t>45,627,400.00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45,627,400.00</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2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0" w:right="0"/>
              <w:jc w:val="left"/>
              <w:rPr>
                <w:rFonts w:ascii="Times New Roman" w:hAnsi="Times New Roman" w:cs="Times New Roman" w:eastAsia="Times New Roman" w:hint="default"/>
                <w:sz w:val="18"/>
                <w:szCs w:val="18"/>
              </w:rPr>
            </w:pPr>
            <w:r>
              <w:rPr>
                <w:rFonts w:ascii="Times New Roman"/>
                <w:sz w:val="18"/>
              </w:rPr>
              <w:t>45,627,400.00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45,627,400.00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2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71" w:type="dxa"/>
            <w:vMerge/>
            <w:tcBorders>
              <w:left w:val="single" w:sz="4" w:space="0" w:color="000000"/>
              <w:right w:val="single" w:sz="4" w:space="0" w:color="000000"/>
            </w:tcBorders>
            <w:shd w:val="clear" w:color="auto" w:fill="D2D2D2"/>
          </w:tcPr>
          <w:p>
            <w:pPr/>
          </w:p>
        </w:tc>
        <w:tc>
          <w:tcPr>
            <w:tcW w:w="21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05"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925"/>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2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0"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持续和非持续第一层次公允价值计量项目市价的确定依据" w:id="472"/>
      <w:bookmarkEnd w:id="47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业务办理所在银行的相同类别产品远期结汇价格。</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持续和非持续第二层次公允价值计量项目，采用的估值技术和重要参数的定性及定量信" w:id="473"/>
      <w:bookmarkEnd w:id="473"/>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74"/>
      <w:bookmarkEnd w:id="474"/>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5、持续的第三层次公允价值计量项目，期初与期末账面价值间的调节信息及不可观察参数" w:id="475"/>
      <w:bookmarkEnd w:id="475"/>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持续的公允价值计量项目，本期内发生各层级之间转换的，转换的原因及确定转换时点" w:id="476"/>
      <w:bookmarkEnd w:id="476"/>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7、本期内发生的估值技术变更及变更原因" w:id="477"/>
      <w:bookmarkEnd w:id="477"/>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不以公允价值计量的金融资产和金融负债的公允价值情况" w:id="478"/>
      <w:bookmarkEnd w:id="478"/>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479"/>
      <w:bookmarkEnd w:id="47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80"/>
      <w:bookmarkEnd w:id="48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81"/>
      <w:bookmarkEnd w:id="48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left="154" w:right="8412"/>
        <w:jc w:val="left"/>
      </w:pPr>
      <w:r>
        <w:rPr/>
        <w:t>本企业的母公司情况的说明 本企业最终控制方是余荣清。 其他说明：</w:t>
      </w:r>
    </w:p>
    <w:p>
      <w:pPr>
        <w:pStyle w:val="BodyText"/>
        <w:spacing w:line="300" w:lineRule="auto" w:before="25"/>
        <w:ind w:right="1198" w:firstLine="360"/>
        <w:jc w:val="left"/>
      </w:pPr>
      <w:r>
        <w:rPr/>
        <w:t>余荣清为本公司控股股东、实际控制人，直接持有本公司</w:t>
      </w:r>
      <w:r>
        <w:rPr>
          <w:rFonts w:ascii="Times New Roman" w:hAnsi="Times New Roman" w:cs="Times New Roman" w:eastAsia="Times New Roman" w:hint="default"/>
        </w:rPr>
        <w:t>39.52%</w:t>
      </w:r>
      <w:r>
        <w:rPr/>
        <w:t>的股份；同时通过苏州恒久荣盛科技投资有限公司间 接持有本公司</w:t>
      </w:r>
      <w:r>
        <w:rPr>
          <w:rFonts w:ascii="Times New Roman" w:hAnsi="Times New Roman" w:cs="Times New Roman" w:eastAsia="Times New Roman" w:hint="default"/>
        </w:rPr>
        <w:t>4.31%</w:t>
      </w:r>
      <w:r>
        <w:rPr/>
        <w:t>的股份。</w:t>
      </w:r>
    </w:p>
    <w:p>
      <w:pPr>
        <w:spacing w:line="240" w:lineRule="auto" w:before="1"/>
        <w:rPr>
          <w:rFonts w:ascii="宋体" w:hAnsi="宋体" w:cs="宋体" w:eastAsia="宋体" w:hint="default"/>
          <w:sz w:val="22"/>
          <w:szCs w:val="22"/>
        </w:rPr>
      </w:pPr>
    </w:p>
    <w:p>
      <w:pPr>
        <w:pStyle w:val="Heading3"/>
        <w:spacing w:line="240" w:lineRule="auto"/>
        <w:ind w:left="154" w:right="0"/>
        <w:jc w:val="left"/>
        <w:rPr>
          <w:b w:val="0"/>
          <w:bCs w:val="0"/>
        </w:rPr>
      </w:pPr>
      <w:bookmarkStart w:name="2、本企业的子公司情况" w:id="482"/>
      <w:bookmarkEnd w:id="482"/>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本企业子公司的情况详见附注九、在其他主体中的权益。</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本企业合营和联营企业情况" w:id="483"/>
      <w:bookmarkEnd w:id="483"/>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深圳市壹办公科技股份有限公司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r>
    </w:tbl>
    <w:p>
      <w:pPr>
        <w:pStyle w:val="BodyText"/>
        <w:spacing w:line="240" w:lineRule="auto" w:before="68"/>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84"/>
      <w:bookmarkEnd w:id="48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本公司参股公司</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85"/>
      <w:bookmarkEnd w:id="48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486"/>
      <w:bookmarkEnd w:id="48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418"/>
        <w:gridCol w:w="1134"/>
        <w:gridCol w:w="1559"/>
        <w:gridCol w:w="1702"/>
        <w:gridCol w:w="1063"/>
      </w:tblGrid>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硒鼓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3,125,839.31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深圳市壹办公科技股份有限公司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硒鼓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0" w:right="0"/>
              <w:jc w:val="left"/>
              <w:rPr>
                <w:rFonts w:ascii="Times New Roman" w:hAnsi="Times New Roman" w:cs="Times New Roman" w:eastAsia="Times New Roman" w:hint="default"/>
                <w:sz w:val="18"/>
                <w:szCs w:val="18"/>
              </w:rPr>
            </w:pPr>
            <w:r>
              <w:rPr>
                <w:rFonts w:ascii="Times New Roman"/>
                <w:sz w:val="18"/>
              </w:rPr>
              <w:t>1,230.77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硒鼓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7,343,147.29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Times New Roman" w:hAnsi="Times New Roman" w:cs="Times New Roman" w:eastAsia="Times New Roman" w:hint="default"/>
                <w:sz w:val="18"/>
                <w:szCs w:val="18"/>
              </w:rPr>
            </w:pPr>
            <w:r>
              <w:rPr>
                <w:rFonts w:ascii="Times New Roman"/>
                <w:sz w:val="18"/>
              </w:rPr>
              <w:t>3,028,793.92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2,353,319.78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硒鼓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4,923,614.59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Times New Roman" w:hAnsi="Times New Roman" w:cs="Times New Roman" w:eastAsia="Times New Roman" w:hint="default"/>
                <w:sz w:val="18"/>
                <w:szCs w:val="18"/>
              </w:rPr>
            </w:pPr>
            <w:r>
              <w:rPr>
                <w:rFonts w:ascii="Times New Roman"/>
                <w:sz w:val="18"/>
              </w:rPr>
              <w:t>5,447,007.63</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962"/>
        <w:gridCol w:w="2260"/>
        <w:gridCol w:w="265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光导鼓</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7,309,895.10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6,352,962.50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深圳市壹办公科技股份有限公司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光导鼓</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14,113,566.00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光导鼓</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10,128,883.42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4,783,604.10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光导鼓</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933,075.69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1,565,434.19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光导鼓</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1,782.05</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关联受托管理/承包及委托管理/出包情况" w:id="487"/>
      <w:bookmarkEnd w:id="48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pStyle w:val="BodyText"/>
        <w:spacing w:line="338" w:lineRule="auto" w:before="52"/>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3）关联租赁情况" w:id="488"/>
      <w:bookmarkEnd w:id="48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关联担保情况" w:id="489"/>
      <w:bookmarkEnd w:id="48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54"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关联方资金拆借" w:id="490"/>
      <w:bookmarkEnd w:id="49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联方资产转让、债务重组情况" w:id="491"/>
      <w:bookmarkEnd w:id="49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键管理人员报酬" w:id="492"/>
      <w:bookmarkEnd w:id="49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8）其他关联交易" w:id="493"/>
      <w:bookmarkEnd w:id="49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以受让应收账款的方式提供贸易融资</w:t>
      </w:r>
    </w:p>
    <w:p>
      <w:pPr>
        <w:spacing w:line="240" w:lineRule="auto" w:before="13"/>
        <w:rPr>
          <w:rFonts w:ascii="宋体" w:hAnsi="宋体" w:cs="宋体" w:eastAsia="宋体" w:hint="default"/>
          <w:sz w:val="16"/>
          <w:szCs w:val="16"/>
        </w:rPr>
      </w:pPr>
    </w:p>
    <w:tbl>
      <w:tblPr>
        <w:tblW w:w="0" w:type="auto"/>
        <w:jc w:val="left"/>
        <w:tblInd w:w="755" w:type="dxa"/>
        <w:tblLayout w:type="fixed"/>
        <w:tblCellMar>
          <w:top w:w="0" w:type="dxa"/>
          <w:left w:w="0" w:type="dxa"/>
          <w:bottom w:w="0" w:type="dxa"/>
          <w:right w:w="0" w:type="dxa"/>
        </w:tblCellMar>
        <w:tblLook w:val="01E0"/>
      </w:tblPr>
      <w:tblGrid>
        <w:gridCol w:w="3378"/>
        <w:gridCol w:w="1372"/>
        <w:gridCol w:w="1531"/>
        <w:gridCol w:w="1533"/>
      </w:tblGrid>
      <w:tr>
        <w:trPr>
          <w:trHeight w:val="498"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8"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应收账款保理</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6,000,000.00</w:t>
            </w:r>
          </w:p>
        </w:tc>
        <w:tc>
          <w:tcPr>
            <w:tcW w:w="153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10"/>
        <w:ind w:right="0"/>
        <w:jc w:val="left"/>
      </w:pPr>
      <w:r>
        <w:rPr>
          <w:spacing w:val="-1"/>
        </w:rPr>
        <w:t>注：珠海东越数码科技有限公司将应收珠海天威数码打印耗材有限公司等公司的款项合计</w:t>
      </w:r>
      <w:r>
        <w:rPr>
          <w:rFonts w:ascii="Times New Roman" w:hAnsi="Times New Roman" w:cs="Times New Roman" w:eastAsia="Times New Roman" w:hint="default"/>
          <w:spacing w:val="-1"/>
        </w:rPr>
        <w:t>784.94</w:t>
      </w:r>
      <w:r>
        <w:rPr>
          <w:spacing w:val="-1"/>
        </w:rPr>
        <w:t>万元转让给苏州恒久商业保</w:t>
      </w:r>
      <w:r>
        <w:rPr>
          <w:spacing w:val="-72"/>
        </w:rPr>
        <w:t> </w:t>
      </w:r>
      <w:r>
        <w:rPr>
          <w:spacing w:val="-72"/>
        </w:rPr>
      </w:r>
      <w:r>
        <w:rPr/>
        <w:t>理有限公司，并从苏州恒久商业保理有限公司获得</w:t>
      </w:r>
      <w:r>
        <w:rPr>
          <w:rFonts w:ascii="Times New Roman" w:hAnsi="Times New Roman" w:cs="Times New Roman" w:eastAsia="Times New Roman" w:hint="default"/>
        </w:rPr>
        <w:t>600</w:t>
      </w:r>
      <w:r>
        <w:rPr/>
        <w:t>万元有追索权的保理款。</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6、关联方应收应付款项" w:id="494"/>
      <w:bookmarkEnd w:id="49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95"/>
      <w:bookmarkEnd w:id="49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2836"/>
        <w:gridCol w:w="1559"/>
        <w:gridCol w:w="1418"/>
        <w:gridCol w:w="1559"/>
        <w:gridCol w:w="1344"/>
      </w:tblGrid>
      <w:tr>
        <w:trPr>
          <w:trHeight w:val="402"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2836"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3,384,525.33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169,226.27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2,053,859.84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102,692.99</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深圳市壹办公科技股份有限公司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1,969,586.27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98,479.31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5,974,112.97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298,705.65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17,464,391.36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603,219.57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7,743,131.56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494,472.32</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1,056,967.87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52,848.39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2,384,139.27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164,876.73</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1,502,284.46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5,935,151.73</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487,705.63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项目" w:id="496"/>
      <w:bookmarkEnd w:id="49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7,982.90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138,846.91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128,203.85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7、关联方承诺" w:id="497"/>
      <w:bookmarkEnd w:id="49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98"/>
      <w:bookmarkEnd w:id="49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99"/>
      <w:bookmarkEnd w:id="499"/>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500"/>
      <w:bookmarkEnd w:id="50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501"/>
      <w:bookmarkEnd w:id="501"/>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502"/>
      <w:bookmarkEnd w:id="502"/>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7"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503"/>
      <w:bookmarkEnd w:id="503"/>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2"/>
        <w:ind w:left="153" w:right="8344" w:firstLine="0"/>
        <w:jc w:val="left"/>
        <w:rPr>
          <w:rFonts w:ascii="宋体" w:hAnsi="宋体" w:cs="宋体" w:eastAsia="宋体" w:hint="default"/>
          <w:sz w:val="21"/>
          <w:szCs w:val="21"/>
        </w:rPr>
      </w:pPr>
      <w:bookmarkStart w:name="5、其他" w:id="504"/>
      <w:bookmarkEnd w:id="50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505"/>
      <w:bookmarkEnd w:id="505"/>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6"/>
      <w:bookmarkEnd w:id="5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477" w:lineRule="auto" w:before="107"/>
        <w:ind w:left="154" w:right="6072"/>
        <w:jc w:val="left"/>
      </w:pPr>
      <w:r>
        <w:rPr/>
        <w:t>资产负债表日存在的重要承诺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日，本公司无需要披露的重要承诺事项。</w:t>
      </w:r>
    </w:p>
    <w:p>
      <w:pPr>
        <w:pStyle w:val="Heading3"/>
        <w:spacing w:line="240" w:lineRule="auto" w:before="141"/>
        <w:ind w:left="154" w:right="0"/>
        <w:jc w:val="left"/>
        <w:rPr>
          <w:b w:val="0"/>
          <w:bCs w:val="0"/>
        </w:rPr>
      </w:pPr>
      <w:bookmarkStart w:name="2、或有事项" w:id="507"/>
      <w:bookmarkEnd w:id="50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资产负债表日存在的重要或有事项" w:id="508"/>
      <w:bookmarkEnd w:id="508"/>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1</w:t>
      </w:r>
      <w:r>
        <w:rPr/>
        <w:t>、资产负债表日存在的重要或有事项</w:t>
      </w:r>
    </w:p>
    <w:p>
      <w:pPr>
        <w:spacing w:line="240" w:lineRule="auto" w:before="9"/>
        <w:rPr>
          <w:rFonts w:ascii="宋体" w:hAnsi="宋体" w:cs="宋体" w:eastAsia="宋体" w:hint="default"/>
          <w:sz w:val="16"/>
          <w:szCs w:val="16"/>
        </w:rPr>
      </w:pPr>
    </w:p>
    <w:p>
      <w:pPr>
        <w:pStyle w:val="BodyText"/>
        <w:spacing w:line="240" w:lineRule="auto"/>
        <w:ind w:left="154" w:right="0"/>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日，本公司已背书未到期（已终止确认）的银行承兑汇票总额</w:t>
      </w:r>
      <w:r>
        <w:rPr>
          <w:spacing w:val="-46"/>
        </w:rPr>
        <w:t> </w:t>
      </w:r>
      <w:r>
        <w:rPr>
          <w:rFonts w:ascii="Times New Roman" w:hAnsi="Times New Roman" w:cs="Times New Roman" w:eastAsia="Times New Roman" w:hint="default"/>
        </w:rPr>
        <w:t>150,000.00 </w:t>
      </w:r>
      <w:r>
        <w:rPr/>
        <w:t>元。</w:t>
      </w:r>
    </w:p>
    <w:p>
      <w:pPr>
        <w:spacing w:line="240" w:lineRule="auto" w:before="9"/>
        <w:rPr>
          <w:rFonts w:ascii="宋体" w:hAnsi="宋体" w:cs="宋体" w:eastAsia="宋体" w:hint="default"/>
          <w:sz w:val="16"/>
          <w:szCs w:val="16"/>
        </w:rPr>
      </w:pPr>
    </w:p>
    <w:p>
      <w:pPr>
        <w:pStyle w:val="BodyText"/>
        <w:spacing w:line="240" w:lineRule="auto"/>
        <w:ind w:left="154" w:right="0"/>
        <w:jc w:val="left"/>
      </w:pPr>
      <w:r>
        <w:rPr>
          <w:rFonts w:ascii="Times New Roman" w:hAnsi="Times New Roman" w:cs="Times New Roman" w:eastAsia="Times New Roman" w:hint="default"/>
        </w:rPr>
        <w:t>2</w:t>
      </w:r>
      <w:r>
        <w:rPr/>
        <w:t>、除上述或有事项外，截止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日，本公司无其他需要披露的重要或有事项。</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2）公司没有需要披露的重要或有事项，也应予以说明" w:id="509"/>
      <w:bookmarkEnd w:id="50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spacing w:line="487" w:lineRule="auto" w:before="35"/>
        <w:ind w:left="153" w:right="7693" w:firstLine="0"/>
        <w:jc w:val="left"/>
        <w:rPr>
          <w:rFonts w:ascii="宋体" w:hAnsi="宋体" w:cs="宋体" w:eastAsia="宋体" w:hint="default"/>
          <w:sz w:val="21"/>
          <w:szCs w:val="21"/>
        </w:rPr>
      </w:pPr>
      <w:bookmarkStart w:name="3、其他" w:id="510"/>
      <w:bookmarkEnd w:id="5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511"/>
      <w:bookmarkEnd w:id="51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512"/>
      <w:bookmarkEnd w:id="51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利润分配情况" w:id="513"/>
      <w:bookmarkEnd w:id="51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销售退回" w:id="514"/>
      <w:bookmarkEnd w:id="514"/>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资产负债表日后事项说明" w:id="515"/>
      <w:bookmarkEnd w:id="515"/>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bookmarkStart w:name="向子公司增资" w:id="516"/>
      <w:bookmarkEnd w:id="516"/>
      <w:r>
        <w:rPr/>
      </w:r>
      <w:r>
        <w:rPr/>
        <w:t>向子公司增资</w:t>
      </w:r>
    </w:p>
    <w:p>
      <w:pPr>
        <w:spacing w:line="240" w:lineRule="auto" w:before="0"/>
        <w:rPr>
          <w:rFonts w:ascii="宋体" w:hAnsi="宋体" w:cs="宋体" w:eastAsia="宋体" w:hint="default"/>
          <w:sz w:val="18"/>
          <w:szCs w:val="18"/>
        </w:rPr>
      </w:pPr>
    </w:p>
    <w:p>
      <w:pPr>
        <w:pStyle w:val="BodyText"/>
        <w:spacing w:line="240" w:lineRule="auto" w:before="142"/>
        <w:ind w:left="0" w:right="1132"/>
        <w:jc w:val="right"/>
      </w:pPr>
      <w:bookmarkStart w:name="2018年3月5日，公司使用募集资金4,000万元向全资子公司苏州吴中恒久光电子" w:id="517"/>
      <w:bookmarkEnd w:id="517"/>
      <w:r>
        <w:rPr/>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日，公司使用募集资金</w:t>
      </w:r>
      <w:r>
        <w:rPr>
          <w:spacing w:val="-50"/>
        </w:rPr>
        <w:t> </w:t>
      </w:r>
      <w:r>
        <w:rPr>
          <w:rFonts w:ascii="Times New Roman" w:hAnsi="Times New Roman" w:cs="Times New Roman" w:eastAsia="Times New Roman" w:hint="default"/>
        </w:rPr>
        <w:t>4,000</w:t>
      </w:r>
      <w:r>
        <w:rPr>
          <w:rFonts w:ascii="Times New Roman" w:hAnsi="Times New Roman" w:cs="Times New Roman" w:eastAsia="Times New Roman" w:hint="default"/>
          <w:spacing w:val="-5"/>
        </w:rPr>
        <w:t> </w:t>
      </w:r>
      <w:r>
        <w:rPr/>
        <w:t>万元向全资子公司苏州吴中恒久光电子科技有限公司增资，其中</w:t>
      </w:r>
      <w:r>
        <w:rPr>
          <w:spacing w:val="-5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t>万元</w:t>
      </w:r>
    </w:p>
    <w:p>
      <w:pPr>
        <w:pStyle w:val="BodyText"/>
        <w:spacing w:line="240" w:lineRule="auto" w:before="64"/>
        <w:ind w:right="0"/>
        <w:jc w:val="left"/>
        <w:rPr>
          <w:rFonts w:ascii="Times New Roman" w:hAnsi="Times New Roman" w:cs="Times New Roman" w:eastAsia="Times New Roman" w:hint="default"/>
        </w:rPr>
      </w:pPr>
      <w:r>
        <w:rPr/>
        <w:t>用于增加注册资本，</w:t>
      </w:r>
      <w:r>
        <w:rPr>
          <w:rFonts w:ascii="Times New Roman" w:hAnsi="Times New Roman" w:cs="Times New Roman" w:eastAsia="Times New Roman" w:hint="default"/>
        </w:rPr>
        <w:t>3,000</w:t>
      </w:r>
      <w:r>
        <w:rPr>
          <w:rFonts w:ascii="Times New Roman" w:hAnsi="Times New Roman" w:cs="Times New Roman" w:eastAsia="Times New Roman" w:hint="default"/>
          <w:spacing w:val="-11"/>
        </w:rPr>
        <w:t> </w:t>
      </w:r>
      <w:r>
        <w:rPr/>
        <w:t>万元计入资本公积。本次增资完成后，吴中恒久注册资本由人民币</w:t>
      </w:r>
      <w:r>
        <w:rPr>
          <w:spacing w:val="-5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1"/>
        </w:rPr>
        <w:t> </w:t>
      </w:r>
      <w:r>
        <w:rPr/>
        <w:t>万元增加至人民币</w:t>
      </w:r>
      <w:r>
        <w:rPr>
          <w:spacing w:val="-56"/>
        </w:rPr>
        <w:t> </w:t>
      </w:r>
      <w:r>
        <w:rPr>
          <w:rFonts w:ascii="Times New Roman" w:hAnsi="Times New Roman" w:cs="Times New Roman" w:eastAsia="Times New Roman" w:hint="default"/>
        </w:rPr>
        <w:t>9,000</w:t>
      </w:r>
    </w:p>
    <w:p>
      <w:pPr>
        <w:pStyle w:val="BodyText"/>
        <w:spacing w:line="240" w:lineRule="auto" w:before="64"/>
        <w:ind w:right="0"/>
        <w:jc w:val="left"/>
      </w:pPr>
      <w:r>
        <w:rPr/>
        <w:t>万元，公司仍将持有其</w:t>
      </w:r>
      <w:r>
        <w:rPr>
          <w:spacing w:val="-46"/>
        </w:rPr>
        <w:t> </w:t>
      </w:r>
      <w:r>
        <w:rPr>
          <w:rFonts w:ascii="Times New Roman" w:hAnsi="Times New Roman" w:cs="Times New Roman" w:eastAsia="Times New Roman" w:hint="default"/>
        </w:rPr>
        <w:t>100%</w:t>
      </w:r>
      <w:r>
        <w:rPr/>
        <w:t>股权。</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六、其他重要事项" w:id="518"/>
      <w:bookmarkEnd w:id="518"/>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519"/>
      <w:bookmarkEnd w:id="51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追溯重述法" w:id="520"/>
      <w:bookmarkEnd w:id="52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来适用法" w:id="521"/>
      <w:bookmarkEnd w:id="52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left="673" w:right="0"/>
        <w:jc w:val="left"/>
        <w:rPr>
          <w:b w:val="0"/>
          <w:bCs w:val="0"/>
        </w:rPr>
      </w:pPr>
      <w:bookmarkStart w:name="2、债务重组" w:id="522"/>
      <w:bookmarkEnd w:id="52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3" w:right="0"/>
        <w:jc w:val="left"/>
        <w:rPr>
          <w:b w:val="0"/>
          <w:bCs w:val="0"/>
        </w:rPr>
      </w:pPr>
      <w:bookmarkStart w:name="3、资产置换" w:id="523"/>
      <w:bookmarkEnd w:id="52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673" w:right="0"/>
        <w:jc w:val="left"/>
        <w:rPr>
          <w:b w:val="0"/>
          <w:bCs w:val="0"/>
        </w:rPr>
      </w:pPr>
      <w:bookmarkStart w:name="（1）非货币性资产交换" w:id="524"/>
      <w:bookmarkEnd w:id="52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3" w:right="0"/>
        <w:jc w:val="left"/>
        <w:rPr>
          <w:b w:val="0"/>
          <w:bCs w:val="0"/>
        </w:rPr>
      </w:pPr>
      <w:bookmarkStart w:name="（2）其他资产置换" w:id="525"/>
      <w:bookmarkEnd w:id="52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3" w:right="0"/>
        <w:jc w:val="left"/>
        <w:rPr>
          <w:b w:val="0"/>
          <w:bCs w:val="0"/>
        </w:rPr>
      </w:pPr>
      <w:bookmarkStart w:name="4、年金计划" w:id="526"/>
      <w:bookmarkEnd w:id="52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3" w:right="0"/>
        <w:jc w:val="left"/>
        <w:rPr>
          <w:b w:val="0"/>
          <w:bCs w:val="0"/>
        </w:rPr>
      </w:pPr>
      <w:bookmarkStart w:name="5、终止经营" w:id="527"/>
      <w:bookmarkEnd w:id="52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67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673" w:right="0"/>
        <w:jc w:val="left"/>
        <w:rPr>
          <w:b w:val="0"/>
          <w:bCs w:val="0"/>
        </w:rPr>
      </w:pPr>
      <w:bookmarkStart w:name="6、分部信息" w:id="528"/>
      <w:bookmarkEnd w:id="52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74" w:right="0"/>
        <w:jc w:val="left"/>
        <w:rPr>
          <w:b w:val="0"/>
          <w:bCs w:val="0"/>
        </w:rPr>
      </w:pPr>
      <w:bookmarkStart w:name="（1）报告分部的确定依据与会计政策" w:id="529"/>
      <w:bookmarkEnd w:id="52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674" w:right="0"/>
        <w:jc w:val="left"/>
        <w:rPr>
          <w:b w:val="0"/>
          <w:bCs w:val="0"/>
        </w:rPr>
      </w:pPr>
      <w:bookmarkStart w:name="（2）报告分部的财务信息" w:id="530"/>
      <w:bookmarkEnd w:id="53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6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bookmarkStart w:name="（3）公司无报告分部的，或者不能披露各报告分部的资产总额和负债总额的，应说明原因" w:id="531"/>
      <w:bookmarkEnd w:id="53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4" w:right="0"/>
        <w:jc w:val="left"/>
        <w:rPr>
          <w:b w:val="0"/>
          <w:bCs w:val="0"/>
        </w:rPr>
      </w:pPr>
      <w:bookmarkStart w:name="（4）其他说明" w:id="532"/>
      <w:bookmarkEnd w:id="53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74" w:right="0"/>
        <w:jc w:val="left"/>
        <w:rPr>
          <w:b w:val="0"/>
          <w:bCs w:val="0"/>
        </w:rPr>
      </w:pPr>
      <w:bookmarkStart w:name="7、其他对投资者决策有影响的重要交易和事项" w:id="533"/>
      <w:bookmarkEnd w:id="53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674" w:right="6432" w:firstLine="0"/>
        <w:jc w:val="left"/>
        <w:rPr>
          <w:rFonts w:ascii="宋体" w:hAnsi="宋体" w:cs="宋体" w:eastAsia="宋体" w:hint="default"/>
          <w:sz w:val="21"/>
          <w:szCs w:val="21"/>
        </w:rPr>
      </w:pPr>
      <w:bookmarkStart w:name="8、其他" w:id="534"/>
      <w:bookmarkEnd w:id="53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35"/>
      <w:bookmarkEnd w:id="53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36"/>
      <w:bookmarkEnd w:id="536"/>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674" w:right="0"/>
        <w:jc w:val="left"/>
        <w:rPr>
          <w:b w:val="0"/>
          <w:bCs w:val="0"/>
        </w:rPr>
      </w:pPr>
      <w:bookmarkStart w:name="（1）应收账款分类披露" w:id="537"/>
      <w:bookmarkEnd w:id="53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77"/>
        <w:gridCol w:w="4820"/>
        <w:gridCol w:w="4678"/>
      </w:tblGrid>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460" w:right="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254"/>
        <w:gridCol w:w="1287"/>
        <w:gridCol w:w="708"/>
        <w:gridCol w:w="1134"/>
        <w:gridCol w:w="568"/>
        <w:gridCol w:w="1134"/>
        <w:gridCol w:w="1134"/>
        <w:gridCol w:w="710"/>
        <w:gridCol w:w="1134"/>
        <w:gridCol w:w="553"/>
        <w:gridCol w:w="1147"/>
      </w:tblGrid>
      <w:tr>
        <w:trPr>
          <w:trHeight w:val="402" w:hRule="exact"/>
        </w:trPr>
        <w:tc>
          <w:tcPr>
            <w:tcW w:w="1254" w:type="dxa"/>
            <w:vMerge w:val="restart"/>
            <w:tcBorders>
              <w:top w:val="single" w:sz="4" w:space="0" w:color="000000"/>
              <w:left w:val="single" w:sz="4" w:space="0" w:color="000000"/>
              <w:right w:val="single" w:sz="4" w:space="0" w:color="000000"/>
            </w:tcBorders>
            <w:shd w:val="clear" w:color="auto" w:fill="D2D2D2"/>
          </w:tcPr>
          <w:p>
            <w:pPr/>
          </w:p>
        </w:tc>
        <w:tc>
          <w:tcPr>
            <w:tcW w:w="19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254" w:type="dxa"/>
            <w:vMerge/>
            <w:tcBorders>
              <w:left w:val="single" w:sz="4" w:space="0" w:color="000000"/>
              <w:right w:val="single" w:sz="4" w:space="0" w:color="000000"/>
            </w:tcBorders>
            <w:shd w:val="clear" w:color="auto" w:fill="D2D2D2"/>
          </w:tcPr>
          <w:p>
            <w:pP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5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1" w:right="9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254" w:type="dxa"/>
            <w:vMerge/>
            <w:tcBorders>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53" w:type="dxa"/>
            <w:vMerge/>
            <w:tcBorders>
              <w:left w:val="single" w:sz="4" w:space="0" w:color="000000"/>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4" w:type="dxa"/>
            <w:vMerge/>
            <w:tcBorders>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53" w:type="dxa"/>
            <w:vMerge/>
            <w:tcBorders>
              <w:left w:val="single" w:sz="4" w:space="0" w:color="000000"/>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54"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53" w:type="dxa"/>
            <w:vMerge/>
            <w:tcBorders>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1"/>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账准备的应收 账款</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61,615,785.85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3,520,995.12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58,094,790.73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66,033,471.03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4,049,613.08</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6.13%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61,983,857.95</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61,615,785.85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3,520,995.12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58,094,790.73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66,033,471.03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4,049,613.08</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6.13%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61,983,857.95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460" w:right="0"/>
        </w:sectPr>
      </w:pPr>
    </w:p>
    <w:p>
      <w:pPr>
        <w:pStyle w:val="BodyText"/>
        <w:spacing w:line="240" w:lineRule="auto" w:before="51"/>
        <w:ind w:left="674" w:right="-20"/>
        <w:jc w:val="left"/>
      </w:pPr>
      <w:r>
        <w:rPr/>
        <w:t>期末单项金额重大并单项计提坏账准备的应收账款：</w:t>
      </w:r>
    </w:p>
    <w:p>
      <w:pPr>
        <w:pStyle w:val="BodyText"/>
        <w:spacing w:line="338" w:lineRule="auto" w:before="117"/>
        <w:ind w:left="67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67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673" w:right="0"/>
        <w:jc w:val="left"/>
      </w:pPr>
      <w:r>
        <w:rPr/>
        <w:t>单位： 元</w:t>
      </w:r>
    </w:p>
    <w:p>
      <w:pPr>
        <w:spacing w:after="0" w:line="240" w:lineRule="auto"/>
        <w:jc w:val="left"/>
        <w:sectPr>
          <w:type w:val="continuous"/>
          <w:pgSz w:w="11910" w:h="16840"/>
          <w:pgMar w:top="1060" w:bottom="1160" w:left="460" w:right="0"/>
          <w:cols w:num="2" w:equalWidth="0">
            <w:col w:w="4815" w:space="4015"/>
            <w:col w:w="2620"/>
          </w:cols>
        </w:sectPr>
      </w:pPr>
    </w:p>
    <w:p>
      <w:pPr>
        <w:spacing w:line="240" w:lineRule="auto" w:before="0"/>
        <w:rPr>
          <w:rFonts w:ascii="宋体" w:hAnsi="宋体" w:cs="宋体" w:eastAsia="宋体" w:hint="default"/>
          <w:sz w:val="8"/>
          <w:szCs w:val="8"/>
        </w:rPr>
      </w:pPr>
    </w:p>
    <w:tbl>
      <w:tblPr>
        <w:tblW w:w="0" w:type="auto"/>
        <w:jc w:val="left"/>
        <w:tblInd w:w="68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50,224,777.69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2,511,238.88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878,173.19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87,817.32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529,669.15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158,900.75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763,038.17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763,038.17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52,395,658.20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3,520,995.12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674" w:right="6432"/>
        <w:jc w:val="left"/>
      </w:pPr>
      <w:r>
        <w:rPr/>
        <w:t>确定该组合依据的说明： 组合中，采用余额百分比法计提坏账准备的应收账款：</w:t>
      </w:r>
    </w:p>
    <w:p>
      <w:pPr>
        <w:pStyle w:val="BodyText"/>
        <w:spacing w:line="338" w:lineRule="auto" w:before="29"/>
        <w:ind w:left="67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left="673" w:right="0"/>
        <w:jc w:val="left"/>
        <w:rPr>
          <w:b w:val="0"/>
          <w:bCs w:val="0"/>
        </w:rPr>
      </w:pPr>
      <w:bookmarkStart w:name="（2）本期计提、收回或转回的坏账准备情况" w:id="538"/>
      <w:bookmarkEnd w:id="5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460" w:right="0"/>
        </w:sectPr>
      </w:pPr>
    </w:p>
    <w:p>
      <w:pPr>
        <w:pStyle w:val="BodyText"/>
        <w:spacing w:line="338" w:lineRule="auto" w:before="44"/>
        <w:ind w:left="674" w:right="-19"/>
        <w:jc w:val="left"/>
      </w:pPr>
      <w:r>
        <w:rPr/>
        <w:t>本期计提坏账准备金额</w:t>
      </w:r>
      <w:r>
        <w:rPr>
          <w:rFonts w:ascii="Times New Roman" w:hAnsi="Times New Roman" w:cs="Times New Roman" w:eastAsia="Times New Roman" w:hint="default"/>
        </w:rPr>
        <w:t>-522,165.96</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674" w:right="0"/>
        <w:jc w:val="left"/>
      </w:pPr>
      <w:r>
        <w:rPr/>
        <w:t>单位： 元</w:t>
      </w:r>
    </w:p>
    <w:p>
      <w:pPr>
        <w:spacing w:after="0" w:line="240" w:lineRule="auto"/>
        <w:jc w:val="left"/>
        <w:sectPr>
          <w:type w:val="continuous"/>
          <w:pgSz w:w="11910" w:h="16840"/>
          <w:pgMar w:top="1060" w:bottom="1160" w:left="460" w:right="0"/>
          <w:cols w:num="2" w:equalWidth="0">
            <w:col w:w="6449" w:space="2380"/>
            <w:col w:w="2621"/>
          </w:cols>
        </w:sectPr>
      </w:pPr>
    </w:p>
    <w:p>
      <w:pPr>
        <w:spacing w:line="240" w:lineRule="auto" w:before="13"/>
        <w:rPr>
          <w:rFonts w:ascii="宋体" w:hAnsi="宋体" w:cs="宋体" w:eastAsia="宋体" w:hint="default"/>
          <w:sz w:val="7"/>
          <w:szCs w:val="7"/>
        </w:rPr>
      </w:pPr>
    </w:p>
    <w:tbl>
      <w:tblPr>
        <w:tblW w:w="0" w:type="auto"/>
        <w:jc w:val="left"/>
        <w:tblInd w:w="66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bookmarkStart w:name="（3）本期实际核销的应收账款情况" w:id="539"/>
      <w:bookmarkEnd w:id="53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6,452.00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460" w:right="0"/>
        </w:sectPr>
      </w:pPr>
    </w:p>
    <w:p>
      <w:pPr>
        <w:spacing w:line="240" w:lineRule="auto" w:before="13"/>
        <w:rPr>
          <w:rFonts w:ascii="宋体" w:hAnsi="宋体" w:cs="宋体" w:eastAsia="宋体" w:hint="default"/>
          <w:sz w:val="21"/>
          <w:szCs w:val="21"/>
        </w:rPr>
      </w:pPr>
    </w:p>
    <w:p>
      <w:pPr>
        <w:pStyle w:val="BodyText"/>
        <w:spacing w:line="240" w:lineRule="auto" w:before="44"/>
        <w:ind w:left="393" w:right="1041"/>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394" w:right="1041"/>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394" w:right="1041"/>
        <w:jc w:val="left"/>
        <w:rPr>
          <w:b w:val="0"/>
          <w:bCs w:val="0"/>
        </w:rPr>
      </w:pPr>
      <w:bookmarkStart w:name="（4）按欠款方归集的期末余额前五名的应收账款情况" w:id="540"/>
      <w:bookmarkEnd w:id="54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995" w:type="dxa"/>
        <w:tblLayout w:type="fixed"/>
        <w:tblCellMar>
          <w:top w:w="0" w:type="dxa"/>
          <w:left w:w="0" w:type="dxa"/>
          <w:bottom w:w="0" w:type="dxa"/>
          <w:right w:w="0" w:type="dxa"/>
        </w:tblCellMar>
        <w:tblLook w:val="01E0"/>
      </w:tblPr>
      <w:tblGrid>
        <w:gridCol w:w="2088"/>
        <w:gridCol w:w="1842"/>
        <w:gridCol w:w="2553"/>
        <w:gridCol w:w="1331"/>
      </w:tblGrid>
      <w:tr>
        <w:trPr>
          <w:trHeight w:val="342" w:hRule="exact"/>
        </w:trPr>
        <w:tc>
          <w:tcPr>
            <w:tcW w:w="208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5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2" w:hRule="exact"/>
        </w:trPr>
        <w:tc>
          <w:tcPr>
            <w:tcW w:w="2088"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11,381,702.63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18.47</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569,085.13</w:t>
            </w:r>
          </w:p>
        </w:tc>
      </w:tr>
      <w:tr>
        <w:trPr>
          <w:trHeight w:val="3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9,220,127.65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14.96</w:t>
            </w:r>
          </w:p>
        </w:tc>
        <w:tc>
          <w:tcPr>
            <w:tcW w:w="133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3,384,525.33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5.49</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169,226.27</w:t>
            </w:r>
          </w:p>
        </w:tc>
      </w:tr>
      <w:tr>
        <w:trPr>
          <w:trHeight w:val="3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3,139,043.05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5.09</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156,952.15</w:t>
            </w:r>
          </w:p>
        </w:tc>
      </w:tr>
      <w:tr>
        <w:trPr>
          <w:trHeight w:val="3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2,194,920.00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3.56</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109,746.00</w:t>
            </w:r>
          </w:p>
        </w:tc>
      </w:tr>
      <w:tr>
        <w:trPr>
          <w:trHeight w:val="34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29,320,318.66</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47.57</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1,005,009.55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394" w:right="1041"/>
        <w:jc w:val="left"/>
        <w:rPr>
          <w:b w:val="0"/>
          <w:bCs w:val="0"/>
        </w:rPr>
      </w:pPr>
      <w:bookmarkStart w:name="（5）因金融资产转移而终止确认的应收账款" w:id="541"/>
      <w:bookmarkEnd w:id="54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94" w:right="1041"/>
        <w:jc w:val="left"/>
        <w:rPr>
          <w:b w:val="0"/>
          <w:bCs w:val="0"/>
        </w:rPr>
      </w:pPr>
      <w:bookmarkStart w:name="（6）转移应收账款且继续涉入形成的资产、负债金额" w:id="542"/>
      <w:bookmarkEnd w:id="54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4" w:right="1041"/>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394" w:right="1041"/>
        <w:jc w:val="left"/>
        <w:rPr>
          <w:b w:val="0"/>
          <w:bCs w:val="0"/>
        </w:rPr>
      </w:pPr>
      <w:bookmarkStart w:name="2、其他应收款" w:id="543"/>
      <w:bookmarkEnd w:id="54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4" w:right="1041"/>
        <w:jc w:val="left"/>
        <w:rPr>
          <w:b w:val="0"/>
          <w:bCs w:val="0"/>
        </w:rPr>
      </w:pPr>
      <w:bookmarkStart w:name="（1）其他应收款分类披露" w:id="544"/>
      <w:bookmarkEnd w:id="54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550"/>
        <w:gridCol w:w="1134"/>
        <w:gridCol w:w="708"/>
        <w:gridCol w:w="710"/>
        <w:gridCol w:w="568"/>
        <w:gridCol w:w="1219"/>
        <w:gridCol w:w="1190"/>
        <w:gridCol w:w="708"/>
        <w:gridCol w:w="709"/>
        <w:gridCol w:w="554"/>
        <w:gridCol w:w="1146"/>
      </w:tblGrid>
      <w:tr>
        <w:trPr>
          <w:trHeight w:val="403" w:hRule="exact"/>
        </w:trPr>
        <w:tc>
          <w:tcPr>
            <w:tcW w:w="1550" w:type="dxa"/>
            <w:vMerge w:val="restart"/>
            <w:tcBorders>
              <w:top w:val="single" w:sz="4" w:space="0" w:color="000000"/>
              <w:left w:val="single" w:sz="4" w:space="0" w:color="000000"/>
              <w:right w:val="single" w:sz="4" w:space="0" w:color="000000"/>
            </w:tcBorders>
            <w:shd w:val="clear" w:color="auto" w:fill="D2D2D2"/>
          </w:tcPr>
          <w:p>
            <w:pPr/>
          </w:p>
        </w:tc>
        <w:tc>
          <w:tcPr>
            <w:tcW w:w="43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0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550" w:type="dxa"/>
            <w:vMerge/>
            <w:tcBorders>
              <w:left w:val="single" w:sz="4" w:space="0" w:color="000000"/>
              <w:bottom w:val="nil" w:sz="6" w:space="0" w:color="auto"/>
              <w:right w:val="single" w:sz="4" w:space="0" w:color="000000"/>
            </w:tcBorders>
            <w:shd w:val="clear" w:color="auto" w:fill="D2D2D2"/>
          </w:tcPr>
          <w:p>
            <w:pP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8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46"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899" w:type="dxa"/>
            <w:gridSpan w:val="2"/>
            <w:vMerge/>
            <w:tcBorders>
              <w:left w:val="single" w:sz="4" w:space="0" w:color="000000"/>
              <w:bottom w:val="single" w:sz="4" w:space="0" w:color="000000"/>
              <w:right w:val="single" w:sz="4" w:space="0" w:color="000000"/>
            </w:tcBorders>
            <w:shd w:val="clear" w:color="auto" w:fill="D2D2D2"/>
          </w:tcPr>
          <w:p>
            <w:pPr/>
          </w:p>
        </w:tc>
        <w:tc>
          <w:tcPr>
            <w:tcW w:w="1264" w:type="dxa"/>
            <w:gridSpan w:val="2"/>
            <w:vMerge/>
            <w:tcBorders>
              <w:left w:val="single" w:sz="4" w:space="0" w:color="000000"/>
              <w:bottom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550" w:type="dxa"/>
            <w:vMerge/>
            <w:tcBorders>
              <w:left w:val="single" w:sz="4" w:space="0" w:color="000000"/>
              <w:bottom w:val="single" w:sz="4" w:space="0" w:color="FFFFFF"/>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1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1" w:right="9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550" w:type="dxa"/>
            <w:vMerge w:val="restart"/>
            <w:tcBorders>
              <w:top w:val="single" w:sz="4" w:space="0" w:color="FFFFFF"/>
              <w:left w:val="single" w:sz="4" w:space="0" w:color="000000"/>
              <w:right w:val="single" w:sz="4" w:space="0" w:color="000000"/>
            </w:tcBorders>
            <w:shd w:val="clear" w:color="auto" w:fill="D2D2D2"/>
          </w:tcPr>
          <w:p>
            <w:pPr/>
          </w:p>
        </w:tc>
        <w:tc>
          <w:tcPr>
            <w:tcW w:w="113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4"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55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50"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54" w:type="dxa"/>
            <w:vMerge/>
            <w:tcBorders>
              <w:left w:val="single" w:sz="4" w:space="0" w:color="000000"/>
              <w:bottom w:val="single" w:sz="4" w:space="0" w:color="000000"/>
              <w:right w:val="single" w:sz="4" w:space="0" w:color="000000"/>
            </w:tcBorders>
            <w:shd w:val="clear" w:color="auto" w:fill="D2D2D2"/>
          </w:tcPr>
          <w:p>
            <w:pPr/>
          </w:p>
        </w:tc>
        <w:tc>
          <w:tcPr>
            <w:tcW w:w="114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8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15,353,929.43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425.40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15,353,504.03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11,121,065.92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6,941.15</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9.11%</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11,114,124.77</w:t>
            </w:r>
          </w:p>
        </w:tc>
      </w:tr>
      <w:tr>
        <w:trPr>
          <w:trHeight w:val="403"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15,353,929.43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425.40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15,353,504.03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11,121,065.92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6,941.15</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9.11%</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11,114,124.77</w:t>
            </w:r>
          </w:p>
        </w:tc>
      </w:tr>
    </w:tbl>
    <w:p>
      <w:pPr>
        <w:pStyle w:val="BodyText"/>
        <w:spacing w:line="240" w:lineRule="auto" w:before="51"/>
        <w:ind w:left="394" w:right="1041"/>
        <w:jc w:val="left"/>
      </w:pPr>
      <w:r>
        <w:rPr/>
        <w:t>期末单项金额重大并单项计提坏账准备的其他应收款：</w:t>
      </w:r>
    </w:p>
    <w:p>
      <w:pPr>
        <w:pStyle w:val="BodyText"/>
        <w:spacing w:line="340" w:lineRule="auto" w:before="116"/>
        <w:ind w:left="39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39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74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1,693.12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5,100.47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425.40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545"/>
      <w:bookmarkEnd w:id="5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40" w:lineRule="auto" w:before="44"/>
        <w:ind w:left="154" w:right="-19"/>
        <w:jc w:val="left"/>
      </w:pPr>
      <w:r>
        <w:rPr/>
        <w:t>本期计提坏账准备金额</w:t>
      </w:r>
      <w:r>
        <w:rPr>
          <w:rFonts w:ascii="Times New Roman" w:hAnsi="Times New Roman" w:cs="Times New Roman" w:eastAsia="Times New Roman" w:hint="default"/>
        </w:rPr>
        <w:t>-6,515.75</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5749" w:space="3080"/>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546"/>
      <w:bookmarkEnd w:id="54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0"/>
        <w:jc w:val="left"/>
      </w:pPr>
      <w:r>
        <w:rPr/>
        <w:t>其他应收款核销说明：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547"/>
      <w:bookmarkEnd w:id="54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15,348,828.96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11,044,897.92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76,168.00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15,353,929.43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11,121,065.92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353" w:right="0"/>
        <w:jc w:val="left"/>
        <w:rPr>
          <w:b w:val="0"/>
          <w:bCs w:val="0"/>
        </w:rPr>
      </w:pPr>
      <w:bookmarkStart w:name="（5）按欠款方归集的期末余额前五名的其他应收款情况" w:id="548"/>
      <w:bookmarkEnd w:id="54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3262"/>
        <w:gridCol w:w="1275"/>
        <w:gridCol w:w="1276"/>
        <w:gridCol w:w="992"/>
        <w:gridCol w:w="1702"/>
        <w:gridCol w:w="1063"/>
      </w:tblGrid>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15" w:right="35" w:hanging="181"/>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6" w:right="74"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77"/>
              <w:jc w:val="left"/>
              <w:rPr>
                <w:rFonts w:ascii="Times New Roman" w:hAnsi="Times New Roman" w:cs="Times New Roman" w:eastAsia="Times New Roman" w:hint="default"/>
                <w:sz w:val="18"/>
                <w:szCs w:val="18"/>
              </w:rPr>
            </w:pPr>
            <w:r>
              <w:rPr>
                <w:rFonts w:ascii="Times New Roman"/>
                <w:sz w:val="18"/>
              </w:rPr>
              <w:t>GOLDENGREEN</w:t>
            </w:r>
            <w:r>
              <w:rPr>
                <w:rFonts w:ascii="Times New Roman"/>
                <w:spacing w:val="-6"/>
                <w:sz w:val="18"/>
              </w:rPr>
              <w:t> </w:t>
            </w:r>
            <w:r>
              <w:rPr>
                <w:rFonts w:ascii="Times New Roman"/>
                <w:sz w:val="18"/>
              </w:rPr>
              <w:t>TECHNOLOGIES</w:t>
            </w:r>
            <w:r>
              <w:rPr>
                <w:rFonts w:ascii="Times New Roman"/>
                <w:w w:val="99"/>
                <w:sz w:val="18"/>
              </w:rPr>
              <w:t> </w:t>
            </w:r>
            <w:r>
              <w:rPr>
                <w:rFonts w:ascii="Times New Roman"/>
                <w:sz w:val="18"/>
              </w:rPr>
              <w:t>INTERNATIONAL</w:t>
            </w:r>
            <w:r>
              <w:rPr>
                <w:rFonts w:ascii="Times New Roman"/>
                <w:spacing w:val="-29"/>
                <w:sz w:val="18"/>
              </w:rPr>
              <w:t> </w:t>
            </w:r>
            <w:r>
              <w:rPr>
                <w:rFonts w:ascii="Times New Roman"/>
                <w:sz w:val="18"/>
              </w:rPr>
              <w:t>LIMITED</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14,035,867.60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91.42%</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GLOBAL IMAGING SYSTEM</w:t>
            </w:r>
            <w:r>
              <w:rPr>
                <w:rFonts w:ascii="Times New Roman"/>
                <w:spacing w:val="-9"/>
                <w:sz w:val="18"/>
              </w:rPr>
              <w:t> </w:t>
            </w:r>
            <w:r>
              <w:rPr>
                <w:rFonts w:ascii="Times New Roman"/>
                <w:sz w:val="18"/>
              </w:rPr>
              <w:t>LIMITED</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1,312,961.36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苏州大学附属第二医院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3,407.35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340.74</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张漪萌</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1,693.12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84.66</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15,353,929.43</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425.40</w:t>
            </w:r>
          </w:p>
        </w:tc>
      </w:tr>
    </w:tbl>
    <w:p>
      <w:pPr>
        <w:spacing w:line="240" w:lineRule="auto" w:before="2"/>
        <w:rPr>
          <w:rFonts w:ascii="宋体" w:hAnsi="宋体" w:cs="宋体" w:eastAsia="宋体" w:hint="default"/>
          <w:sz w:val="19"/>
          <w:szCs w:val="19"/>
        </w:rPr>
      </w:pPr>
    </w:p>
    <w:p>
      <w:pPr>
        <w:pStyle w:val="Heading3"/>
        <w:spacing w:line="240" w:lineRule="auto" w:before="35"/>
        <w:ind w:left="354" w:right="0"/>
        <w:jc w:val="left"/>
        <w:rPr>
          <w:b w:val="0"/>
          <w:bCs w:val="0"/>
        </w:rPr>
      </w:pPr>
      <w:bookmarkStart w:name="（6）涉及政府补助的应收款项" w:id="549"/>
      <w:bookmarkEnd w:id="54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3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354" w:right="0"/>
        <w:jc w:val="left"/>
        <w:rPr>
          <w:b w:val="0"/>
          <w:bCs w:val="0"/>
        </w:rPr>
      </w:pPr>
      <w:bookmarkStart w:name="（7）因金融资产转移而终止确认的其他应收款" w:id="550"/>
      <w:bookmarkEnd w:id="55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54" w:right="0"/>
        <w:jc w:val="left"/>
        <w:rPr>
          <w:b w:val="0"/>
          <w:bCs w:val="0"/>
        </w:rPr>
      </w:pPr>
      <w:bookmarkStart w:name="（8）转移其他应收款且继续涉入形成的资产、负债金额" w:id="551"/>
      <w:bookmarkEnd w:id="55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353" w:right="0"/>
        <w:jc w:val="left"/>
        <w:rPr>
          <w:b w:val="0"/>
          <w:bCs w:val="0"/>
        </w:rPr>
      </w:pPr>
      <w:bookmarkStart w:name="3、长期股权投资" w:id="552"/>
      <w:bookmarkEnd w:id="55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3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131,116,500.00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131,116,500.00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106,116,500.00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106,116,500.00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32,235,326.58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32,235,326.58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7,302,181.54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7,302,181.54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163,351,826.58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163,351,826.58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113,418,681.54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113,418,681.54</w:t>
            </w:r>
          </w:p>
        </w:tc>
      </w:tr>
    </w:tbl>
    <w:p>
      <w:pPr>
        <w:spacing w:line="240" w:lineRule="auto" w:before="2"/>
        <w:rPr>
          <w:rFonts w:ascii="宋体" w:hAnsi="宋体" w:cs="宋体" w:eastAsia="宋体" w:hint="default"/>
          <w:sz w:val="19"/>
          <w:szCs w:val="19"/>
        </w:rPr>
      </w:pPr>
    </w:p>
    <w:p>
      <w:pPr>
        <w:pStyle w:val="Heading3"/>
        <w:spacing w:line="240" w:lineRule="auto" w:before="35"/>
        <w:ind w:left="354" w:right="0"/>
        <w:jc w:val="left"/>
        <w:rPr>
          <w:b w:val="0"/>
          <w:bCs w:val="0"/>
        </w:rPr>
      </w:pPr>
      <w:bookmarkStart w:name="（1）对子公司投资" w:id="553"/>
      <w:bookmarkEnd w:id="55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694"/>
        <w:gridCol w:w="1276"/>
        <w:gridCol w:w="1134"/>
        <w:gridCol w:w="917"/>
        <w:gridCol w:w="1336"/>
        <w:gridCol w:w="1388"/>
        <w:gridCol w:w="1378"/>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47"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5"/>
              <w:jc w:val="center"/>
              <w:rPr>
                <w:rFonts w:ascii="宋体" w:hAnsi="宋体" w:cs="宋体" w:eastAsia="宋体" w:hint="default"/>
                <w:sz w:val="18"/>
                <w:szCs w:val="18"/>
              </w:rPr>
            </w:pPr>
            <w:r>
              <w:rPr>
                <w:rFonts w:ascii="宋体" w:hAnsi="宋体" w:cs="宋体" w:eastAsia="宋体" w:hint="default"/>
                <w:sz w:val="18"/>
                <w:szCs w:val="18"/>
              </w:rPr>
              <w:t>苏州吴中恒久光电子科技有限公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100,000,000.00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780" w:right="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694"/>
        <w:gridCol w:w="1276"/>
        <w:gridCol w:w="1134"/>
        <w:gridCol w:w="917"/>
        <w:gridCol w:w="1336"/>
        <w:gridCol w:w="1388"/>
        <w:gridCol w:w="1390"/>
      </w:tblGrid>
      <w:tr>
        <w:trPr>
          <w:trHeight w:val="36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20"/>
              <w:jc w:val="left"/>
              <w:rPr>
                <w:rFonts w:ascii="Times New Roman" w:hAnsi="Times New Roman" w:cs="Times New Roman" w:eastAsia="Times New Roman" w:hint="default"/>
                <w:sz w:val="18"/>
                <w:szCs w:val="18"/>
              </w:rPr>
            </w:pPr>
            <w:r>
              <w:rPr>
                <w:rFonts w:ascii="Times New Roman"/>
                <w:sz w:val="18"/>
              </w:rPr>
              <w:t>GOLDENGREEN</w:t>
            </w:r>
            <w:r>
              <w:rPr>
                <w:rFonts w:ascii="Times New Roman"/>
                <w:w w:val="99"/>
                <w:sz w:val="18"/>
              </w:rPr>
              <w:t> </w:t>
            </w:r>
            <w:r>
              <w:rPr>
                <w:rFonts w:ascii="Times New Roman"/>
                <w:sz w:val="18"/>
              </w:rPr>
              <w:t>TECHNOLOGIES EU</w:t>
            </w:r>
            <w:r>
              <w:rPr>
                <w:rFonts w:ascii="Times New Roman"/>
                <w:spacing w:val="-5"/>
                <w:sz w:val="18"/>
              </w:rPr>
              <w:t> </w:t>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6,116,500.00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6,116,500.00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35"/>
              <w:jc w:val="left"/>
              <w:rPr>
                <w:rFonts w:ascii="Times New Roman" w:hAnsi="Times New Roman" w:cs="Times New Roman" w:eastAsia="Times New Roman" w:hint="default"/>
                <w:sz w:val="18"/>
                <w:szCs w:val="18"/>
              </w:rPr>
            </w:pPr>
            <w:r>
              <w:rPr>
                <w:rFonts w:ascii="Times New Roman"/>
                <w:sz w:val="18"/>
              </w:rPr>
              <w:t>GLOBAL IMAGING</w:t>
            </w:r>
            <w:r>
              <w:rPr>
                <w:rFonts w:ascii="Times New Roman"/>
                <w:spacing w:val="-9"/>
                <w:sz w:val="18"/>
              </w:rPr>
              <w:t> </w:t>
            </w:r>
            <w:r>
              <w:rPr>
                <w:rFonts w:ascii="Times New Roman"/>
                <w:sz w:val="18"/>
              </w:rPr>
              <w:t>SYSTEM</w:t>
            </w:r>
            <w:r>
              <w:rPr>
                <w:rFonts w:ascii="Times New Roman"/>
                <w:w w:val="99"/>
                <w:sz w:val="18"/>
              </w:rPr>
              <w:t> </w:t>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苏州恒久数码科技股份有限公司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106,116,500.00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131,116,500.00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374" w:right="0"/>
        <w:jc w:val="left"/>
        <w:rPr>
          <w:b w:val="0"/>
          <w:bCs w:val="0"/>
        </w:rPr>
      </w:pPr>
      <w:bookmarkStart w:name="（2）对联营、合营企业投资" w:id="554"/>
      <w:bookmarkEnd w:id="55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134"/>
        <w:gridCol w:w="1026"/>
        <w:gridCol w:w="108"/>
        <w:gridCol w:w="1134"/>
        <w:gridCol w:w="426"/>
        <w:gridCol w:w="1134"/>
        <w:gridCol w:w="708"/>
        <w:gridCol w:w="479"/>
        <w:gridCol w:w="798"/>
        <w:gridCol w:w="798"/>
        <w:gridCol w:w="798"/>
        <w:gridCol w:w="814"/>
        <w:gridCol w:w="282"/>
        <w:gridCol w:w="500"/>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6" w:right="2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026" w:type="dxa"/>
            <w:vMerge/>
            <w:tcBorders>
              <w:left w:val="single" w:sz="4" w:space="0" w:color="000000"/>
              <w:bottom w:val="single" w:sz="4" w:space="0" w:color="000000"/>
              <w:right w:val="single" w:sz="4" w:space="0" w:color="000000"/>
            </w:tcBorders>
            <w:shd w:val="clear" w:color="auto" w:fill="D2D2D2"/>
          </w:tcPr>
          <w:p>
            <w:pPr/>
          </w:p>
        </w:tc>
        <w:tc>
          <w:tcPr>
            <w:tcW w:w="12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1"/>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3"/>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4" w:type="dxa"/>
            <w:vMerge/>
            <w:tcBorders>
              <w:left w:val="single" w:sz="4" w:space="0" w:color="000000"/>
              <w:bottom w:val="single" w:sz="4" w:space="0" w:color="000000"/>
              <w:right w:val="single" w:sz="4" w:space="0" w:color="000000"/>
            </w:tcBorders>
            <w:shd w:val="clear" w:color="auto" w:fill="D2D2D2"/>
          </w:tcPr>
          <w:p>
            <w:pPr/>
          </w:p>
        </w:tc>
        <w:tc>
          <w:tcPr>
            <w:tcW w:w="782"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14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014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01"/>
              <w:jc w:val="both"/>
              <w:rPr>
                <w:rFonts w:ascii="宋体" w:hAnsi="宋体" w:cs="宋体" w:eastAsia="宋体" w:hint="default"/>
                <w:sz w:val="18"/>
                <w:szCs w:val="18"/>
              </w:rPr>
            </w:pPr>
            <w:r>
              <w:rPr>
                <w:rFonts w:ascii="宋体" w:hAnsi="宋体" w:cs="宋体" w:eastAsia="宋体" w:hint="default"/>
                <w:sz w:val="18"/>
                <w:szCs w:val="18"/>
              </w:rPr>
              <w:t>珠海宝利通 耗材有限公 司</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7,302,181.54</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1,413,516.21</w:t>
            </w:r>
          </w:p>
        </w:tc>
        <w:tc>
          <w:tcPr>
            <w:tcW w:w="708"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8,715,697.75</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both"/>
              <w:rPr>
                <w:rFonts w:ascii="宋体" w:hAnsi="宋体" w:cs="宋体" w:eastAsia="宋体" w:hint="default"/>
                <w:sz w:val="18"/>
                <w:szCs w:val="18"/>
              </w:rPr>
            </w:pPr>
            <w:r>
              <w:rPr>
                <w:rFonts w:ascii="宋体" w:hAnsi="宋体" w:cs="宋体" w:eastAsia="宋体" w:hint="default"/>
                <w:sz w:val="18"/>
                <w:szCs w:val="18"/>
              </w:rPr>
              <w:t>深圳市壹办 公科技股份 有限公司</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21,982,118.40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1,537,510.43</w:t>
            </w:r>
          </w:p>
        </w:tc>
        <w:tc>
          <w:tcPr>
            <w:tcW w:w="708"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23,519,628.83</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7,302,181.54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21,982,118.40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2,951,026.64</w:t>
            </w:r>
          </w:p>
        </w:tc>
        <w:tc>
          <w:tcPr>
            <w:tcW w:w="708"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32,235,326.58</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7,302,181.54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21,982,118.40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2,951,026.64</w:t>
            </w:r>
          </w:p>
        </w:tc>
        <w:tc>
          <w:tcPr>
            <w:tcW w:w="708"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32,235,326.58</w:t>
            </w:r>
          </w:p>
        </w:tc>
        <w:tc>
          <w:tcPr>
            <w:tcW w:w="5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374" w:right="0"/>
        <w:jc w:val="left"/>
        <w:rPr>
          <w:b w:val="0"/>
          <w:bCs w:val="0"/>
        </w:rPr>
      </w:pPr>
      <w:bookmarkStart w:name="（3）其他说明" w:id="555"/>
      <w:bookmarkEnd w:id="55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74" w:right="0"/>
        <w:jc w:val="left"/>
        <w:rPr>
          <w:b w:val="0"/>
          <w:bCs w:val="0"/>
        </w:rPr>
      </w:pPr>
      <w:bookmarkStart w:name="4、营业收入和营业成本" w:id="556"/>
      <w:bookmarkEnd w:id="55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38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260,091,026.73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210,862,039.58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257,600,071.98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210,874,924.88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44,203,178.61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43,530,583.21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29,762,553.82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29,338,793.91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304,294,205.34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254,392,622.79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287,362,625.80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240,213,718.79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76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557"/>
      <w:bookmarkEnd w:id="55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2,951,026.64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投资银行理财产品取得的收益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4,503,514.64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551,200.95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处置远期结汇取得的收益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141,464.56</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7,454,541.28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692,665.51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558"/>
      <w:bookmarkEnd w:id="558"/>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59"/>
      <w:bookmarkEnd w:id="559"/>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60"/>
      <w:bookmarkEnd w:id="56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spacing w:line="240" w:lineRule="auto" w:before="44"/>
        <w:ind w:left="0" w:right="926"/>
        <w:jc w:val="right"/>
      </w:pPr>
      <w:r>
        <w:rPr/>
        <w:pict>
          <v:shape style="position:absolute;margin-left:57.029999pt;margin-top:-104.668282pt;width:489.3pt;height:223.7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14"/>
                    <w:gridCol w:w="1996"/>
                    <w:gridCol w:w="3261"/>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-18,689.86</w:t>
                        </w:r>
                        <w:r>
                          <w:rPr>
                            <w:rFonts w:ascii="Times New Roman"/>
                            <w:sz w:val="18"/>
                          </w:rPr>
                        </w: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家统一标准定额或定量享受的政府补助除外）</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531,456.44</w:t>
                        </w: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-83,983.33</w:t>
                        </w:r>
                        <w:r>
                          <w:rPr>
                            <w:rFonts w:ascii="Times New Roman"/>
                            <w:sz w:val="18"/>
                          </w:rPr>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货币互换应付利息：</w:t>
                        </w:r>
                        <w:r>
                          <w:rPr>
                            <w:rFonts w:ascii="Times New Roman" w:hAnsi="Times New Roman" w:cs="Times New Roman" w:eastAsia="Times New Roman" w:hint="default"/>
                            <w:sz w:val="18"/>
                            <w:szCs w:val="18"/>
                          </w:rPr>
                          <w:t>83,983.33</w:t>
                        </w:r>
                      </w:p>
                    </w:tc>
                  </w:tr>
                  <w:tr>
                    <w:trPr>
                      <w:trHeight w:val="1338"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交易性金融资产、交易性金融负债产生的公允价值变动损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益，以及处置交易性金融资产、交易性金融负债和可供出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售金融资产取得的投资收益</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4,327,546.49</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2"/>
                          <w:jc w:val="left"/>
                          <w:rPr>
                            <w:rFonts w:ascii="宋体" w:hAnsi="宋体" w:cs="宋体" w:eastAsia="宋体" w:hint="default"/>
                            <w:sz w:val="18"/>
                            <w:szCs w:val="18"/>
                          </w:rPr>
                        </w:pPr>
                        <w:r>
                          <w:rPr>
                            <w:rFonts w:ascii="宋体" w:hAnsi="宋体" w:cs="宋体" w:eastAsia="宋体" w:hint="default"/>
                            <w:sz w:val="18"/>
                            <w:szCs w:val="18"/>
                          </w:rPr>
                          <w:t>投资银行理财产品收益：</w:t>
                        </w:r>
                        <w:r>
                          <w:rPr>
                            <w:rFonts w:ascii="Times New Roman" w:hAnsi="Times New Roman" w:cs="Times New Roman" w:eastAsia="Times New Roman" w:hint="default"/>
                            <w:sz w:val="18"/>
                            <w:szCs w:val="18"/>
                          </w:rPr>
                          <w:t>5,004,021.49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 衍生金融工具产生的公允价值变动收益：</w:t>
                        </w:r>
                      </w:p>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sz w:val="18"/>
                          </w:rPr>
                          <w:t>-676,475.00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-464.98</w:t>
                        </w: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809,295.71</w:t>
                        </w: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6"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3,946,569.05</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44"/>
        <w:ind w:left="514" w:right="0"/>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1"/>
        <w:ind w:right="1118"/>
        <w:jc w:val="left"/>
      </w:pPr>
      <w:r>
        <w:rPr>
          <w:spacing w:val="-2"/>
        </w:rPr>
        <w:t>把《公开发行证券的公司信息披露解释性公告第</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spacing w:val="-88"/>
        </w:rPr>
        <w:t> </w:t>
      </w:r>
      <w:r>
        <w:rPr>
          <w:spacing w:val="-88"/>
        </w:rPr>
      </w:r>
      <w:r>
        <w:rPr/>
        <w:t>目，应说明原因。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61"/>
      <w:bookmarkEnd w:id="56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382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639"/>
        <w:gridCol w:w="3092"/>
        <w:gridCol w:w="1913"/>
        <w:gridCol w:w="1913"/>
      </w:tblGrid>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0.159</w:t>
            </w:r>
          </w:p>
        </w:tc>
      </w:tr>
      <w:tr>
        <w:trPr>
          <w:trHeight w:val="714"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0.138</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562"/>
      <w:bookmarkEnd w:id="56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563"/>
      <w:bookmarkEnd w:id="56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64"/>
      <w:bookmarkEnd w:id="56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65"/>
      <w:bookmarkEnd w:id="56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66"/>
      <w:bookmarkEnd w:id="56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0"/>
        <w:jc w:val="left"/>
        <w:rPr>
          <w:b w:val="0"/>
          <w:bCs w:val="0"/>
        </w:rPr>
      </w:pPr>
      <w:bookmarkStart w:name="第十二节 备查文件目录" w:id="567"/>
      <w:bookmarkEnd w:id="567"/>
      <w:r>
        <w:rPr>
          <w:b w:val="0"/>
          <w:bCs w:val="0"/>
        </w:rPr>
      </w:r>
      <w:bookmarkStart w:name="_bookmark11" w:id="568"/>
      <w:bookmarkEnd w:id="568"/>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（一）载有公司负责人、主管会计工作负责人、会计机构负责人（会计主管人员）签名并盖章的财务报表。</w:t>
      </w:r>
    </w:p>
    <w:p>
      <w:pPr>
        <w:pStyle w:val="BodyText"/>
        <w:spacing w:line="240" w:lineRule="auto" w:before="77"/>
        <w:ind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（三）报告期内在中国证监会指定网站上公开披露过的所有公司文件的正本及公告的原稿。</w:t>
      </w:r>
    </w:p>
    <w:p>
      <w:pPr>
        <w:pStyle w:val="BodyText"/>
        <w:spacing w:line="240" w:lineRule="auto" w:before="76"/>
        <w:ind w:right="0"/>
        <w:jc w:val="left"/>
      </w:pPr>
      <w:r>
        <w:rPr/>
        <w:t>（四）载有公司董事长签名的</w:t>
      </w:r>
      <w:r>
        <w:rPr>
          <w:rFonts w:ascii="Times New Roman" w:hAnsi="Times New Roman" w:cs="Times New Roman" w:eastAsia="Times New Roman" w:hint="default"/>
        </w:rPr>
        <w:t>2017</w:t>
      </w:r>
      <w:r>
        <w:rPr/>
        <w:t>年年度报告文本原件。</w:t>
      </w:r>
    </w:p>
    <w:p>
      <w:pPr>
        <w:pStyle w:val="BodyText"/>
        <w:spacing w:line="240" w:lineRule="auto" w:before="63"/>
        <w:ind w:left="154" w:right="0"/>
        <w:jc w:val="left"/>
      </w:pPr>
      <w:r>
        <w:rPr/>
        <w:t>（五）以上备查文件的备置地点：公司证券事务部。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pStyle w:val="BodyText"/>
        <w:spacing w:line="676" w:lineRule="auto"/>
        <w:ind w:left="7084" w:right="1294" w:firstLine="8"/>
        <w:jc w:val="left"/>
      </w:pPr>
      <w:r>
        <w:rPr/>
        <w:t>苏州恒久光电科技股份有限公司 法定代表人：余荣清 二〇一八年四月二十三日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904" type="#_x0000_t75" stroked="false">
          <v:imagedata r:id="rId1" o:title=""/>
        </v:shape>
      </w:pict>
    </w:r>
    <w:r>
      <w:rPr/>
      <w:pict>
        <v:shape style="position:absolute;margin-left:533.179993pt;margin-top:795.517944pt;width:6.5pt;height:11pt;mso-position-horizontal-relative:page;mso-position-vertical-relative:page;z-index:-8978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160" type="#_x0000_t75" stroked="false">
          <v:imagedata r:id="rId1" o:title=""/>
        </v:shape>
      </w:pict>
    </w:r>
    <w:r>
      <w:rPr/>
      <w:pict>
        <v:shape style="position:absolute;margin-left:527.679993pt;margin-top:781.957947pt;width:13pt;height:11pt;mso-position-horizontal-relative:page;mso-position-vertical-relative:page;z-index:-897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112" type="#_x0000_t75" stroked="false">
          <v:imagedata r:id="rId1" o:title=""/>
        </v:shape>
      </w:pict>
    </w:r>
    <w:r>
      <w:rPr/>
      <w:pict>
        <v:shape style="position:absolute;margin-left:524.179993pt;margin-top:781.957947pt;width:15.5pt;height:11pt;mso-position-horizontal-relative:page;mso-position-vertical-relative:page;z-index:-8970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064" type="#_x0000_t75" stroked="false">
          <v:imagedata r:id="rId1" o:title=""/>
        </v:shape>
      </w:pict>
    </w:r>
    <w:r>
      <w:rPr/>
      <w:pict>
        <v:shape style="position:absolute;margin-left:523.179993pt;margin-top:781.957947pt;width:17.5pt;height:11pt;mso-position-horizontal-relative:page;mso-position-vertical-relative:page;z-index:-897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856" type="#_x0000_t75" stroked="false">
          <v:imagedata r:id="rId1" o:title=""/>
        </v:shape>
      </w:pict>
    </w:r>
    <w:r>
      <w:rPr/>
      <w:pict>
        <v:shape style="position:absolute;margin-left:527.679993pt;margin-top:781.957947pt;width:13pt;height:11pt;mso-position-horizontal-relative:page;mso-position-vertical-relative:page;z-index:-897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897784" type="#_x0000_t75" stroked="false">
          <v:imagedata r:id="rId1" o:title=""/>
        </v:shape>
      </w:pict>
    </w:r>
    <w:r>
      <w:rPr/>
      <w:pict>
        <v:shape style="position:absolute;margin-left:758.97998pt;margin-top:535.357971pt;width:13pt;height:11pt;mso-position-horizontal-relative:page;mso-position-vertical-relative:page;z-index:-897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688" type="#_x0000_t75" stroked="false">
          <v:imagedata r:id="rId1" o:title=""/>
        </v:shape>
      </w:pict>
    </w:r>
    <w:r>
      <w:rPr/>
      <w:pict>
        <v:shape style="position:absolute;margin-left:527.679993pt;margin-top:781.957947pt;width:13pt;height:11pt;mso-position-horizontal-relative:page;mso-position-vertical-relative:page;z-index:-897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897616" type="#_x0000_t75" stroked="false">
          <v:imagedata r:id="rId1" o:title=""/>
        </v:shape>
      </w:pict>
    </w:r>
    <w:r>
      <w:rPr/>
      <w:pict>
        <v:shape style="position:absolute;margin-left:758.97998pt;margin-top:535.357971pt;width:13pt;height:11pt;mso-position-horizontal-relative:page;mso-position-vertical-relative:page;z-index:-897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520" type="#_x0000_t75" stroked="false">
          <v:imagedata r:id="rId1" o:title=""/>
        </v:shape>
      </w:pict>
    </w:r>
    <w:r>
      <w:rPr/>
      <w:pict>
        <v:shape style="position:absolute;margin-left:527.679993pt;margin-top:781.957947pt;width:13pt;height:11pt;mso-position-horizontal-relative:page;mso-position-vertical-relative:page;z-index:-897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897448" type="#_x0000_t75" stroked="false">
          <v:imagedata r:id="rId1" o:title=""/>
        </v:shape>
      </w:pict>
    </w:r>
    <w:r>
      <w:rPr/>
      <w:pict>
        <v:shape style="position:absolute;margin-left:758.97998pt;margin-top:535.357971pt;width:13pt;height:11pt;mso-position-horizontal-relative:page;mso-position-vertical-relative:page;z-index:-897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328" type="#_x0000_t75" stroked="false">
          <v:imagedata r:id="rId1" o:title=""/>
        </v:shape>
      </w:pict>
    </w:r>
    <w:r>
      <w:rPr/>
      <w:pict>
        <v:shape style="position:absolute;margin-left:527.679993pt;margin-top:781.957947pt;width:13pt;height:11pt;mso-position-horizontal-relative:page;mso-position-vertical-relative:page;z-index:-897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897256" type="#_x0000_t75" stroked="false">
          <v:imagedata r:id="rId1" o:title=""/>
        </v:shape>
      </w:pict>
    </w:r>
    <w:r>
      <w:rPr/>
      <w:pict>
        <v:shape style="position:absolute;margin-left:758.97998pt;margin-top:535.357971pt;width:13pt;height:11pt;mso-position-horizontal-relative:page;mso-position-vertical-relative:page;z-index:-897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897928" type="#_x0000_t202" filled="false" stroked="false">
          <v:textbox inset="0,0,0,0">
            <w:txbxContent>
              <w:p>
                <w:pPr>
                  <w:pStyle w:val="BodyText"/>
                  <w:spacing w:line="214" w:lineRule="exact"/>
                  <w:ind w:left="20" w:right="0"/>
                  <w:jc w:val="left"/>
                </w:pPr>
                <w:r>
                  <w:rPr/>
                  <w:t>苏州恒久光电科技股份有限公司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9720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897184" type="#_x0000_t202" filled="false" stroked="false">
          <v:textbox inset="0,0,0,0">
            <w:txbxContent>
              <w:p>
                <w:pPr>
                  <w:pStyle w:val="BodyText"/>
                  <w:spacing w:line="214" w:lineRule="exact"/>
                  <w:ind w:left="20" w:right="0"/>
                  <w:jc w:val="left"/>
                </w:pPr>
                <w:r>
                  <w:rPr/>
                  <w:t>苏州恒久光电科技股份有限公司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897808" type="#_x0000_t202" filled="false" stroked="false">
          <v:textbox inset="0,0,0,0">
            <w:txbxContent>
              <w:p>
                <w:pPr>
                  <w:pStyle w:val="BodyText"/>
                  <w:spacing w:line="214" w:lineRule="exact"/>
                  <w:ind w:left="20" w:right="0"/>
                  <w:jc w:val="left"/>
                </w:pPr>
                <w:r>
                  <w:rPr/>
                  <w:t>苏州恒久光电科技股份有限公司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9773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897712" type="#_x0000_t202" filled="false" stroked="false">
          <v:textbox inset="0,0,0,0">
            <w:txbxContent>
              <w:p>
                <w:pPr>
                  <w:pStyle w:val="BodyText"/>
                  <w:spacing w:line="214" w:lineRule="exact"/>
                  <w:ind w:left="20" w:right="0"/>
                  <w:jc w:val="left"/>
                </w:pPr>
                <w:r>
                  <w:rPr/>
                  <w:t>苏州恒久光电科技股份有限公司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897640" type="#_x0000_t202" filled="false" stroked="false">
          <v:textbox inset="0,0,0,0">
            <w:txbxContent>
              <w:p>
                <w:pPr>
                  <w:pStyle w:val="BodyText"/>
                  <w:spacing w:line="214" w:lineRule="exact"/>
                  <w:ind w:left="20" w:right="0"/>
                  <w:jc w:val="left"/>
                </w:pPr>
                <w:r>
                  <w:rPr/>
                  <w:t>苏州恒久光电科技股份有限公司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9756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897544" type="#_x0000_t202" filled="false" stroked="false">
          <v:textbox inset="0,0,0,0">
            <w:txbxContent>
              <w:p>
                <w:pPr>
                  <w:pStyle w:val="BodyText"/>
                  <w:spacing w:line="214" w:lineRule="exact"/>
                  <w:ind w:left="20" w:right="0"/>
                  <w:jc w:val="left"/>
                </w:pPr>
                <w:r>
                  <w:rPr/>
                  <w:t>苏州恒久光电科技股份有限公司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897472" type="#_x0000_t202" filled="false" stroked="false">
          <v:textbox inset="0,0,0,0">
            <w:txbxContent>
              <w:p>
                <w:pPr>
                  <w:pStyle w:val="BodyText"/>
                  <w:spacing w:line="214" w:lineRule="exact"/>
                  <w:ind w:left="20" w:right="0"/>
                  <w:jc w:val="left"/>
                </w:pPr>
                <w:r>
                  <w:rPr/>
                  <w:t>苏州恒久光电科技股份有限公司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897400" type="#_x0000_t202" filled="false" stroked="false">
          <v:textbox inset="0,0,0,0">
            <w:txbxContent>
              <w:p>
                <w:pPr>
                  <w:pStyle w:val="BodyText"/>
                  <w:spacing w:line="214" w:lineRule="exact"/>
                  <w:ind w:left="20" w:right="0"/>
                  <w:jc w:val="left"/>
                </w:pPr>
                <w:r>
                  <w:rPr/>
                  <w:t>苏州恒久光电科技股份有限公司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89737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897352" type="#_x0000_t202" filled="false" stroked="false">
          <v:textbox inset="0,0,0,0">
            <w:txbxContent>
              <w:p>
                <w:pPr>
                  <w:pStyle w:val="BodyText"/>
                  <w:spacing w:line="214" w:lineRule="exact"/>
                  <w:ind w:left="20" w:right="0"/>
                  <w:jc w:val="left"/>
                </w:pPr>
                <w:r>
                  <w:rPr/>
                  <w:t>苏州恒久光电科技股份有限公司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897280" type="#_x0000_t202" filled="false" stroked="false">
          <v:textbox inset="0,0,0,0">
            <w:txbxContent>
              <w:p>
                <w:pPr>
                  <w:pStyle w:val="BodyText"/>
                  <w:spacing w:line="214" w:lineRule="exact"/>
                  <w:ind w:left="20" w:right="0"/>
                  <w:jc w:val="left"/>
                </w:pPr>
                <w:r>
                  <w:rPr/>
                  <w:t>苏州恒久光电科技股份有限公司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gt21.com/" TargetMode="External"/><Relationship Id="rId10" Type="http://schemas.openxmlformats.org/officeDocument/2006/relationships/hyperlink" Target="mailto:admin@sgt21.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image" Target="media/image4.jpeg"/><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苏州恒久光电科技股份有限公司</dc:creator>
  <dc:title>苏州恒久光电科技股份有限公司2017年年度报告全文</dc:title>
  <dcterms:created xsi:type="dcterms:W3CDTF">2020-05-02T23:18:40Z</dcterms:created>
  <dcterms:modified xsi:type="dcterms:W3CDTF">2020-05-02T23:18:40Z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Office Word 2007</vt:lpwstr>
  </property>
  <property fmtid="{D5CDD505-2E9C-101B-9397-08002B2CF9AE}" pid="4" name="LastSaved">
    <vt:filetime>2020-05-02T00:00:00Z</vt:filetime>
  </property>
</Properties>
</file>